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45" w:rsidRDefault="000B1630" w:rsidP="000B163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65604D8-3755-4B4C-B2FF-9D262D365813" style="width:450.75pt;height:441.75pt">
            <v:imagedata r:id="rId9" o:title=""/>
          </v:shape>
        </w:pict>
      </w:r>
    </w:p>
    <w:bookmarkEnd w:id="0"/>
    <w:p w:rsidR="00646145" w:rsidRDefault="00646145">
      <w:pPr>
        <w:rPr>
          <w:noProof/>
        </w:rPr>
        <w:sectPr w:rsidR="00646145" w:rsidSect="000B163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46145" w:rsidRDefault="000B1630">
      <w:pPr>
        <w:pStyle w:val="Heading1"/>
        <w:rPr>
          <w:noProof/>
        </w:rPr>
      </w:pPr>
      <w:r>
        <w:rPr>
          <w:noProof/>
        </w:rPr>
        <w:lastRenderedPageBreak/>
        <w:t>Свързаната и автоматизираната мобилност е нова възможност за Европа</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Мобилността е на кръстопът. През последния век бяха направени много значими стъпки в</w:t>
      </w:r>
      <w:r>
        <w:rPr>
          <w:rFonts w:ascii="Times New Roman" w:hAnsi="Times New Roman"/>
          <w:noProof/>
          <w:sz w:val="24"/>
        </w:rPr>
        <w:t xml:space="preserve"> областта на автомобилния транспорт. Но сега, с увеличаващата се автоматизация и свързаност, мобилността преминава нова — цифрова — граница, която дава възможност на превозните средства да „общуват“ помежду си, с пътната инфраструктура и с останалите участ</w:t>
      </w:r>
      <w:r>
        <w:rPr>
          <w:rFonts w:ascii="Times New Roman" w:hAnsi="Times New Roman"/>
          <w:noProof/>
          <w:sz w:val="24"/>
        </w:rPr>
        <w:t>ници в пътното движение. Тези разработки, които се ползват от напредъка в областта на изкуствения интелект</w:t>
      </w:r>
      <w:r>
        <w:rPr>
          <w:rStyle w:val="FootnoteReference"/>
          <w:rFonts w:ascii="Times New Roman" w:hAnsi="Times New Roman"/>
          <w:noProof/>
          <w:sz w:val="24"/>
        </w:rPr>
        <w:footnoteReference w:id="1"/>
      </w:r>
      <w:r>
        <w:rPr>
          <w:rFonts w:ascii="Times New Roman" w:hAnsi="Times New Roman"/>
          <w:noProof/>
          <w:sz w:val="24"/>
        </w:rPr>
        <w:t>, разкриват възможност за едно съвсем ново равнище на сътрудничество между участниците в пътното движение, което потенциално би могло да донесе огром</w:t>
      </w:r>
      <w:r>
        <w:rPr>
          <w:rFonts w:ascii="Times New Roman" w:hAnsi="Times New Roman"/>
          <w:noProof/>
          <w:sz w:val="24"/>
        </w:rPr>
        <w:t xml:space="preserve">ни ползи за тях и за системата за мобилност като цяло, включително като направи транспорта по-безопасен, достъпен и устойчив.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Превозните средства без водач ще променят нашето всекидневие по същия начин както парните влакове и леките автомобили преди тях. </w:t>
      </w:r>
      <w:r>
        <w:rPr>
          <w:rFonts w:ascii="Times New Roman" w:hAnsi="Times New Roman"/>
          <w:noProof/>
          <w:sz w:val="24"/>
        </w:rPr>
        <w:t>Те ще определят бъдещето на автомобилния транспорт и биха могли да доведат до значително намаление на транспортните разходи. Те биха могли да проправят пътя за нови услуги и да осигурят нови възможности в отговор на нарастващото търсене на мобилност на хор</w:t>
      </w:r>
      <w:r>
        <w:rPr>
          <w:rFonts w:ascii="Times New Roman" w:hAnsi="Times New Roman"/>
          <w:noProof/>
          <w:sz w:val="24"/>
        </w:rPr>
        <w:t>а и стоки. След като веднъж бъдат успешно преодолени проблемите, характерни за всяко начало — а това трябва да се случи, превозните средства без водач биха могли значително да подобрят пътната безопасност, тъй като е изчислено, че човешките грешки играят р</w:t>
      </w:r>
      <w:r>
        <w:rPr>
          <w:rFonts w:ascii="Times New Roman" w:hAnsi="Times New Roman"/>
          <w:noProof/>
          <w:sz w:val="24"/>
        </w:rPr>
        <w:t>оля в 94 процента от произшествията</w:t>
      </w:r>
      <w:r>
        <w:rPr>
          <w:rStyle w:val="FootnoteReference"/>
          <w:rFonts w:ascii="Times New Roman" w:hAnsi="Times New Roman"/>
          <w:noProof/>
          <w:sz w:val="24"/>
        </w:rPr>
        <w:footnoteReference w:id="2"/>
      </w:r>
      <w:r>
        <w:rPr>
          <w:rFonts w:ascii="Times New Roman" w:hAnsi="Times New Roman"/>
          <w:noProof/>
          <w:sz w:val="24"/>
        </w:rPr>
        <w:t>. Превозните средства без водач биха могли да допринесат за мобилността на тези, които не могат да управляват превозни средства самостоятелно (напр. възрастните хора или хората с увреждания) или за които общественият тра</w:t>
      </w:r>
      <w:r>
        <w:rPr>
          <w:rFonts w:ascii="Times New Roman" w:hAnsi="Times New Roman"/>
          <w:noProof/>
          <w:sz w:val="24"/>
        </w:rPr>
        <w:t>нспорт не осигурява добри възможности за придвижване. Те биха могли да стимулират схемите за споделяне на автомобили и „мобилността като услуга“</w:t>
      </w:r>
      <w:r>
        <w:rPr>
          <w:rStyle w:val="FootnoteReference"/>
          <w:rFonts w:ascii="Times New Roman" w:hAnsi="Times New Roman"/>
          <w:noProof/>
          <w:sz w:val="24"/>
        </w:rPr>
        <w:footnoteReference w:id="3"/>
      </w:r>
      <w:r>
        <w:rPr>
          <w:rFonts w:ascii="Times New Roman" w:hAnsi="Times New Roman"/>
          <w:noProof/>
          <w:sz w:val="24"/>
        </w:rPr>
        <w:t xml:space="preserve"> (напр. продажбата на превози, а не на коли). Те също биха могли да ускорят електрифицирането на автомобилите и</w:t>
      </w:r>
      <w:r>
        <w:rPr>
          <w:rFonts w:ascii="Times New Roman" w:hAnsi="Times New Roman"/>
          <w:noProof/>
          <w:sz w:val="24"/>
        </w:rPr>
        <w:t xml:space="preserve"> електромобилността</w:t>
      </w:r>
      <w:r>
        <w:rPr>
          <w:rStyle w:val="FootnoteReference"/>
          <w:rFonts w:ascii="Times New Roman" w:hAnsi="Times New Roman"/>
          <w:noProof/>
          <w:sz w:val="24"/>
        </w:rPr>
        <w:footnoteReference w:id="4"/>
      </w:r>
      <w:r>
        <w:rPr>
          <w:rFonts w:ascii="Times New Roman" w:hAnsi="Times New Roman"/>
          <w:noProof/>
          <w:sz w:val="24"/>
        </w:rPr>
        <w:t>. И накрая, превозните средства без водач биха могли да освободят пространството, използвано за паркиране, и да променят коренно градоустройството.</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ЕС е един от най-големите износители на автомобилни технологии. Неговите предприятия изв</w:t>
      </w:r>
      <w:r>
        <w:rPr>
          <w:rFonts w:ascii="Times New Roman" w:hAnsi="Times New Roman"/>
          <w:noProof/>
          <w:sz w:val="24"/>
        </w:rPr>
        <w:t>личат ползи от динамичния растеж</w:t>
      </w:r>
      <w:r>
        <w:rPr>
          <w:rStyle w:val="FootnoteReference"/>
          <w:rFonts w:ascii="Times New Roman" w:hAnsi="Times New Roman"/>
          <w:noProof/>
          <w:sz w:val="24"/>
        </w:rPr>
        <w:footnoteReference w:id="5"/>
      </w:r>
      <w:r>
        <w:rPr>
          <w:rFonts w:ascii="Times New Roman" w:hAnsi="Times New Roman"/>
          <w:noProof/>
          <w:sz w:val="24"/>
        </w:rPr>
        <w:t xml:space="preserve"> на сектора. За разработването на нови технологии и услуги ще са необходими високи нива на инвестиции и ще се създадат нови работни места. Автомобилната промишленост на ЕС, със своя експертен опит в разработването на автомо</w:t>
      </w:r>
      <w:r>
        <w:rPr>
          <w:rFonts w:ascii="Times New Roman" w:hAnsi="Times New Roman"/>
          <w:noProof/>
          <w:sz w:val="24"/>
        </w:rPr>
        <w:t>билни технологии, е в добра позиция да се възползва от тази възможност</w:t>
      </w:r>
      <w:r>
        <w:rPr>
          <w:rStyle w:val="FootnoteReference"/>
          <w:rFonts w:ascii="Times New Roman" w:hAnsi="Times New Roman"/>
          <w:noProof/>
          <w:sz w:val="24"/>
        </w:rPr>
        <w:footnoteReference w:id="6"/>
      </w:r>
      <w:r>
        <w:rPr>
          <w:rFonts w:ascii="Times New Roman" w:hAnsi="Times New Roman"/>
          <w:noProof/>
          <w:sz w:val="24"/>
        </w:rPr>
        <w:t>. Освен това автоматизираните превозни средства ще окажат вторично въздействие върху много други сектори във веригата за създаване на стойност (напр. в областта на полупроводниците, пре</w:t>
      </w:r>
      <w:r>
        <w:rPr>
          <w:rFonts w:ascii="Times New Roman" w:hAnsi="Times New Roman"/>
          <w:noProof/>
          <w:sz w:val="24"/>
        </w:rPr>
        <w:t xml:space="preserve">работвателните технологии, дигиталните карти) и върху новите бизнес модели, появили се вследствие на </w:t>
      </w:r>
      <w:r>
        <w:rPr>
          <w:rFonts w:ascii="Times New Roman" w:hAnsi="Times New Roman"/>
          <w:noProof/>
          <w:sz w:val="24"/>
        </w:rPr>
        <w:lastRenderedPageBreak/>
        <w:t>мобилността без водач или благоприятствани от нея (напр. електронната търговия, „мобилността като услуга“).</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Не можем обаче да очакваме тези технологични пр</w:t>
      </w:r>
      <w:r>
        <w:rPr>
          <w:rFonts w:ascii="Times New Roman" w:hAnsi="Times New Roman"/>
          <w:noProof/>
          <w:sz w:val="24"/>
        </w:rPr>
        <w:t>омени сами по себе си да разрешат  предизвикателствата, свързани със задръстванията, емисиите от транспорта и смъртните случаи при пътнотранспортни произшествия. Ние трябва да управляваме правилно дългия преходен етап и да направим необходимото бъдещите пр</w:t>
      </w:r>
      <w:r>
        <w:rPr>
          <w:rFonts w:ascii="Times New Roman" w:hAnsi="Times New Roman"/>
          <w:noProof/>
          <w:sz w:val="24"/>
        </w:rPr>
        <w:t>евозни средства да бъдат интегрирани в транспортна система, която благоприятства социалното приобщаване, ниските емисии и цялостната ефективност. Трябва да засилим връзките между превозните средства и управлението на трафика, между публичните и частните да</w:t>
      </w:r>
      <w:r>
        <w:rPr>
          <w:rFonts w:ascii="Times New Roman" w:hAnsi="Times New Roman"/>
          <w:noProof/>
          <w:sz w:val="24"/>
        </w:rPr>
        <w:t>нни, между колективния и индивидуалния транспорт и между всички доставчици на транспортни услуги и видове транспорт.</w:t>
      </w:r>
    </w:p>
    <w:p w:rsidR="00646145" w:rsidRDefault="000B1630">
      <w:pPr>
        <w:pStyle w:val="p1"/>
        <w:jc w:val="both"/>
        <w:rPr>
          <w:noProof/>
        </w:rPr>
      </w:pPr>
      <w:r>
        <w:rPr>
          <w:noProof/>
        </w:rPr>
        <w:t>Първоначалните проучвания сочат, че повечето европейски граждани приемат добре автомобилите без водач, като 58 процента са готови да се воз</w:t>
      </w:r>
      <w:r>
        <w:rPr>
          <w:noProof/>
        </w:rPr>
        <w:t>ят в превозно средство без водач</w:t>
      </w:r>
      <w:r>
        <w:rPr>
          <w:rStyle w:val="FootnoteReference"/>
          <w:noProof/>
        </w:rPr>
        <w:footnoteReference w:id="7"/>
      </w:r>
      <w:r>
        <w:rPr>
          <w:noProof/>
        </w:rPr>
        <w:t>. Обаче както стана видно след последните произшествия в САЩ, за да може автоматизираната мобилност да бъде приета от обществото, е необходимо да се заложат възможно най-високите стандарти за сигурност и безопасност. Следва</w:t>
      </w:r>
      <w:r>
        <w:rPr>
          <w:noProof/>
        </w:rPr>
        <w:t xml:space="preserve"> да се обърне внимание на новите рискове от прекомерно разчитане на технологиите или злоупотреба с тях. Следва да се обсъдят нови въпроси като нивото на инфраструктурна подкрепа за превозните средства без водач и как тази инфраструктура следва да си взаимо</w:t>
      </w:r>
      <w:r>
        <w:rPr>
          <w:noProof/>
        </w:rPr>
        <w:t xml:space="preserve">действа с превозните средства. Необходимо е да се вземат предвид и някои етични въпроси, свързани с прехвърлянето на отговорността за управлението към превозните средства. Това включва очакванията ни спрямо начина, по който дадено превозно средство следва </w:t>
      </w:r>
      <w:r>
        <w:rPr>
          <w:noProof/>
        </w:rPr>
        <w:t>да реагира, когато не може да се избегне произшествие, и критериите, използвани за определяне на решението на превозното средство. Във връзка с това следва да се запитаме кой носи отговорност, когато превозно средство без водач участва в произшествие.</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От с</w:t>
      </w:r>
      <w:r>
        <w:rPr>
          <w:rFonts w:ascii="Times New Roman" w:hAnsi="Times New Roman"/>
          <w:noProof/>
          <w:sz w:val="24"/>
        </w:rPr>
        <w:t>ъществено значение е също да се намери правилният баланс между обмена на публични и частни данни, осигуряването на лоялна и ефективна конкуренция за иновативни решения и защитата на данни. Със споделянето на повече данни и нарастването на броя на участници</w:t>
      </w:r>
      <w:r>
        <w:rPr>
          <w:rFonts w:ascii="Times New Roman" w:hAnsi="Times New Roman"/>
          <w:noProof/>
          <w:sz w:val="24"/>
        </w:rPr>
        <w:t>те, е необходимо е да се гарантира, че Европа ще запази своята конкурентоспособност на всички етапи на безпилотната мобилност, до и включително предоставянето на тези крайни услуги на нашите граждани и предприятия. На последно място, ще трябва да се обсъди</w:t>
      </w:r>
      <w:r>
        <w:rPr>
          <w:rFonts w:ascii="Times New Roman" w:hAnsi="Times New Roman"/>
          <w:noProof/>
          <w:sz w:val="24"/>
        </w:rPr>
        <w:t xml:space="preserve"> отрицателното въздействие на безпилотната мобилност на пазара на труда, особено необходимостта от придобиване на умения и преквалификация (напр. първоначално за професионалните шофьори ще се открие възможност да извършват допълнителни задачи, но в дългоср</w:t>
      </w:r>
      <w:r>
        <w:rPr>
          <w:rFonts w:ascii="Times New Roman" w:hAnsi="Times New Roman"/>
          <w:noProof/>
          <w:sz w:val="24"/>
        </w:rPr>
        <w:t>очен план може вече да не бъдат необходими в превозните средства).</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При условие че е налице благоприятстваща регулаторна уредба за справяне с всички тези проблеми, първите превозни средства, които се управляват сами при специфични условия на управление, бих</w:t>
      </w:r>
      <w:r>
        <w:rPr>
          <w:rFonts w:ascii="Times New Roman" w:hAnsi="Times New Roman"/>
          <w:noProof/>
          <w:sz w:val="24"/>
        </w:rPr>
        <w:t xml:space="preserve">а могли да се предоставят за търговски цели до 2020 г. и да станат общодостъпни до 2030 г.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С други думи, безпилотната мобилност обещава големи преимущества, но поставя и сериозни въпроси. Ние сме част от световната надпревара за извличане на ползи и решав</w:t>
      </w:r>
      <w:r>
        <w:rPr>
          <w:rFonts w:ascii="Times New Roman" w:hAnsi="Times New Roman"/>
          <w:noProof/>
          <w:sz w:val="24"/>
        </w:rPr>
        <w:t xml:space="preserve">ане на възникналите проблеми, тъй като това дава голяма възможност за икономически растеж и създаване на работни места. Новият пазар за автоматизирани и свързани превозни средства се очаква да нарасне експоненциално, както и големи икономически ползи като </w:t>
      </w:r>
      <w:r>
        <w:rPr>
          <w:rFonts w:ascii="Times New Roman" w:hAnsi="Times New Roman"/>
          <w:noProof/>
          <w:sz w:val="24"/>
        </w:rPr>
        <w:t>приходи от над 620 млрд. евро до 2025 г. за автомобилната промишленост на ЕС и 180 млрд. евро за електронния сектор на ЕС</w:t>
      </w:r>
      <w:r>
        <w:rPr>
          <w:rStyle w:val="FootnoteReference"/>
          <w:rFonts w:ascii="Times New Roman" w:hAnsi="Times New Roman"/>
          <w:noProof/>
          <w:sz w:val="24"/>
        </w:rPr>
        <w:footnoteReference w:id="8"/>
      </w:r>
      <w:r>
        <w:rPr>
          <w:rFonts w:ascii="Times New Roman" w:hAnsi="Times New Roman"/>
          <w:noProof/>
          <w:sz w:val="24"/>
        </w:rPr>
        <w:t>. Ето защо автоматизираната мобилност би могла да подкрепи амбицията на ЕС за по-силна и конкурентоспособна промишленост</w:t>
      </w:r>
      <w:r>
        <w:rPr>
          <w:rStyle w:val="FootnoteReference"/>
          <w:rFonts w:ascii="Times New Roman" w:hAnsi="Times New Roman"/>
          <w:noProof/>
          <w:sz w:val="24"/>
        </w:rPr>
        <w:footnoteReference w:id="9"/>
      </w:r>
      <w:r>
        <w:rPr>
          <w:rFonts w:ascii="Times New Roman" w:hAnsi="Times New Roman"/>
          <w:noProof/>
          <w:sz w:val="24"/>
        </w:rPr>
        <w:t xml:space="preserve"> чрез създава</w:t>
      </w:r>
      <w:r>
        <w:rPr>
          <w:rFonts w:ascii="Times New Roman" w:hAnsi="Times New Roman"/>
          <w:noProof/>
          <w:sz w:val="24"/>
        </w:rPr>
        <w:t>не на нови работни места и стимулиране на икономическия растеж.</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 настоящото съобщение Комисията предлага всеобхватен подход на ЕС към свързана и автоматизирана мобилност, като определя ясна, ориентирана към бъдещето и амбициозна европейска програма. Тази </w:t>
      </w:r>
      <w:r>
        <w:rPr>
          <w:rFonts w:ascii="Times New Roman" w:hAnsi="Times New Roman"/>
          <w:noProof/>
          <w:sz w:val="24"/>
        </w:rPr>
        <w:t xml:space="preserve">програма осигурява обща визия и определя съпътстващи дейности за разработване и внедряване на ключови технологии, услуги и инфраструктура. Тя ще гарантира, че правните и политическите рамки на ЕС са готови да подпомогнат разгръщането на безопасна свързана </w:t>
      </w:r>
      <w:r>
        <w:rPr>
          <w:rFonts w:ascii="Times New Roman" w:hAnsi="Times New Roman"/>
          <w:noProof/>
          <w:sz w:val="24"/>
        </w:rPr>
        <w:t>и автоматизирана мобилност, като същевременно се занимаят с обществените и екологичните проблеми, което ще бъде от решаващо значение за приемането от обществеността.</w:t>
      </w:r>
    </w:p>
    <w:p w:rsidR="00646145" w:rsidRDefault="000B1630">
      <w:pPr>
        <w:pStyle w:val="Heading1"/>
        <w:rPr>
          <w:noProof/>
          <w:szCs w:val="24"/>
        </w:rPr>
      </w:pPr>
      <w:r>
        <w:rPr>
          <w:noProof/>
        </w:rPr>
        <w:t>Визията на ЕС за свързана и автоматизирана мобилност</w:t>
      </w:r>
    </w:p>
    <w:p w:rsidR="00646145" w:rsidRDefault="000B1630">
      <w:pPr>
        <w:pStyle w:val="p1"/>
        <w:jc w:val="both"/>
        <w:rPr>
          <w:noProof/>
        </w:rPr>
      </w:pPr>
      <w:r>
        <w:rPr>
          <w:noProof/>
        </w:rPr>
        <w:t>Амбицията е Европа да се превърне в с</w:t>
      </w:r>
      <w:r>
        <w:rPr>
          <w:noProof/>
        </w:rPr>
        <w:t>ветовен лидер във внедряването на свързаната и автоматизираната мобилност, което да доведе до значителна промяна по отношение на намаляването на броя на смъртните случаи по пътищата, намаляването на вредните емисии от транспорта и намаляването на задръства</w:t>
      </w:r>
      <w:r>
        <w:rPr>
          <w:noProof/>
        </w:rPr>
        <w:t>нията. Внедряването на безпилотната мобилност — когато е напълно интегрирана в цялата транспортна система и е придружена от правилните мерки за подпомагане и полезни взаимодействия между мобилността без водач и мерките за декарбонизация — се очаква да може</w:t>
      </w:r>
      <w:r>
        <w:rPr>
          <w:noProof/>
        </w:rPr>
        <w:t xml:space="preserve"> да допринесе значително за постигането на тези основни цели на обществото. В крайна сметка се очаква това да доведе до постигането на т.нар. „нулева смъртност“, т.е. до 2050 г. да няма произшествия по европейските пътища</w:t>
      </w:r>
      <w:r>
        <w:rPr>
          <w:rStyle w:val="FootnoteReference"/>
          <w:noProof/>
        </w:rPr>
        <w:footnoteReference w:id="10"/>
      </w:r>
      <w:r>
        <w:rPr>
          <w:noProof/>
        </w:rPr>
        <w:t xml:space="preserve">. Превръщането на тази амбиция за </w:t>
      </w:r>
      <w:r>
        <w:rPr>
          <w:noProof/>
        </w:rPr>
        <w:t>Европа в реалност ще изисква ЕС, частните участници, държавите членки, регионалните и местните власти да работят заедно по обща визия за свързана и автоматизирана мобилност.</w:t>
      </w:r>
    </w:p>
    <w:p w:rsidR="00646145" w:rsidRDefault="000B1630">
      <w:pPr>
        <w:pStyle w:val="p1"/>
        <w:jc w:val="both"/>
        <w:rPr>
          <w:noProof/>
        </w:rPr>
      </w:pPr>
      <w:r>
        <w:rPr>
          <w:noProof/>
        </w:rPr>
        <w:t xml:space="preserve">Автоматизираните превозни средства все още не са в състояние да функционират без </w:t>
      </w:r>
      <w:r>
        <w:rPr>
          <w:noProof/>
        </w:rPr>
        <w:t>човешки надзор. Все още са налице множество технически предизвикателства, които трябва да бъдат разрешени, за да се гарантира, че превозното средство е напълно способно да се ориентира в околната среда, да я разбере и да предприеме правилните действия какт</w:t>
      </w:r>
      <w:r>
        <w:rPr>
          <w:noProof/>
        </w:rPr>
        <w:t>о би го направил човек водач. Различните равнища на автоматизация са описани в графиката по-долу.</w:t>
      </w:r>
    </w:p>
    <w:p w:rsidR="00646145" w:rsidRDefault="000B1630">
      <w:pPr>
        <w:keepNext/>
        <w:spacing w:after="120" w:line="240" w:lineRule="auto"/>
        <w:jc w:val="both"/>
        <w:rPr>
          <w:rFonts w:ascii="EC Square Sans Pro" w:hAnsi="EC Square Sans Pro"/>
          <w:b/>
          <w:noProof/>
          <w:color w:val="000000" w:themeColor="text1"/>
        </w:rPr>
      </w:pPr>
      <w:r>
        <w:rPr>
          <w:rFonts w:ascii="EC Square Sans Pro" w:hAnsi="EC Square Sans Pro"/>
          <w:b/>
          <w:noProof/>
          <w:color w:val="000000" w:themeColor="text1"/>
        </w:rPr>
        <w:t>Графика: Различни равнища на автоматизация (източник: Дружество на автомобилните инженери (Society of Automotive Engineers</w:t>
      </w:r>
      <w:r>
        <w:rPr>
          <w:rStyle w:val="FootnoteReference"/>
          <w:rFonts w:ascii="EC Square Sans Pro" w:hAnsi="EC Square Sans Pro"/>
          <w:b/>
          <w:noProof/>
          <w:color w:val="000000" w:themeColor="text1"/>
        </w:rPr>
        <w:footnoteReference w:id="11"/>
      </w:r>
      <w:r>
        <w:rPr>
          <w:rFonts w:ascii="EC Square Sans Pro" w:hAnsi="EC Square Sans Pro"/>
          <w:b/>
          <w:noProof/>
          <w:color w:val="000000" w:themeColor="text1"/>
        </w:rPr>
        <w:t>)</w:t>
      </w:r>
    </w:p>
    <w:p w:rsidR="00646145" w:rsidRDefault="000B1630">
      <w:pPr>
        <w:keepNext/>
        <w:spacing w:after="12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14:anchorId="66A50DD2" wp14:editId="65102760">
            <wp:extent cx="5760720" cy="3862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862007"/>
                    </a:xfrm>
                    <a:prstGeom prst="rect">
                      <a:avLst/>
                    </a:prstGeom>
                    <a:noFill/>
                    <a:ln>
                      <a:noFill/>
                    </a:ln>
                  </pic:spPr>
                </pic:pic>
              </a:graphicData>
            </a:graphic>
          </wp:inline>
        </w:drawing>
      </w:r>
      <w:r>
        <w:rPr>
          <w:noProof/>
          <w:lang w:val="en-GB" w:eastAsia="en-GB" w:bidi="ar-SA"/>
        </w:rPr>
        <w:drawing>
          <wp:inline distT="0" distB="0" distL="0" distR="0" wp14:anchorId="37C371E8" wp14:editId="5FF59790">
            <wp:extent cx="5760720" cy="4946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94665"/>
                    </a:xfrm>
                    <a:prstGeom prst="rect">
                      <a:avLst/>
                    </a:prstGeom>
                    <a:noFill/>
                    <a:ln>
                      <a:noFill/>
                    </a:ln>
                  </pic:spPr>
                </pic:pic>
              </a:graphicData>
            </a:graphic>
          </wp:inline>
        </w:drawing>
      </w:r>
    </w:p>
    <w:p w:rsidR="00646145" w:rsidRDefault="000B1630">
      <w:pPr>
        <w:spacing w:after="120" w:line="240" w:lineRule="auto"/>
        <w:jc w:val="both"/>
        <w:rPr>
          <w:rFonts w:ascii="EC Square Sans Pro" w:hAnsi="EC Square Sans Pro"/>
          <w:noProof/>
        </w:rPr>
      </w:pPr>
      <w:r>
        <w:rPr>
          <w:rFonts w:ascii="Times New Roman" w:hAnsi="Times New Roman"/>
          <w:noProof/>
          <w:sz w:val="24"/>
        </w:rPr>
        <w:t>Превозни средства, подпомагащи</w:t>
      </w:r>
      <w:r>
        <w:rPr>
          <w:rFonts w:ascii="Times New Roman" w:hAnsi="Times New Roman"/>
          <w:noProof/>
          <w:sz w:val="24"/>
        </w:rPr>
        <w:t xml:space="preserve"> водача, са вече налични на пазара на ЕС (равнища 1 и 2), а в процес на тестване са автоматизирани превозни средства, които могат да се движат самостоятелно в ограничен брой пътни ситуации (равнища 3 и 4), като някои от тях следва да бъдат на разположение </w:t>
      </w:r>
      <w:r>
        <w:rPr>
          <w:rFonts w:ascii="Times New Roman" w:hAnsi="Times New Roman"/>
          <w:noProof/>
          <w:sz w:val="24"/>
        </w:rPr>
        <w:t>до 2020 г</w:t>
      </w:r>
      <w:r>
        <w:rPr>
          <w:rStyle w:val="FootnoteReference"/>
          <w:noProof/>
        </w:rPr>
        <w:footnoteReference w:id="12"/>
      </w:r>
      <w:r>
        <w:rPr>
          <w:rFonts w:ascii="Times New Roman" w:hAnsi="Times New Roman"/>
          <w:noProof/>
          <w:sz w:val="24"/>
        </w:rPr>
        <w:t>.</w:t>
      </w:r>
    </w:p>
    <w:p w:rsidR="00646145" w:rsidRDefault="000B1630">
      <w:pPr>
        <w:pStyle w:val="p1"/>
        <w:jc w:val="both"/>
        <w:rPr>
          <w:noProof/>
        </w:rPr>
      </w:pPr>
      <w:r>
        <w:rPr>
          <w:noProof/>
        </w:rPr>
        <w:t>В качеството си на институция, изготвяща политики, Комисията отдава предпочитание на постепенен подход, основан на придобития по време на изпитванията опит, който ще валидира безопасността на технологиите. Това ще бъде осъществено чрез установе</w:t>
      </w:r>
      <w:r>
        <w:rPr>
          <w:noProof/>
        </w:rPr>
        <w:t xml:space="preserve">ни начини на използване на автоматизация, т.е. ситуации, в които превозното средство е в състояние да функционира автономно. </w:t>
      </w:r>
    </w:p>
    <w:p w:rsidR="00646145" w:rsidRDefault="000B1630">
      <w:pPr>
        <w:pStyle w:val="p1"/>
        <w:keepNext/>
        <w:keepLines/>
        <w:jc w:val="both"/>
        <w:rPr>
          <w:noProof/>
        </w:rPr>
      </w:pPr>
      <w:r>
        <w:rPr>
          <w:noProof/>
        </w:rPr>
        <w:t>Комисията е набелязала начини на използване на автоматизация, които, от гледна точка на публичната политика, са от значение за сле</w:t>
      </w:r>
      <w:r>
        <w:rPr>
          <w:noProof/>
        </w:rPr>
        <w:t xml:space="preserve">дващото десетилетие (вж. текстовото поле по-долу), но ще остане отворена за разглеждане на други възможни нови случаи на използване на автоматизация, които ще се разработват през следващите години. </w:t>
      </w:r>
    </w:p>
    <w:p w:rsidR="00646145" w:rsidRDefault="000B1630">
      <w:pPr>
        <w:pStyle w:val="p1"/>
        <w:keepNext/>
        <w:keepLines/>
        <w:numPr>
          <w:ilvl w:val="0"/>
          <w:numId w:val="3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afterAutospacing="0"/>
        <w:ind w:left="425" w:hanging="425"/>
        <w:jc w:val="both"/>
        <w:rPr>
          <w:noProof/>
        </w:rPr>
      </w:pPr>
      <w:r>
        <w:rPr>
          <w:b/>
          <w:noProof/>
        </w:rPr>
        <w:t>Пътнически автомобили и камиони</w:t>
      </w:r>
      <w:r>
        <w:rPr>
          <w:noProof/>
        </w:rPr>
        <w:t xml:space="preserve">, които са в състояние да </w:t>
      </w:r>
      <w:r>
        <w:rPr>
          <w:noProof/>
        </w:rPr>
        <w:t>функционират самостоятелно в определени ситуации на магистралата (равнища на автоматизация 3 и 4), се очаква да се появят до 2020 г. (по-конкретно управление на автомобили и камиони по магистрала</w:t>
      </w:r>
      <w:r>
        <w:rPr>
          <w:rStyle w:val="FootnoteReference"/>
          <w:noProof/>
        </w:rPr>
        <w:footnoteReference w:id="13"/>
      </w:r>
      <w:r>
        <w:rPr>
          <w:noProof/>
        </w:rPr>
        <w:t xml:space="preserve">, конвои групирани камиони). Автомобили и камиони, </w:t>
      </w:r>
      <w:r>
        <w:rPr>
          <w:b/>
          <w:noProof/>
        </w:rPr>
        <w:t xml:space="preserve">способни </w:t>
      </w:r>
      <w:r>
        <w:rPr>
          <w:b/>
          <w:noProof/>
        </w:rPr>
        <w:t>да се справят в някои ситуации на управление с ниска скорост</w:t>
      </w:r>
      <w:r>
        <w:rPr>
          <w:noProof/>
        </w:rPr>
        <w:t xml:space="preserve">, биха могли да се появят в градовете до 2020 г., като например камиони за отпадъци (при съвместна работа с човешки служители) или „Вале паркинг“ (автомобили, които самостоятелно се придвижват до </w:t>
      </w:r>
      <w:r>
        <w:rPr>
          <w:noProof/>
        </w:rPr>
        <w:t>място за паркиране). Впоследствие способностите на превозните средства ще бъдат допълнително разработени, за да функционират във все по-сложни ситуации (напр. по-дълго време на работа или по-дълго разстояние без участие на водача).</w:t>
      </w:r>
    </w:p>
    <w:p w:rsidR="00646145" w:rsidRDefault="000B1630">
      <w:pPr>
        <w:pStyle w:val="p1"/>
        <w:keepNext/>
        <w:keepLines/>
        <w:numPr>
          <w:ilvl w:val="0"/>
          <w:numId w:val="38"/>
        </w:numPr>
        <w:pBdr>
          <w:top w:val="single" w:sz="4" w:space="1" w:color="auto"/>
          <w:left w:val="single" w:sz="4" w:space="4" w:color="auto"/>
          <w:bottom w:val="single" w:sz="4" w:space="1" w:color="auto"/>
          <w:right w:val="single" w:sz="4" w:space="4" w:color="auto"/>
        </w:pBdr>
        <w:shd w:val="clear" w:color="auto" w:fill="BFBFBF" w:themeFill="background1" w:themeFillShade="BF"/>
        <w:ind w:left="426" w:hanging="426"/>
        <w:jc w:val="both"/>
        <w:rPr>
          <w:noProof/>
        </w:rPr>
      </w:pPr>
      <w:r>
        <w:rPr>
          <w:b/>
          <w:noProof/>
        </w:rPr>
        <w:t>Обществен транспорт</w:t>
      </w:r>
      <w:r>
        <w:rPr>
          <w:noProof/>
        </w:rPr>
        <w:t xml:space="preserve">, </w:t>
      </w:r>
      <w:r>
        <w:rPr>
          <w:noProof/>
        </w:rPr>
        <w:t>превозни средства, способни да се справят с ограничен брой ситуации на управление с ниска скорост (равнище на автоматизация 4) се очаква да се появят до 2020 г. (по-конкретно градски совалков превоз за специални пътувания, малки доставки или средства за пр</w:t>
      </w:r>
      <w:r>
        <w:rPr>
          <w:noProof/>
        </w:rPr>
        <w:t xml:space="preserve">идвижване). При тях най-вероятно все още ще е необходим човешки надзор и/или ще функционират в много малък обхват. Броят на ситуациите, в които тези превозни средства ще бъдат в състояние да се справят, ще нарасне с времето (напр. по-дълго време на работа </w:t>
      </w:r>
      <w:r>
        <w:rPr>
          <w:noProof/>
        </w:rPr>
        <w:t>или по-голям обхват без човешки надзор, по-висока скорост).</w:t>
      </w:r>
    </w:p>
    <w:p w:rsidR="00646145" w:rsidRDefault="000B1630">
      <w:pPr>
        <w:pStyle w:val="p1"/>
        <w:jc w:val="both"/>
        <w:rPr>
          <w:noProof/>
        </w:rPr>
      </w:pPr>
      <w:r>
        <w:rPr>
          <w:noProof/>
        </w:rPr>
        <w:t>Въпреки че автоматизираните превозни средства не непременно трябва да са свързани и свързаните превозни средства не е необходимо да са автоматизирани, в средносрочен план се очаква свързаността да</w:t>
      </w:r>
      <w:r>
        <w:rPr>
          <w:noProof/>
        </w:rPr>
        <w:t xml:space="preserve"> бъде значим фактор за стимулирането на превозните средства без водач. Поради това Комисията ще следва подход на интегриране на автоматизацията и свързаността при превозните средства. С нарастването на свързаността и автоматизацията при превозните средства</w:t>
      </w:r>
      <w:r>
        <w:rPr>
          <w:noProof/>
        </w:rPr>
        <w:t>, те ще бъдат способни да координират маневрите си, като се използва активно инфраструктурната подкрепа и се осигури възможност за наистина интелигентно управление на движението за възможно най-безпроблемни и безопасни пътни потоци</w:t>
      </w:r>
      <w:r>
        <w:rPr>
          <w:rStyle w:val="FootnoteReference"/>
          <w:noProof/>
        </w:rPr>
        <w:footnoteReference w:id="14"/>
      </w:r>
      <w:r>
        <w:rPr>
          <w:noProof/>
        </w:rPr>
        <w:t>.</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Много превозни средств</w:t>
      </w:r>
      <w:r>
        <w:rPr>
          <w:rFonts w:ascii="Times New Roman" w:hAnsi="Times New Roman"/>
          <w:noProof/>
          <w:sz w:val="24"/>
        </w:rPr>
        <w:t>а вече са свързани с клетъчни технологии, а до 2022 г. всички нови коли се очаква да са свързани с интернет</w:t>
      </w:r>
      <w:r>
        <w:rPr>
          <w:rFonts w:ascii="Times New Roman" w:hAnsi="Times New Roman"/>
          <w:noProof/>
          <w:sz w:val="24"/>
          <w:vertAlign w:val="superscript"/>
        </w:rPr>
        <w:footnoteReference w:id="15"/>
      </w:r>
      <w:r>
        <w:rPr>
          <w:rFonts w:ascii="Times New Roman" w:hAnsi="Times New Roman"/>
          <w:noProof/>
          <w:sz w:val="24"/>
        </w:rPr>
        <w:t>. Тази свързаност дава възможност за достъп до информация относно пътните условия по пътя (напр. произшествия, ремонти по пътя, природни условия), н</w:t>
      </w:r>
      <w:r>
        <w:rPr>
          <w:rFonts w:ascii="Times New Roman" w:hAnsi="Times New Roman"/>
          <w:noProof/>
          <w:sz w:val="24"/>
        </w:rPr>
        <w:t>о също ще осигури възможност публичните органи да събират мащабно количество данни за превозните средства, например анонимизирани данни относно средното потребление в реални условия на гориво/енергия или пътната обстановка в реално време.</w:t>
      </w:r>
      <w:r>
        <w:rPr>
          <w:noProof/>
        </w:rPr>
        <w:t xml:space="preserve"> </w:t>
      </w:r>
      <w:r>
        <w:rPr>
          <w:rFonts w:ascii="Times New Roman" w:hAnsi="Times New Roman"/>
          <w:noProof/>
          <w:sz w:val="24"/>
        </w:rPr>
        <w:t xml:space="preserve">От 2019 г. някои </w:t>
      </w:r>
      <w:r>
        <w:rPr>
          <w:rFonts w:ascii="Times New Roman" w:hAnsi="Times New Roman"/>
          <w:noProof/>
          <w:sz w:val="24"/>
        </w:rPr>
        <w:t>нови серии превозни средства ще бъдат оборудвани и с Wi-Fi средства за комуникация с малък обхват. Тези технологии осигуряват възможност за свързани със сигурността услуги, които изискват много ниска латентност. Освен това те ще дадат възможност на автомат</w:t>
      </w:r>
      <w:r>
        <w:rPr>
          <w:rFonts w:ascii="Times New Roman" w:hAnsi="Times New Roman"/>
          <w:noProof/>
          <w:sz w:val="24"/>
        </w:rPr>
        <w:t xml:space="preserve">изираните автомобили да координират маневрите си в сложни пътни ситуации. От 2020 г. нововъзникващата 5G технология ще разшири значително комуникационния микс, като осигури по-комплексни и по-усъвършенствани услуги. </w:t>
      </w:r>
    </w:p>
    <w:p w:rsidR="00646145" w:rsidRDefault="000B1630">
      <w:pPr>
        <w:pStyle w:val="Heading1"/>
        <w:rPr>
          <w:noProof/>
          <w:szCs w:val="24"/>
        </w:rPr>
      </w:pPr>
      <w:r>
        <w:rPr>
          <w:noProof/>
        </w:rPr>
        <w:t>Актуално състояние</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Действащото </w:t>
      </w:r>
      <w:r>
        <w:rPr>
          <w:rFonts w:ascii="Times New Roman" w:hAnsi="Times New Roman"/>
          <w:noProof/>
          <w:sz w:val="24"/>
        </w:rPr>
        <w:t>законодателство на ЕС е вече до голяма степен пригодено за предлагането на пазара на автоматизирани и свързани превозни средства. Рамковото законодателство на ЕС в областта на одобрението на превозни средства, актуализирано през 2018 г.</w:t>
      </w:r>
      <w:r>
        <w:rPr>
          <w:rStyle w:val="FootnoteReference"/>
          <w:rFonts w:ascii="Times New Roman" w:hAnsi="Times New Roman"/>
          <w:noProof/>
          <w:sz w:val="24"/>
        </w:rPr>
        <w:footnoteReference w:id="16"/>
      </w:r>
      <w:r>
        <w:rPr>
          <w:rFonts w:ascii="Times New Roman" w:hAnsi="Times New Roman"/>
          <w:noProof/>
          <w:sz w:val="24"/>
        </w:rPr>
        <w:t>, гарантира действи</w:t>
      </w:r>
      <w:r>
        <w:rPr>
          <w:rFonts w:ascii="Times New Roman" w:hAnsi="Times New Roman"/>
          <w:noProof/>
          <w:sz w:val="24"/>
        </w:rPr>
        <w:t>телен интернет пазар за превозните средства — държавите членки не могат да приемат национални правила, които са в противоречие със законодателството на ЕС в областта на одобрението на превозни средства — а за новите технологии се предвижда специална процед</w:t>
      </w:r>
      <w:r>
        <w:rPr>
          <w:rFonts w:ascii="Times New Roman" w:hAnsi="Times New Roman"/>
          <w:noProof/>
          <w:sz w:val="24"/>
        </w:rPr>
        <w:t>ура. Рамката на ЕС в областта на одобрението на превозни средства служи за модел за международната хармонизация с нашите международни партньори (като Япония, Русия и Китай)</w:t>
      </w:r>
      <w:r>
        <w:rPr>
          <w:rStyle w:val="FootnoteReference"/>
          <w:rFonts w:ascii="Times New Roman" w:hAnsi="Times New Roman"/>
          <w:noProof/>
          <w:sz w:val="24"/>
        </w:rPr>
        <w:footnoteReference w:id="17"/>
      </w:r>
      <w:r>
        <w:rPr>
          <w:rFonts w:ascii="Times New Roman" w:hAnsi="Times New Roman"/>
          <w:noProof/>
          <w:sz w:val="24"/>
        </w:rPr>
        <w:t>. Съединените щати също планират да въведат подобни принципи (вж. текстовото поле п</w:t>
      </w:r>
      <w:r>
        <w:rPr>
          <w:rFonts w:ascii="Times New Roman" w:hAnsi="Times New Roman"/>
          <w:noProof/>
          <w:sz w:val="24"/>
        </w:rPr>
        <w:t>о-горе). Освен това правилата на ЕС в областта на защитата на данните се признават във все по-голяма степен на международно равнище като предвиждащи едни от най-високите стандарти за защита на данните в света и задават формата на цифровата революция в съот</w:t>
      </w:r>
      <w:r>
        <w:rPr>
          <w:rFonts w:ascii="Times New Roman" w:hAnsi="Times New Roman"/>
          <w:noProof/>
          <w:sz w:val="24"/>
        </w:rPr>
        <w:t>ветствие с европейските ценности. Но ще трябва да последват нови регулаторни промени, за да се изгради хармонизирана, цялостна и ориентирана към бъдещето рамка за автоматизация.</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Другите райони не бездействат (напр. САЩ, Япония и Китай), а вече приемат стра</w:t>
      </w:r>
      <w:r>
        <w:rPr>
          <w:rFonts w:ascii="Times New Roman" w:hAnsi="Times New Roman"/>
          <w:noProof/>
          <w:sz w:val="24"/>
        </w:rPr>
        <w:t xml:space="preserve">тегии за автоматизираните превозни средства и привличат инвестиции в тази област. </w:t>
      </w:r>
      <w:r>
        <w:rPr>
          <w:rFonts w:ascii="Times New Roman" w:hAnsi="Times New Roman"/>
          <w:b/>
          <w:noProof/>
          <w:sz w:val="24"/>
        </w:rPr>
        <w:t>За да може Европа да остане конкурентоспособна и да стимулира инвестициите, ще бъде особено важно основните технологии, услуги и инфраструктура да бъдат разработвани и произв</w:t>
      </w:r>
      <w:r>
        <w:rPr>
          <w:rFonts w:ascii="Times New Roman" w:hAnsi="Times New Roman"/>
          <w:b/>
          <w:noProof/>
          <w:sz w:val="24"/>
        </w:rPr>
        <w:t>еждани в Европа и да е налице необходимата регулаторна рамка.</w:t>
      </w:r>
      <w:r>
        <w:rPr>
          <w:rFonts w:ascii="Times New Roman" w:hAnsi="Times New Roman"/>
          <w:noProof/>
          <w:sz w:val="24"/>
        </w:rPr>
        <w:t xml:space="preserve"> </w:t>
      </w:r>
    </w:p>
    <w:p w:rsidR="00646145" w:rsidRDefault="000B1630">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b/>
          <w:noProof/>
          <w:sz w:val="24"/>
          <w:szCs w:val="24"/>
        </w:rPr>
      </w:pPr>
      <w:r>
        <w:rPr>
          <w:rFonts w:ascii="Times New Roman" w:hAnsi="Times New Roman"/>
          <w:b/>
          <w:noProof/>
          <w:sz w:val="24"/>
        </w:rPr>
        <w:t>Стратегии в САЩ и Азия</w:t>
      </w:r>
    </w:p>
    <w:p w:rsidR="00646145" w:rsidRDefault="000B1630">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Изпитване на автоматизирани превозни средства се извършва от години в някои части на САЩ под ръководството на дружества от Силициевата долина. Някои от щатите обаче вече </w:t>
      </w:r>
      <w:r>
        <w:rPr>
          <w:rFonts w:ascii="Times New Roman" w:hAnsi="Times New Roman"/>
          <w:noProof/>
          <w:sz w:val="24"/>
        </w:rPr>
        <w:t>са забранили използването на автоматизирани превозни средства по пътищата. В резултат на това в Конгреса на Съединените щати се обсъжда проектозакон за автономното управление</w:t>
      </w:r>
      <w:r>
        <w:rPr>
          <w:rStyle w:val="FootnoteReference"/>
          <w:rFonts w:ascii="Times New Roman" w:hAnsi="Times New Roman"/>
          <w:noProof/>
          <w:sz w:val="24"/>
        </w:rPr>
        <w:footnoteReference w:id="18"/>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който ще въведе принципи, подобни на рамката на ЕС в областта на одобрението на</w:t>
      </w:r>
      <w:r>
        <w:rPr>
          <w:rFonts w:ascii="Times New Roman" w:hAnsi="Times New Roman"/>
          <w:noProof/>
          <w:sz w:val="24"/>
        </w:rPr>
        <w:t xml:space="preserve"> превозни средства, за да се избегне това отделните щати в САЩ да приемат закони, които са в противоречие с федералните правила относно превозните средства. </w:t>
      </w:r>
    </w:p>
    <w:p w:rsidR="00646145" w:rsidRDefault="000B1630">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noProof/>
          <w:sz w:val="24"/>
        </w:rPr>
        <w:t>Изпитвания се извършват и в Китай, Япония и Сингапур. Китай вече е приел план за създаване на сист</w:t>
      </w:r>
      <w:r>
        <w:rPr>
          <w:rFonts w:ascii="Times New Roman" w:hAnsi="Times New Roman"/>
          <w:noProof/>
          <w:sz w:val="24"/>
        </w:rPr>
        <w:t>ема от предварителни стандарти до 2020 г. в подкрепа на автоматизираното управление на ниско равнище.  Япония е определила безпилотното управление като основна иновация, която до способства за нейния икономически растеж, и има за цел да демонстрира безпило</w:t>
      </w:r>
      <w:r>
        <w:rPr>
          <w:rFonts w:ascii="Times New Roman" w:hAnsi="Times New Roman"/>
          <w:noProof/>
          <w:sz w:val="24"/>
        </w:rPr>
        <w:t xml:space="preserve">тни превозни средства преди олимпийските игри в Токио през 2020 г.  </w:t>
      </w:r>
    </w:p>
    <w:p w:rsidR="00646145" w:rsidRDefault="000B1630">
      <w:pPr>
        <w:spacing w:after="120" w:line="240" w:lineRule="auto"/>
        <w:jc w:val="both"/>
        <w:rPr>
          <w:rFonts w:ascii="Times New Roman" w:hAnsi="Times New Roman" w:cs="Times New Roman"/>
          <w:noProof/>
          <w:sz w:val="24"/>
          <w:szCs w:val="24"/>
        </w:rPr>
      </w:pPr>
      <w:r>
        <w:rPr>
          <w:noProof/>
        </w:rPr>
        <w:t xml:space="preserve">В държавите членки вече се осъществяват много инициативи </w:t>
      </w:r>
      <w:r>
        <w:rPr>
          <w:rFonts w:ascii="Times New Roman" w:hAnsi="Times New Roman"/>
          <w:noProof/>
          <w:sz w:val="24"/>
        </w:rPr>
        <w:t>(напр. Германия, Франция, Обединеното кралство, Швеция и Нидерландия), особено за широкомащабните изпитвания, които също се подкре</w:t>
      </w:r>
      <w:r>
        <w:rPr>
          <w:rFonts w:ascii="Times New Roman" w:hAnsi="Times New Roman"/>
          <w:noProof/>
          <w:sz w:val="24"/>
        </w:rPr>
        <w:t>пят от Комисията</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Обаче е необходимо тези инициативи да се координират по-добре. В декларацията от Амстердам</w:t>
      </w:r>
      <w:r>
        <w:rPr>
          <w:rFonts w:ascii="EC Square Sans Pro" w:hAnsi="EC Square Sans Pro"/>
          <w:noProof/>
          <w:vertAlign w:val="superscript"/>
        </w:rPr>
        <w:footnoteReference w:id="20"/>
      </w:r>
      <w:r>
        <w:rPr>
          <w:rFonts w:ascii="Times New Roman" w:hAnsi="Times New Roman"/>
          <w:noProof/>
          <w:sz w:val="24"/>
        </w:rPr>
        <w:t xml:space="preserve"> държавите членки призоваха Комисията да разработи обща европейска стратегия относно автоматизираното и свързаното управление, да преразгледа, и к</w:t>
      </w:r>
      <w:r>
        <w:rPr>
          <w:rFonts w:ascii="Times New Roman" w:hAnsi="Times New Roman"/>
          <w:noProof/>
          <w:sz w:val="24"/>
        </w:rPr>
        <w:t>ъдето е необходимо, да адаптира регулаторната рамка на ЕС, да разработи координиран подход по отношение изследванията и иновациите и да внедри оперативно съвместими съвместни интелигентни транспортни системи.</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вече е предприела действия за насърча</w:t>
      </w:r>
      <w:r>
        <w:rPr>
          <w:rFonts w:ascii="Times New Roman" w:hAnsi="Times New Roman"/>
          <w:noProof/>
          <w:sz w:val="24"/>
        </w:rPr>
        <w:t>ване на внедряването на инфраструктура и услуги за свързаност в подкрепа на автоматизираните превозни средства с приемането на стратегии за 5</w:t>
      </w:r>
      <w:r>
        <w:rPr>
          <w:rFonts w:ascii="Times New Roman" w:hAnsi="Times New Roman"/>
          <w:noProof/>
          <w:sz w:val="24"/>
          <w:vertAlign w:val="superscript"/>
        </w:rPr>
        <w:t>-ото</w:t>
      </w:r>
      <w:r>
        <w:rPr>
          <w:rFonts w:ascii="Times New Roman" w:hAnsi="Times New Roman"/>
          <w:noProof/>
          <w:sz w:val="24"/>
        </w:rPr>
        <w:t xml:space="preserve"> поколение комуникационни мрежи („5G“)</w:t>
      </w:r>
      <w:r>
        <w:rPr>
          <w:rStyle w:val="FootnoteReference"/>
          <w:rFonts w:ascii="Times New Roman" w:hAnsi="Times New Roman"/>
          <w:noProof/>
          <w:sz w:val="24"/>
        </w:rPr>
        <w:footnoteReference w:id="21"/>
      </w:r>
      <w:r>
        <w:rPr>
          <w:rFonts w:ascii="Times New Roman" w:hAnsi="Times New Roman"/>
          <w:noProof/>
          <w:sz w:val="24"/>
        </w:rPr>
        <w:t>, съвместни интелигентни транспортни системи</w:t>
      </w:r>
      <w:r>
        <w:rPr>
          <w:rStyle w:val="FootnoteReference"/>
          <w:rFonts w:ascii="Times New Roman" w:hAnsi="Times New Roman"/>
          <w:noProof/>
          <w:sz w:val="24"/>
        </w:rPr>
        <w:footnoteReference w:id="22"/>
      </w:r>
      <w:r>
        <w:rPr>
          <w:rStyle w:val="FootnoteReference"/>
          <w:noProof/>
        </w:rPr>
        <w:t>,</w:t>
      </w:r>
      <w:r>
        <w:rPr>
          <w:rFonts w:ascii="Times New Roman" w:hAnsi="Times New Roman"/>
          <w:noProof/>
          <w:sz w:val="24"/>
        </w:rPr>
        <w:t xml:space="preserve"> и космическата стратегия</w:t>
      </w:r>
      <w:r>
        <w:rPr>
          <w:rStyle w:val="FootnoteReference"/>
          <w:rFonts w:ascii="Times New Roman" w:hAnsi="Times New Roman"/>
          <w:noProof/>
          <w:sz w:val="24"/>
        </w:rPr>
        <w:footnoteReference w:id="23"/>
      </w:r>
      <w:r>
        <w:rPr>
          <w:rFonts w:ascii="Times New Roman" w:hAnsi="Times New Roman"/>
          <w:noProof/>
          <w:sz w:val="24"/>
        </w:rPr>
        <w:t>. Неотдавна Комисията предложи и инициатива относно изкуствения интелект,</w:t>
      </w:r>
      <w:r>
        <w:rPr>
          <w:rStyle w:val="FootnoteReference"/>
          <w:rFonts w:ascii="Times New Roman" w:hAnsi="Times New Roman"/>
          <w:noProof/>
          <w:sz w:val="24"/>
        </w:rPr>
        <w:footnoteReference w:id="24"/>
      </w:r>
      <w:r>
        <w:rPr>
          <w:rFonts w:ascii="Times New Roman" w:hAnsi="Times New Roman"/>
          <w:noProof/>
          <w:sz w:val="24"/>
        </w:rPr>
        <w:t xml:space="preserve"> която ще подкрепи превозните средства без водач.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подготви почвата за съвместна стратегия относно безпилотната мобилност в процес на широка консултация със заинтересованит</w:t>
      </w:r>
      <w:r>
        <w:rPr>
          <w:rFonts w:ascii="Times New Roman" w:hAnsi="Times New Roman"/>
          <w:noProof/>
          <w:sz w:val="24"/>
        </w:rPr>
        <w:t>е страни и държавите членки, по-специално чрез групата на високо равнище GEAR 2030, която прие препоръки относно автоматизираните и свързаните превозни средства на 18 октомври 2017 г.</w:t>
      </w:r>
      <w:r>
        <w:rPr>
          <w:rStyle w:val="FootnoteReference"/>
          <w:rFonts w:ascii="Times New Roman" w:hAnsi="Times New Roman"/>
          <w:noProof/>
          <w:sz w:val="24"/>
        </w:rPr>
        <w:footnoteReference w:id="25"/>
      </w:r>
      <w:r>
        <w:rPr>
          <w:rFonts w:ascii="Times New Roman" w:hAnsi="Times New Roman"/>
          <w:noProof/>
          <w:sz w:val="24"/>
        </w:rPr>
        <w:t>. Тези препоръки се основават на предходната работа по внедряването на с</w:t>
      </w:r>
      <w:r>
        <w:rPr>
          <w:rFonts w:ascii="Times New Roman" w:hAnsi="Times New Roman"/>
          <w:noProof/>
          <w:sz w:val="24"/>
        </w:rPr>
        <w:t>ъвместни интелигентни транспортни системи</w:t>
      </w:r>
      <w:r>
        <w:rPr>
          <w:rFonts w:ascii="Times New Roman" w:hAnsi="Times New Roman"/>
          <w:noProof/>
          <w:sz w:val="24"/>
          <w:vertAlign w:val="superscript"/>
        </w:rPr>
        <w:footnoteReference w:id="26"/>
      </w:r>
      <w:r>
        <w:rPr>
          <w:rFonts w:ascii="Times New Roman" w:hAnsi="Times New Roman"/>
          <w:noProof/>
          <w:sz w:val="24"/>
        </w:rPr>
        <w:t xml:space="preserve"> и по обединяването на телекомуникационния сектор и автомобилната промишленост</w:t>
      </w:r>
      <w:r>
        <w:rPr>
          <w:rFonts w:ascii="Times New Roman" w:hAnsi="Times New Roman"/>
          <w:noProof/>
          <w:sz w:val="24"/>
          <w:vertAlign w:val="superscript"/>
        </w:rPr>
        <w:footnoteReference w:id="27"/>
      </w:r>
      <w:r>
        <w:rPr>
          <w:rFonts w:ascii="Times New Roman" w:hAnsi="Times New Roman"/>
          <w:noProof/>
          <w:sz w:val="24"/>
        </w:rPr>
        <w:t>.</w:t>
      </w:r>
    </w:p>
    <w:p w:rsidR="00646145" w:rsidRDefault="000B1630">
      <w:pPr>
        <w:pStyle w:val="Heading1"/>
        <w:rPr>
          <w:noProof/>
          <w:szCs w:val="24"/>
        </w:rPr>
      </w:pPr>
      <w:r>
        <w:rPr>
          <w:noProof/>
        </w:rPr>
        <w:t>Засилване на ЕС в областта на технологиите и инфраструктурата за автоматизирана мобилност</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Значителни инвестиции ще са необходими за </w:t>
      </w:r>
      <w:r>
        <w:rPr>
          <w:rFonts w:ascii="Times New Roman" w:hAnsi="Times New Roman"/>
          <w:noProof/>
          <w:sz w:val="24"/>
        </w:rPr>
        <w:t xml:space="preserve">разработването на съответните технологии, за създаването на необходимата инфраструктурна подкрепа и за осигуряването на общественото одобрение за автоматизираната мобилност. Макар че основната част от инвестициите ще дойде от частния сектор, ЕС предоставя </w:t>
      </w:r>
      <w:r>
        <w:rPr>
          <w:rFonts w:ascii="Times New Roman" w:hAnsi="Times New Roman"/>
          <w:noProof/>
          <w:sz w:val="24"/>
        </w:rPr>
        <w:t>важен стимул за научни изследвания и иновации и за внедряване на таргетна инфраструктура.</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се увеличи максимално ползата от публичните инвестиции, Комисията ще свърже мерките за подпомагане с основните политики и регулаторните инициативи, имащи отношение към начините на използване, посочени по-горе.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В държавите членки от ЕС вече се провеж</w:t>
      </w:r>
      <w:r>
        <w:rPr>
          <w:rFonts w:ascii="Times New Roman" w:hAnsi="Times New Roman"/>
          <w:noProof/>
          <w:sz w:val="24"/>
        </w:rPr>
        <w:t>дат демонстрации и широкомащабни изпитвания. Комисията ги подкрепя чрез програма за финансиране на научните изследвания и проекти за внедряване и ще допринесе за по-доброто координиране на трансграничното изпитване</w:t>
      </w:r>
      <w:r>
        <w:rPr>
          <w:rStyle w:val="FootnoteReference"/>
          <w:rFonts w:ascii="Times New Roman" w:hAnsi="Times New Roman"/>
          <w:noProof/>
          <w:sz w:val="24"/>
        </w:rPr>
        <w:footnoteReference w:id="28"/>
      </w:r>
      <w:r>
        <w:rPr>
          <w:rFonts w:ascii="Times New Roman" w:hAnsi="Times New Roman"/>
          <w:noProof/>
          <w:sz w:val="24"/>
        </w:rPr>
        <w:t>. За периода 2014—2020 г. общ бюджет от б</w:t>
      </w:r>
      <w:r>
        <w:rPr>
          <w:rFonts w:ascii="Times New Roman" w:hAnsi="Times New Roman"/>
          <w:noProof/>
          <w:sz w:val="24"/>
        </w:rPr>
        <w:t>лизо 300 млн. евро от рамковата програма на ЕС за научни изследвания и иновации „Хоризонт 2020“ бяха заделени в подкрепа на научните изследвания и иновациите по отношение на автоматизираните превозни средства, половината от които бяха предоставени чрез пок</w:t>
      </w:r>
      <w:r>
        <w:rPr>
          <w:rFonts w:ascii="Times New Roman" w:hAnsi="Times New Roman"/>
          <w:noProof/>
          <w:sz w:val="24"/>
        </w:rPr>
        <w:t xml:space="preserve">ани за представяне на предложения, инициирани в периода 2016—2017 г.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Покани за представяне на предложения в подкрепа на научните изследвания и иновациите за автоматизиран пътен транспорт са планирани за периода 2018—2020 г. с общ бюджет от 103 млн. евро. </w:t>
      </w:r>
      <w:r>
        <w:rPr>
          <w:rFonts w:ascii="Times New Roman" w:hAnsi="Times New Roman"/>
          <w:noProof/>
          <w:sz w:val="24"/>
        </w:rPr>
        <w:t>Акцентът в тези покани е поставен върху пилотните проекти за широкомащабни демонстрации за изпитване на високо автоматизирани системи за управление за пътнически автомобили, ефективни пътнопревозни транспортни операции и услуги за споделена мобилност в гра</w:t>
      </w:r>
      <w:r>
        <w:rPr>
          <w:rFonts w:ascii="Times New Roman" w:hAnsi="Times New Roman"/>
          <w:noProof/>
          <w:sz w:val="24"/>
        </w:rPr>
        <w:t>дските райони. Сред другите научноизследователски приоритети са приемане от страна на потребителите, проектиране на безопасен интерфейс човек-машина, пътна инфраструктура за подпомагане на автоматизацията и изпитванията и процедури за валидиране на функции</w:t>
      </w:r>
      <w:r>
        <w:rPr>
          <w:rFonts w:ascii="Times New Roman" w:hAnsi="Times New Roman"/>
          <w:noProof/>
          <w:sz w:val="24"/>
        </w:rPr>
        <w:t>те за автоматично управление. Освен това през 2018 г. Комисията ще предложи подкрепа за изпитване на използването на 5G свързаност, за да се даде възможност за високо автоматизирани функции за управление и нови услуги за мобилност с бюджет от около 50 млн.</w:t>
      </w:r>
      <w:r>
        <w:rPr>
          <w:rFonts w:ascii="Times New Roman" w:hAnsi="Times New Roman"/>
          <w:noProof/>
          <w:sz w:val="24"/>
        </w:rPr>
        <w:t xml:space="preserve"> евро.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Аналогично, подпомагане по линия на Механизма за свързване на Европа (общо 443 млн. евро, довели до инвестиции на обща стойност 1 173 млн. евро) спомогна за цифровизирането на пътнотранспортната инфраструктура в целия ЕС, в подкрепа на автоматизаци</w:t>
      </w:r>
      <w:r>
        <w:rPr>
          <w:rFonts w:ascii="Times New Roman" w:hAnsi="Times New Roman"/>
          <w:noProof/>
          <w:sz w:val="24"/>
        </w:rPr>
        <w:t>ята. Широкомащабни инициативи за внедряване по трансевропейската транспортна мрежа бяха активирани в 16 държави членки</w:t>
      </w:r>
      <w:r>
        <w:rPr>
          <w:rStyle w:val="FootnoteReference"/>
          <w:rFonts w:ascii="Times New Roman" w:hAnsi="Times New Roman"/>
          <w:noProof/>
          <w:sz w:val="24"/>
        </w:rPr>
        <w:footnoteReference w:id="29"/>
      </w:r>
      <w:r>
        <w:rPr>
          <w:rFonts w:ascii="Times New Roman" w:hAnsi="Times New Roman"/>
          <w:noProof/>
          <w:sz w:val="24"/>
        </w:rPr>
        <w:t xml:space="preserve"> и 2 асоциирани страни за оперативно съвместими комуникации автомобил-автомобил и автомобил-инфраструктура, основани на Wi-Fi и клетъчни </w:t>
      </w:r>
      <w:r>
        <w:rPr>
          <w:rFonts w:ascii="Times New Roman" w:hAnsi="Times New Roman"/>
          <w:noProof/>
          <w:sz w:val="24"/>
        </w:rPr>
        <w:t>технологии 3G/4G. За да се създаде възможност за полезни взаимодействия между транспорта, телекомуникациите и цифровата част на Механизма за свързване на Европа, Комисията възнамерява да включи координирана покана за представяне на проекти в работната си п</w:t>
      </w:r>
      <w:r>
        <w:rPr>
          <w:rFonts w:ascii="Times New Roman" w:hAnsi="Times New Roman"/>
          <w:noProof/>
          <w:sz w:val="24"/>
        </w:rPr>
        <w:t xml:space="preserve">рограма за 2018 г. за Механизма за свързване на Европа. </w:t>
      </w:r>
    </w:p>
    <w:p w:rsidR="00646145" w:rsidRDefault="000B1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rPr>
      </w:pPr>
      <w:r>
        <w:rPr>
          <w:rFonts w:ascii="Times New Roman" w:hAnsi="Times New Roman"/>
          <w:b/>
          <w:noProof/>
        </w:rPr>
        <w:t>Автомобили с автоматично управление</w:t>
      </w:r>
    </w:p>
    <w:p w:rsidR="00646145" w:rsidRDefault="000B1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L3PILOT е широкомащабен тест, стартиран през септември 2017 г. Той е уникален поради размера си (36 млн. евро финансиране от ЕС) и е първият в света, който изпитва</w:t>
      </w:r>
      <w:r>
        <w:rPr>
          <w:rFonts w:ascii="Times New Roman" w:hAnsi="Times New Roman"/>
          <w:noProof/>
        </w:rPr>
        <w:t xml:space="preserve"> такъв всеобхватен набор от различни автоматизирани функции за управление на пътнически автомобили.</w:t>
      </w:r>
    </w:p>
    <w:p w:rsidR="00646145" w:rsidRDefault="000B1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rPr>
      </w:pPr>
      <w:r>
        <w:rPr>
          <w:rFonts w:ascii="Times New Roman" w:hAnsi="Times New Roman"/>
          <w:b/>
          <w:noProof/>
        </w:rPr>
        <w:t>Екосистемата от свързани автомобили</w:t>
      </w:r>
    </w:p>
    <w:p w:rsidR="00646145" w:rsidRDefault="000B1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AUTOPILOT е широкомащабен пилотен проект, стартиран през януари 2017 г. и съсредоточен върху автономното превозно средст</w:t>
      </w:r>
      <w:r>
        <w:rPr>
          <w:rFonts w:ascii="Times New Roman" w:hAnsi="Times New Roman"/>
          <w:noProof/>
        </w:rPr>
        <w:t>во в свързана среда, който способства за възникването на свързани екосистеми, подкрепени от отворени технологии и платформи. 5GCar стартира през юни 2017 г. като голям проект в областта на научните изследвания и иновациите за разработване на технологиите з</w:t>
      </w:r>
      <w:r>
        <w:rPr>
          <w:rFonts w:ascii="Times New Roman" w:hAnsi="Times New Roman"/>
          <w:noProof/>
        </w:rPr>
        <w:t>а свързаност 5G за автоматизираните превозни средства и ще оцени използването на съществуващия и бъдещия спектър за тази цел и ще допринесе за усилията за стандартизация в тази област.</w:t>
      </w:r>
    </w:p>
    <w:p w:rsidR="00646145" w:rsidRDefault="000B1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rPr>
      </w:pPr>
      <w:r>
        <w:rPr>
          <w:rFonts w:ascii="Times New Roman" w:hAnsi="Times New Roman"/>
          <w:b/>
          <w:noProof/>
        </w:rPr>
        <w:t>Групиране на камиони</w:t>
      </w:r>
    </w:p>
    <w:p w:rsidR="00646145" w:rsidRDefault="000B16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rPr>
      </w:pPr>
      <w:r>
        <w:rPr>
          <w:rFonts w:ascii="Times New Roman" w:hAnsi="Times New Roman"/>
          <w:noProof/>
        </w:rPr>
        <w:t>Групиране на камиони (truck platooning) е терминът</w:t>
      </w:r>
      <w:r>
        <w:rPr>
          <w:rFonts w:ascii="Times New Roman" w:hAnsi="Times New Roman"/>
          <w:noProof/>
        </w:rPr>
        <w:t xml:space="preserve">, използван за описание на камионите, които използват свързаност и автоматизация, за да се следват на много кратко разстояние с цел спестяване на гориво и намаляване на емисиите на </w:t>
      </w:r>
      <w:r>
        <w:rPr>
          <w:rFonts w:ascii="Times New Roman" w:hAnsi="Times New Roman"/>
          <w:noProof/>
          <w:color w:val="000000"/>
        </w:rPr>
        <w:t>CO</w:t>
      </w:r>
      <w:r>
        <w:rPr>
          <w:rFonts w:ascii="Times New Roman" w:hAnsi="Times New Roman"/>
          <w:noProof/>
          <w:color w:val="000000"/>
          <w:vertAlign w:val="subscript"/>
        </w:rPr>
        <w:t>2</w:t>
      </w:r>
      <w:r>
        <w:rPr>
          <w:rFonts w:ascii="Times New Roman" w:hAnsi="Times New Roman"/>
          <w:noProof/>
          <w:color w:val="000000"/>
        </w:rPr>
        <w:t xml:space="preserve">. </w:t>
      </w:r>
      <w:r>
        <w:rPr>
          <w:rFonts w:ascii="Times New Roman" w:hAnsi="Times New Roman"/>
          <w:noProof/>
        </w:rPr>
        <w:t>Проектът ENSEMBLE (20 млн. евро финансиране от ЕС) ще стартира през ля</w:t>
      </w:r>
      <w:r>
        <w:rPr>
          <w:rFonts w:ascii="Times New Roman" w:hAnsi="Times New Roman"/>
          <w:noProof/>
        </w:rPr>
        <w:t xml:space="preserve">тото на 2018 г. и ще подкрепи стандартизацията на комуникационните протоколи за групирането на множество марки.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Държавите членки и заинтересованите страни призоваха за по-добро трансгранично сътрудничество при изпитването</w:t>
      </w:r>
      <w:r>
        <w:rPr>
          <w:rStyle w:val="FootnoteReference"/>
          <w:rFonts w:ascii="Times New Roman" w:hAnsi="Times New Roman"/>
          <w:noProof/>
          <w:sz w:val="24"/>
        </w:rPr>
        <w:footnoteReference w:id="30"/>
      </w:r>
      <w:r>
        <w:rPr>
          <w:rFonts w:ascii="Times New Roman" w:hAnsi="Times New Roman"/>
          <w:noProof/>
          <w:sz w:val="24"/>
        </w:rPr>
        <w:t>, както и за по-голяма координаци</w:t>
      </w:r>
      <w:r>
        <w:rPr>
          <w:rFonts w:ascii="Times New Roman" w:hAnsi="Times New Roman"/>
          <w:noProof/>
          <w:sz w:val="24"/>
        </w:rPr>
        <w:t>я и обмен на извлечените поуки по време на изпитването върху обекти от обществен интерес</w:t>
      </w:r>
      <w:r>
        <w:rPr>
          <w:rStyle w:val="FootnoteReference"/>
          <w:rFonts w:ascii="Times New Roman" w:hAnsi="Times New Roman"/>
          <w:noProof/>
          <w:sz w:val="24"/>
        </w:rPr>
        <w:footnoteReference w:id="31"/>
      </w:r>
      <w:r>
        <w:rPr>
          <w:rFonts w:ascii="Times New Roman" w:hAnsi="Times New Roman"/>
          <w:noProof/>
          <w:sz w:val="24"/>
        </w:rPr>
        <w:t>. Започнаха дискусии</w:t>
      </w:r>
      <w:r>
        <w:rPr>
          <w:rStyle w:val="FootnoteReference"/>
          <w:rFonts w:ascii="Times New Roman" w:hAnsi="Times New Roman"/>
          <w:noProof/>
          <w:sz w:val="24"/>
        </w:rPr>
        <w:footnoteReference w:id="32"/>
      </w:r>
      <w:r>
        <w:rPr>
          <w:rFonts w:ascii="Times New Roman" w:hAnsi="Times New Roman"/>
          <w:noProof/>
          <w:sz w:val="24"/>
        </w:rPr>
        <w:t xml:space="preserve"> с държавите членки и експерти от сектора за приоритизиране на начини на използване за изпитване, търсене на възможни полезни взаимодействия между</w:t>
      </w:r>
      <w:r>
        <w:rPr>
          <w:rFonts w:ascii="Times New Roman" w:hAnsi="Times New Roman"/>
          <w:noProof/>
          <w:sz w:val="24"/>
        </w:rPr>
        <w:t xml:space="preserve"> случаите на използване на свързаността и автоматизацията и определяне на общи методи за изпитване, оценка и обмен на знания. Ще продължи работата по разработването на мрежа от паневропейски 5G трансгранични коридори</w:t>
      </w:r>
      <w:r>
        <w:rPr>
          <w:rStyle w:val="FootnoteReference"/>
          <w:rFonts w:ascii="Times New Roman" w:hAnsi="Times New Roman"/>
          <w:noProof/>
          <w:sz w:val="24"/>
        </w:rPr>
        <w:footnoteReference w:id="33"/>
      </w:r>
      <w:r>
        <w:rPr>
          <w:rFonts w:ascii="Times New Roman" w:hAnsi="Times New Roman"/>
          <w:noProof/>
          <w:sz w:val="24"/>
        </w:rPr>
        <w:t xml:space="preserve"> за широкомащабните изпитвания и своевр</w:t>
      </w:r>
      <w:r>
        <w:rPr>
          <w:rFonts w:ascii="Times New Roman" w:hAnsi="Times New Roman"/>
          <w:noProof/>
          <w:sz w:val="24"/>
        </w:rPr>
        <w:t xml:space="preserve">еменното внедряване на модерна инфраструктура за свързаност в подкрепа на свързаната и автоматизираната мобилност.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доразвие услугите на „Галилео“ и свързаните с тях технологии за навигация на превозни средства за безпилотна мобилн</w:t>
      </w:r>
      <w:r>
        <w:rPr>
          <w:rFonts w:ascii="Times New Roman" w:hAnsi="Times New Roman"/>
          <w:noProof/>
          <w:sz w:val="24"/>
        </w:rPr>
        <w:t>ост. „Галилео“ е от много важно значение за точното и сигурно определяне на местоположението и за достоверността и надеждността на цифровите карти. През 2018 г. ще започне проучване за разглеждане на въпроса за достоверността и надеждността на цифровите ка</w:t>
      </w:r>
      <w:r>
        <w:rPr>
          <w:rFonts w:ascii="Times New Roman" w:hAnsi="Times New Roman"/>
          <w:noProof/>
          <w:sz w:val="24"/>
        </w:rPr>
        <w:t>рти. Още сега „Галилео“ предлага равнища на точност, които надвишават тази на други спътникови групи, и чрез бъдещите си елементи за истинност ще предоставя сигнали с безпрецедентно равнище на надеждност.</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Текущата подкрепа от ЕС ще трябва да бъде запазена </w:t>
      </w:r>
      <w:r>
        <w:rPr>
          <w:rFonts w:ascii="Times New Roman" w:hAnsi="Times New Roman"/>
          <w:noProof/>
          <w:sz w:val="24"/>
        </w:rPr>
        <w:t>в дългосрочен план, тъй като ЕС е все още далеч от внедряването на напълно автоматизирани и свързани превозни средства и свързаната с тях инфраструктура. Поради това Комисията възнамерява да предложи научните изследвания върху съвместната, свързана и автом</w:t>
      </w:r>
      <w:r>
        <w:rPr>
          <w:rFonts w:ascii="Times New Roman" w:hAnsi="Times New Roman"/>
          <w:noProof/>
          <w:sz w:val="24"/>
        </w:rPr>
        <w:t>атизирана мобилност да останат приоритет в следващата рамкова програма за научни изследвания и иновации.</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Необходимо е да се актуализира пътната карта за  научни изследвания и иновации за безпилотната мобилност, включително конкретен план за действие за кра</w:t>
      </w:r>
      <w:r>
        <w:rPr>
          <w:rFonts w:ascii="Times New Roman" w:hAnsi="Times New Roman"/>
          <w:noProof/>
          <w:sz w:val="24"/>
        </w:rPr>
        <w:t>ткосрочни, средносрочни и дългосрочни действия за научни изследвания и иновации. Тази пътна карта ще бъде разработена с помощта на представители на държавите членки с предложения от експерти и заинтересовани страни</w:t>
      </w:r>
      <w:r>
        <w:rPr>
          <w:rStyle w:val="FootnoteReference"/>
          <w:rFonts w:ascii="Times New Roman" w:hAnsi="Times New Roman"/>
          <w:noProof/>
          <w:sz w:val="24"/>
        </w:rPr>
        <w:footnoteReference w:id="34"/>
      </w:r>
      <w:r>
        <w:rPr>
          <w:rFonts w:ascii="Times New Roman" w:hAnsi="Times New Roman"/>
          <w:noProof/>
          <w:sz w:val="24"/>
        </w:rPr>
        <w:t>. Тя ще послужи за основа при определянет</w:t>
      </w:r>
      <w:r>
        <w:rPr>
          <w:rFonts w:ascii="Times New Roman" w:hAnsi="Times New Roman"/>
          <w:noProof/>
          <w:sz w:val="24"/>
        </w:rPr>
        <w:t>о на приоритетите за инвестициите в научни изследвания и иновации в някои основни технологии (например цифрови карти, големи информационни масиви, интернет на нещата, изкуствен интелект и др.) и инфраструктурата (главно „Галилео“, телекомуникациите и автом</w:t>
      </w:r>
      <w:r>
        <w:rPr>
          <w:rFonts w:ascii="Times New Roman" w:hAnsi="Times New Roman"/>
          <w:noProof/>
          <w:sz w:val="24"/>
        </w:rPr>
        <w:t>обилния транспорт) със значителен потенциал за мобилни решения за бъдещето.</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Въпреки че в Европа се осъществяват много научни изследвания, иновации и изпитвания, Комисията обмисля начини за осигуряване на допълнителни полезни взаимодействия между програмите на ЕС и националните програми за финансиране, между подкрепата за съвместни</w:t>
      </w:r>
      <w:r>
        <w:rPr>
          <w:rFonts w:ascii="Times New Roman" w:hAnsi="Times New Roman"/>
          <w:noProof/>
          <w:sz w:val="24"/>
        </w:rPr>
        <w:t xml:space="preserve">те системи за свързаността и автоматизацията, както и между етапа на научни изследвания и иновации и етапа, предхождащ внедряването. </w:t>
      </w:r>
    </w:p>
    <w:p w:rsidR="00646145" w:rsidRDefault="000B163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Понастоящем Комисията предоставя на разположение до 450 млн. евро в рамките на Механизма за свързване на Европа за подпома</w:t>
      </w:r>
      <w:r>
        <w:rPr>
          <w:rFonts w:ascii="Times New Roman" w:hAnsi="Times New Roman"/>
          <w:noProof/>
          <w:sz w:val="24"/>
        </w:rPr>
        <w:t>гане на цифровизацията в транспортния сектор в подкрепа на автоматизацията и:</w:t>
      </w:r>
    </w:p>
    <w:p w:rsidR="00646145" w:rsidRDefault="000B1630">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насърчава държавите членки и регионите да се възползват от възможностите, предлагани от регионалната политика на ЕС и на европейските структурни и инвестиционни фондове за съфина</w:t>
      </w:r>
      <w:r>
        <w:rPr>
          <w:rFonts w:ascii="Times New Roman" w:hAnsi="Times New Roman"/>
          <w:noProof/>
          <w:sz w:val="24"/>
        </w:rPr>
        <w:t xml:space="preserve">нсиране на инвестиции в научни изследвания, иновации и внедряване. </w:t>
      </w:r>
    </w:p>
    <w:p w:rsidR="00646145" w:rsidRDefault="000B1630">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ще работи с държавите членки през 2018 г. за изготвянето на списък с приоритети по отношение на начините на използване в областта на транспорта за широкомащабно изпитване и ще се възползва</w:t>
      </w:r>
      <w:r>
        <w:rPr>
          <w:rFonts w:ascii="Times New Roman" w:hAnsi="Times New Roman"/>
          <w:noProof/>
          <w:sz w:val="24"/>
        </w:rPr>
        <w:t xml:space="preserve"> от възможните полезни взаимодействия между свързаността и начините на използване на автоматизацията.</w:t>
      </w:r>
    </w:p>
    <w:p w:rsidR="00646145" w:rsidRDefault="000B1630">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noProof/>
          <w:sz w:val="24"/>
        </w:rPr>
        <w:t>през 2018 г. ще въведе единна общоевропейска платформа, обединяваща всички имащи отношение публични и частни заинтересовани страни с цел координиране на и</w:t>
      </w:r>
      <w:r>
        <w:rPr>
          <w:rFonts w:ascii="Times New Roman" w:hAnsi="Times New Roman"/>
          <w:noProof/>
          <w:sz w:val="24"/>
        </w:rPr>
        <w:t>зпитването в реални условия и осигуряваща връзка с подготвителните дейности.</w:t>
      </w:r>
    </w:p>
    <w:p w:rsidR="00646145" w:rsidRDefault="000B1630">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noProof/>
          <w:sz w:val="24"/>
        </w:rPr>
        <w:t>ще се основава на работата, която вече е извършена чрез установяване на партньорство по линия на следващата европейска многогодишна финансова рамка, което да очертае ясна дългосро</w:t>
      </w:r>
      <w:r>
        <w:rPr>
          <w:rFonts w:ascii="Times New Roman" w:hAnsi="Times New Roman"/>
          <w:noProof/>
          <w:sz w:val="24"/>
        </w:rPr>
        <w:t>чна рамка за стратегическото планиране на програмите за научни изследвания и програмите за етапа, предхождащ внедряването, за безпилотната мобилност на равнище ЕС и на национално равнище.</w:t>
      </w:r>
    </w:p>
    <w:p w:rsidR="00646145" w:rsidRDefault="000B1630">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noProof/>
          <w:sz w:val="24"/>
        </w:rPr>
        <w:t>до 2019 г. ще предлага безплатно първоначалните услуги с висока точн</w:t>
      </w:r>
      <w:r>
        <w:rPr>
          <w:rFonts w:ascii="Times New Roman" w:hAnsi="Times New Roman"/>
          <w:noProof/>
          <w:sz w:val="24"/>
        </w:rPr>
        <w:t>ост на „Галилео“, като ще бъде първата, която е в състояние да предлага такива навигационни услуги в световен мащаб.</w:t>
      </w:r>
    </w:p>
    <w:p w:rsidR="00646145" w:rsidRDefault="000B1630">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до 2019 г. ще изготви насоки за оптимизираното използване на усъвършенствани услуги (т.е. голяма точност, надеждност, автентификация на поз</w:t>
      </w:r>
      <w:r>
        <w:rPr>
          <w:rFonts w:ascii="Times New Roman" w:hAnsi="Times New Roman"/>
          <w:noProof/>
          <w:sz w:val="24"/>
        </w:rPr>
        <w:t>ициите), предлагани от спътниковите навигационни системи на ЕС, EGNOS/Galileo, и включването им в системите за навигация на превозното средство, за да преодолее проблемите, свързани с отговорността и безопасността.</w:t>
      </w:r>
    </w:p>
    <w:p w:rsidR="00646145" w:rsidRDefault="000B1630">
      <w:pPr>
        <w:pStyle w:val="Heading1"/>
        <w:rPr>
          <w:noProof/>
          <w:szCs w:val="24"/>
        </w:rPr>
      </w:pPr>
      <w:r>
        <w:rPr>
          <w:noProof/>
        </w:rPr>
        <w:t>Осигуряване на вътрешен пазар за безопасн</w:t>
      </w:r>
      <w:r>
        <w:rPr>
          <w:noProof/>
        </w:rPr>
        <w:t>ото използване на автоматизирана мобилност</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Гарантирането на реален вътрешен пазар ще бъде от ключово значение, за да се гарантира правна сигурност, да се създадат благоприятни условия за инвестиции в подходящите технологии и да се защитят гражданите от нов</w:t>
      </w:r>
      <w:r>
        <w:rPr>
          <w:rFonts w:ascii="Times New Roman" w:hAnsi="Times New Roman"/>
          <w:noProof/>
          <w:sz w:val="24"/>
        </w:rPr>
        <w:t>ите рискове, породени от превозните средства без водач.</w:t>
      </w:r>
    </w:p>
    <w:p w:rsidR="00646145" w:rsidRDefault="000B1630">
      <w:pPr>
        <w:spacing w:after="120" w:line="240" w:lineRule="auto"/>
        <w:jc w:val="both"/>
        <w:rPr>
          <w:rFonts w:ascii="Times New Roman" w:hAnsi="Times New Roman" w:cs="Times New Roman"/>
          <w:b/>
          <w:noProof/>
          <w:sz w:val="24"/>
          <w:szCs w:val="24"/>
        </w:rPr>
      </w:pPr>
      <w:r>
        <w:rPr>
          <w:rFonts w:ascii="Times New Roman" w:hAnsi="Times New Roman"/>
          <w:b/>
          <w:noProof/>
          <w:sz w:val="24"/>
        </w:rPr>
        <w:t>Осигуряване на възможност за иновации</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Рамката на ЕС в областта на одобрението на превозни средства беше преработена през 2018 г.</w:t>
      </w:r>
      <w:r>
        <w:rPr>
          <w:rStyle w:val="FootnoteReference"/>
          <w:rFonts w:ascii="Times New Roman" w:hAnsi="Times New Roman"/>
          <w:noProof/>
          <w:sz w:val="24"/>
        </w:rPr>
        <w:footnoteReference w:id="35"/>
      </w:r>
      <w:r>
        <w:rPr>
          <w:rFonts w:ascii="Times New Roman" w:hAnsi="Times New Roman"/>
          <w:noProof/>
          <w:sz w:val="24"/>
        </w:rPr>
        <w:t xml:space="preserve">. ЕС е първият регион в света, в който се съчетават правила за </w:t>
      </w:r>
      <w:r>
        <w:rPr>
          <w:rFonts w:ascii="Times New Roman" w:hAnsi="Times New Roman"/>
          <w:noProof/>
          <w:sz w:val="24"/>
        </w:rPr>
        <w:t>одобряване на превозно средство с правила за надзор на пазара. Въз основа на тази нова рамка Комисията ще започне работа по разработването на нов подход за удостоверяване на безопасността на автоматизираните превозни средства, който ще бъде ориентиран в по</w:t>
      </w:r>
      <w:r>
        <w:rPr>
          <w:rFonts w:ascii="Times New Roman" w:hAnsi="Times New Roman"/>
          <w:noProof/>
          <w:sz w:val="24"/>
        </w:rPr>
        <w:t>-малка степен към конструктивното оформление и по-адаптиран към еволюционния характер на тези превозни средства.</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Вече е възможно новите и революционни технологии за автоматизация на превозните средства да бъдат одобрени по линия на рамката на ЕС за одобрен</w:t>
      </w:r>
      <w:r>
        <w:rPr>
          <w:rFonts w:ascii="Times New Roman" w:hAnsi="Times New Roman"/>
          <w:noProof/>
          <w:sz w:val="24"/>
        </w:rPr>
        <w:t>ие на превозни средства</w:t>
      </w:r>
      <w:r>
        <w:rPr>
          <w:rStyle w:val="FootnoteReference"/>
          <w:rFonts w:ascii="Times New Roman" w:hAnsi="Times New Roman"/>
          <w:noProof/>
          <w:sz w:val="24"/>
        </w:rPr>
        <w:footnoteReference w:id="36"/>
      </w:r>
      <w:r>
        <w:rPr>
          <w:rFonts w:ascii="Times New Roman" w:hAnsi="Times New Roman"/>
          <w:noProof/>
          <w:sz w:val="24"/>
        </w:rPr>
        <w:t>. Непредвидените в правилата на ЕС технологии може да бъдат одобрени посредством освобождаване, предоставено от ЕС въз основа на ад-хок оценка на безопасността, проведена на национално равнище. Вследствие на това превозното средство</w:t>
      </w:r>
      <w:r>
        <w:rPr>
          <w:rFonts w:ascii="Times New Roman" w:hAnsi="Times New Roman"/>
          <w:noProof/>
          <w:sz w:val="24"/>
        </w:rPr>
        <w:t xml:space="preserve"> може да бъде пуснато на пазара на ЕС като всяко друго одобрено от ЕС превозно средство. По този начин вече бяха одобрени няколко технологии. При все това, с цел да се гарантира взаимно признаване на ад-хок оценките на безопасността, провеждани на национал</w:t>
      </w:r>
      <w:r>
        <w:rPr>
          <w:rFonts w:ascii="Times New Roman" w:hAnsi="Times New Roman"/>
          <w:noProof/>
          <w:sz w:val="24"/>
        </w:rPr>
        <w:t>но равнище, е важно държавите членки да спазват общ подход.</w:t>
      </w:r>
    </w:p>
    <w:p w:rsidR="00646145" w:rsidRDefault="000B163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w:t>
      </w:r>
    </w:p>
    <w:p w:rsidR="00646145" w:rsidRDefault="000B1630">
      <w:pPr>
        <w:pStyle w:val="ListParagraph"/>
        <w:keepNext/>
        <w:numPr>
          <w:ilvl w:val="0"/>
          <w:numId w:val="36"/>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работи съвместно с държавите членки през 2018 г. по указания за гарантиране на хармонизиран подход спрямо провежданите на национално равнище ад-хок оценки на автоматизираните превозн</w:t>
      </w:r>
      <w:r>
        <w:rPr>
          <w:rFonts w:ascii="Times New Roman" w:hAnsi="Times New Roman"/>
          <w:noProof/>
          <w:sz w:val="24"/>
        </w:rPr>
        <w:t>и средства във връзка с безопасността на превозните средства.</w:t>
      </w:r>
    </w:p>
    <w:p w:rsidR="00646145" w:rsidRDefault="000B1630">
      <w:pPr>
        <w:pStyle w:val="ListParagraph"/>
        <w:numPr>
          <w:ilvl w:val="0"/>
          <w:numId w:val="36"/>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започне съвместна работа с държавите членки и заинтересованите страни по нов подход за сертифициране на автоматизираните превозни средства във връзка с безопасността на превозните средства.</w:t>
      </w:r>
    </w:p>
    <w:p w:rsidR="00646145" w:rsidRDefault="000B1630">
      <w:pPr>
        <w:spacing w:after="120" w:line="240" w:lineRule="auto"/>
        <w:jc w:val="both"/>
        <w:rPr>
          <w:rFonts w:ascii="Times New Roman" w:hAnsi="Times New Roman" w:cs="Times New Roman"/>
          <w:b/>
          <w:noProof/>
          <w:sz w:val="24"/>
          <w:szCs w:val="24"/>
        </w:rPr>
      </w:pPr>
      <w:r>
        <w:rPr>
          <w:rFonts w:ascii="Times New Roman" w:hAnsi="Times New Roman"/>
          <w:b/>
          <w:noProof/>
          <w:sz w:val="24"/>
        </w:rPr>
        <w:t>Пост</w:t>
      </w:r>
      <w:r>
        <w:rPr>
          <w:rFonts w:ascii="Times New Roman" w:hAnsi="Times New Roman"/>
          <w:b/>
          <w:noProof/>
          <w:sz w:val="24"/>
        </w:rPr>
        <w:t xml:space="preserve">игане на безопасност при автоматизираната мобилност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Пускането в експлоатация на автоматизирани превозни средства притежава съществен потенциал за повишаване на пътната безопасност, като се има предвид, че човешкият фактор – грешки, разсейване, нарушаване </w:t>
      </w:r>
      <w:r>
        <w:rPr>
          <w:rFonts w:ascii="Times New Roman" w:hAnsi="Times New Roman"/>
          <w:noProof/>
          <w:sz w:val="24"/>
        </w:rPr>
        <w:t>на правилата за движение по пътищата – е в основата на по-голяма част от произшествията. То обаче поражда и нови предизвикателства. Превозните средства без водач ще трябва да съжителстват по пътищата или улиците с автомобилите с водачи, а също и с пешеходц</w:t>
      </w:r>
      <w:r>
        <w:rPr>
          <w:rFonts w:ascii="Times New Roman" w:hAnsi="Times New Roman"/>
          <w:noProof/>
          <w:sz w:val="24"/>
        </w:rPr>
        <w:t>и, колоездачи и мотоциклетисти. Ето защо тяхното пускане в експлоатация може да се осъществи, единствено когато е гарантирана цялостната пътна безопасност, а не само безопасността на потребителите на превозните средства без водач.</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Цялостното преработване н</w:t>
      </w:r>
      <w:r>
        <w:rPr>
          <w:rFonts w:ascii="Times New Roman" w:hAnsi="Times New Roman"/>
          <w:noProof/>
          <w:sz w:val="24"/>
        </w:rPr>
        <w:t>а регламента относно общата безопасност на превозните средства, представено съвместно в настоящото съобщение, ще предостави възможност за попълване на липсващите аспекти в настоящото законодателство относно безопасността на превозните средства с оглед на о</w:t>
      </w:r>
      <w:r>
        <w:rPr>
          <w:rFonts w:ascii="Times New Roman" w:hAnsi="Times New Roman"/>
          <w:noProof/>
          <w:sz w:val="24"/>
        </w:rPr>
        <w:t>чакваните начини на автоматизираното им използване. Освен това преработването ще даде възможност на Комисията да приеме съответните правила за изпълнение. С приемането на новите правила за безопасност Комисията ще спази предложените от Групата на високо ра</w:t>
      </w:r>
      <w:r>
        <w:rPr>
          <w:rFonts w:ascii="Times New Roman" w:hAnsi="Times New Roman"/>
          <w:noProof/>
          <w:sz w:val="24"/>
        </w:rPr>
        <w:t>внище GEAR 2030</w:t>
      </w:r>
      <w:r>
        <w:rPr>
          <w:rStyle w:val="FootnoteReference"/>
          <w:rFonts w:ascii="Times New Roman" w:hAnsi="Times New Roman"/>
          <w:noProof/>
          <w:sz w:val="24"/>
        </w:rPr>
        <w:footnoteReference w:id="37"/>
      </w:r>
      <w:r>
        <w:rPr>
          <w:rFonts w:ascii="Times New Roman" w:hAnsi="Times New Roman"/>
          <w:noProof/>
          <w:sz w:val="24"/>
        </w:rPr>
        <w:t xml:space="preserve"> пътеводни принципи за интерфейс човек-машина и ще гарантира, че свързаните с пътната безопасност съображения (смесен трафик, взаимодействие с други участници в пътното движение) се вземат предвид в пълна степен. Комисията ще подпомогне меж</w:t>
      </w:r>
      <w:r>
        <w:rPr>
          <w:rFonts w:ascii="Times New Roman" w:hAnsi="Times New Roman"/>
          <w:noProof/>
          <w:sz w:val="24"/>
        </w:rPr>
        <w:t xml:space="preserve">дународната техническа хармонизация на автоматизираните превозни средства в рамките на ООН в съответствие с правилата на ЕС.  </w:t>
      </w:r>
    </w:p>
    <w:p w:rsidR="00646145" w:rsidRDefault="000B1630">
      <w:pPr>
        <w:spacing w:line="240" w:lineRule="auto"/>
        <w:jc w:val="both"/>
        <w:rPr>
          <w:rFonts w:ascii="Times New Roman" w:hAnsi="Times New Roman" w:cs="Times New Roman"/>
          <w:noProof/>
          <w:sz w:val="24"/>
          <w:szCs w:val="24"/>
        </w:rPr>
      </w:pPr>
      <w:r>
        <w:rPr>
          <w:rFonts w:ascii="Times New Roman" w:hAnsi="Times New Roman"/>
          <w:noProof/>
          <w:sz w:val="24"/>
        </w:rPr>
        <w:t>Освен това е важно да се гарантира съгласуваност между правилата за движение на национално равнище и да се избегне противоречие с</w:t>
      </w:r>
      <w:r>
        <w:rPr>
          <w:rFonts w:ascii="Times New Roman" w:hAnsi="Times New Roman"/>
          <w:noProof/>
          <w:sz w:val="24"/>
        </w:rPr>
        <w:t xml:space="preserve"> правилата за движение на равнището на ЕС. В подкрепа на това Комисията предлага да се използва разработената в рамките на Обединените нации идентификация на очакваните функции на водача и на превозните средства за различните равнища на автоматизация</w:t>
      </w:r>
      <w:r>
        <w:rPr>
          <w:rStyle w:val="FootnoteReference"/>
          <w:rFonts w:ascii="Times New Roman" w:hAnsi="Times New Roman"/>
          <w:noProof/>
          <w:sz w:val="24"/>
        </w:rPr>
        <w:footnoteReference w:id="38"/>
      </w:r>
      <w:r>
        <w:rPr>
          <w:rFonts w:ascii="Times New Roman" w:hAnsi="Times New Roman"/>
          <w:noProof/>
          <w:sz w:val="24"/>
        </w:rPr>
        <w:t>. Тъй</w:t>
      </w:r>
      <w:r>
        <w:rPr>
          <w:rFonts w:ascii="Times New Roman" w:hAnsi="Times New Roman"/>
          <w:noProof/>
          <w:sz w:val="24"/>
        </w:rPr>
        <w:t xml:space="preserve"> като понастоящем не съществува законодателство на ЕС относно правилата за движение, държавите членки се приканват да подпомогнат сближаването на националните правила за движение, по-специално на международно равнище, посредством инструменти като Женевскат</w:t>
      </w:r>
      <w:r>
        <w:rPr>
          <w:rFonts w:ascii="Times New Roman" w:hAnsi="Times New Roman"/>
          <w:noProof/>
          <w:sz w:val="24"/>
        </w:rPr>
        <w:t>а конвенция от 1949 г. и Виенската конвенция за движението по пътищата от 1968 г</w:t>
      </w:r>
      <w:r>
        <w:rPr>
          <w:rStyle w:val="FootnoteReference"/>
          <w:rFonts w:ascii="Times New Roman" w:hAnsi="Times New Roman"/>
          <w:noProof/>
          <w:sz w:val="24"/>
        </w:rPr>
        <w:footnoteReference w:id="39"/>
      </w:r>
      <w:r>
        <w:rPr>
          <w:rFonts w:ascii="Times New Roman" w:hAnsi="Times New Roman"/>
          <w:noProof/>
          <w:sz w:val="24"/>
        </w:rPr>
        <w:t xml:space="preserve">. На европейско равнище Комисията ще подпомогне сближаването като насърчава координацията между органите на държавите членки в рамките на подходящите форуми, например групата </w:t>
      </w:r>
      <w:r>
        <w:rPr>
          <w:rFonts w:ascii="Times New Roman" w:hAnsi="Times New Roman"/>
          <w:noProof/>
          <w:sz w:val="24"/>
        </w:rPr>
        <w:t xml:space="preserve">на високо равнище относно пътната безопасност. </w:t>
      </w:r>
    </w:p>
    <w:p w:rsidR="00646145" w:rsidRDefault="000B1630">
      <w:pPr>
        <w:spacing w:line="240" w:lineRule="auto"/>
        <w:jc w:val="both"/>
        <w:rPr>
          <w:rFonts w:ascii="Times New Roman" w:hAnsi="Times New Roman" w:cs="Times New Roman"/>
          <w:noProof/>
          <w:sz w:val="24"/>
          <w:szCs w:val="24"/>
        </w:rPr>
      </w:pPr>
      <w:r>
        <w:rPr>
          <w:rFonts w:ascii="Times New Roman" w:hAnsi="Times New Roman"/>
          <w:noProof/>
          <w:sz w:val="24"/>
        </w:rPr>
        <w:t xml:space="preserve">Безопасната и високо качествена пътна инфраструктура ще изпълнява решаваща роля при подпомагането на автоматизираните превозни средства. Например качеството на маркировката и пътните знаци може да повлияе на </w:t>
      </w:r>
      <w:r>
        <w:rPr>
          <w:rFonts w:ascii="Times New Roman" w:hAnsi="Times New Roman"/>
          <w:noProof/>
          <w:sz w:val="24"/>
        </w:rPr>
        <w:t>поведението на автоматизираните превозни средства. Също толкова жизненоважно е, когато информацията за движението по пътищата (напр. променящите се ограничения на скоростта, правилата за движение, местонахождението на неподвижните превозни средства и т.н.)</w:t>
      </w:r>
      <w:r>
        <w:rPr>
          <w:rFonts w:ascii="Times New Roman" w:hAnsi="Times New Roman"/>
          <w:noProof/>
          <w:sz w:val="24"/>
        </w:rPr>
        <w:t xml:space="preserve"> се съобщава по цифров път, тя да бъде разбираема за отделните участници в движението по пътищата. Това предполага всички системи, предоставящи тази информация, да бъдат оперативно съвместими. Комисията ще спомогне за наличието и достъпността на въпросната</w:t>
      </w:r>
      <w:r>
        <w:rPr>
          <w:rFonts w:ascii="Times New Roman" w:hAnsi="Times New Roman"/>
          <w:noProof/>
          <w:sz w:val="24"/>
        </w:rPr>
        <w:t xml:space="preserve"> информация.</w:t>
      </w:r>
    </w:p>
    <w:p w:rsidR="00646145" w:rsidRDefault="000B1630">
      <w:pPr>
        <w:spacing w:line="240" w:lineRule="auto"/>
        <w:jc w:val="both"/>
        <w:rPr>
          <w:rFonts w:ascii="Times New Roman" w:hAnsi="Times New Roman" w:cs="Times New Roman"/>
          <w:noProof/>
          <w:sz w:val="24"/>
          <w:szCs w:val="24"/>
        </w:rPr>
      </w:pPr>
      <w:r>
        <w:rPr>
          <w:rFonts w:ascii="Times New Roman" w:hAnsi="Times New Roman"/>
          <w:noProof/>
          <w:sz w:val="24"/>
        </w:rPr>
        <w:t>Накрая, Комисията ще направи оценка на последиците от автоматизацията за някои действащи законодателни акта на ЕС относно водачите на превозни средства, като например Директива 2006/126/ЕО относно свидетелства за управление на превозни средств</w:t>
      </w:r>
      <w:r>
        <w:rPr>
          <w:rFonts w:ascii="Times New Roman" w:hAnsi="Times New Roman"/>
          <w:noProof/>
          <w:sz w:val="24"/>
        </w:rPr>
        <w:t xml:space="preserve">а, Директива 2003/59/ЕО относно обучението на професионалните водачи на превозни средства или Директива 2002/15/ЕО относно работното време на лицата, извършващи транспортни дейности. </w:t>
      </w:r>
    </w:p>
    <w:p w:rsidR="00646145" w:rsidRDefault="000B1630">
      <w:pPr>
        <w:pBdr>
          <w:top w:val="single" w:sz="4" w:space="1" w:color="auto"/>
          <w:left w:val="single" w:sz="4" w:space="4" w:color="auto"/>
          <w:bottom w:val="single" w:sz="4" w:space="1" w:color="auto"/>
          <w:right w:val="single" w:sz="4" w:space="4" w:color="auto"/>
        </w:pBdr>
        <w:tabs>
          <w:tab w:val="left" w:pos="2430"/>
        </w:tabs>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Понастоящем Комисията предлага нови функции за безопасност по отношение </w:t>
      </w:r>
      <w:r>
        <w:rPr>
          <w:rFonts w:ascii="Times New Roman" w:hAnsi="Times New Roman"/>
          <w:noProof/>
          <w:sz w:val="24"/>
        </w:rPr>
        <w:t>на автоматизираните превозни средства като част от преработването на регламента относно общата безопасност във връзка с моторните превозни средства, както и изисквания в директивата за управлението на безопасността на пътните инфраструктури, и също така:</w:t>
      </w:r>
    </w:p>
    <w:p w:rsidR="00646145" w:rsidRDefault="000B1630">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w:t>
      </w:r>
      <w:r>
        <w:rPr>
          <w:rFonts w:ascii="Times New Roman" w:hAnsi="Times New Roman"/>
          <w:noProof/>
          <w:sz w:val="24"/>
        </w:rPr>
        <w:t xml:space="preserve">е представи през 2018 г. работните приоритети в ЕС и Обединените нации за прилагане на новото законодателство за безопасност на превозните средства по отношение на автоматизираните и свързаните превозни средства, по-специално относно превозните средства с </w:t>
      </w:r>
      <w:r>
        <w:rPr>
          <w:rFonts w:ascii="Times New Roman" w:hAnsi="Times New Roman"/>
          <w:noProof/>
          <w:sz w:val="24"/>
        </w:rPr>
        <w:t xml:space="preserve">най-високи равнища на автоматизация. </w:t>
      </w:r>
    </w:p>
    <w:p w:rsidR="00646145" w:rsidRDefault="000B1630">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ще засили координацията с държавите членки относно правилата за движение (напр. Женевската и Виенската конвенция), така че да стане възможно адаптирането им към автоматизираната мобилност по хармонизиран начин.</w:t>
      </w:r>
    </w:p>
    <w:p w:rsidR="00646145" w:rsidRDefault="000B1630">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ще прие</w:t>
      </w:r>
      <w:r>
        <w:rPr>
          <w:rFonts w:ascii="Times New Roman" w:hAnsi="Times New Roman"/>
          <w:noProof/>
          <w:sz w:val="24"/>
        </w:rPr>
        <w:t>ме до края на 2018 г. делегиран регламент по линия на Директивата относно интелигентните транспортни системи</w:t>
      </w:r>
      <w:r>
        <w:rPr>
          <w:noProof/>
          <w:vertAlign w:val="superscript"/>
        </w:rPr>
        <w:footnoteReference w:id="40"/>
      </w:r>
      <w:r>
        <w:rPr>
          <w:rFonts w:ascii="Times New Roman" w:hAnsi="Times New Roman"/>
          <w:noProof/>
          <w:sz w:val="24"/>
        </w:rPr>
        <w:t>, за да се гарантира сигурна и надеждна комуникация между превозните средства и инфраструктурата, стабилно равнище на защита на данните в съответст</w:t>
      </w:r>
      <w:r>
        <w:rPr>
          <w:rFonts w:ascii="Times New Roman" w:hAnsi="Times New Roman"/>
          <w:noProof/>
          <w:sz w:val="24"/>
        </w:rPr>
        <w:t>вие с Общия регламент за защита на данните</w:t>
      </w:r>
      <w:r>
        <w:rPr>
          <w:rStyle w:val="FootnoteReference"/>
          <w:rFonts w:ascii="Times New Roman" w:hAnsi="Times New Roman"/>
          <w:noProof/>
          <w:sz w:val="24"/>
        </w:rPr>
        <w:footnoteReference w:id="41"/>
      </w:r>
      <w:r>
        <w:rPr>
          <w:rFonts w:ascii="Times New Roman" w:hAnsi="Times New Roman"/>
          <w:noProof/>
          <w:sz w:val="24"/>
        </w:rPr>
        <w:t xml:space="preserve"> и оперативна съвместимост на съобщенията относно свързаните с безопасността и управлението на движението услуги. </w:t>
      </w:r>
    </w:p>
    <w:p w:rsidR="00646145" w:rsidRDefault="000B1630">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Уреждане на въпросите за отговорността за вреди</w:t>
      </w:r>
    </w:p>
    <w:p w:rsidR="00646145" w:rsidRDefault="000B1630">
      <w:pPr>
        <w:keepNext/>
        <w:keepLines/>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Отговорността за вреди във връзка с моторните </w:t>
      </w:r>
      <w:r>
        <w:rPr>
          <w:rFonts w:ascii="Times New Roman" w:hAnsi="Times New Roman"/>
          <w:noProof/>
          <w:sz w:val="24"/>
        </w:rPr>
        <w:t>превозни средства се урежда от различни инструменти на равнището на ЕС, като например Директивата относно застраховката „Гражданска отговорност“ при използването на моторни превозни средства</w:t>
      </w:r>
      <w:r>
        <w:rPr>
          <w:rFonts w:ascii="Times New Roman" w:hAnsi="Times New Roman"/>
          <w:noProof/>
          <w:sz w:val="24"/>
          <w:vertAlign w:val="superscript"/>
        </w:rPr>
        <w:footnoteReference w:id="42"/>
      </w:r>
      <w:r>
        <w:rPr>
          <w:rFonts w:ascii="Times New Roman" w:hAnsi="Times New Roman"/>
          <w:noProof/>
          <w:sz w:val="24"/>
        </w:rPr>
        <w:t xml:space="preserve"> или Директивата относно отговорността за вреди от стоки</w:t>
      </w:r>
      <w:r>
        <w:rPr>
          <w:rFonts w:ascii="Times New Roman" w:hAnsi="Times New Roman"/>
          <w:noProof/>
          <w:sz w:val="24"/>
          <w:vertAlign w:val="superscript"/>
        </w:rPr>
        <w:footnoteReference w:id="43"/>
      </w:r>
      <w:r>
        <w:rPr>
          <w:rFonts w:ascii="Times New Roman" w:hAnsi="Times New Roman"/>
          <w:noProof/>
          <w:sz w:val="24"/>
        </w:rPr>
        <w:t xml:space="preserve">, както </w:t>
      </w:r>
      <w:r>
        <w:rPr>
          <w:rFonts w:ascii="Times New Roman" w:hAnsi="Times New Roman"/>
          <w:noProof/>
          <w:sz w:val="24"/>
        </w:rPr>
        <w:t>и различните режими за отговорността в държавите членки (напр. право в областта на движението по пътищата, гражданско право, специфични, свързани единствено с отговорността, режими и прилагането на национално равнище на директивата на ЕС относно отговорнос</w:t>
      </w:r>
      <w:r>
        <w:rPr>
          <w:rFonts w:ascii="Times New Roman" w:hAnsi="Times New Roman"/>
          <w:noProof/>
          <w:sz w:val="24"/>
        </w:rPr>
        <w:t>тта за вреди от стоки).</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Действителната причина за събитията, водещи до вреда или инцидент, е от решаващо значение за определянето на носещия отговорността. Поради това Комисията предлага автоматизираните превозни средства да бъдат оборудвани с устройства з</w:t>
      </w:r>
      <w:r>
        <w:rPr>
          <w:rFonts w:ascii="Times New Roman" w:hAnsi="Times New Roman"/>
          <w:noProof/>
          <w:sz w:val="24"/>
        </w:rPr>
        <w:t>а запис на данни, за да може да се изясни кой е управлявал превозното средство (автономната система или водача на превозното средство) при настъпването на произшествие.</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обезщетението на пострадалите лица в Директивата относно застраховката </w:t>
      </w:r>
      <w:r>
        <w:rPr>
          <w:rFonts w:ascii="Times New Roman" w:hAnsi="Times New Roman"/>
          <w:noProof/>
          <w:sz w:val="24"/>
        </w:rPr>
        <w:t xml:space="preserve">„Гражданска отговорност“ при използването на моторни превозни средства вече се предвижда бързо обезщетяване на пострадалите лица, включително когато в произшествието участва автоматизирано превозно средство.  Застрахователното дружество може да предприеме </w:t>
      </w:r>
      <w:r>
        <w:rPr>
          <w:rFonts w:ascii="Times New Roman" w:hAnsi="Times New Roman"/>
          <w:noProof/>
          <w:sz w:val="24"/>
        </w:rPr>
        <w:t>правни действия срещу производителя на превозно средство съгласно Директивата относно отговорността за вреди от стоки, ако се появи неизправност/дефект в автоматизираната система за управление на превозното средство. Наскоро Европейската комисия извърши оц</w:t>
      </w:r>
      <w:r>
        <w:rPr>
          <w:rFonts w:ascii="Times New Roman" w:hAnsi="Times New Roman"/>
          <w:noProof/>
          <w:sz w:val="24"/>
        </w:rPr>
        <w:t>енка на Директивата относно отговорността за вреди от стоки и вследствие на това ще публикува тълкувателни указания за разяснение на важни постановки в директивата, включително в контекста на технологичното развитие</w:t>
      </w:r>
      <w:r>
        <w:rPr>
          <w:rStyle w:val="FootnoteReference"/>
          <w:rFonts w:ascii="Times New Roman" w:hAnsi="Times New Roman"/>
          <w:noProof/>
          <w:sz w:val="24"/>
        </w:rPr>
        <w:footnoteReference w:id="44"/>
      </w:r>
      <w:r>
        <w:rPr>
          <w:rFonts w:ascii="Times New Roman" w:hAnsi="Times New Roman"/>
          <w:noProof/>
          <w:sz w:val="24"/>
        </w:rPr>
        <w:t>. Директивата относно застраховката „Гра</w:t>
      </w:r>
      <w:r>
        <w:rPr>
          <w:rFonts w:ascii="Times New Roman" w:hAnsi="Times New Roman"/>
          <w:noProof/>
          <w:sz w:val="24"/>
        </w:rPr>
        <w:t>жданска отговорност“ при използването на моторни превозни средства неотдавна беше предмет на оценка, чието заключение е, че по отношение на автономните превозни средства не са необходими промени: За тях ще се изисква да притежават застраховка „Гражданска о</w:t>
      </w:r>
      <w:r>
        <w:rPr>
          <w:rFonts w:ascii="Times New Roman" w:hAnsi="Times New Roman"/>
          <w:noProof/>
          <w:sz w:val="24"/>
        </w:rPr>
        <w:t>тговорност“ в съответствие с директивата</w:t>
      </w:r>
      <w:r>
        <w:rPr>
          <w:rStyle w:val="FootnoteReference"/>
          <w:rFonts w:ascii="Times New Roman" w:hAnsi="Times New Roman"/>
          <w:noProof/>
          <w:sz w:val="24"/>
        </w:rPr>
        <w:footnoteReference w:id="45"/>
      </w:r>
      <w:r>
        <w:rPr>
          <w:rFonts w:ascii="Times New Roman" w:hAnsi="Times New Roman"/>
          <w:noProof/>
          <w:sz w:val="24"/>
        </w:rPr>
        <w:t xml:space="preserve">. </w:t>
      </w:r>
    </w:p>
    <w:p w:rsidR="00646145" w:rsidRDefault="000B1630">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наблюдава потребността от допълнителни инструменти на ЕС в хода на по-нататъшното технологично развитие.</w:t>
      </w:r>
    </w:p>
    <w:p w:rsidR="00646145" w:rsidRDefault="000B163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предлага по отношение на автономните превозни средства да се регулират устройствата, записващи данни, като част от преработването на регламента относно общата безопасност по отношение на моторните превозни средства, за да се изясни кой е управляв</w:t>
      </w:r>
      <w:r>
        <w:rPr>
          <w:rFonts w:ascii="Times New Roman" w:hAnsi="Times New Roman"/>
          <w:noProof/>
          <w:sz w:val="24"/>
        </w:rPr>
        <w:t xml:space="preserve">ал (превозното средство или водача) по време на произшествие.   </w:t>
      </w:r>
    </w:p>
    <w:p w:rsidR="00646145" w:rsidRDefault="000B1630">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Създаване на благоприятни условия за свързаност на превозните средства с цел автоматизация </w:t>
      </w:r>
    </w:p>
    <w:p w:rsidR="00646145" w:rsidRDefault="000B1630">
      <w:pPr>
        <w:keepNext/>
        <w:keepLines/>
        <w:spacing w:after="240" w:line="240" w:lineRule="auto"/>
        <w:jc w:val="both"/>
        <w:rPr>
          <w:rFonts w:ascii="Times New Roman" w:hAnsi="Times New Roman" w:cs="Times New Roman"/>
          <w:noProof/>
          <w:sz w:val="24"/>
          <w:szCs w:val="24"/>
        </w:rPr>
      </w:pPr>
      <w:r>
        <w:rPr>
          <w:rFonts w:ascii="Times New Roman" w:hAnsi="Times New Roman"/>
          <w:noProof/>
          <w:sz w:val="24"/>
        </w:rPr>
        <w:t>Способността на превозните средства да комуникират ще бъде от решаващо значение за интегриране на а</w:t>
      </w:r>
      <w:r>
        <w:rPr>
          <w:rFonts w:ascii="Times New Roman" w:hAnsi="Times New Roman"/>
          <w:noProof/>
          <w:sz w:val="24"/>
        </w:rPr>
        <w:t>втоматизираните превозни средства в цялостната транспортна система. Различните видове комуникационни технологии се допълват взаимно и с времето претърпяват подобрения (например по отношение на покритието, скоростта, латентност, сигурността). Това дава възм</w:t>
      </w:r>
      <w:r>
        <w:rPr>
          <w:rFonts w:ascii="Times New Roman" w:hAnsi="Times New Roman"/>
          <w:noProof/>
          <w:sz w:val="24"/>
        </w:rPr>
        <w:t xml:space="preserve">ожност за все по-комплексни начини на използване на автоматизираните превозни средства. Въпреки че по-голяма част от инвестициите в свързаност следва да дойде от частния сектор, ЕС може да спомогне за осигуряването на регулаторни подходи, благоприятстващи </w:t>
      </w:r>
      <w:r>
        <w:rPr>
          <w:rFonts w:ascii="Times New Roman" w:hAnsi="Times New Roman"/>
          <w:noProof/>
          <w:sz w:val="24"/>
        </w:rPr>
        <w:t>инвестициите, необходими за инфраструктурата за превозните средства и комуникациите (пътища и телекомуникации).</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За да се осигурят възможности за свързаните с безопасността услуги, изискващи много ниска латентност, редица производители поеха ангажимент да и</w:t>
      </w:r>
      <w:r>
        <w:rPr>
          <w:rFonts w:ascii="Times New Roman" w:hAnsi="Times New Roman"/>
          <w:noProof/>
          <w:sz w:val="24"/>
        </w:rPr>
        <w:t>нсталират като допълнение в превозните средства от 2019 г. комуникационни устройства с малък обхват (основани на безжичен достъп до интернет), а пътните оператори също започнаха предварително да разполагат крайпътна комуникационна инфраструктура, с което с</w:t>
      </w:r>
      <w:r>
        <w:rPr>
          <w:rFonts w:ascii="Times New Roman" w:hAnsi="Times New Roman"/>
          <w:noProof/>
          <w:sz w:val="24"/>
        </w:rPr>
        <w:t>е дава възможност за взаимодействие между превозните средства или между превозните средства и пътната инфраструктура.  От 2020 г. се очаква също инфраструктурата за 5 G свързаност да бъде значим благоприятен фактор за свързаната и автоматизираната мобилнос</w:t>
      </w:r>
      <w:r>
        <w:rPr>
          <w:rFonts w:ascii="Times New Roman" w:hAnsi="Times New Roman"/>
          <w:noProof/>
          <w:sz w:val="24"/>
        </w:rPr>
        <w:t>т, както и иновативните цифрови екосистеми, свързани с автомобилите.</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По отношение на комуникациите между отделните превозни средства Комисията следва неутрален по отношение на технологиите подход в съответствие със стратегията на ЕС относно съвместните инт</w:t>
      </w:r>
      <w:r>
        <w:rPr>
          <w:rFonts w:ascii="Times New Roman" w:hAnsi="Times New Roman"/>
          <w:noProof/>
          <w:sz w:val="24"/>
        </w:rPr>
        <w:t>елигентни транспортни системи</w:t>
      </w:r>
      <w:r>
        <w:rPr>
          <w:rStyle w:val="FootnoteReference"/>
          <w:rFonts w:ascii="Times New Roman" w:hAnsi="Times New Roman"/>
          <w:noProof/>
          <w:sz w:val="24"/>
        </w:rPr>
        <w:footnoteReference w:id="46"/>
      </w:r>
      <w:r>
        <w:rPr>
          <w:rFonts w:ascii="Times New Roman" w:hAnsi="Times New Roman"/>
          <w:noProof/>
          <w:sz w:val="24"/>
        </w:rPr>
        <w:t xml:space="preserve"> и на този етап не е предложила задължителното разполагане на конкретни технологии. Относно определени приложения като групирането обаче (вж също полето на стр.7) е налице изразена потребност за регулиране, за да се гарантира </w:t>
      </w:r>
      <w:r>
        <w:rPr>
          <w:rFonts w:ascii="Times New Roman" w:hAnsi="Times New Roman"/>
          <w:noProof/>
          <w:sz w:val="24"/>
        </w:rPr>
        <w:t>стандартизация на комуникационните протоколи за превозни средства по отношение на данните при отделните марки и да се осигури адекватна реакция от страна на превозните средства</w:t>
      </w:r>
      <w:r>
        <w:rPr>
          <w:rStyle w:val="FootnoteReference"/>
          <w:rFonts w:ascii="Times New Roman" w:hAnsi="Times New Roman"/>
          <w:noProof/>
          <w:sz w:val="24"/>
        </w:rPr>
        <w:footnoteReference w:id="47"/>
      </w:r>
      <w:r>
        <w:rPr>
          <w:rFonts w:ascii="Times New Roman" w:hAnsi="Times New Roman"/>
          <w:noProof/>
          <w:sz w:val="24"/>
        </w:rPr>
        <w:t>. Групирането е безспорен случай на използване на автоматизацията, при който ко</w:t>
      </w:r>
      <w:r>
        <w:rPr>
          <w:rFonts w:ascii="Times New Roman" w:hAnsi="Times New Roman"/>
          <w:noProof/>
          <w:sz w:val="24"/>
        </w:rPr>
        <w:t>муникацията между отделните превозни средства има съществено значение. Групирането на множество марки ще бъде подпомогнато от покана за представяне на предложения по линия на рамковата програма за научни изследвания и иновации „Хоризонт 2020“.</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Нарастващото</w:t>
      </w:r>
      <w:r>
        <w:rPr>
          <w:rFonts w:ascii="Times New Roman" w:hAnsi="Times New Roman"/>
          <w:noProof/>
          <w:sz w:val="24"/>
        </w:rPr>
        <w:t xml:space="preserve"> използване на радио оборудване (радари с малък обхват, пряка свързаност между превозните средства, мрежова свързаност) ще наложи по-голям брой радиочестотни ленти. Съществуващите възможности за достъп до радиочестотния спектър са предмет на преразглеждане</w:t>
      </w:r>
      <w:r>
        <w:rPr>
          <w:rFonts w:ascii="Times New Roman" w:hAnsi="Times New Roman"/>
          <w:noProof/>
          <w:sz w:val="24"/>
        </w:rPr>
        <w:t>, по-специално за да се осигури адекватен спектър в честотната лента от 5,9 GHz за свързаните с безопасността функции и обслужване на широк набор приложения. Комисията ще подпомогне съжителството на различни радио технологии, използващи радиочестотната лен</w:t>
      </w:r>
      <w:r>
        <w:rPr>
          <w:rFonts w:ascii="Times New Roman" w:hAnsi="Times New Roman"/>
          <w:noProof/>
          <w:sz w:val="24"/>
        </w:rPr>
        <w:t>та от 5.9 GHz, като същевременно се вземат предвид принципите на лишената от компромиси безопасност, неутралност по отношение на технологиите и ефикасно използване на радиочестотния спектър. Текущите технологични проучвания, включващи Европейската конферен</w:t>
      </w:r>
      <w:r>
        <w:rPr>
          <w:rFonts w:ascii="Times New Roman" w:hAnsi="Times New Roman"/>
          <w:noProof/>
          <w:sz w:val="24"/>
        </w:rPr>
        <w:t xml:space="preserve">ция по пощи и далекосъобщения и Европейския институт за стандарти в далекосъобщенията, може да доведат през 2019 г. до актуализиране на съответното решение за изпълнение на Комисията.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са налице потенциални пропуски в указанията относно използва</w:t>
      </w:r>
      <w:r>
        <w:rPr>
          <w:rFonts w:ascii="Times New Roman" w:hAnsi="Times New Roman"/>
          <w:noProof/>
          <w:sz w:val="24"/>
        </w:rPr>
        <w:t>нето на най-новите 5G радиочестотни ленти, използвани за широко мащабни изпитвания. По целесъобразност в Комитета по радиочестотния спектър и/или в Комитета за оценка на съответствието и за надзор на пазара в областта на далекосъобщенията ще бъдат обсъдени</w:t>
      </w:r>
      <w:r>
        <w:rPr>
          <w:rFonts w:ascii="Times New Roman" w:hAnsi="Times New Roman"/>
          <w:noProof/>
          <w:sz w:val="24"/>
        </w:rPr>
        <w:t xml:space="preserve"> регулаторни, оперативни корекции, за да се гарантира ефикасното използване на радиочестотния спектър.</w:t>
      </w:r>
    </w:p>
    <w:p w:rsidR="00646145" w:rsidRDefault="000B163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предлага групирането да се регулира по линия на преработването на регламента относно общата безопасност по отношение на моторните превозни сред</w:t>
      </w:r>
      <w:r>
        <w:rPr>
          <w:rFonts w:ascii="Times New Roman" w:hAnsi="Times New Roman"/>
          <w:noProof/>
          <w:sz w:val="24"/>
        </w:rPr>
        <w:t>ства, за да се гарантира стандартизация на обмена на данни при отделните марки. Законодателството за изпълнение ще стъпи на резултатите от поканата за представяне на предложения относно групирането (2018—2020 г.) по линия на рамковата програма за научни из</w:t>
      </w:r>
      <w:r>
        <w:rPr>
          <w:rFonts w:ascii="Times New Roman" w:hAnsi="Times New Roman"/>
          <w:noProof/>
          <w:sz w:val="24"/>
        </w:rPr>
        <w:t>следвания и иновации „Хоризонт 2020“ и ще допълни делегирания регламент относно съвместните интелигентни транспортни системи.</w:t>
      </w:r>
    </w:p>
    <w:p w:rsidR="00646145" w:rsidRDefault="000B1630">
      <w:pPr>
        <w:pStyle w:val="CommentText"/>
        <w:rPr>
          <w:b/>
          <w:noProof/>
        </w:rPr>
      </w:pPr>
      <w:r>
        <w:rPr>
          <w:rFonts w:ascii="Times New Roman" w:hAnsi="Times New Roman"/>
          <w:b/>
          <w:noProof/>
          <w:sz w:val="24"/>
        </w:rPr>
        <w:t>Гарантиране на киберсигурност, защита на данните и достъп до данните</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Свързаността на превозните средства и интеграцията в една сис</w:t>
      </w:r>
      <w:r>
        <w:rPr>
          <w:rFonts w:ascii="Times New Roman" w:hAnsi="Times New Roman"/>
          <w:noProof/>
          <w:sz w:val="24"/>
        </w:rPr>
        <w:t>тема на хиляди компоненти, произхождащи от различни източници, поражда нови заплахи от кибератаки, като например овладяването от разстояние на управлението на превозното средство. Понастоящем не съществува специфичен за сектора подход относно защитата на п</w:t>
      </w:r>
      <w:r>
        <w:rPr>
          <w:rFonts w:ascii="Times New Roman" w:hAnsi="Times New Roman"/>
          <w:noProof/>
          <w:sz w:val="24"/>
        </w:rPr>
        <w:t>ревозните средства срещу кибератаки. По отношение на защитата на данните обаче правилата на ЕС относно защитата на личните данни се прилагат за всяко обработване на лични данни, включително данните, събирани от превозните средства</w:t>
      </w:r>
      <w:r>
        <w:rPr>
          <w:rFonts w:ascii="Times New Roman" w:hAnsi="Times New Roman"/>
          <w:noProof/>
          <w:sz w:val="24"/>
          <w:vertAlign w:val="superscript"/>
        </w:rPr>
        <w:footnoteReference w:id="48"/>
      </w:r>
      <w:r>
        <w:rPr>
          <w:rFonts w:ascii="Times New Roman" w:hAnsi="Times New Roman"/>
          <w:noProof/>
          <w:sz w:val="24"/>
        </w:rPr>
        <w:t>.</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месеци </w:t>
      </w:r>
      <w:r>
        <w:rPr>
          <w:rFonts w:ascii="Times New Roman" w:hAnsi="Times New Roman"/>
          <w:noProof/>
          <w:sz w:val="24"/>
        </w:rPr>
        <w:t>беше извършена значителна работа относно киберсигурността. На 13 септември 2017 г. Комисията прие пакет за киберсигурността, включително предложение за рамка за доброволно сертифициране на ИКТ продукти и услуги</w:t>
      </w:r>
      <w:r>
        <w:rPr>
          <w:rStyle w:val="FootnoteReference"/>
          <w:rFonts w:ascii="Times New Roman" w:hAnsi="Times New Roman"/>
          <w:noProof/>
          <w:sz w:val="24"/>
        </w:rPr>
        <w:footnoteReference w:id="49"/>
      </w:r>
      <w:r>
        <w:rPr>
          <w:rFonts w:ascii="Times New Roman" w:hAnsi="Times New Roman"/>
          <w:noProof/>
          <w:sz w:val="24"/>
        </w:rPr>
        <w:t>. Освен това в рамките на ООН бяха разработен</w:t>
      </w:r>
      <w:r>
        <w:rPr>
          <w:rFonts w:ascii="Times New Roman" w:hAnsi="Times New Roman"/>
          <w:noProof/>
          <w:sz w:val="24"/>
        </w:rPr>
        <w:t>и насоки за защита на превозните средства срещу кибератаки и Комисията възнамерява да приложи тези насоки при правилата на ЕС относно превозните средства. Накрая, както е заложено в европейската стратегия относно съвместните интелигентни транспортни систем</w:t>
      </w:r>
      <w:r>
        <w:rPr>
          <w:rFonts w:ascii="Times New Roman" w:hAnsi="Times New Roman"/>
          <w:noProof/>
          <w:sz w:val="24"/>
        </w:rPr>
        <w:t>и, Комисията публикува насоки</w:t>
      </w:r>
      <w:r>
        <w:rPr>
          <w:rStyle w:val="FootnoteReference"/>
          <w:rFonts w:ascii="Times New Roman" w:hAnsi="Times New Roman"/>
          <w:noProof/>
          <w:sz w:val="24"/>
        </w:rPr>
        <w:footnoteReference w:id="50"/>
      </w:r>
      <w:r>
        <w:rPr>
          <w:rFonts w:ascii="Times New Roman" w:hAnsi="Times New Roman"/>
          <w:noProof/>
          <w:sz w:val="24"/>
        </w:rPr>
        <w:t xml:space="preserve"> относно политиката за сертифициране и сигурност, необходими за сигурната и надеждна комуникация между превозните средства и инфраструктурата във връзка със съобщенията, свързани с пътната безопасност и управлението на трафика</w:t>
      </w:r>
      <w:r>
        <w:rPr>
          <w:rFonts w:ascii="Times New Roman" w:hAnsi="Times New Roman"/>
          <w:noProof/>
          <w:sz w:val="24"/>
        </w:rPr>
        <w:t xml:space="preserve">.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Автоматизираните и свързаните превозни средства ще генерират голям обем данни, които могат да се обменят посредством комуникационни устройства. Тези данни съдържат огромен потенциал за създаването на нови и персонализирани услуги и продукти, радикалното</w:t>
      </w:r>
      <w:r>
        <w:rPr>
          <w:rFonts w:ascii="Times New Roman" w:hAnsi="Times New Roman"/>
          <w:noProof/>
          <w:sz w:val="24"/>
        </w:rPr>
        <w:t xml:space="preserve"> трансформиране на съществуващите бизнес модели (например крайпътна помощ, автомобилни застраховки, ремонт на превозни средства, наем на превозни средства и др.) или разработването на нови модели. Отделните икономически фактори са в конкуренция по отношени</w:t>
      </w:r>
      <w:r>
        <w:rPr>
          <w:rFonts w:ascii="Times New Roman" w:hAnsi="Times New Roman"/>
          <w:noProof/>
          <w:sz w:val="24"/>
        </w:rPr>
        <w:t>е на тези данни. Производителите на превозни средства или цифровите платформи разполагат с привилегирован достъп до данните от автомобилите и ресурсите на превозните средства, като например възможността на водача да бъдат предлагани услуги пряко чрез изпол</w:t>
      </w:r>
      <w:r>
        <w:rPr>
          <w:rFonts w:ascii="Times New Roman" w:hAnsi="Times New Roman"/>
          <w:noProof/>
          <w:sz w:val="24"/>
        </w:rPr>
        <w:t>зването на автомобилното табло. В своята незаконодателна резолюция от 13 март 2018 г.</w:t>
      </w:r>
      <w:r>
        <w:rPr>
          <w:rStyle w:val="FootnoteReference"/>
          <w:rFonts w:ascii="Times New Roman" w:hAnsi="Times New Roman"/>
          <w:noProof/>
          <w:sz w:val="24"/>
        </w:rPr>
        <w:footnoteReference w:id="51"/>
      </w:r>
      <w:r>
        <w:rPr>
          <w:rFonts w:ascii="Times New Roman" w:hAnsi="Times New Roman"/>
          <w:noProof/>
          <w:sz w:val="24"/>
        </w:rPr>
        <w:t xml:space="preserve"> „Европейска стратегия относно съвместни интелигентни транспортни системи“ Европейският парламент прикани Комисията да публикува законодателно предложение, с което се гар</w:t>
      </w:r>
      <w:r>
        <w:rPr>
          <w:rFonts w:ascii="Times New Roman" w:hAnsi="Times New Roman"/>
          <w:noProof/>
          <w:sz w:val="24"/>
        </w:rPr>
        <w:t xml:space="preserve">антират равностойни условия относно достъпа до данните и ресурсите от автомобилите, защитават се правата на потребителите и се насърчават иновациите и лоялната конкуренция.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Предвид възникването на тази нова икономика подходът на Комисията относно достъпа </w:t>
      </w:r>
      <w:r>
        <w:rPr>
          <w:rFonts w:ascii="Times New Roman" w:hAnsi="Times New Roman"/>
          <w:noProof/>
          <w:sz w:val="24"/>
        </w:rPr>
        <w:t>до данни и ресурси постига баланс между лоялната конкуренция, възможността за потребителите да имат достъп до различни услуги, безопасността и киберсигурността при пълно съответствие със законодателството в областта на конкуренцията и защитата на личните д</w:t>
      </w:r>
      <w:r>
        <w:rPr>
          <w:rFonts w:ascii="Times New Roman" w:hAnsi="Times New Roman"/>
          <w:noProof/>
          <w:sz w:val="24"/>
        </w:rPr>
        <w:t>анни, като например съгласието на потребителя за обмен на данните. Вече съществува законодателство на ЕС, което обхваща справедливия достъп на независимите автомонтьори до информацията относно ремонта и техническото обслужване. Наскоро това законодателство</w:t>
      </w:r>
      <w:r>
        <w:rPr>
          <w:rFonts w:ascii="Times New Roman" w:hAnsi="Times New Roman"/>
          <w:noProof/>
          <w:sz w:val="24"/>
        </w:rPr>
        <w:t xml:space="preserve"> беше актуализирано и в него се включват свързаните с мрежите за безжичен интернет дейности по ремонт и техническо обслужване</w:t>
      </w:r>
      <w:r>
        <w:rPr>
          <w:rStyle w:val="FootnoteReference"/>
          <w:rFonts w:ascii="Times New Roman" w:hAnsi="Times New Roman"/>
          <w:noProof/>
          <w:sz w:val="24"/>
        </w:rPr>
        <w:footnoteReference w:id="52"/>
      </w:r>
      <w:r>
        <w:rPr>
          <w:rFonts w:ascii="Times New Roman" w:hAnsi="Times New Roman"/>
          <w:noProof/>
          <w:sz w:val="24"/>
        </w:rPr>
        <w:t>. По отношение на други видове данни съобщението "Към общо европейско пространство на данни”</w:t>
      </w:r>
      <w:r>
        <w:rPr>
          <w:rStyle w:val="FootnoteReference"/>
          <w:rFonts w:ascii="Times New Roman" w:hAnsi="Times New Roman"/>
          <w:noProof/>
          <w:sz w:val="24"/>
        </w:rPr>
        <w:footnoteReference w:id="53"/>
      </w:r>
      <w:r>
        <w:rPr>
          <w:rFonts w:ascii="Times New Roman" w:hAnsi="Times New Roman"/>
          <w:noProof/>
          <w:sz w:val="24"/>
        </w:rPr>
        <w:t>, публикувано на 25 април 2018 г., пр</w:t>
      </w:r>
      <w:r>
        <w:rPr>
          <w:rFonts w:ascii="Times New Roman" w:hAnsi="Times New Roman"/>
          <w:noProof/>
          <w:sz w:val="24"/>
        </w:rPr>
        <w:t>едоставя допълнителни насоки относно обмена на данни между предприятията и между предприятията и държавните органи, в допълнение към съобщението „Изграждане на основана на данни европейска икономика“</w:t>
      </w:r>
      <w:r>
        <w:rPr>
          <w:rStyle w:val="FootnoteReference"/>
          <w:rFonts w:ascii="Times New Roman" w:hAnsi="Times New Roman"/>
          <w:noProof/>
          <w:sz w:val="24"/>
        </w:rPr>
        <w:footnoteReference w:id="54"/>
      </w:r>
      <w:r>
        <w:rPr>
          <w:rFonts w:ascii="Times New Roman" w:hAnsi="Times New Roman"/>
          <w:noProof/>
          <w:sz w:val="24"/>
        </w:rPr>
        <w:t xml:space="preserve"> относно месдтонахождението на данни и водещите принципи</w:t>
      </w:r>
      <w:r>
        <w:rPr>
          <w:rFonts w:ascii="Times New Roman" w:hAnsi="Times New Roman"/>
          <w:noProof/>
          <w:sz w:val="24"/>
        </w:rPr>
        <w:t>, заложени в доклада относно платформата за съвместните интелигентни транспортни системи</w:t>
      </w:r>
      <w:r>
        <w:rPr>
          <w:rStyle w:val="FootnoteReference"/>
          <w:rFonts w:ascii="Times New Roman" w:hAnsi="Times New Roman"/>
          <w:noProof/>
          <w:sz w:val="24"/>
        </w:rPr>
        <w:footnoteReference w:id="55"/>
      </w:r>
      <w:r>
        <w:rPr>
          <w:rFonts w:ascii="Times New Roman" w:hAnsi="Times New Roman"/>
          <w:noProof/>
          <w:sz w:val="24"/>
        </w:rPr>
        <w:t>. Предложението за регламент относно свободното движение на нелични данни</w:t>
      </w:r>
      <w:r>
        <w:rPr>
          <w:rStyle w:val="FootnoteReference"/>
          <w:rFonts w:ascii="Times New Roman" w:hAnsi="Times New Roman"/>
          <w:noProof/>
          <w:sz w:val="24"/>
        </w:rPr>
        <w:footnoteReference w:id="56"/>
      </w:r>
      <w:r>
        <w:rPr>
          <w:rFonts w:ascii="Times New Roman" w:hAnsi="Times New Roman"/>
          <w:noProof/>
          <w:sz w:val="24"/>
        </w:rPr>
        <w:t xml:space="preserve"> ще отстрани неоснователните ограничения относно установяването на местонахождението на данни, като се укрепи свободата на предприятията да съхраняват или обработват събраните нелични данни където пожелаят в ЕС. Проучване на Комисията подсказа обаче, че це</w:t>
      </w:r>
      <w:r>
        <w:rPr>
          <w:rFonts w:ascii="Times New Roman" w:hAnsi="Times New Roman"/>
          <w:noProof/>
          <w:sz w:val="24"/>
        </w:rPr>
        <w:t xml:space="preserve">нтрализирането на данните в превозните средства върху т. нар. „външни за превозното средство сървъри платформи с данни“, което понастоящем се прилага от някои производители на превозни средства, може, само по себе си, да е недостатъчно, за да се гарантира </w:t>
      </w:r>
      <w:r>
        <w:rPr>
          <w:rFonts w:ascii="Times New Roman" w:hAnsi="Times New Roman"/>
          <w:noProof/>
          <w:sz w:val="24"/>
        </w:rPr>
        <w:t>лоялна и ненакърнена конкуренция между доставчиците на услуги</w:t>
      </w:r>
      <w:r>
        <w:rPr>
          <w:rStyle w:val="FootnoteReference"/>
          <w:rFonts w:ascii="Times New Roman" w:hAnsi="Times New Roman"/>
          <w:noProof/>
          <w:sz w:val="24"/>
        </w:rPr>
        <w:footnoteReference w:id="57"/>
      </w:r>
      <w:r>
        <w:rPr>
          <w:noProof/>
        </w:rPr>
        <w:t>.</w:t>
      </w:r>
      <w:r>
        <w:rPr>
          <w:rFonts w:ascii="Times New Roman" w:hAnsi="Times New Roman"/>
          <w:noProof/>
          <w:sz w:val="24"/>
        </w:rPr>
        <w:t xml:space="preserve"> Ето защо Комисията възнамерява да подобри достъпа и повторното използване на свързани с мобилността и превозните средства данни за търговски и нетърговски цели като част от предстояща препорък</w:t>
      </w:r>
      <w:r>
        <w:rPr>
          <w:rFonts w:ascii="Times New Roman" w:hAnsi="Times New Roman"/>
          <w:noProof/>
          <w:sz w:val="24"/>
        </w:rPr>
        <w:t>а (виж текста в каре по-долу).</w:t>
      </w:r>
    </w:p>
    <w:p w:rsidR="00646145" w:rsidRDefault="000B1630">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следи ситуацията относно достъпа до данни и ресурси, намиращи се в превозните средства, и ще обмисли допълнителни варианти за рамка, благоприятстваща обмяната на данни от превозните средства, за да се</w:t>
      </w:r>
      <w:r>
        <w:rPr>
          <w:rFonts w:ascii="Times New Roman" w:hAnsi="Times New Roman"/>
          <w:noProof/>
          <w:sz w:val="24"/>
        </w:rPr>
        <w:t xml:space="preserve"> осигури лоялна конкуренция при предоставянето на услуги на цифровия единен пазар</w:t>
      </w:r>
      <w:r>
        <w:rPr>
          <w:noProof/>
        </w:rPr>
        <w:t xml:space="preserve">, </w:t>
      </w:r>
      <w:r>
        <w:rPr>
          <w:rFonts w:ascii="Times New Roman" w:hAnsi="Times New Roman"/>
          <w:noProof/>
          <w:sz w:val="24"/>
        </w:rPr>
        <w:t>като осигурява съответствие със законодателството в областта на защитата на личните данни</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Накрая, тъй като някои от данните, генерирани от превозните средства, може да бъдат</w:t>
      </w:r>
      <w:r>
        <w:rPr>
          <w:rFonts w:ascii="Times New Roman" w:hAnsi="Times New Roman"/>
          <w:noProof/>
          <w:sz w:val="24"/>
        </w:rPr>
        <w:t xml:space="preserve"> от обществен интерес, Комисията ще обмисли потребността от разширяване на правото на публичните органи да разполагат с по-голям достъп до повече данни. По-специално Комисията ще обмисли спецификации по линия на Директивата за интелигентните транспортни си</w:t>
      </w:r>
      <w:r>
        <w:rPr>
          <w:rFonts w:ascii="Times New Roman" w:hAnsi="Times New Roman"/>
          <w:noProof/>
          <w:sz w:val="24"/>
        </w:rPr>
        <w:t>стеми</w:t>
      </w:r>
      <w:r>
        <w:rPr>
          <w:rStyle w:val="FootnoteReference"/>
          <w:rFonts w:ascii="Times New Roman" w:hAnsi="Times New Roman"/>
          <w:noProof/>
          <w:sz w:val="24"/>
        </w:rPr>
        <w:footnoteReference w:id="58"/>
      </w:r>
      <w:r>
        <w:rPr>
          <w:rFonts w:ascii="Times New Roman" w:hAnsi="Times New Roman"/>
          <w:noProof/>
          <w:sz w:val="24"/>
        </w:rPr>
        <w:t xml:space="preserve"> по отношение на достъпа до данни, генерирани от превозните средства, които да се споделят с публичните органи за подобряване на управлението на трафика. Освен това Комисията ще обмисли изисквания за събирането по анонимен път на информация в широк м</w:t>
      </w:r>
      <w:r>
        <w:rPr>
          <w:rFonts w:ascii="Times New Roman" w:hAnsi="Times New Roman"/>
          <w:noProof/>
          <w:sz w:val="24"/>
        </w:rPr>
        <w:t>ащаб и в реални ситуации относно потреблението на гориво/енергия в рамките на стандартите за емисиите на въглероден диоксид за лекотоварните превозни средства (автомобили и микробуси)</w:t>
      </w:r>
      <w:r>
        <w:rPr>
          <w:rStyle w:val="FootnoteReference"/>
          <w:rFonts w:ascii="Times New Roman" w:hAnsi="Times New Roman"/>
          <w:noProof/>
          <w:sz w:val="24"/>
        </w:rPr>
        <w:footnoteReference w:id="59"/>
      </w:r>
      <w:r>
        <w:rPr>
          <w:rFonts w:ascii="Times New Roman" w:hAnsi="Times New Roman"/>
          <w:noProof/>
          <w:sz w:val="24"/>
        </w:rPr>
        <w:t>.</w:t>
      </w:r>
    </w:p>
    <w:p w:rsidR="00646145" w:rsidRDefault="000B163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предлага да се регулира защитата на превозните средства срещ</w:t>
      </w:r>
      <w:r>
        <w:rPr>
          <w:rFonts w:ascii="Times New Roman" w:hAnsi="Times New Roman"/>
          <w:noProof/>
          <w:sz w:val="24"/>
        </w:rPr>
        <w:t>у кибератаки като част от преработването на регламента относно общата сигурност за превозните средства и:</w:t>
      </w:r>
    </w:p>
    <w:p w:rsidR="00646145" w:rsidRDefault="000B1630">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ще обмисли през 2018 – 2019 г. потребността от спецификации за достъп до данните от превозните средства за нуждите на публичните органи, по-специално </w:t>
      </w:r>
      <w:r>
        <w:rPr>
          <w:rFonts w:ascii="Times New Roman" w:hAnsi="Times New Roman"/>
          <w:noProof/>
          <w:sz w:val="24"/>
        </w:rPr>
        <w:t>управлението на трафика (делегиран акт съгласно Директивата за интелигентните транспортни системи), а през 2019 – 2020 г. потребността от събиране на анонимна информация в широк мащаб и в реални ситуации относно потреблението на гориво/енергия.</w:t>
      </w:r>
    </w:p>
    <w:p w:rsidR="00646145" w:rsidRDefault="000B1630">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ще лансира </w:t>
      </w:r>
      <w:r>
        <w:rPr>
          <w:rFonts w:ascii="Times New Roman" w:hAnsi="Times New Roman"/>
          <w:noProof/>
          <w:sz w:val="24"/>
        </w:rPr>
        <w:t>пилотен проект за общи инфраструктури и процеси за киберсигурност на равнището на целия ЕС, необходими за сигурната и надеждна комуникация между превозните средства и инфраструктурата във връзка със свързаните с пътната безопасност и управлението на трафик</w:t>
      </w:r>
      <w:r>
        <w:rPr>
          <w:rFonts w:ascii="Times New Roman" w:hAnsi="Times New Roman"/>
          <w:noProof/>
          <w:sz w:val="24"/>
        </w:rPr>
        <w:t xml:space="preserve">а съобщения в съответствие с публикуваните указания относно политиката на сертифициране и сигурност. </w:t>
      </w:r>
    </w:p>
    <w:p w:rsidR="00646145" w:rsidRDefault="000B1630">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noProof/>
          <w:sz w:val="24"/>
        </w:rPr>
        <w:t>ще публикува през 2018 г., като първа стъпка, препоръка относно използването на изпитателен радиочестотен спектър за широко мащабно 5G изпитване, киберсиг</w:t>
      </w:r>
      <w:r>
        <w:rPr>
          <w:rFonts w:ascii="Times New Roman" w:hAnsi="Times New Roman"/>
          <w:noProof/>
          <w:sz w:val="24"/>
        </w:rPr>
        <w:t xml:space="preserve">урността и относно рамка за управление на данните, позволяваща обмен на данни, в съответствие с инициативите на пакета за данните от 2018 г. и законодателството в областта на защитата на данните и неприкосновеността на личния живот.   </w:t>
      </w:r>
    </w:p>
    <w:p w:rsidR="00646145" w:rsidRDefault="000B1630">
      <w:pPr>
        <w:pStyle w:val="Heading1"/>
        <w:rPr>
          <w:noProof/>
          <w:szCs w:val="24"/>
        </w:rPr>
      </w:pPr>
      <w:r>
        <w:rPr>
          <w:noProof/>
        </w:rPr>
        <w:t>Предвиждане на после</w:t>
      </w:r>
      <w:r>
        <w:rPr>
          <w:noProof/>
        </w:rPr>
        <w:t>диците от автоматизираната мобилност за обществото и икономиката</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Тъй като автоматизираните и безпилотни превозни средства все още са предмет на изпитания, дългосрочните последици от безпилотната мобилност върху транспортната система, икономиката, околната </w:t>
      </w:r>
      <w:r>
        <w:rPr>
          <w:rFonts w:ascii="Times New Roman" w:hAnsi="Times New Roman"/>
          <w:noProof/>
          <w:sz w:val="24"/>
        </w:rPr>
        <w:t>среда и съществуващите работни места в голяма степен все още са неизвестни. Въпреки че на този етап е трудно да се получи пълна картина, тези дългосрочни последици трябва да бъдат оценени възможно най-скоро, за да се предвидят всякакви „ефекти на бумеранга</w:t>
      </w:r>
      <w:r>
        <w:rPr>
          <w:rFonts w:ascii="Times New Roman" w:hAnsi="Times New Roman"/>
          <w:noProof/>
          <w:sz w:val="24"/>
        </w:rPr>
        <w:t>“ и да се предприемат мерки за смекчаване на последиците. Освен това е необходимо да се потърси решение на евентуални нововъзникващи въпроси от морално естество, за да се гарантира, че технологиите се разработват в съответствие с европейските ценности.</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В з</w:t>
      </w:r>
      <w:r>
        <w:rPr>
          <w:rFonts w:ascii="Times New Roman" w:hAnsi="Times New Roman"/>
          <w:noProof/>
          <w:sz w:val="24"/>
        </w:rPr>
        <w:t>аключенията си от 5 декември 2017 г. относно цифровизацията на транспортния сектор Съветът изтъкна значимостта на широк обществен диалог по тези въпроси и прикани Комисията „</w:t>
      </w:r>
      <w:r>
        <w:rPr>
          <w:rFonts w:ascii="Times New Roman" w:hAnsi="Times New Roman"/>
          <w:i/>
          <w:noProof/>
          <w:sz w:val="24"/>
        </w:rPr>
        <w:t>да направи оценка на социално-икономическото въздействие и въздействието върху око</w:t>
      </w:r>
      <w:r>
        <w:rPr>
          <w:rFonts w:ascii="Times New Roman" w:hAnsi="Times New Roman"/>
          <w:i/>
          <w:noProof/>
          <w:sz w:val="24"/>
        </w:rPr>
        <w:t>лната среда на автоматизацията и цифровизацията в областта на транспорта, като отчете новите умения, необходими в този сектор, и при необходимост да предложи мерки за смекчаване на това въздействие</w:t>
      </w:r>
      <w:r>
        <w:rPr>
          <w:rFonts w:ascii="Times New Roman" w:hAnsi="Times New Roman"/>
          <w:noProof/>
          <w:sz w:val="24"/>
        </w:rPr>
        <w:t xml:space="preserve">“.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направи оценка на тези въпроси</w:t>
      </w:r>
      <w:r>
        <w:rPr>
          <w:rFonts w:ascii="Times New Roman" w:hAnsi="Times New Roman"/>
          <w:noProof/>
          <w:sz w:val="24"/>
        </w:rPr>
        <w:t>, да ги обсъди с всички заинтересовани страни, включително със социалните партньори, и евентуално да обмисли регулаторна дейност на равнището на ЕС</w:t>
      </w:r>
      <w:r>
        <w:rPr>
          <w:rStyle w:val="FootnoteReference"/>
          <w:rFonts w:ascii="Times New Roman" w:hAnsi="Times New Roman"/>
          <w:noProof/>
          <w:sz w:val="24"/>
        </w:rPr>
        <w:footnoteReference w:id="60"/>
      </w:r>
      <w:r>
        <w:rPr>
          <w:rFonts w:ascii="Times New Roman" w:hAnsi="Times New Roman"/>
          <w:noProof/>
          <w:sz w:val="24"/>
        </w:rPr>
        <w:t xml:space="preserve">. От съществено значение е да бъдат обмислени внимателно опасенията на бъдещите потребители на тези системи </w:t>
      </w:r>
      <w:r>
        <w:rPr>
          <w:rFonts w:ascii="Times New Roman" w:hAnsi="Times New Roman"/>
          <w:noProof/>
          <w:sz w:val="24"/>
        </w:rPr>
        <w:t>и на другите участници в пътното движение.</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Необходими са допълнителни проучвания за предвиждане на дългосрочните последици от автоматизираното и свързаното управление на превозни средства. Например, очаква се безпилотната мобилност да намали транспортните </w:t>
      </w:r>
      <w:r>
        <w:rPr>
          <w:rFonts w:ascii="Times New Roman" w:hAnsi="Times New Roman"/>
          <w:noProof/>
          <w:sz w:val="24"/>
        </w:rPr>
        <w:t>разходи, да освободи част от времето на водачите и да насърчи споделянето на автомобили, като по този начин се подобри качеството на въздуха и градоустройството. По-ниските транспортни разходи обаче, както и освобождаването на водача от функциите по управл</w:t>
      </w:r>
      <w:r>
        <w:rPr>
          <w:rFonts w:ascii="Times New Roman" w:hAnsi="Times New Roman"/>
          <w:noProof/>
          <w:sz w:val="24"/>
        </w:rPr>
        <w:t>ение, биха могли да доведат до повече или по-продължителни пътувания, допълнително повишаване на трафика, а от там и до повишаване на общия обем на емисиите и задръствания.  Другото опасение е оскъдната информация относно взаимодействието между автоматизир</w:t>
      </w:r>
      <w:r>
        <w:rPr>
          <w:rFonts w:ascii="Times New Roman" w:hAnsi="Times New Roman"/>
          <w:noProof/>
          <w:sz w:val="24"/>
        </w:rPr>
        <w:t>аните превозни средства и другите участници в пътното движение в условията на смесен трафик. Работната транспортна програма за 2018—2020 г. по линия на „Хоризонт 2020“ включва проекти за предприемането на задълбочени анализи на поведението на потребителите</w:t>
      </w:r>
      <w:r>
        <w:rPr>
          <w:rFonts w:ascii="Times New Roman" w:hAnsi="Times New Roman"/>
          <w:noProof/>
          <w:sz w:val="24"/>
        </w:rPr>
        <w:t xml:space="preserve"> и възприятието на обществото и за оценка на средносрочното и дългосрочното въздействие на автоматизираното и свързаното управление на превозни средства.</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проведе вече комплексен преглед на съществуващите проучвания относно очакваното социално-ико</w:t>
      </w:r>
      <w:r>
        <w:rPr>
          <w:rFonts w:ascii="Times New Roman" w:hAnsi="Times New Roman"/>
          <w:noProof/>
          <w:sz w:val="24"/>
        </w:rPr>
        <w:t>номическо въздействие на автоматизираните и свързаните превозни средства върху икономиката и работните места в ЕС. Резултатите от този преглед се публикуват съвместно с настоящото съобщение</w:t>
      </w:r>
      <w:r>
        <w:rPr>
          <w:rStyle w:val="FootnoteReference"/>
          <w:rFonts w:ascii="Times New Roman" w:hAnsi="Times New Roman"/>
          <w:noProof/>
          <w:sz w:val="24"/>
        </w:rPr>
        <w:footnoteReference w:id="61"/>
      </w:r>
      <w:r>
        <w:rPr>
          <w:rFonts w:ascii="Times New Roman" w:hAnsi="Times New Roman"/>
          <w:noProof/>
          <w:sz w:val="24"/>
        </w:rPr>
        <w:t xml:space="preserve">. </w:t>
      </w:r>
      <w:r>
        <w:rPr>
          <w:noProof/>
        </w:rPr>
        <w:t>При 23 % дял от световното производство на моторни превозни сред</w:t>
      </w:r>
      <w:r>
        <w:rPr>
          <w:noProof/>
        </w:rPr>
        <w:t>ства и почти 72 % от вътрешните превози на товари, извършвани от автомобили в Европа, автоматизираната мобилност се очаква да донесе съществени ползи на европейската икономика.</w:t>
      </w:r>
      <w:r>
        <w:rPr>
          <w:rFonts w:ascii="Times New Roman" w:hAnsi="Times New Roman"/>
          <w:noProof/>
          <w:sz w:val="24"/>
        </w:rPr>
        <w:t xml:space="preserve"> Приходите за автомобилната промишленост на ЕС биха могли, например, да надхвърл</w:t>
      </w:r>
      <w:r>
        <w:rPr>
          <w:rFonts w:ascii="Times New Roman" w:hAnsi="Times New Roman"/>
          <w:noProof/>
          <w:sz w:val="24"/>
        </w:rPr>
        <w:t>ят 620 милиарда евро до 2025 г., а приходите за сектора на електронните технологии в ЕС 180 милиарда евро. Икономическото въздействие на автоматизираната и свързаната мобилност ще донесе ползи далеч отвъд автомобилната промишленост, но е възможно да повлия</w:t>
      </w:r>
      <w:r>
        <w:rPr>
          <w:rFonts w:ascii="Times New Roman" w:hAnsi="Times New Roman"/>
          <w:noProof/>
          <w:sz w:val="24"/>
        </w:rPr>
        <w:t>е отрицателно върху някои сектори като застраховане, техническо обслужване и ремонтни дейности. Въздействието на автоматизираната мобилност ще зависи в голяма степен от способността на европейската промишленост да не изостава от конкурентите на международн</w:t>
      </w:r>
      <w:r>
        <w:rPr>
          <w:rFonts w:ascii="Times New Roman" w:hAnsi="Times New Roman"/>
          <w:noProof/>
          <w:sz w:val="24"/>
        </w:rPr>
        <w:t xml:space="preserve">ата сцена (по-специално в областта на сектора на информационните технологии). Свързаните със социалното приобщаване аспекти и начините за задоволяване на потребностите на уязвимите потребители също ще играят роля при гарантиране на достигане на ползите до </w:t>
      </w:r>
      <w:r>
        <w:rPr>
          <w:rFonts w:ascii="Times New Roman" w:hAnsi="Times New Roman"/>
          <w:noProof/>
          <w:sz w:val="24"/>
        </w:rPr>
        <w:t>обществото като цяло, включително до онези, които може днес да са изолирани от услуги в областта на мобилността, като например възрастните и хората с увреждания.  Особено внимание се отделя на подобрения достъп от отдалечените области и широкото предоставя</w:t>
      </w:r>
      <w:r>
        <w:rPr>
          <w:rFonts w:ascii="Times New Roman" w:hAnsi="Times New Roman"/>
          <w:noProof/>
          <w:sz w:val="24"/>
        </w:rPr>
        <w:t>не на свързани с мобилността услуги.</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По отношение на заетостта се очаква, че разработването на нови технологии и услуги ще изисква нови умения и високо платени професии (инженери, научни изследователи) наред с нови професии, изискващи средно високи умения,</w:t>
      </w:r>
      <w:r>
        <w:rPr>
          <w:rFonts w:ascii="Times New Roman" w:hAnsi="Times New Roman"/>
          <w:noProof/>
          <w:sz w:val="24"/>
        </w:rPr>
        <w:t xml:space="preserve"> за поддържане на въпросните нови технологии. Макар че това може да намали търсенето на професионални водачи, то би могло и да спомогне за повишаване на привлекателността на професиите по управление на превозни средства и за преодоляване на настоящия недос</w:t>
      </w:r>
      <w:r>
        <w:rPr>
          <w:rFonts w:ascii="Times New Roman" w:hAnsi="Times New Roman"/>
          <w:noProof/>
          <w:sz w:val="24"/>
        </w:rPr>
        <w:t>тиг на водачи</w:t>
      </w:r>
      <w:r>
        <w:rPr>
          <w:rStyle w:val="FootnoteReference"/>
          <w:rFonts w:ascii="Times New Roman" w:hAnsi="Times New Roman"/>
          <w:noProof/>
          <w:sz w:val="24"/>
        </w:rPr>
        <w:footnoteReference w:id="62"/>
      </w:r>
      <w:r>
        <w:rPr>
          <w:rFonts w:ascii="Times New Roman" w:hAnsi="Times New Roman"/>
          <w:noProof/>
          <w:sz w:val="24"/>
        </w:rPr>
        <w:t>. Все още е проблем за технологиите да изместят напълно водачите при всички ситуации на управление на превозни средства. Поради това е вероятно по време на определен преходен етап, вместо да измести водача, превозното средство да му позволява</w:t>
      </w:r>
      <w:r>
        <w:rPr>
          <w:rFonts w:ascii="Times New Roman" w:hAnsi="Times New Roman"/>
          <w:noProof/>
          <w:sz w:val="24"/>
        </w:rPr>
        <w:t xml:space="preserve"> да изпълнява други функции, например логистично планиране, по време на управление при ограничителни условия (например по магистрала), какъвто е случаят с въздухоплавателните средства. Колкото повече са степените на въвеждане на тези технологии, толкова по</w:t>
      </w:r>
      <w:r>
        <w:rPr>
          <w:rFonts w:ascii="Times New Roman" w:hAnsi="Times New Roman"/>
          <w:noProof/>
          <w:sz w:val="24"/>
        </w:rPr>
        <w:t>-висока е вероятността икономическата система да абсорбира отрицателните въздействия върху заетостта.</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За да се справят с тази промяна, работниците, чиито работни места се променят или може да изчезнат поради автоматизацията, трябва да имат всякакви възможн</w:t>
      </w:r>
      <w:r>
        <w:rPr>
          <w:rFonts w:ascii="Times New Roman" w:hAnsi="Times New Roman"/>
          <w:noProof/>
          <w:sz w:val="24"/>
        </w:rPr>
        <w:t>ости да придобият уменията и знанията, от които се нуждаят, за да овладеят новите технологии, както и да бъдат подкрепяни по време на преходите на пазара на труда. Националните схеми ще бъдат от основно значение за осигуряване на повишаване на квалификация</w:t>
      </w:r>
      <w:r>
        <w:rPr>
          <w:rFonts w:ascii="Times New Roman" w:hAnsi="Times New Roman"/>
          <w:noProof/>
          <w:sz w:val="24"/>
        </w:rPr>
        <w:t xml:space="preserve">та и обучение с подкрепата на Европейския социален фонд и други специални проекти.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със своята стратегия за цифров единен пазар</w:t>
      </w:r>
      <w:r>
        <w:rPr>
          <w:rStyle w:val="FootnoteReference"/>
          <w:rFonts w:ascii="Times New Roman" w:hAnsi="Times New Roman"/>
          <w:noProof/>
          <w:sz w:val="24"/>
        </w:rPr>
        <w:footnoteReference w:id="63"/>
      </w:r>
      <w:r>
        <w:rPr>
          <w:rFonts w:ascii="Times New Roman" w:hAnsi="Times New Roman"/>
          <w:noProof/>
          <w:sz w:val="24"/>
        </w:rPr>
        <w:t xml:space="preserve"> и Европейската програма за умения</w:t>
      </w:r>
      <w:r>
        <w:rPr>
          <w:rStyle w:val="FootnoteReference"/>
          <w:rFonts w:ascii="Times New Roman" w:hAnsi="Times New Roman"/>
          <w:noProof/>
          <w:sz w:val="24"/>
        </w:rPr>
        <w:footnoteReference w:id="64"/>
      </w:r>
      <w:r>
        <w:rPr>
          <w:rFonts w:ascii="Times New Roman" w:hAnsi="Times New Roman"/>
          <w:noProof/>
          <w:sz w:val="24"/>
        </w:rPr>
        <w:t xml:space="preserve"> поставя приоритет върху уменията в областта на цифровите технологии на всички нив</w:t>
      </w:r>
      <w:r>
        <w:rPr>
          <w:rFonts w:ascii="Times New Roman" w:hAnsi="Times New Roman"/>
          <w:noProof/>
          <w:sz w:val="24"/>
        </w:rPr>
        <w:t>а — от основните до високите. С цел да предостави решения за уменията, специфични за отделните сектори, като част от Програмата за умения</w:t>
      </w:r>
      <w:r>
        <w:rPr>
          <w:rStyle w:val="FootnoteReference"/>
          <w:rFonts w:ascii="Times New Roman" w:hAnsi="Times New Roman"/>
          <w:noProof/>
          <w:sz w:val="24"/>
        </w:rPr>
        <w:footnoteReference w:id="65"/>
      </w:r>
      <w:r>
        <w:rPr>
          <w:rFonts w:ascii="Times New Roman" w:hAnsi="Times New Roman"/>
          <w:noProof/>
          <w:sz w:val="24"/>
        </w:rPr>
        <w:t xml:space="preserve"> бе стартиран Подробен план за действие за секторно сътрудничество във връзка с уменията. Планът е нова рамка за страт</w:t>
      </w:r>
      <w:r>
        <w:rPr>
          <w:rFonts w:ascii="Times New Roman" w:hAnsi="Times New Roman"/>
          <w:noProof/>
          <w:sz w:val="24"/>
        </w:rPr>
        <w:t xml:space="preserve">егическо сътрудничество между ключови заинтересовани страни като предприятия, синдикати и научно-изследователски и образователни институции и институции, предоставящи обучение, чиято цел е да се преодолее недостигът на умения и да се осигури подготовка за </w:t>
      </w:r>
      <w:r>
        <w:rPr>
          <w:rFonts w:ascii="Times New Roman" w:hAnsi="Times New Roman"/>
          <w:noProof/>
          <w:sz w:val="24"/>
        </w:rPr>
        <w:t xml:space="preserve">прехода към цифрови технологии. Подбрани бяха пет пилотни сектора за първата вълна на покани за представяне на предложения и автомобилният сектор е един от тях.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по линия на програмата за научни изследвания и иновации „Хоризонт 2020“ беше постав</w:t>
      </w:r>
      <w:r>
        <w:rPr>
          <w:rFonts w:ascii="Times New Roman" w:hAnsi="Times New Roman"/>
          <w:noProof/>
          <w:sz w:val="24"/>
        </w:rPr>
        <w:t>ено началото на тригодишен научно-изследователски проект, озаглавен „Skilful“ (провеждан до септември 2019 г.). В хода на проекта се проучва кои професии в сектора на транспорта вероятно ще изчезнат и които вероятно ще бъдат създадени при различните видове</w:t>
      </w:r>
      <w:r>
        <w:rPr>
          <w:rFonts w:ascii="Times New Roman" w:hAnsi="Times New Roman"/>
          <w:noProof/>
          <w:sz w:val="24"/>
        </w:rPr>
        <w:t xml:space="preserve"> транспорт. Прави се и оценка на бъдещите потребности от умения и обучения. </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в Европейският стълб на социалните права се предвижда всеобхватна рамка на политиката за подпомагане на прехода на пазара на труда чрез достъп до ефективна заетост и со</w:t>
      </w:r>
      <w:r>
        <w:rPr>
          <w:rFonts w:ascii="Times New Roman" w:hAnsi="Times New Roman"/>
          <w:noProof/>
          <w:sz w:val="24"/>
        </w:rPr>
        <w:t>циални услуги, достъп до обучение и адекватно подпомагане чрез доходите. Във връзка с това Комисията прие предложение за укрепване на достъпа до социална закрила, по-специално за самонаетите лица и нетипичните работници.</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Въпросите от морално естество са </w:t>
      </w:r>
      <w:r>
        <w:rPr>
          <w:rFonts w:ascii="Times New Roman" w:hAnsi="Times New Roman"/>
          <w:noProof/>
          <w:sz w:val="24"/>
        </w:rPr>
        <w:t>също толкова важни за автоматизираната мобилност.  Автоматизираните превозни средства ще трябва да бъдат безопасни, да зачитат човешкото достойнство и свободата на личен избор. Наскоро Комисията създаде Европейския алианс за изкуствен интелект (ИИ)</w:t>
      </w:r>
      <w:r>
        <w:rPr>
          <w:rStyle w:val="FootnoteReference"/>
          <w:rFonts w:ascii="Times New Roman" w:hAnsi="Times New Roman"/>
          <w:noProof/>
          <w:sz w:val="24"/>
        </w:rPr>
        <w:footnoteReference w:id="66"/>
      </w:r>
      <w:r>
        <w:rPr>
          <w:rFonts w:ascii="Times New Roman" w:hAnsi="Times New Roman"/>
          <w:noProof/>
          <w:sz w:val="24"/>
        </w:rPr>
        <w:t>, чиято</w:t>
      </w:r>
      <w:r>
        <w:rPr>
          <w:rFonts w:ascii="Times New Roman" w:hAnsi="Times New Roman"/>
          <w:noProof/>
          <w:sz w:val="24"/>
        </w:rPr>
        <w:t xml:space="preserve"> задача е разработването на проект за морални насоки за изкуствения интелект, които ще осигурят хоризонтален подход по въпросите от морално естество във връзка с автономните системи, което ще има значение и за автоматизираните превозни средства. При все то</w:t>
      </w:r>
      <w:r>
        <w:rPr>
          <w:rFonts w:ascii="Times New Roman" w:hAnsi="Times New Roman"/>
          <w:noProof/>
          <w:sz w:val="24"/>
        </w:rPr>
        <w:t xml:space="preserve">ва, предвид специфичните проблеми на транспортната система (например пътна безопасност), ще бъде необходим допълнителен секторен подход към безпилотната мобилност. Държавите членки направиха вече крачка напред със създаването на работна група по моралните </w:t>
      </w:r>
      <w:r>
        <w:rPr>
          <w:rFonts w:ascii="Times New Roman" w:hAnsi="Times New Roman"/>
          <w:noProof/>
          <w:sz w:val="24"/>
        </w:rPr>
        <w:t>аспекти на автоматизираното и свързаното управление на превозни средства, за да се уточнят въпросите от морално естество, които следва да бъдат разгледани съвместно на равнището на ЕС</w:t>
      </w:r>
      <w:r>
        <w:rPr>
          <w:rStyle w:val="FootnoteReference"/>
          <w:rFonts w:ascii="Times New Roman" w:hAnsi="Times New Roman"/>
          <w:noProof/>
          <w:sz w:val="24"/>
        </w:rPr>
        <w:footnoteReference w:id="67"/>
      </w:r>
      <w:r>
        <w:rPr>
          <w:rFonts w:ascii="Times New Roman" w:hAnsi="Times New Roman"/>
          <w:noProof/>
          <w:sz w:val="24"/>
        </w:rPr>
        <w:t>. Като последваща стъпка във връзка с работната група Комисията ще предо</w:t>
      </w:r>
      <w:r>
        <w:rPr>
          <w:rFonts w:ascii="Times New Roman" w:hAnsi="Times New Roman"/>
          <w:noProof/>
          <w:sz w:val="24"/>
        </w:rPr>
        <w:t>стави специален форум, работещ в сътрудничество с Европейската група за етика в науката и новите технологии</w:t>
      </w:r>
      <w:r>
        <w:rPr>
          <w:rStyle w:val="FootnoteReference"/>
          <w:rFonts w:ascii="Times New Roman" w:hAnsi="Times New Roman"/>
          <w:noProof/>
          <w:sz w:val="24"/>
        </w:rPr>
        <w:footnoteReference w:id="68"/>
      </w:r>
      <w:r>
        <w:rPr>
          <w:rFonts w:ascii="Times New Roman" w:hAnsi="Times New Roman"/>
          <w:noProof/>
          <w:sz w:val="24"/>
        </w:rPr>
        <w:t xml:space="preserve"> и Европейския алианс за изкуствен интелект, за да бъдат улеснени обсъжданията на европейско равнище.</w:t>
      </w:r>
    </w:p>
    <w:p w:rsidR="00646145" w:rsidRDefault="000B1630">
      <w:pPr>
        <w:spacing w:after="240" w:line="240" w:lineRule="auto"/>
        <w:jc w:val="both"/>
        <w:rPr>
          <w:rFonts w:ascii="Times New Roman" w:hAnsi="Times New Roman" w:cs="Times New Roman"/>
          <w:noProof/>
          <w:sz w:val="24"/>
          <w:szCs w:val="24"/>
        </w:rPr>
      </w:pPr>
      <w:r>
        <w:rPr>
          <w:rFonts w:ascii="Times New Roman" w:hAnsi="Times New Roman"/>
          <w:noProof/>
          <w:sz w:val="24"/>
        </w:rPr>
        <w:t>Безпилотната мобилност все още е в началото на</w:t>
      </w:r>
      <w:r>
        <w:rPr>
          <w:rFonts w:ascii="Times New Roman" w:hAnsi="Times New Roman"/>
          <w:noProof/>
          <w:sz w:val="24"/>
        </w:rPr>
        <w:t xml:space="preserve"> своето съществуване. Дългосрочното въздействие е несигурно и ще зависи от това с какъв темп и докъде ще се развиват технологиите, както и от това как ще реагират пазарите. То ще зависи и от начина, по който публичните органи подпомагат и направляват това </w:t>
      </w:r>
      <w:r>
        <w:rPr>
          <w:rFonts w:ascii="Times New Roman" w:hAnsi="Times New Roman"/>
          <w:noProof/>
          <w:sz w:val="24"/>
        </w:rPr>
        <w:t xml:space="preserve">развитие, за да се гарантира, че всички слоеве на обществото извличат ползи от новите услуги в областта на мобилността. Комисията възнамерява да продължи да следи и оценява тези въпроси и да се консултира с всички заинтересовани страни. Освен това тя може </w:t>
      </w:r>
      <w:r>
        <w:rPr>
          <w:rFonts w:ascii="Times New Roman" w:hAnsi="Times New Roman"/>
          <w:noProof/>
          <w:sz w:val="24"/>
        </w:rPr>
        <w:t xml:space="preserve">да обмисли регулаторна дейност на равнището на ЕС, където това е необходимо. </w:t>
      </w:r>
    </w:p>
    <w:p w:rsidR="00646145" w:rsidRDefault="000B1630">
      <w:pPr>
        <w:keepNext/>
        <w:keepLines/>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jc w:val="both"/>
        <w:rPr>
          <w:rFonts w:ascii="Times New Roman" w:hAnsi="Times New Roman" w:cs="Times New Roman"/>
          <w:noProof/>
          <w:sz w:val="24"/>
          <w:szCs w:val="24"/>
        </w:rPr>
      </w:pPr>
      <w:r>
        <w:rPr>
          <w:rFonts w:ascii="Times New Roman" w:hAnsi="Times New Roman"/>
          <w:noProof/>
          <w:sz w:val="24"/>
        </w:rPr>
        <w:t>Комисията:</w:t>
      </w:r>
    </w:p>
    <w:p w:rsidR="00646145" w:rsidRDefault="000B1630">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наблюдава и оценява средносрочното и дългосрочното въздействие на автоматизираното и свързаното управление на превозни средства, по-специално в рамките на работната</w:t>
      </w:r>
      <w:r>
        <w:rPr>
          <w:rFonts w:ascii="Times New Roman" w:hAnsi="Times New Roman"/>
          <w:noProof/>
          <w:sz w:val="24"/>
        </w:rPr>
        <w:t xml:space="preserve"> програма за 2018—2020 г. в областта на автоматизирания транспорт по линия на „Хоризонт 2020“.</w:t>
      </w:r>
    </w:p>
    <w:p w:rsidR="00646145" w:rsidRDefault="000B1630">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ще провежда консултации със заинтересованите страни относно социално-икономическото въздействие и въздействието върху околната среда на безпилотната мобилност. </w:t>
      </w:r>
    </w:p>
    <w:p w:rsidR="00646145" w:rsidRDefault="000B1630">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подпомага придобиването на нови умения, запазването и преквалифицирането на работната сила в сектора посредством Новата европейска програма за умения и ще преценява вариантите за улесняване на прехода към автоматизация в пътния сектор.</w:t>
      </w:r>
    </w:p>
    <w:p w:rsidR="00646145" w:rsidRDefault="000B1630">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подкрепя държа</w:t>
      </w:r>
      <w:r>
        <w:rPr>
          <w:rFonts w:ascii="Times New Roman" w:hAnsi="Times New Roman"/>
          <w:noProof/>
          <w:sz w:val="24"/>
        </w:rPr>
        <w:t>вите членки в усилията им да осигурят плавен преход на пазара на труда за засегнатите работници чрез качествена заетост и социални услуги, достъп до обучение и социална закрила в съответствие с Европейския стълб на социалните права.</w:t>
      </w:r>
    </w:p>
    <w:p w:rsidR="00646145" w:rsidRDefault="000B1630">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ще предостави форум на </w:t>
      </w:r>
      <w:r>
        <w:rPr>
          <w:rFonts w:ascii="Times New Roman" w:hAnsi="Times New Roman"/>
          <w:noProof/>
          <w:sz w:val="24"/>
        </w:rPr>
        <w:t>ЕС за разрешаване на специфични въпроси от морално естество, породени от безпилотната мобилност.</w:t>
      </w:r>
    </w:p>
    <w:p w:rsidR="00646145" w:rsidRDefault="000B1630">
      <w:pPr>
        <w:pStyle w:val="Heading1"/>
        <w:rPr>
          <w:noProof/>
          <w:szCs w:val="24"/>
        </w:rPr>
      </w:pPr>
      <w:r>
        <w:rPr>
          <w:noProof/>
        </w:rPr>
        <w:t>Заключение</w:t>
      </w:r>
    </w:p>
    <w:p w:rsidR="00646145" w:rsidRDefault="000B1630">
      <w:pPr>
        <w:spacing w:line="240" w:lineRule="auto"/>
        <w:jc w:val="both"/>
        <w:rPr>
          <w:rFonts w:ascii="Times New Roman" w:hAnsi="Times New Roman" w:cs="Times New Roman"/>
          <w:noProof/>
          <w:sz w:val="24"/>
          <w:szCs w:val="24"/>
        </w:rPr>
      </w:pPr>
      <w:r>
        <w:rPr>
          <w:rFonts w:ascii="Times New Roman" w:hAnsi="Times New Roman"/>
          <w:noProof/>
          <w:sz w:val="24"/>
        </w:rPr>
        <w:t xml:space="preserve">Свързаната и автоматизираната мобилност е на път да преобрази начина, по който се придвижваме и по който превозните средства се използват, продават </w:t>
      </w:r>
      <w:r>
        <w:rPr>
          <w:rFonts w:ascii="Times New Roman" w:hAnsi="Times New Roman"/>
          <w:noProof/>
          <w:sz w:val="24"/>
        </w:rPr>
        <w:t>и притежават. Тя ще разкрие нови области за развитие на предприемаческата дейност и ще подготви пътя за новите услуги в сферата на мобилността. Комплексната стратегия на ЕС има за цел да подготви пътя за сътрудничество между ЕС, държавите членки, промишлен</w:t>
      </w:r>
      <w:r>
        <w:rPr>
          <w:rFonts w:ascii="Times New Roman" w:hAnsi="Times New Roman"/>
          <w:noProof/>
          <w:sz w:val="24"/>
        </w:rPr>
        <w:t xml:space="preserve">остта, социалните партньори и гражданското общество и да гарантира, че ЕС използва възможностите, предлагани от безпилотната мобилност, като същевременно се прогнозират новите предизвикателства пред обществото и се смекчават последиците от тях. Със своята </w:t>
      </w:r>
      <w:r>
        <w:rPr>
          <w:rFonts w:ascii="Times New Roman" w:hAnsi="Times New Roman"/>
          <w:noProof/>
          <w:sz w:val="24"/>
        </w:rPr>
        <w:t>силна промишлена база и с помощта на амбициозна програма за научни изследвания и иновации и правната рамка, заложена в тази стратегия, Европа притежава силата да се конкурира на световно равнище.</w:t>
      </w:r>
    </w:p>
    <w:p w:rsidR="00646145" w:rsidRDefault="000B1630">
      <w:pPr>
        <w:spacing w:line="240" w:lineRule="auto"/>
        <w:jc w:val="both"/>
        <w:rPr>
          <w:rFonts w:ascii="Times New Roman" w:hAnsi="Times New Roman" w:cs="Times New Roman"/>
          <w:noProof/>
          <w:sz w:val="24"/>
          <w:szCs w:val="24"/>
        </w:rPr>
      </w:pPr>
      <w:r>
        <w:rPr>
          <w:rFonts w:ascii="Times New Roman" w:hAnsi="Times New Roman"/>
          <w:noProof/>
          <w:sz w:val="24"/>
        </w:rPr>
        <w:t>Комисията призовава всички имащи отношение страни, по-специа</w:t>
      </w:r>
      <w:r>
        <w:rPr>
          <w:rFonts w:ascii="Times New Roman" w:hAnsi="Times New Roman"/>
          <w:noProof/>
          <w:sz w:val="24"/>
        </w:rPr>
        <w:t>лно държавите членки, промишлеността, социалните партньори и гражданското общество, да подпомогнат представения в настоящото съобщение подход. В бързо променящия се свят Европа трябва да използва възможността да бъде лидер в осигуряването на безопасна, ефи</w:t>
      </w:r>
      <w:r>
        <w:rPr>
          <w:rFonts w:ascii="Times New Roman" w:hAnsi="Times New Roman"/>
          <w:noProof/>
          <w:sz w:val="24"/>
        </w:rPr>
        <w:t xml:space="preserve">касна, социално отговорна и екологосъобразна безпилотна мобилност за гражданите на ЕС.   </w:t>
      </w:r>
    </w:p>
    <w:sectPr w:rsidR="00646145">
      <w:headerReference w:type="even" r:id="rId18"/>
      <w:headerReference w:type="default" r:id="rId19"/>
      <w:footerReference w:type="even" r:id="rId20"/>
      <w:footerReference w:type="default" r:id="rId21"/>
      <w:headerReference w:type="first" r:id="rId22"/>
      <w:footerReference w:type="first" r:id="rId23"/>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45" w:rsidRDefault="000B1630">
      <w:pPr>
        <w:spacing w:after="0" w:line="240" w:lineRule="auto"/>
      </w:pPr>
      <w:r>
        <w:separator/>
      </w:r>
    </w:p>
  </w:endnote>
  <w:endnote w:type="continuationSeparator" w:id="0">
    <w:p w:rsidR="00646145" w:rsidRDefault="000B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Segoe UI"/>
    <w:panose1 w:val="020B0506040000020004"/>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30" w:rsidRPr="000B1630" w:rsidRDefault="000B1630" w:rsidP="000B1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30" w:rsidRPr="000B1630" w:rsidRDefault="000B1630" w:rsidP="000B1630">
    <w:pPr>
      <w:pStyle w:val="FooterCoverPage"/>
      <w:rPr>
        <w:rFonts w:ascii="Arial" w:hAnsi="Arial" w:cs="Arial"/>
        <w:b/>
        <w:sz w:val="48"/>
      </w:rPr>
    </w:pPr>
    <w:r w:rsidRPr="000B1630">
      <w:rPr>
        <w:rFonts w:ascii="Arial" w:hAnsi="Arial" w:cs="Arial"/>
        <w:b/>
        <w:sz w:val="48"/>
      </w:rPr>
      <w:t>BG</w:t>
    </w:r>
    <w:r w:rsidRPr="000B1630">
      <w:rPr>
        <w:rFonts w:ascii="Arial" w:hAnsi="Arial" w:cs="Arial"/>
        <w:b/>
        <w:sz w:val="48"/>
      </w:rPr>
      <w:tab/>
    </w:r>
    <w:r w:rsidRPr="000B1630">
      <w:rPr>
        <w:rFonts w:ascii="Arial" w:hAnsi="Arial" w:cs="Arial"/>
        <w:b/>
        <w:sz w:val="48"/>
      </w:rPr>
      <w:tab/>
    </w:r>
    <w:r w:rsidRPr="000B1630">
      <w:tab/>
    </w:r>
    <w:r w:rsidRPr="000B1630">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30" w:rsidRPr="000B1630" w:rsidRDefault="000B1630" w:rsidP="000B163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45" w:rsidRDefault="006461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59050"/>
      <w:docPartObj>
        <w:docPartGallery w:val="Page Numbers (Bottom of Page)"/>
        <w:docPartUnique/>
      </w:docPartObj>
    </w:sdtPr>
    <w:sdtEndPr/>
    <w:sdtContent>
      <w:p w:rsidR="00646145" w:rsidRDefault="000B1630">
        <w:pPr>
          <w:pStyle w:val="Footer"/>
          <w:jc w:val="center"/>
        </w:pP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p>
    </w:sdtContent>
  </w:sdt>
  <w:p w:rsidR="00646145" w:rsidRDefault="006461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45" w:rsidRDefault="00646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45" w:rsidRDefault="000B1630">
      <w:pPr>
        <w:spacing w:after="0" w:line="240" w:lineRule="auto"/>
      </w:pPr>
      <w:r>
        <w:separator/>
      </w:r>
    </w:p>
  </w:footnote>
  <w:footnote w:type="continuationSeparator" w:id="0">
    <w:p w:rsidR="00646145" w:rsidRDefault="000B1630">
      <w:pPr>
        <w:spacing w:after="0" w:line="240" w:lineRule="auto"/>
      </w:pPr>
      <w:r>
        <w:continuationSeparator/>
      </w:r>
    </w:p>
  </w:footnote>
  <w:footnote w:id="1">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Съобщение на Комисията „Изкуственият интелект за Европа“ от 25 април, COM(2018) 237.</w:t>
      </w:r>
    </w:p>
  </w:footnote>
  <w:footnote w:id="2">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Доклад на Комисията, озаглавен „В името на човешкия живот:  повишаване на безопасността на автомобилите в ЕС“, COM(2016) 787.</w:t>
      </w:r>
    </w:p>
  </w:footnote>
  <w:footnote w:id="3">
    <w:p w:rsidR="00646145" w:rsidRDefault="000B1630">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Разходите за труд представляват 60% от разходите за услугите за споделени пътувания.</w:t>
      </w:r>
    </w:p>
  </w:footnote>
  <w:footnote w:id="4">
    <w:p w:rsidR="00646145" w:rsidRDefault="000B1630">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Банка UBS прогнозира, че автоматизацията</w:t>
      </w:r>
      <w:r>
        <w:rPr>
          <w:rFonts w:ascii="Times New Roman" w:hAnsi="Times New Roman"/>
        </w:rPr>
        <w:t>, конкуренцията и електрифицирането ще намалят разходите за споделените пътувания със 70%.</w:t>
      </w:r>
    </w:p>
  </w:footnote>
  <w:footnote w:id="5">
    <w:p w:rsidR="00646145" w:rsidRDefault="000B1630">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Според Boston Consulting Group автоматизираните превозни средства следва да представляват 20% от световните продажби на превозни средства през 2025 г.</w:t>
      </w:r>
    </w:p>
  </w:footnote>
  <w:footnote w:id="6">
    <w:p w:rsidR="00646145" w:rsidRDefault="000B1630">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https://connectedautomateddriving.eu/mediaroom/europe-leading-patent-race-autonomous-driving/</w:t>
        </w:r>
      </w:hyperlink>
    </w:p>
  </w:footnote>
  <w:footnote w:id="7">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 Световен икономически форум, Самоуправляващи се превозни</w:t>
      </w:r>
      <w:r>
        <w:rPr>
          <w:rFonts w:ascii="Times New Roman" w:hAnsi="Times New Roman"/>
        </w:rPr>
        <w:t xml:space="preserve"> средства в градски контекст, януари 2016 г.</w:t>
      </w:r>
    </w:p>
  </w:footnote>
  <w:footnote w:id="8">
    <w:p w:rsidR="00646145" w:rsidRDefault="000B1630">
      <w:pPr>
        <w:pStyle w:val="FootnoteText"/>
        <w:ind w:left="126" w:hanging="126"/>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Проучване на Комисията(2018): </w:t>
      </w:r>
      <w:hyperlink r:id="rId2">
        <w:r>
          <w:rPr>
            <w:rStyle w:val="Hyperlink"/>
            <w:rFonts w:ascii="Times New Roman" w:hAnsi="Times New Roman"/>
          </w:rPr>
          <w:t>https://ec.europa.eu/jrc/en/publication/eur-scientific-and-technical-research-reports/analysis-possible-socio-economic-effects-connected-cooperative-and-automated-mobility-ccam-europe</w:t>
        </w:r>
      </w:hyperlink>
      <w:r>
        <w:rPr>
          <w:rFonts w:ascii="Times New Roman" w:hAnsi="Times New Roman"/>
        </w:rPr>
        <w:t xml:space="preserve"> </w:t>
      </w:r>
    </w:p>
  </w:footnote>
  <w:footnote w:id="9">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Съобщение на Комисията „Обновена стратегия на ЕС за индустриалната политика“, COM(2017) 479.</w:t>
      </w:r>
    </w:p>
  </w:footnote>
  <w:footnote w:id="10">
    <w:p w:rsidR="00646145" w:rsidRDefault="000B1630">
      <w:pPr>
        <w:pStyle w:val="FootnoteText"/>
        <w:ind w:left="210" w:hanging="210"/>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Бяла книга: Пътна карта за постигането на Единно европейско транспортно пространство, COM(2011) 144. </w:t>
      </w:r>
    </w:p>
  </w:footnote>
  <w:footnote w:id="11">
    <w:p w:rsidR="00646145" w:rsidRDefault="000B1630">
      <w:pPr>
        <w:pStyle w:val="FootnoteText"/>
        <w:ind w:left="210" w:hanging="210"/>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За пълната дефиниция на равнищата на Дружеството на авто</w:t>
      </w:r>
      <w:r>
        <w:rPr>
          <w:rFonts w:ascii="Times New Roman" w:hAnsi="Times New Roman"/>
        </w:rPr>
        <w:t xml:space="preserve">мобилните инженери, вж.: </w:t>
      </w:r>
      <w:hyperlink r:id="rId3">
        <w:r>
          <w:rPr>
            <w:rStyle w:val="Hyperlink"/>
            <w:rFonts w:ascii="Times New Roman" w:hAnsi="Times New Roman"/>
          </w:rPr>
          <w:t>http://articles.sae.org/13573/</w:t>
        </w:r>
      </w:hyperlink>
      <w:r>
        <w:rPr>
          <w:rFonts w:ascii="Times New Roman" w:hAnsi="Times New Roman"/>
        </w:rPr>
        <w:t>. Равнище 4 включва превозни средства с водач (напр. автопилот по магистралата) или без водач (напр. совалков превоз за специални пътувания).</w:t>
      </w:r>
    </w:p>
  </w:footnote>
  <w:footnote w:id="12">
    <w:p w:rsidR="00646145" w:rsidRDefault="000B1630">
      <w:pPr>
        <w:pStyle w:val="FootnoteText"/>
        <w:ind w:left="210" w:hanging="210"/>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Вж. Път</w:t>
      </w:r>
      <w:r>
        <w:rPr>
          <w:rFonts w:ascii="Times New Roman" w:hAnsi="Times New Roman"/>
        </w:rPr>
        <w:t xml:space="preserve">ната карта за автоматизирано управление на Европейският консултативен съвет за изследвания в областта на пътния транспорт: </w:t>
      </w:r>
      <w:hyperlink r:id="rId4">
        <w:r>
          <w:rPr>
            <w:rStyle w:val="Hyperlink"/>
            <w:rFonts w:ascii="Times New Roman" w:hAnsi="Times New Roman"/>
          </w:rPr>
          <w:t>http://www.ertrac.org/uploads/images/ERTRAC</w:t>
        </w:r>
        <w:r>
          <w:rPr>
            <w:rStyle w:val="Hyperlink"/>
            <w:rFonts w:ascii="Times New Roman" w:hAnsi="Times New Roman"/>
          </w:rPr>
          <w:t>_Automated_Driving_2017.pdf</w:t>
        </w:r>
      </w:hyperlink>
    </w:p>
  </w:footnote>
  <w:footnote w:id="13">
    <w:p w:rsidR="00646145" w:rsidRDefault="000B1630">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Подробни класификации на системата:  </w:t>
      </w:r>
      <w:hyperlink r:id="rId5" w:history="1">
        <w:r>
          <w:rPr>
            <w:rStyle w:val="Hyperlink"/>
            <w:rFonts w:ascii="Times New Roman" w:hAnsi="Times New Roman"/>
          </w:rPr>
          <w:t>https://www.adaptive-ip.eu/fil</w:t>
        </w:r>
        <w:r>
          <w:rPr>
            <w:rStyle w:val="Hyperlink"/>
            <w:rFonts w:ascii="Times New Roman" w:hAnsi="Times New Roman"/>
          </w:rPr>
          <w:t>es/adaptive/content/downloads/Deliverables%20&amp;%20papers/AdaptIVe-SP2-v12-DL-D2.1-System%20Classification.pdf</w:t>
        </w:r>
      </w:hyperlink>
      <w:r>
        <w:rPr>
          <w:rFonts w:ascii="Times New Roman" w:hAnsi="Times New Roman"/>
        </w:rPr>
        <w:t xml:space="preserve"> </w:t>
      </w:r>
    </w:p>
  </w:footnote>
  <w:footnote w:id="14">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Вследствие на проучванията са налице количествени данни, че автоматизацията без свързаност може да доведе до потенциално влошаване на пътните условия: </w:t>
      </w:r>
      <w:hyperlink r:id="rId6">
        <w:r>
          <w:rPr>
            <w:rStyle w:val="Hyperlink"/>
            <w:rFonts w:ascii="Times New Roman" w:hAnsi="Times New Roman"/>
          </w:rPr>
          <w:t>https://ec.europa.eu/jrc/en/publication/connected-and-automated-vehicles-freeway-scenario-effect-traffic-congestion-and-network-capacity</w:t>
        </w:r>
      </w:hyperlink>
      <w:r>
        <w:rPr>
          <w:rFonts w:ascii="Times New Roman" w:hAnsi="Times New Roman"/>
        </w:rPr>
        <w:t xml:space="preserve">  </w:t>
      </w:r>
    </w:p>
  </w:footnote>
  <w:footnote w:id="15">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PwC, Стратегия и доклад относно цифровите технологии за 2017 г.</w:t>
      </w:r>
      <w:r>
        <w:rPr>
          <w:rFonts w:ascii="Times New Roman" w:hAnsi="Times New Roman"/>
        </w:rPr>
        <w:t xml:space="preserve">  </w:t>
      </w:r>
    </w:p>
  </w:footnote>
  <w:footnote w:id="16">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2007/46/ЕО относно одобряване на превозните средства, отменена с нов регламент относно одобряването на типа (предстои да се публикува: </w:t>
      </w:r>
      <w:hyperlink r:id="rId7">
        <w:r>
          <w:rPr>
            <w:rStyle w:val="Hyperlink"/>
            <w:rFonts w:ascii="Times New Roman" w:hAnsi="Times New Roman"/>
          </w:rPr>
          <w:t>http://www.europarl.europa.eu/sides/getDoc.do?pubRef=-//EP//NONSGML+TA+P8-TA-2018-0179+0+DOC+PDF+V0//EN</w:t>
        </w:r>
      </w:hyperlink>
      <w:r>
        <w:rPr>
          <w:rFonts w:ascii="Times New Roman" w:hAnsi="Times New Roman"/>
        </w:rPr>
        <w:t>).</w:t>
      </w:r>
    </w:p>
  </w:footnote>
  <w:footnote w:id="17">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ЕС е договаряща се страна по Международната спогодба на ООН от 1958 г. относно одобряването на превозните средства.</w:t>
      </w:r>
    </w:p>
  </w:footnote>
  <w:footnote w:id="18">
    <w:p w:rsidR="00646145" w:rsidRDefault="000B1630">
      <w:pPr>
        <w:spacing w:after="0"/>
        <w:ind w:left="210" w:hanging="21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hyperlink r:id="rId8">
        <w:r>
          <w:rPr>
            <w:rStyle w:val="Hyperlink"/>
            <w:rFonts w:ascii="Times New Roman" w:hAnsi="Times New Roman"/>
            <w:sz w:val="20"/>
          </w:rPr>
          <w:t>https://www.govtrack.us/congress/bills/115/hr3388</w:t>
        </w:r>
      </w:hyperlink>
    </w:p>
  </w:footnote>
  <w:footnote w:id="19">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раздел 4.</w:t>
      </w:r>
    </w:p>
  </w:footnote>
  <w:footnote w:id="20">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https://www.regjeringen.no/contentassets/ba7ab6e2a0e14e39baa77f5b76f59d14/2016-04-08-declaration-of-amsterdam-</w:t>
        </w:r>
        <w:r>
          <w:rPr>
            <w:rStyle w:val="Hyperlink"/>
            <w:rFonts w:ascii="Times New Roman" w:hAnsi="Times New Roman"/>
          </w:rPr>
          <w:t>--final1400661.pdf</w:t>
        </w:r>
      </w:hyperlink>
      <w:r>
        <w:rPr>
          <w:rFonts w:ascii="Times New Roman" w:hAnsi="Times New Roman"/>
        </w:rPr>
        <w:t xml:space="preserve"> </w:t>
      </w:r>
    </w:p>
  </w:footnote>
  <w:footnote w:id="21">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„5G за Европа: План за действие“, COM(2016) 588. </w:t>
      </w:r>
    </w:p>
  </w:footnote>
  <w:footnote w:id="22">
    <w:p w:rsidR="00646145" w:rsidRDefault="000B1630">
      <w:pPr>
        <w:pStyle w:val="Default"/>
        <w:ind w:left="210" w:hanging="210"/>
        <w:jc w:val="both"/>
      </w:pPr>
      <w:r>
        <w:rPr>
          <w:rStyle w:val="FootnoteReference"/>
          <w:sz w:val="20"/>
        </w:rPr>
        <w:footnoteRef/>
      </w:r>
      <w:r>
        <w:rPr>
          <w:sz w:val="20"/>
        </w:rPr>
        <w:t xml:space="preserve"> </w:t>
      </w:r>
      <w:r>
        <w:rPr>
          <w:color w:val="auto"/>
          <w:sz w:val="20"/>
        </w:rPr>
        <w:t>Съобщение от Европейската комисия „Съвместни интелигентни транспортни системи“, COM(2016) 766.</w:t>
      </w:r>
    </w:p>
  </w:footnote>
  <w:footnote w:id="23">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от Европейската комисия „Космическа стратегия за Евр</w:t>
      </w:r>
      <w:r>
        <w:rPr>
          <w:rFonts w:ascii="Times New Roman" w:hAnsi="Times New Roman"/>
        </w:rPr>
        <w:t>опа“, COM(2016) 705.</w:t>
      </w:r>
    </w:p>
  </w:footnote>
  <w:footnote w:id="24">
    <w:p w:rsidR="00646145" w:rsidRDefault="000B1630">
      <w:pPr>
        <w:pStyle w:val="FootnoteText"/>
        <w:ind w:left="210" w:hanging="21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COM(2018) 237.</w:t>
      </w:r>
    </w:p>
  </w:footnote>
  <w:footnote w:id="25">
    <w:p w:rsidR="00646145" w:rsidRDefault="000B1630">
      <w:pPr>
        <w:pStyle w:val="FootnoteText"/>
        <w:ind w:left="210" w:hanging="21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hyperlink r:id="rId10">
        <w:r>
          <w:rPr>
            <w:rStyle w:val="Hyperlink"/>
            <w:rFonts w:ascii="Times New Roman" w:hAnsi="Times New Roman"/>
          </w:rPr>
          <w:t>https://ec.europa.eu/growth/content/high-level-group-gear-2030-report-on-au</w:t>
        </w:r>
        <w:r>
          <w:rPr>
            <w:rStyle w:val="Hyperlink"/>
            <w:rFonts w:ascii="Times New Roman" w:hAnsi="Times New Roman"/>
          </w:rPr>
          <w:t>tomotive-competitiveness-and-sustainability_en</w:t>
        </w:r>
      </w:hyperlink>
      <w:r>
        <w:rPr>
          <w:rFonts w:ascii="Times New Roman" w:hAnsi="Times New Roman"/>
        </w:rPr>
        <w:t xml:space="preserve"> </w:t>
      </w:r>
    </w:p>
  </w:footnote>
  <w:footnote w:id="26">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https://www.c-roads.eu/platform.html</w:t>
        </w:r>
      </w:hyperlink>
      <w:r>
        <w:rPr>
          <w:rFonts w:ascii="Times New Roman" w:hAnsi="Times New Roman"/>
        </w:rPr>
        <w:t>. Платформата C-ROADS обединява всички текущи дейности за внедряване на съвместни интелигентни транспортни системи</w:t>
      </w:r>
      <w:r>
        <w:rPr>
          <w:rFonts w:ascii="Times New Roman" w:hAnsi="Times New Roman"/>
        </w:rPr>
        <w:t xml:space="preserve"> в целия ЕС, за да се гарантира оперативната съвместимост на услугите. </w:t>
      </w:r>
    </w:p>
  </w:footnote>
  <w:footnote w:id="27">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https://ec.europa.eu/digital-single-market/en/cooperative-connect</w:t>
        </w:r>
        <w:r>
          <w:rPr>
            <w:rStyle w:val="Hyperlink"/>
            <w:rFonts w:ascii="Times New Roman" w:hAnsi="Times New Roman"/>
          </w:rPr>
          <w:t>ed-and-automated-mobility-europe</w:t>
        </w:r>
      </w:hyperlink>
    </w:p>
  </w:footnote>
  <w:footnote w:id="28">
    <w:p w:rsidR="00646145" w:rsidRDefault="000B1630">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https://www.bmvi.de/SharedDocs/EN/Documents/DG/action-plan-automated-and-connected-d</w:t>
        </w:r>
        <w:r>
          <w:rPr>
            <w:rStyle w:val="Hyperlink"/>
            <w:rFonts w:ascii="Times New Roman" w:hAnsi="Times New Roman"/>
          </w:rPr>
          <w:t>riving.pdf?__blob=publicationFile</w:t>
        </w:r>
      </w:hyperlink>
    </w:p>
  </w:footnote>
  <w:footnote w:id="29">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https://www.c-roads.eu/platform.html</w:t>
        </w:r>
      </w:hyperlink>
      <w:r>
        <w:rPr>
          <w:rStyle w:val="Hyperlink"/>
          <w:rFonts w:ascii="Times New Roman" w:hAnsi="Times New Roman"/>
        </w:rPr>
        <w:t xml:space="preserve"> </w:t>
      </w:r>
    </w:p>
  </w:footnote>
  <w:footnote w:id="30">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hyperlink r:id="rId15">
        <w:r>
          <w:rPr>
            <w:rStyle w:val="Hyperlink"/>
            <w:rFonts w:ascii="Times New Roman" w:hAnsi="Times New Roman"/>
          </w:rPr>
          <w:t>https://www.bmvi.de/SharedDocs/EN/Documents/DG/action-plan-automated-and-connected-driving.pdf?__blob=publicationFile</w:t>
        </w:r>
      </w:hyperlink>
    </w:p>
  </w:footnote>
  <w:footnote w:id="31">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GEAR 2030 — Окончателен доклад.</w:t>
      </w:r>
      <w:hyperlink r:id="rId16"/>
      <w:r>
        <w:rPr>
          <w:rFonts w:ascii="Times New Roman" w:hAnsi="Times New Roman"/>
        </w:rPr>
        <w:t>.</w:t>
      </w:r>
    </w:p>
  </w:footnote>
  <w:footnote w:id="32">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рамките на Комитета за интелигентни транспортни системи.</w:t>
      </w:r>
    </w:p>
  </w:footnote>
  <w:footnote w:id="33">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Държавите членки определиха набор от трансгранични корид</w:t>
      </w:r>
      <w:r>
        <w:rPr>
          <w:rFonts w:ascii="Times New Roman" w:hAnsi="Times New Roman"/>
        </w:rPr>
        <w:t>ори за стимулиране на широкомащабните изпитвания и внедряването на 5G за свързаната и автоматизираната мобилност по тях вследствие на писмото за намерение от 23 март 2017 г., подписано от 27 държави членки, Швейцария и Норвегия.</w:t>
      </w:r>
    </w:p>
  </w:footnote>
  <w:footnote w:id="34">
    <w:p w:rsidR="00646145" w:rsidRDefault="000B1630">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Специализирана подгрупа к</w:t>
      </w:r>
      <w:r>
        <w:rPr>
          <w:rFonts w:ascii="Times New Roman" w:hAnsi="Times New Roman"/>
        </w:rPr>
        <w:t>ъм стратегическата програма за научни изследвания и иновации в областта на транспорта.</w:t>
      </w:r>
    </w:p>
  </w:footnote>
  <w:footnote w:id="35">
    <w:p w:rsidR="00646145" w:rsidRDefault="000B1630">
      <w:pPr>
        <w:pStyle w:val="FootnoteText"/>
        <w:ind w:left="196" w:hanging="19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Предстои публикация: </w:t>
      </w:r>
      <w:hyperlink r:id="rId17">
        <w:r>
          <w:rPr>
            <w:rStyle w:val="Hyperlink"/>
            <w:rFonts w:ascii="Times New Roman" w:hAnsi="Times New Roman"/>
          </w:rPr>
          <w:t>http://www.europarl.europa.eu/sides/getDoc.do?pubRef=-//EP//NONSGML+TA+P8-TA-2018-0179+0+DOC+PDF+V0//EN</w:t>
        </w:r>
      </w:hyperlink>
      <w:r>
        <w:rPr>
          <w:rFonts w:ascii="Times New Roman" w:hAnsi="Times New Roman"/>
        </w:rPr>
        <w:t xml:space="preserve"> </w:t>
      </w:r>
    </w:p>
  </w:footnote>
  <w:footnote w:id="36">
    <w:p w:rsidR="00646145" w:rsidRDefault="000B1630">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20 от Директива 2007/46/ЕО. Новият регламент съдържа равностойна разпоредба в член 39 и ще се прилага от 1 септември 2020 г.</w:t>
      </w:r>
    </w:p>
  </w:footnote>
  <w:footnote w:id="37">
    <w:p w:rsidR="00646145" w:rsidRDefault="000B1630">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https://ec.europa.eu/growth/content/high-level-group-gear-2030-report-on-automotive-competitiveness-and-sustainability_en</w:t>
        </w:r>
      </w:hyperlink>
      <w:r>
        <w:rPr>
          <w:rFonts w:ascii="Times New Roman" w:hAnsi="Times New Roman"/>
        </w:rPr>
        <w:t xml:space="preserve"> . Вж. прил</w:t>
      </w:r>
      <w:r>
        <w:rPr>
          <w:rFonts w:ascii="Times New Roman" w:hAnsi="Times New Roman"/>
        </w:rPr>
        <w:t>ожение 3 към доклада.</w:t>
      </w:r>
    </w:p>
  </w:footnote>
  <w:footnote w:id="38">
    <w:p w:rsidR="00646145" w:rsidRDefault="000B1630">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9">
        <w:r>
          <w:rPr>
            <w:rStyle w:val="Hyperlink"/>
            <w:rFonts w:ascii="Times New Roman" w:hAnsi="Times New Roman"/>
          </w:rPr>
          <w:t>http://www.unece.org/fileadmin/DAM/trans/main/wp29/wp29resolutions/ECE-TRANS-WP29-1140e.pdf</w:t>
        </w:r>
      </w:hyperlink>
      <w:r>
        <w:rPr>
          <w:rFonts w:ascii="Times New Roman" w:hAnsi="Times New Roman"/>
        </w:rPr>
        <w:t xml:space="preserve">  </w:t>
      </w:r>
    </w:p>
  </w:footnote>
  <w:footnote w:id="39">
    <w:p w:rsidR="00646145" w:rsidRDefault="000B1630">
      <w:pPr>
        <w:pStyle w:val="FootnoteText"/>
        <w:ind w:left="224" w:hanging="224"/>
        <w:jc w:val="both"/>
      </w:pPr>
      <w:r>
        <w:rPr>
          <w:rStyle w:val="FootnoteReference"/>
          <w:rFonts w:ascii="Times New Roman" w:hAnsi="Times New Roman"/>
        </w:rPr>
        <w:footnoteRef/>
      </w:r>
      <w:r>
        <w:rPr>
          <w:rFonts w:ascii="Times New Roman" w:hAnsi="Times New Roman"/>
        </w:rPr>
        <w:t xml:space="preserve"> Конвенцията за движението</w:t>
      </w:r>
      <w:r>
        <w:rPr>
          <w:rFonts w:ascii="Times New Roman" w:hAnsi="Times New Roman"/>
        </w:rPr>
        <w:t xml:space="preserve"> по пътищата от 1968 г. се прилага от по-голяма част от държавите — членки на ЕС. Женевската конвенция от 1949 г. (предшественик на Виенската конвенция) се прилага от някои държави — членки на ЕС. </w:t>
      </w:r>
    </w:p>
  </w:footnote>
  <w:footnote w:id="40">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2010/40/EС относно рамката за внедряване на ин</w:t>
      </w:r>
      <w:r>
        <w:rPr>
          <w:rFonts w:ascii="Times New Roman" w:hAnsi="Times New Roman"/>
        </w:rPr>
        <w:t>телигентните транспортни системи.</w:t>
      </w:r>
    </w:p>
  </w:footnote>
  <w:footnote w:id="41">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2016/679 относно защитата на физическите лица във връзка с обработването на лични данни и относно свободното движение на такива данни.</w:t>
      </w:r>
    </w:p>
  </w:footnote>
  <w:footnote w:id="42">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2009/103/ЕО относно застраховката „Гражданска отговорност“</w:t>
      </w:r>
      <w:r>
        <w:rPr>
          <w:rFonts w:ascii="Times New Roman" w:hAnsi="Times New Roman"/>
        </w:rPr>
        <w:t xml:space="preserve"> при използването на моторни превозни средства и за контрол върху задължението за сключване на такава застраховка.</w:t>
      </w:r>
    </w:p>
  </w:footnote>
  <w:footnote w:id="43">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85/374/ЕИО на Съвета за сближаване на законовите, подзаконовите и административните разпоредби на държавите членки относно отгово</w:t>
      </w:r>
      <w:r>
        <w:rPr>
          <w:rFonts w:ascii="Times New Roman" w:hAnsi="Times New Roman"/>
        </w:rPr>
        <w:t>рността за вреди, причинени от дефект на стока.</w:t>
      </w:r>
    </w:p>
  </w:footnote>
  <w:footnote w:id="44">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По-общия случай на отговорността, свързана с интернет на нещата и изкуствения интелект, е включен в съобщението на Комисията Изкуствен интелект за Европа COM(2018) 237 final и съпътстващия работен документ </w:t>
      </w:r>
      <w:r>
        <w:rPr>
          <w:rFonts w:ascii="Times New Roman" w:hAnsi="Times New Roman"/>
        </w:rPr>
        <w:t>на службите на Комисията относно отговорността за нововъзникващите цифрови технологии  (SWD(2018) 137).</w:t>
      </w:r>
    </w:p>
  </w:footnote>
  <w:footnote w:id="45">
    <w:p w:rsidR="00646145" w:rsidRDefault="000B1630">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0">
        <w:r>
          <w:rPr>
            <w:rStyle w:val="Hyperlink"/>
            <w:rFonts w:ascii="Times New Roman" w:hAnsi="Times New Roman"/>
          </w:rPr>
          <w:t>https://ec.europa.eu/info/consultations/finance-2017-motor-</w:t>
        </w:r>
        <w:r>
          <w:rPr>
            <w:rStyle w:val="Hyperlink"/>
            <w:rFonts w:ascii="Times New Roman" w:hAnsi="Times New Roman"/>
          </w:rPr>
          <w:t>insurance_en</w:t>
        </w:r>
      </w:hyperlink>
      <w:r>
        <w:rPr>
          <w:rFonts w:ascii="Times New Roman" w:hAnsi="Times New Roman"/>
        </w:rPr>
        <w:t>. Очакват се пълните заключения от оценката.</w:t>
      </w:r>
    </w:p>
  </w:footnote>
  <w:footnote w:id="46">
    <w:p w:rsidR="00646145" w:rsidRDefault="000B1630">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1">
        <w:r>
          <w:rPr>
            <w:rStyle w:val="Hyperlink"/>
            <w:rFonts w:ascii="Times New Roman" w:hAnsi="Times New Roman"/>
          </w:rPr>
          <w:t>http://eur-lex.europa.eu/legal-content/EN/TXT/?uri=COM%3A2016%3A766%3AFIN</w:t>
        </w:r>
      </w:hyperlink>
      <w:r>
        <w:rPr>
          <w:rFonts w:ascii="Times New Roman" w:hAnsi="Times New Roman"/>
        </w:rPr>
        <w:t xml:space="preserve"> </w:t>
      </w:r>
    </w:p>
  </w:footnote>
  <w:footnote w:id="47">
    <w:p w:rsidR="00646145" w:rsidRDefault="000B1630">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2">
        <w:r>
          <w:rPr>
            <w:rStyle w:val="Hyperlink"/>
            <w:rFonts w:ascii="Times New Roman" w:hAnsi="Times New Roman"/>
          </w:rPr>
          <w:t>http://www.acea.be/uploads/publications/Platooning_roadmap.pdf</w:t>
        </w:r>
      </w:hyperlink>
      <w:r>
        <w:rPr>
          <w:rFonts w:ascii="Times New Roman" w:hAnsi="Times New Roman"/>
        </w:rPr>
        <w:t xml:space="preserve"> </w:t>
      </w:r>
    </w:p>
  </w:footnote>
  <w:footnote w:id="48">
    <w:p w:rsidR="00646145" w:rsidRDefault="000B1630">
      <w:pPr>
        <w:pStyle w:val="FootnoteText"/>
      </w:pPr>
      <w:r>
        <w:rPr>
          <w:rStyle w:val="FootnoteReference"/>
        </w:rPr>
        <w:footnoteRef/>
      </w:r>
      <w:r>
        <w:t xml:space="preserve"> </w:t>
      </w:r>
      <w:r>
        <w:rPr>
          <w:rFonts w:ascii="Times New Roman" w:hAnsi="Times New Roman"/>
        </w:rPr>
        <w:t xml:space="preserve">Регламент (ЕС) 2016/679 относно защитата на физическите лица във връзка с обработването на лични данни и относно свободното движение на </w:t>
      </w:r>
      <w:r>
        <w:rPr>
          <w:rFonts w:ascii="Times New Roman" w:hAnsi="Times New Roman"/>
        </w:rPr>
        <w:t>такива данни</w:t>
      </w:r>
      <w:r>
        <w:rPr>
          <w:rStyle w:val="Hyperlink"/>
          <w:rFonts w:ascii="Times New Roman" w:hAnsi="Times New Roman"/>
          <w:u w:val="none"/>
        </w:rPr>
        <w:t>.</w:t>
      </w:r>
    </w:p>
  </w:footnote>
  <w:footnote w:id="49">
    <w:p w:rsidR="00646145" w:rsidRDefault="000B1630">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3">
        <w:r>
          <w:rPr>
            <w:rStyle w:val="Hyperlink"/>
            <w:rFonts w:ascii="Times New Roman" w:hAnsi="Times New Roman"/>
          </w:rPr>
          <w:t>https://ec.europa.eu/digital-single-market/en/cyber-security</w:t>
        </w:r>
      </w:hyperlink>
      <w:r>
        <w:rPr>
          <w:rFonts w:ascii="Times New Roman" w:hAnsi="Times New Roman"/>
        </w:rPr>
        <w:t xml:space="preserve"> </w:t>
      </w:r>
    </w:p>
  </w:footnote>
  <w:footnote w:id="50">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Certificate and security policy documents available at </w:t>
      </w:r>
      <w:hyperlink r:id="rId24">
        <w:r>
          <w:rPr>
            <w:rStyle w:val="Hyperlink"/>
            <w:rFonts w:ascii="Times New Roman" w:hAnsi="Times New Roman"/>
          </w:rPr>
          <w:t>https://ec.europa.eu/transport/themes/its/c-its_en</w:t>
        </w:r>
      </w:hyperlink>
    </w:p>
  </w:footnote>
  <w:footnote w:id="51">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European Parliament document A8-0036/18/ </w:t>
      </w:r>
      <w:r>
        <w:rPr>
          <w:rStyle w:val="reference"/>
          <w:rFonts w:ascii="Times New Roman" w:hAnsi="Times New Roman"/>
        </w:rPr>
        <w:t>P8_TA -PROV(2018)0063.</w:t>
      </w:r>
    </w:p>
  </w:footnote>
  <w:footnote w:id="52">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Предстои публикация: </w:t>
      </w:r>
      <w:hyperlink r:id="rId25">
        <w:r>
          <w:rPr>
            <w:rStyle w:val="Hyperlink"/>
            <w:rFonts w:ascii="Times New Roman" w:hAnsi="Times New Roman"/>
          </w:rPr>
          <w:t>http://www.europarl.europa.eu/sides/getDoc.do?pubRef=-//EP//NONSGML+TA+P8-TA-2018-0179+0+DOC+PDF+V0//EN</w:t>
        </w:r>
      </w:hyperlink>
    </w:p>
  </w:footnote>
  <w:footnote w:id="53">
    <w:p w:rsidR="00646145" w:rsidRDefault="000B1630">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COM(2018) 232.</w:t>
      </w:r>
    </w:p>
  </w:footnote>
  <w:footnote w:id="54">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COM(2017) 9.</w:t>
      </w:r>
    </w:p>
  </w:footnote>
  <w:footnote w:id="55">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Окончателен доклад от януари 2016 г.: </w:t>
      </w:r>
      <w:hyperlink r:id="rId26">
        <w:r>
          <w:rPr>
            <w:rStyle w:val="Hyperlink"/>
            <w:rFonts w:ascii="Times New Roman" w:hAnsi="Times New Roman"/>
          </w:rPr>
          <w:t>https://ec.europa.eu/transport/sites/transport/files/themes/its/doc/c-its-platform-final-report-january-2016.pdf</w:t>
        </w:r>
      </w:hyperlink>
    </w:p>
  </w:footnote>
  <w:footnote w:id="56">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Предложение за регламент за рамка за свободното движен</w:t>
      </w:r>
      <w:r>
        <w:rPr>
          <w:rFonts w:ascii="Times New Roman" w:hAnsi="Times New Roman"/>
        </w:rPr>
        <w:t>ие на нелични данни, COM (2017) 495.</w:t>
      </w:r>
    </w:p>
  </w:footnote>
  <w:footnote w:id="57">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hyperlink r:id="rId27">
        <w:r>
          <w:rPr>
            <w:rStyle w:val="Hyperlink"/>
            <w:rFonts w:ascii="Times New Roman" w:hAnsi="Times New Roman"/>
          </w:rPr>
          <w:t>https://ec.europa.eu/transport/sites/transport/files/2017-05-access-to-in-vehicle-data-and-resources.pdf</w:t>
        </w:r>
      </w:hyperlink>
    </w:p>
  </w:footnote>
  <w:footnote w:id="58">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Директива 2010/40/ЕО.</w:t>
      </w:r>
    </w:p>
  </w:footnote>
  <w:footnote w:id="59">
    <w:p w:rsidR="00646145" w:rsidRDefault="000B1630">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Предложение на Комисията COM(2017) 676, цели за СО 2 за новите автомобили и микробуси до 2030 г.</w:t>
      </w:r>
    </w:p>
  </w:footnote>
  <w:footnote w:id="60">
    <w:p w:rsidR="00646145" w:rsidRDefault="000B1630">
      <w:pPr>
        <w:spacing w:after="0" w:line="240" w:lineRule="auto"/>
        <w:ind w:left="210" w:hanging="21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Например в проучването на </w:t>
      </w:r>
      <w:r>
        <w:rPr>
          <w:rFonts w:ascii="Times New Roman" w:hAnsi="Times New Roman"/>
          <w:sz w:val="20"/>
        </w:rPr>
        <w:t>Международния транспортен форум към Организацията за икономическо сътрудничество и развитие относно „управление на прехода към безпилотен товарен автомобилен транспорт“ се предлага въвеждането на временна система за разрешения. Заплатените от транспортните</w:t>
      </w:r>
      <w:r>
        <w:rPr>
          <w:rFonts w:ascii="Times New Roman" w:hAnsi="Times New Roman"/>
          <w:sz w:val="20"/>
        </w:rPr>
        <w:t xml:space="preserve"> оператори такси за получаването на разрешение ще дадат възможност да се овладее темпът на автоматизация и да се генерират средства за преквалификация на работната ръка и за подпомагане на лицата, които ще останат без работа.</w:t>
      </w:r>
    </w:p>
  </w:footnote>
  <w:footnote w:id="61">
    <w:p w:rsidR="00646145" w:rsidRDefault="000B1630">
      <w:pPr>
        <w:pStyle w:val="FootnoteText"/>
        <w:ind w:left="196" w:hanging="19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Проучване на Комисията(2018): </w:t>
      </w:r>
      <w:hyperlink r:id="rId28">
        <w:r>
          <w:rPr>
            <w:rStyle w:val="Hyperlink"/>
            <w:rFonts w:ascii="Times New Roman" w:hAnsi="Times New Roman"/>
          </w:rPr>
          <w:t>https://ec.europa.eu/j</w:t>
        </w:r>
        <w:r>
          <w:rPr>
            <w:rStyle w:val="Hyperlink"/>
            <w:rFonts w:ascii="Times New Roman" w:hAnsi="Times New Roman"/>
          </w:rPr>
          <w:t>rc/en/publication/eur-scientific-and-technical-research-reports/analysis-possible-socio-economic-effects-connected-cooperative-and-automated-mobility-ccam-europe</w:t>
        </w:r>
      </w:hyperlink>
      <w:r>
        <w:rPr>
          <w:rFonts w:ascii="Times New Roman" w:hAnsi="Times New Roman"/>
        </w:rPr>
        <w:t xml:space="preserve"> </w:t>
      </w:r>
    </w:p>
  </w:footnote>
  <w:footnote w:id="62">
    <w:p w:rsidR="00646145" w:rsidRDefault="000B1630">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проучването на Международния транспортен форум към Организацията за икономическо сътрудни</w:t>
      </w:r>
      <w:r>
        <w:rPr>
          <w:rFonts w:ascii="Times New Roman" w:hAnsi="Times New Roman"/>
        </w:rPr>
        <w:t>чество и развитие относно „управление на прехода към безпилотен товарен автомобилен транспорт“ се прогнозира, че търсенето на водачи на превозни средства в Европа би могло да намалее от 3,2 милиона водачи понастоящем до 1 милион през 2030 г.</w:t>
      </w:r>
    </w:p>
  </w:footnote>
  <w:footnote w:id="63">
    <w:p w:rsidR="00646145" w:rsidRDefault="000B1630">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9">
        <w:r>
          <w:rPr>
            <w:rStyle w:val="Hyperlink"/>
            <w:rFonts w:ascii="Times New Roman" w:hAnsi="Times New Roman"/>
          </w:rPr>
          <w:t>http://eur-lex.europa.eu/legal-content/EN/TXT/?uri=COM%3A2017%3A228%3AFIN</w:t>
        </w:r>
      </w:hyperlink>
      <w:r>
        <w:rPr>
          <w:rFonts w:ascii="Times New Roman" w:hAnsi="Times New Roman"/>
        </w:rPr>
        <w:t>. Цел на проекта са цифровите умения за всички (развитие на цифровите умения, за да се даде възможност на вс</w:t>
      </w:r>
      <w:r>
        <w:rPr>
          <w:rFonts w:ascii="Times New Roman" w:hAnsi="Times New Roman"/>
        </w:rPr>
        <w:t>ички граждани да бъдат активни в нашето цифрово общество).</w:t>
      </w:r>
    </w:p>
  </w:footnote>
  <w:footnote w:id="64">
    <w:p w:rsidR="00646145" w:rsidRDefault="000B1630">
      <w:pPr>
        <w:pStyle w:val="FootnoteText"/>
        <w:ind w:left="224" w:hanging="224"/>
        <w:jc w:val="both"/>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http://ec.europa.eu/social/main.jsp?catId=1223</w:t>
      </w:r>
    </w:p>
  </w:footnote>
  <w:footnote w:id="65">
    <w:p w:rsidR="00646145" w:rsidRDefault="000B1630">
      <w:pPr>
        <w:pStyle w:val="FootnoteText"/>
        <w:jc w:val="both"/>
      </w:pPr>
      <w:r>
        <w:rPr>
          <w:rStyle w:val="FootnoteReference"/>
          <w:rFonts w:ascii="Times New Roman" w:hAnsi="Times New Roman"/>
        </w:rPr>
        <w:footnoteRef/>
      </w:r>
      <w:r>
        <w:rPr>
          <w:rFonts w:ascii="Times New Roman" w:hAnsi="Times New Roman"/>
        </w:rPr>
        <w:t xml:space="preserve">  http://ec.europa.eu/social/main.jsp?catId=1415&amp;langId=en</w:t>
      </w:r>
    </w:p>
  </w:footnote>
  <w:footnote w:id="66">
    <w:p w:rsidR="00646145" w:rsidRDefault="000B1630">
      <w:pPr>
        <w:pStyle w:val="FootnoteText"/>
        <w:ind w:left="224" w:hanging="224"/>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Европейският алианс за изкуствен интелект е широк форум, обединяващ множество заинте</w:t>
      </w:r>
      <w:r>
        <w:rPr>
          <w:rFonts w:ascii="Times New Roman" w:hAnsi="Times New Roman"/>
        </w:rPr>
        <w:t>ресовани страни, който ще бъде създаден през 2018 г. от Комисията, за да се обсъди бъдещето на изкуствения интелект в Европа. Европейският алианс за изкуствен интелект ще работи в сътрудничество с Европейската група за етика в науката и новите технологии.</w:t>
      </w:r>
    </w:p>
  </w:footnote>
  <w:footnote w:id="67">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w:t>
      </w:r>
      <w:r>
        <w:rPr>
          <w:rFonts w:ascii="Times New Roman" w:hAnsi="Times New Roman"/>
          <w:vertAlign w:val="superscript"/>
        </w:rPr>
        <w:t>-ри</w:t>
      </w:r>
      <w:r>
        <w:rPr>
          <w:rFonts w:ascii="Times New Roman" w:hAnsi="Times New Roman"/>
        </w:rPr>
        <w:t xml:space="preserve"> структуриран диалог на високо равнище, организиран през септември 2017 г., като последваща стъпка във връзка с Амстердамската декларация от 2016 г.</w:t>
      </w:r>
    </w:p>
  </w:footnote>
  <w:footnote w:id="68">
    <w:p w:rsidR="00646145" w:rsidRDefault="000B1630">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Европейската група за етика в науката и новите технологии е консултантска група на Европейската ком</w:t>
      </w:r>
      <w:r>
        <w:rPr>
          <w:rFonts w:ascii="Times New Roman" w:hAnsi="Times New Roman"/>
        </w:rPr>
        <w:t>исия, създадена с Решение (ЕС) 2016/835 на Комисията.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30" w:rsidRPr="000B1630" w:rsidRDefault="000B1630" w:rsidP="000B1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30" w:rsidRPr="000B1630" w:rsidRDefault="000B1630" w:rsidP="000B163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30" w:rsidRPr="000B1630" w:rsidRDefault="000B1630" w:rsidP="000B163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45" w:rsidRDefault="006461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45" w:rsidRDefault="006461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45" w:rsidRDefault="00646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CDA31A5"/>
    <w:multiLevelType w:val="hybridMultilevel"/>
    <w:tmpl w:val="6C0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F2EC9"/>
    <w:multiLevelType w:val="hybridMultilevel"/>
    <w:tmpl w:val="47B0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D72A5"/>
    <w:multiLevelType w:val="hybridMultilevel"/>
    <w:tmpl w:val="0ACC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10951"/>
    <w:multiLevelType w:val="hybridMultilevel"/>
    <w:tmpl w:val="2B2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A0EAF"/>
    <w:multiLevelType w:val="hybridMultilevel"/>
    <w:tmpl w:val="236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5B46F6"/>
    <w:multiLevelType w:val="hybridMultilevel"/>
    <w:tmpl w:val="D5BE6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5">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6D1A04"/>
    <w:multiLevelType w:val="hybridMultilevel"/>
    <w:tmpl w:val="677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3551211"/>
    <w:multiLevelType w:val="hybridMultilevel"/>
    <w:tmpl w:val="851C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4A5F99"/>
    <w:multiLevelType w:val="hybridMultilevel"/>
    <w:tmpl w:val="678A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0963DA"/>
    <w:multiLevelType w:val="hybridMultilevel"/>
    <w:tmpl w:val="B668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773C3"/>
    <w:multiLevelType w:val="hybridMultilevel"/>
    <w:tmpl w:val="F41C6032"/>
    <w:lvl w:ilvl="0" w:tplc="CA8AACE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455030"/>
    <w:multiLevelType w:val="hybridMultilevel"/>
    <w:tmpl w:val="2A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513DE"/>
    <w:multiLevelType w:val="hybridMultilevel"/>
    <w:tmpl w:val="AF3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294866"/>
    <w:multiLevelType w:val="hybridMultilevel"/>
    <w:tmpl w:val="466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DA5DF8"/>
    <w:multiLevelType w:val="hybridMultilevel"/>
    <w:tmpl w:val="91DC1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31"/>
  </w:num>
  <w:num w:numId="4">
    <w:abstractNumId w:val="8"/>
  </w:num>
  <w:num w:numId="5">
    <w:abstractNumId w:val="6"/>
  </w:num>
  <w:num w:numId="6">
    <w:abstractNumId w:val="14"/>
  </w:num>
  <w:num w:numId="7">
    <w:abstractNumId w:val="18"/>
  </w:num>
  <w:num w:numId="8">
    <w:abstractNumId w:val="1"/>
  </w:num>
  <w:num w:numId="9">
    <w:abstractNumId w:val="19"/>
  </w:num>
  <w:num w:numId="10">
    <w:abstractNumId w:val="15"/>
  </w:num>
  <w:num w:numId="11">
    <w:abstractNumId w:val="33"/>
  </w:num>
  <w:num w:numId="12">
    <w:abstractNumId w:val="13"/>
  </w:num>
  <w:num w:numId="13">
    <w:abstractNumId w:val="24"/>
  </w:num>
  <w:num w:numId="14">
    <w:abstractNumId w:val="22"/>
  </w:num>
  <w:num w:numId="15">
    <w:abstractNumId w:val="21"/>
  </w:num>
  <w:num w:numId="16">
    <w:abstractNumId w:val="0"/>
  </w:num>
  <w:num w:numId="17">
    <w:abstractNumId w:val="29"/>
  </w:num>
  <w:num w:numId="18">
    <w:abstractNumId w:val="10"/>
  </w:num>
  <w:num w:numId="19">
    <w:abstractNumId w:val="12"/>
  </w:num>
  <w:num w:numId="20">
    <w:abstractNumId w:val="16"/>
  </w:num>
  <w:num w:numId="21">
    <w:abstractNumId w:val="10"/>
  </w:num>
  <w:num w:numId="22">
    <w:abstractNumId w:val="27"/>
  </w:num>
  <w:num w:numId="23">
    <w:abstractNumId w:val="11"/>
  </w:num>
  <w:num w:numId="24">
    <w:abstractNumId w:val="25"/>
  </w:num>
  <w:num w:numId="25">
    <w:abstractNumId w:val="27"/>
  </w:num>
  <w:num w:numId="26">
    <w:abstractNumId w:val="27"/>
  </w:num>
  <w:num w:numId="27">
    <w:abstractNumId w:val="20"/>
  </w:num>
  <w:num w:numId="28">
    <w:abstractNumId w:val="27"/>
  </w:num>
  <w:num w:numId="29">
    <w:abstractNumId w:val="34"/>
  </w:num>
  <w:num w:numId="30">
    <w:abstractNumId w:val="26"/>
  </w:num>
  <w:num w:numId="31">
    <w:abstractNumId w:val="3"/>
  </w:num>
  <w:num w:numId="32">
    <w:abstractNumId w:val="32"/>
  </w:num>
  <w:num w:numId="33">
    <w:abstractNumId w:val="30"/>
  </w:num>
  <w:num w:numId="34">
    <w:abstractNumId w:val="7"/>
  </w:num>
  <w:num w:numId="35">
    <w:abstractNumId w:val="17"/>
  </w:num>
  <w:num w:numId="36">
    <w:abstractNumId w:val="23"/>
  </w:num>
  <w:num w:numId="37">
    <w:abstractNumId w:val="9"/>
  </w:num>
  <w:num w:numId="38">
    <w:abstractNumId w:val="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CORRIGENDUM_x000b_This document corrects document COM(2018) 283 final of 17.05.2018._x000b_Concerns the BG language version._x000b_In the title, &quot;Parliament&quot; has been misspelled and &quot;European Council&quot; was deleted._x000b_The text shall read as follows:"/>
    <w:docVar w:name="LW_COVERPAGE_EXISTS" w:val="True"/>
    <w:docVar w:name="LW_COVERPAGE_GUID" w:val="765604D8-3755-4B4C-B2FF-9D262D365813"/>
    <w:docVar w:name="LW_COVERPAGE_TYPE" w:val="1"/>
    <w:docVar w:name="LW_CROSSREFERENCE" w:val="&lt;UNUSED&gt;"/>
    <w:docVar w:name="LW_DocType" w:val="NORMAL"/>
    <w:docVar w:name="LW_EMISSION" w:val="1.6.2018"/>
    <w:docVar w:name="LW_EMISSION_ISODATE" w:val="2018-06-01"/>
    <w:docVar w:name="LW_EMISSION_LOCATION" w:val="BRX"/>
    <w:docVar w:name="LW_EMISSION_PREFIX" w:val="\u1041?\u1088?\u1102?\u1082?\u1089?\u1077?\u1083?,"/>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55?\u1086? \u1087?\u1098?\u1090?\u1103? \u1082?\u1098?\u1084? \u1072?\u1074?\u1090?\u1086?\u1084?\u1072?\u1090?\u1080?\u1079?\u1080?\u1088?\u1072?\u1085?\u1072?\u1090?\u1072? \u1084?\u1086?\u1073?\u1080?\u1083?\u1085?\u1086?\u1089?\u1090?: \u1089?\u1090?\u1088?\u1072?\u1090?\u1077?\u1075?\u1080?\u1103? \u1085?\u1072? \u1045?\u1057? \u1079?\u1072? \u1084?\u1086?\u1073?\u1080?\u1083?\u1085?\u1086?\u1089?\u1090?\u1090?\u1072? \u1085?\u1072? \u1073?\u1098?\u1076?\u1077?\u1097?\u1077?\u1090?\u1086?&lt;/FMT&gt;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_x000b_"/>
  </w:docVars>
  <w:rsids>
    <w:rsidRoot w:val="00646145"/>
    <w:rsid w:val="000B1630"/>
    <w:rsid w:val="006461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bg-BG"/>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bg-BG"/>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bg-BG"/>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bg-BG"/>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1330">
      <w:bodyDiv w:val="1"/>
      <w:marLeft w:val="0"/>
      <w:marRight w:val="0"/>
      <w:marTop w:val="0"/>
      <w:marBottom w:val="0"/>
      <w:divBdr>
        <w:top w:val="none" w:sz="0" w:space="0" w:color="auto"/>
        <w:left w:val="none" w:sz="0" w:space="0" w:color="auto"/>
        <w:bottom w:val="none" w:sz="0" w:space="0" w:color="auto"/>
        <w:right w:val="none" w:sz="0" w:space="0" w:color="auto"/>
      </w:divBdr>
      <w:divsChild>
        <w:div w:id="1116098953">
          <w:marLeft w:val="0"/>
          <w:marRight w:val="0"/>
          <w:marTop w:val="0"/>
          <w:marBottom w:val="0"/>
          <w:divBdr>
            <w:top w:val="none" w:sz="0" w:space="0" w:color="auto"/>
            <w:left w:val="none" w:sz="0" w:space="0" w:color="auto"/>
            <w:bottom w:val="none" w:sz="0" w:space="0" w:color="auto"/>
            <w:right w:val="none" w:sz="0" w:space="0" w:color="auto"/>
          </w:divBdr>
          <w:divsChild>
            <w:div w:id="1312103784">
              <w:marLeft w:val="0"/>
              <w:marRight w:val="0"/>
              <w:marTop w:val="0"/>
              <w:marBottom w:val="0"/>
              <w:divBdr>
                <w:top w:val="none" w:sz="0" w:space="0" w:color="auto"/>
                <w:left w:val="none" w:sz="0" w:space="0" w:color="auto"/>
                <w:bottom w:val="none" w:sz="0" w:space="0" w:color="auto"/>
                <w:right w:val="none" w:sz="0" w:space="0" w:color="auto"/>
              </w:divBdr>
              <w:divsChild>
                <w:div w:id="1985809691">
                  <w:marLeft w:val="0"/>
                  <w:marRight w:val="0"/>
                  <w:marTop w:val="0"/>
                  <w:marBottom w:val="0"/>
                  <w:divBdr>
                    <w:top w:val="none" w:sz="0" w:space="0" w:color="auto"/>
                    <w:left w:val="none" w:sz="0" w:space="0" w:color="auto"/>
                    <w:bottom w:val="none" w:sz="0" w:space="0" w:color="auto"/>
                    <w:right w:val="none" w:sz="0" w:space="0" w:color="auto"/>
                  </w:divBdr>
                  <w:divsChild>
                    <w:div w:id="554466566">
                      <w:marLeft w:val="0"/>
                      <w:marRight w:val="0"/>
                      <w:marTop w:val="0"/>
                      <w:marBottom w:val="0"/>
                      <w:divBdr>
                        <w:top w:val="none" w:sz="0" w:space="0" w:color="auto"/>
                        <w:left w:val="none" w:sz="0" w:space="0" w:color="auto"/>
                        <w:bottom w:val="none" w:sz="0" w:space="0" w:color="auto"/>
                        <w:right w:val="none" w:sz="0" w:space="0" w:color="auto"/>
                      </w:divBdr>
                      <w:divsChild>
                        <w:div w:id="151264933">
                          <w:marLeft w:val="0"/>
                          <w:marRight w:val="0"/>
                          <w:marTop w:val="0"/>
                          <w:marBottom w:val="0"/>
                          <w:divBdr>
                            <w:top w:val="none" w:sz="0" w:space="0" w:color="auto"/>
                            <w:left w:val="none" w:sz="0" w:space="0" w:color="auto"/>
                            <w:bottom w:val="none" w:sz="0" w:space="0" w:color="auto"/>
                            <w:right w:val="none" w:sz="0" w:space="0" w:color="auto"/>
                          </w:divBdr>
                          <w:divsChild>
                            <w:div w:id="1163855189">
                              <w:marLeft w:val="0"/>
                              <w:marRight w:val="0"/>
                              <w:marTop w:val="0"/>
                              <w:marBottom w:val="0"/>
                              <w:divBdr>
                                <w:top w:val="single" w:sz="18" w:space="30" w:color="01689B"/>
                                <w:left w:val="none" w:sz="0" w:space="0" w:color="auto"/>
                                <w:bottom w:val="none" w:sz="0" w:space="0" w:color="auto"/>
                                <w:right w:val="none" w:sz="0" w:space="0" w:color="auto"/>
                              </w:divBdr>
                              <w:divsChild>
                                <w:div w:id="166019318">
                                  <w:marLeft w:val="0"/>
                                  <w:marRight w:val="0"/>
                                  <w:marTop w:val="0"/>
                                  <w:marBottom w:val="0"/>
                                  <w:divBdr>
                                    <w:top w:val="none" w:sz="0" w:space="0" w:color="auto"/>
                                    <w:left w:val="none" w:sz="0" w:space="0" w:color="auto"/>
                                    <w:bottom w:val="none" w:sz="0" w:space="0" w:color="auto"/>
                                    <w:right w:val="none" w:sz="0" w:space="0" w:color="auto"/>
                                  </w:divBdr>
                                  <w:divsChild>
                                    <w:div w:id="312413522">
                                      <w:marLeft w:val="0"/>
                                      <w:marRight w:val="0"/>
                                      <w:marTop w:val="0"/>
                                      <w:marBottom w:val="0"/>
                                      <w:divBdr>
                                        <w:top w:val="none" w:sz="0" w:space="0" w:color="auto"/>
                                        <w:left w:val="none" w:sz="0" w:space="0" w:color="auto"/>
                                        <w:bottom w:val="none" w:sz="0" w:space="0" w:color="auto"/>
                                        <w:right w:val="none" w:sz="0" w:space="0" w:color="auto"/>
                                      </w:divBdr>
                                      <w:divsChild>
                                        <w:div w:id="1973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175505454">
      <w:bodyDiv w:val="1"/>
      <w:marLeft w:val="0"/>
      <w:marRight w:val="0"/>
      <w:marTop w:val="0"/>
      <w:marBottom w:val="0"/>
      <w:divBdr>
        <w:top w:val="none" w:sz="0" w:space="0" w:color="auto"/>
        <w:left w:val="none" w:sz="0" w:space="0" w:color="auto"/>
        <w:bottom w:val="none" w:sz="0" w:space="0" w:color="auto"/>
        <w:right w:val="none" w:sz="0" w:space="0" w:color="auto"/>
      </w:divBdr>
    </w:div>
    <w:div w:id="190919500">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499319079">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01957803">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72399">
      <w:bodyDiv w:val="1"/>
      <w:marLeft w:val="0"/>
      <w:marRight w:val="0"/>
      <w:marTop w:val="0"/>
      <w:marBottom w:val="0"/>
      <w:divBdr>
        <w:top w:val="none" w:sz="0" w:space="0" w:color="auto"/>
        <w:left w:val="none" w:sz="0" w:space="0" w:color="auto"/>
        <w:bottom w:val="none" w:sz="0" w:space="0" w:color="auto"/>
        <w:right w:val="none" w:sz="0" w:space="0" w:color="auto"/>
      </w:divBdr>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922571136">
      <w:bodyDiv w:val="1"/>
      <w:marLeft w:val="0"/>
      <w:marRight w:val="0"/>
      <w:marTop w:val="0"/>
      <w:marBottom w:val="0"/>
      <w:divBdr>
        <w:top w:val="none" w:sz="0" w:space="0" w:color="auto"/>
        <w:left w:val="none" w:sz="0" w:space="0" w:color="auto"/>
        <w:bottom w:val="none" w:sz="0" w:space="0" w:color="auto"/>
        <w:right w:val="none" w:sz="0" w:space="0" w:color="auto"/>
      </w:divBdr>
    </w:div>
    <w:div w:id="996035299">
      <w:bodyDiv w:val="1"/>
      <w:marLeft w:val="0"/>
      <w:marRight w:val="0"/>
      <w:marTop w:val="0"/>
      <w:marBottom w:val="0"/>
      <w:divBdr>
        <w:top w:val="none" w:sz="0" w:space="0" w:color="auto"/>
        <w:left w:val="none" w:sz="0" w:space="0" w:color="auto"/>
        <w:bottom w:val="none" w:sz="0" w:space="0" w:color="auto"/>
        <w:right w:val="none" w:sz="0" w:space="0" w:color="auto"/>
      </w:divBdr>
    </w:div>
    <w:div w:id="1003968235">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7502">
      <w:bodyDiv w:val="1"/>
      <w:marLeft w:val="0"/>
      <w:marRight w:val="0"/>
      <w:marTop w:val="0"/>
      <w:marBottom w:val="0"/>
      <w:divBdr>
        <w:top w:val="none" w:sz="0" w:space="0" w:color="auto"/>
        <w:left w:val="none" w:sz="0" w:space="0" w:color="auto"/>
        <w:bottom w:val="none" w:sz="0" w:space="0" w:color="auto"/>
        <w:right w:val="none" w:sz="0" w:space="0" w:color="auto"/>
      </w:divBdr>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230312159">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378168163">
      <w:bodyDiv w:val="1"/>
      <w:marLeft w:val="0"/>
      <w:marRight w:val="0"/>
      <w:marTop w:val="0"/>
      <w:marBottom w:val="0"/>
      <w:divBdr>
        <w:top w:val="none" w:sz="0" w:space="0" w:color="auto"/>
        <w:left w:val="none" w:sz="0" w:space="0" w:color="auto"/>
        <w:bottom w:val="none" w:sz="0" w:space="0" w:color="auto"/>
        <w:right w:val="none" w:sz="0" w:space="0" w:color="auto"/>
      </w:divBdr>
    </w:div>
    <w:div w:id="1409306082">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43927393">
      <w:bodyDiv w:val="1"/>
      <w:marLeft w:val="0"/>
      <w:marRight w:val="0"/>
      <w:marTop w:val="0"/>
      <w:marBottom w:val="0"/>
      <w:divBdr>
        <w:top w:val="none" w:sz="0" w:space="0" w:color="auto"/>
        <w:left w:val="none" w:sz="0" w:space="0" w:color="auto"/>
        <w:bottom w:val="none" w:sz="0" w:space="0" w:color="auto"/>
        <w:right w:val="none" w:sz="0" w:space="0" w:color="auto"/>
      </w:divBdr>
    </w:div>
    <w:div w:id="1668482436">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671249441">
      <w:bodyDiv w:val="1"/>
      <w:marLeft w:val="0"/>
      <w:marRight w:val="0"/>
      <w:marTop w:val="0"/>
      <w:marBottom w:val="0"/>
      <w:divBdr>
        <w:top w:val="none" w:sz="0" w:space="0" w:color="auto"/>
        <w:left w:val="none" w:sz="0" w:space="0" w:color="auto"/>
        <w:bottom w:val="none" w:sz="0" w:space="0" w:color="auto"/>
        <w:right w:val="none" w:sz="0" w:space="0" w:color="auto"/>
      </w:divBdr>
      <w:divsChild>
        <w:div w:id="1564875106">
          <w:marLeft w:val="0"/>
          <w:marRight w:val="0"/>
          <w:marTop w:val="0"/>
          <w:marBottom w:val="0"/>
          <w:divBdr>
            <w:top w:val="none" w:sz="0" w:space="0" w:color="auto"/>
            <w:left w:val="none" w:sz="0" w:space="0" w:color="auto"/>
            <w:bottom w:val="none" w:sz="0" w:space="0" w:color="auto"/>
            <w:right w:val="none" w:sz="0" w:space="0" w:color="auto"/>
          </w:divBdr>
          <w:divsChild>
            <w:div w:id="1308242346">
              <w:marLeft w:val="0"/>
              <w:marRight w:val="0"/>
              <w:marTop w:val="0"/>
              <w:marBottom w:val="0"/>
              <w:divBdr>
                <w:top w:val="none" w:sz="0" w:space="0" w:color="auto"/>
                <w:left w:val="none" w:sz="0" w:space="0" w:color="auto"/>
                <w:bottom w:val="none" w:sz="0" w:space="0" w:color="auto"/>
                <w:right w:val="none" w:sz="0" w:space="0" w:color="auto"/>
              </w:divBdr>
              <w:divsChild>
                <w:div w:id="1094593708">
                  <w:marLeft w:val="0"/>
                  <w:marRight w:val="0"/>
                  <w:marTop w:val="0"/>
                  <w:marBottom w:val="0"/>
                  <w:divBdr>
                    <w:top w:val="none" w:sz="0" w:space="0" w:color="auto"/>
                    <w:left w:val="none" w:sz="0" w:space="0" w:color="auto"/>
                    <w:bottom w:val="none" w:sz="0" w:space="0" w:color="auto"/>
                    <w:right w:val="none" w:sz="0" w:space="0" w:color="auto"/>
                  </w:divBdr>
                  <w:divsChild>
                    <w:div w:id="981958356">
                      <w:marLeft w:val="1"/>
                      <w:marRight w:val="1"/>
                      <w:marTop w:val="0"/>
                      <w:marBottom w:val="0"/>
                      <w:divBdr>
                        <w:top w:val="none" w:sz="0" w:space="0" w:color="auto"/>
                        <w:left w:val="none" w:sz="0" w:space="0" w:color="auto"/>
                        <w:bottom w:val="none" w:sz="0" w:space="0" w:color="auto"/>
                        <w:right w:val="none" w:sz="0" w:space="0" w:color="auto"/>
                      </w:divBdr>
                      <w:divsChild>
                        <w:div w:id="1713798361">
                          <w:marLeft w:val="0"/>
                          <w:marRight w:val="0"/>
                          <w:marTop w:val="0"/>
                          <w:marBottom w:val="0"/>
                          <w:divBdr>
                            <w:top w:val="none" w:sz="0" w:space="0" w:color="auto"/>
                            <w:left w:val="none" w:sz="0" w:space="0" w:color="auto"/>
                            <w:bottom w:val="none" w:sz="0" w:space="0" w:color="auto"/>
                            <w:right w:val="none" w:sz="0" w:space="0" w:color="auto"/>
                          </w:divBdr>
                          <w:divsChild>
                            <w:div w:id="96295725">
                              <w:marLeft w:val="0"/>
                              <w:marRight w:val="0"/>
                              <w:marTop w:val="0"/>
                              <w:marBottom w:val="360"/>
                              <w:divBdr>
                                <w:top w:val="none" w:sz="0" w:space="0" w:color="auto"/>
                                <w:left w:val="none" w:sz="0" w:space="0" w:color="auto"/>
                                <w:bottom w:val="none" w:sz="0" w:space="0" w:color="auto"/>
                                <w:right w:val="none" w:sz="0" w:space="0" w:color="auto"/>
                              </w:divBdr>
                              <w:divsChild>
                                <w:div w:id="400719411">
                                  <w:marLeft w:val="0"/>
                                  <w:marRight w:val="0"/>
                                  <w:marTop w:val="0"/>
                                  <w:marBottom w:val="0"/>
                                  <w:divBdr>
                                    <w:top w:val="none" w:sz="0" w:space="0" w:color="auto"/>
                                    <w:left w:val="none" w:sz="0" w:space="0" w:color="auto"/>
                                    <w:bottom w:val="none" w:sz="0" w:space="0" w:color="auto"/>
                                    <w:right w:val="none" w:sz="0" w:space="0" w:color="auto"/>
                                  </w:divBdr>
                                  <w:divsChild>
                                    <w:div w:id="1176067676">
                                      <w:marLeft w:val="0"/>
                                      <w:marRight w:val="0"/>
                                      <w:marTop w:val="0"/>
                                      <w:marBottom w:val="0"/>
                                      <w:divBdr>
                                        <w:top w:val="none" w:sz="0" w:space="0" w:color="auto"/>
                                        <w:left w:val="none" w:sz="0" w:space="0" w:color="auto"/>
                                        <w:bottom w:val="none" w:sz="0" w:space="0" w:color="auto"/>
                                        <w:right w:val="none" w:sz="0" w:space="0" w:color="auto"/>
                                      </w:divBdr>
                                      <w:divsChild>
                                        <w:div w:id="644823336">
                                          <w:marLeft w:val="0"/>
                                          <w:marRight w:val="0"/>
                                          <w:marTop w:val="0"/>
                                          <w:marBottom w:val="0"/>
                                          <w:divBdr>
                                            <w:top w:val="none" w:sz="0" w:space="0" w:color="auto"/>
                                            <w:left w:val="none" w:sz="0" w:space="0" w:color="auto"/>
                                            <w:bottom w:val="none" w:sz="0" w:space="0" w:color="auto"/>
                                            <w:right w:val="none" w:sz="0" w:space="0" w:color="auto"/>
                                          </w:divBdr>
                                          <w:divsChild>
                                            <w:div w:id="965045163">
                                              <w:marLeft w:val="0"/>
                                              <w:marRight w:val="0"/>
                                              <w:marTop w:val="0"/>
                                              <w:marBottom w:val="0"/>
                                              <w:divBdr>
                                                <w:top w:val="none" w:sz="0" w:space="0" w:color="auto"/>
                                                <w:left w:val="none" w:sz="0" w:space="0" w:color="auto"/>
                                                <w:bottom w:val="none" w:sz="0" w:space="0" w:color="auto"/>
                                                <w:right w:val="none" w:sz="0" w:space="0" w:color="auto"/>
                                              </w:divBdr>
                                              <w:divsChild>
                                                <w:div w:id="117382438">
                                                  <w:marLeft w:val="0"/>
                                                  <w:marRight w:val="0"/>
                                                  <w:marTop w:val="0"/>
                                                  <w:marBottom w:val="0"/>
                                                  <w:divBdr>
                                                    <w:top w:val="none" w:sz="0" w:space="0" w:color="auto"/>
                                                    <w:left w:val="none" w:sz="0" w:space="0" w:color="auto"/>
                                                    <w:bottom w:val="none" w:sz="0" w:space="0" w:color="auto"/>
                                                    <w:right w:val="none" w:sz="0" w:space="0" w:color="auto"/>
                                                  </w:divBdr>
                                                  <w:divsChild>
                                                    <w:div w:id="1131481639">
                                                      <w:marLeft w:val="0"/>
                                                      <w:marRight w:val="0"/>
                                                      <w:marTop w:val="0"/>
                                                      <w:marBottom w:val="0"/>
                                                      <w:divBdr>
                                                        <w:top w:val="none" w:sz="0" w:space="0" w:color="auto"/>
                                                        <w:left w:val="none" w:sz="0" w:space="0" w:color="auto"/>
                                                        <w:bottom w:val="none" w:sz="0" w:space="0" w:color="auto"/>
                                                        <w:right w:val="none" w:sz="0" w:space="0" w:color="auto"/>
                                                      </w:divBdr>
                                                      <w:divsChild>
                                                        <w:div w:id="57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19948">
      <w:bodyDiv w:val="1"/>
      <w:marLeft w:val="0"/>
      <w:marRight w:val="0"/>
      <w:marTop w:val="0"/>
      <w:marBottom w:val="0"/>
      <w:divBdr>
        <w:top w:val="none" w:sz="0" w:space="0" w:color="auto"/>
        <w:left w:val="none" w:sz="0" w:space="0" w:color="auto"/>
        <w:bottom w:val="none" w:sz="0" w:space="0" w:color="auto"/>
        <w:right w:val="none" w:sz="0" w:space="0" w:color="auto"/>
      </w:divBdr>
    </w:div>
    <w:div w:id="1882935869">
      <w:bodyDiv w:val="1"/>
      <w:marLeft w:val="0"/>
      <w:marRight w:val="0"/>
      <w:marTop w:val="0"/>
      <w:marBottom w:val="0"/>
      <w:divBdr>
        <w:top w:val="none" w:sz="0" w:space="0" w:color="auto"/>
        <w:left w:val="none" w:sz="0" w:space="0" w:color="auto"/>
        <w:bottom w:val="none" w:sz="0" w:space="0" w:color="auto"/>
        <w:right w:val="none" w:sz="0" w:space="0" w:color="auto"/>
      </w:divBdr>
    </w:div>
    <w:div w:id="1934893180">
      <w:bodyDiv w:val="1"/>
      <w:marLeft w:val="0"/>
      <w:marRight w:val="0"/>
      <w:marTop w:val="0"/>
      <w:marBottom w:val="0"/>
      <w:divBdr>
        <w:top w:val="none" w:sz="0" w:space="0" w:color="auto"/>
        <w:left w:val="none" w:sz="0" w:space="0" w:color="auto"/>
        <w:bottom w:val="none" w:sz="0" w:space="0" w:color="auto"/>
        <w:right w:val="none" w:sz="0" w:space="0" w:color="auto"/>
      </w:divBdr>
      <w:divsChild>
        <w:div w:id="1790541586">
          <w:marLeft w:val="0"/>
          <w:marRight w:val="0"/>
          <w:marTop w:val="0"/>
          <w:marBottom w:val="0"/>
          <w:divBdr>
            <w:top w:val="none" w:sz="0" w:space="0" w:color="auto"/>
            <w:left w:val="none" w:sz="0" w:space="0" w:color="auto"/>
            <w:bottom w:val="none" w:sz="0" w:space="0" w:color="auto"/>
            <w:right w:val="none" w:sz="0" w:space="0" w:color="auto"/>
          </w:divBdr>
          <w:divsChild>
            <w:div w:id="827985303">
              <w:marLeft w:val="0"/>
              <w:marRight w:val="0"/>
              <w:marTop w:val="0"/>
              <w:marBottom w:val="0"/>
              <w:divBdr>
                <w:top w:val="none" w:sz="0" w:space="0" w:color="auto"/>
                <w:left w:val="none" w:sz="0" w:space="0" w:color="auto"/>
                <w:bottom w:val="none" w:sz="0" w:space="0" w:color="auto"/>
                <w:right w:val="none" w:sz="0" w:space="0" w:color="auto"/>
              </w:divBdr>
              <w:divsChild>
                <w:div w:id="1426683426">
                  <w:marLeft w:val="0"/>
                  <w:marRight w:val="0"/>
                  <w:marTop w:val="0"/>
                  <w:marBottom w:val="0"/>
                  <w:divBdr>
                    <w:top w:val="none" w:sz="0" w:space="0" w:color="auto"/>
                    <w:left w:val="none" w:sz="0" w:space="0" w:color="auto"/>
                    <w:bottom w:val="none" w:sz="0" w:space="0" w:color="auto"/>
                    <w:right w:val="none" w:sz="0" w:space="0" w:color="auto"/>
                  </w:divBdr>
                  <w:divsChild>
                    <w:div w:id="1847162397">
                      <w:marLeft w:val="0"/>
                      <w:marRight w:val="0"/>
                      <w:marTop w:val="0"/>
                      <w:marBottom w:val="0"/>
                      <w:divBdr>
                        <w:top w:val="none" w:sz="0" w:space="0" w:color="auto"/>
                        <w:left w:val="none" w:sz="0" w:space="0" w:color="auto"/>
                        <w:bottom w:val="none" w:sz="0" w:space="0" w:color="auto"/>
                        <w:right w:val="none" w:sz="0" w:space="0" w:color="auto"/>
                      </w:divBdr>
                      <w:divsChild>
                        <w:div w:id="60060593">
                          <w:marLeft w:val="0"/>
                          <w:marRight w:val="0"/>
                          <w:marTop w:val="0"/>
                          <w:marBottom w:val="0"/>
                          <w:divBdr>
                            <w:top w:val="none" w:sz="0" w:space="0" w:color="auto"/>
                            <w:left w:val="none" w:sz="0" w:space="0" w:color="auto"/>
                            <w:bottom w:val="none" w:sz="0" w:space="0" w:color="auto"/>
                            <w:right w:val="none" w:sz="0" w:space="0" w:color="auto"/>
                          </w:divBdr>
                          <w:divsChild>
                            <w:div w:id="1340307768">
                              <w:marLeft w:val="0"/>
                              <w:marRight w:val="0"/>
                              <w:marTop w:val="0"/>
                              <w:marBottom w:val="0"/>
                              <w:divBdr>
                                <w:top w:val="single" w:sz="18" w:space="30" w:color="01689B"/>
                                <w:left w:val="none" w:sz="0" w:space="0" w:color="auto"/>
                                <w:bottom w:val="none" w:sz="0" w:space="0" w:color="auto"/>
                                <w:right w:val="none" w:sz="0" w:space="0" w:color="auto"/>
                              </w:divBdr>
                              <w:divsChild>
                                <w:div w:id="1350331662">
                                  <w:marLeft w:val="0"/>
                                  <w:marRight w:val="0"/>
                                  <w:marTop w:val="0"/>
                                  <w:marBottom w:val="0"/>
                                  <w:divBdr>
                                    <w:top w:val="none" w:sz="0" w:space="0" w:color="auto"/>
                                    <w:left w:val="none" w:sz="0" w:space="0" w:color="auto"/>
                                    <w:bottom w:val="none" w:sz="0" w:space="0" w:color="auto"/>
                                    <w:right w:val="none" w:sz="0" w:space="0" w:color="auto"/>
                                  </w:divBdr>
                                  <w:divsChild>
                                    <w:div w:id="874582449">
                                      <w:marLeft w:val="0"/>
                                      <w:marRight w:val="0"/>
                                      <w:marTop w:val="0"/>
                                      <w:marBottom w:val="0"/>
                                      <w:divBdr>
                                        <w:top w:val="none" w:sz="0" w:space="0" w:color="auto"/>
                                        <w:left w:val="none" w:sz="0" w:space="0" w:color="auto"/>
                                        <w:bottom w:val="none" w:sz="0" w:space="0" w:color="auto"/>
                                        <w:right w:val="none" w:sz="0" w:space="0" w:color="auto"/>
                                      </w:divBdr>
                                      <w:divsChild>
                                        <w:div w:id="1765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366489">
      <w:bodyDiv w:val="1"/>
      <w:marLeft w:val="0"/>
      <w:marRight w:val="0"/>
      <w:marTop w:val="0"/>
      <w:marBottom w:val="0"/>
      <w:divBdr>
        <w:top w:val="none" w:sz="0" w:space="0" w:color="auto"/>
        <w:left w:val="none" w:sz="0" w:space="0" w:color="auto"/>
        <w:bottom w:val="none" w:sz="0" w:space="0" w:color="auto"/>
        <w:right w:val="none" w:sz="0" w:space="0" w:color="auto"/>
      </w:divBdr>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govtrack.us/congress/bills/115/hr3388" TargetMode="External"/><Relationship Id="rId13" Type="http://schemas.openxmlformats.org/officeDocument/2006/relationships/hyperlink" Target="https://www.bmvi.de/SharedDocs/EN/Documents/DG/action-plan-automated-and-connected-driving.pdf?__blob=publicationFile" TargetMode="External"/><Relationship Id="rId18" Type="http://schemas.openxmlformats.org/officeDocument/2006/relationships/hyperlink" Target="https://ec.europa.eu/growth/content/high-level-group-gear-2030-report-on-automotive-competitiveness-and-sustainability_en" TargetMode="External"/><Relationship Id="rId26" Type="http://schemas.openxmlformats.org/officeDocument/2006/relationships/hyperlink" Target="https://ec.europa.eu/transport/sites/transport/files/themes/its/doc/c-its-platform-final-report-january-2016.pdf" TargetMode="External"/><Relationship Id="rId3" Type="http://schemas.openxmlformats.org/officeDocument/2006/relationships/hyperlink" Target="http://articles.sae.org/13573/" TargetMode="External"/><Relationship Id="rId21" Type="http://schemas.openxmlformats.org/officeDocument/2006/relationships/hyperlink" Target="http://eur-lex.europa.eu/legal-content/EN/TXT/?uri=COM:2016:766:FIN" TargetMode="External"/><Relationship Id="rId7" Type="http://schemas.openxmlformats.org/officeDocument/2006/relationships/hyperlink" Target="http://www.europarl.europa.eu/sides/getDoc.do?pubRef=-//EP//NONSGML+TA+P8-TA-2018-0179+0+DOC+PDF+V0//EN" TargetMode="External"/><Relationship Id="rId12" Type="http://schemas.openxmlformats.org/officeDocument/2006/relationships/hyperlink" Target="https://ec.europa.eu/digital-single-market/en/cooperative-connected-and-automated-mobility-europe" TargetMode="External"/><Relationship Id="rId17" Type="http://schemas.openxmlformats.org/officeDocument/2006/relationships/hyperlink" Target="http://www.europarl.europa.eu/sides/getDoc.do?pubRef=-//EP//NONSGML+TA+P8-TA-2018-0179+0+DOC+PDF+V0//EN" TargetMode="External"/><Relationship Id="rId25" Type="http://schemas.openxmlformats.org/officeDocument/2006/relationships/hyperlink" Target="http://www.europarl.europa.eu/sides/getDoc.do?pubRef=-//EP//NONSGML+TA+P8-TA-2018-0179+0+DOC+PDF+V0//EN" TargetMode="External"/><Relationship Id="rId2" Type="http://schemas.openxmlformats.org/officeDocument/2006/relationships/hyperlink" Target="https://ec.europa.eu/jrc/en/publication/eur-scientific-and-technical-research-reports/analysis-possible-socio-economic-effects-connected-cooperative-and-automated-mobility-ccam-europe" TargetMode="External"/><Relationship Id="rId16" Type="http://schemas.openxmlformats.org/officeDocument/2006/relationships/hyperlink" Target="https://www.bmvi.de/SharedDocs/EN/Documents/DG/action-plan-automated-and-connected-driving.pdf?__blob=publicationFile" TargetMode="External"/><Relationship Id="rId20" Type="http://schemas.openxmlformats.org/officeDocument/2006/relationships/hyperlink" Target="https://ec.europa.eu/info/consultations/finance-2017-motor-insurance_en" TargetMode="External"/><Relationship Id="rId29" Type="http://schemas.openxmlformats.org/officeDocument/2006/relationships/hyperlink" Target="http://eur-lex.europa.eu/legal-content/EN/TXT/?uri=COM:2017:228:FIN" TargetMode="External"/><Relationship Id="rId1" Type="http://schemas.openxmlformats.org/officeDocument/2006/relationships/hyperlink" Target="https://connectedautomateddriving.eu/mediaroom/europe-leading-patent-race-autonomous-driving/" TargetMode="External"/><Relationship Id="rId6" Type="http://schemas.openxmlformats.org/officeDocument/2006/relationships/hyperlink" Target="https://ec.europa.eu/jrc/en/publication/connected-and-automated-vehicles-freeway-scenario-effect-traffic-congestion-and-network-capacity" TargetMode="External"/><Relationship Id="rId11" Type="http://schemas.openxmlformats.org/officeDocument/2006/relationships/hyperlink" Target="https://www.c-roads.eu/platform.html" TargetMode="External"/><Relationship Id="rId24" Type="http://schemas.openxmlformats.org/officeDocument/2006/relationships/hyperlink" Target="https://ec.europa.eu/transport/themes/its/c-its_en" TargetMode="External"/><Relationship Id="rId5" Type="http://schemas.openxmlformats.org/officeDocument/2006/relationships/hyperlink" Target="https://www.adaptive-ip.eu/files/adaptive/content/downloads/Deliverables%20&amp;amp;%20papers/AdaptIVe-SP2-v12-DL-D2.1-System%20Classification.pdf" TargetMode="External"/><Relationship Id="rId15" Type="http://schemas.openxmlformats.org/officeDocument/2006/relationships/hyperlink" Target="https://www.bmvi.de/SharedDocs/EN/Documents/DG/action-plan-automated-and-connected-driving.pdf?__blob=publicationFile" TargetMode="External"/><Relationship Id="rId23" Type="http://schemas.openxmlformats.org/officeDocument/2006/relationships/hyperlink" Target="https://ec.europa.eu/digital-single-market/en/cyber-security" TargetMode="External"/><Relationship Id="rId28" Type="http://schemas.openxmlformats.org/officeDocument/2006/relationships/hyperlink" Target="https://ec.europa.eu/jrc/en/publication/eur-scientific-and-technical-research-reports/analysis-possible-socio-economic-effects-connected-cooperative-and-automated-mobility-ccam-europe" TargetMode="External"/><Relationship Id="rId10" Type="http://schemas.openxmlformats.org/officeDocument/2006/relationships/hyperlink" Target="https://ec.europa.eu/growth/content/high-level-group-gear-2030-report-on-automotive-competitiveness-and-sustainability_en" TargetMode="External"/><Relationship Id="rId19" Type="http://schemas.openxmlformats.org/officeDocument/2006/relationships/hyperlink" Target="http://www.unece.org/fileadmin/DAM/trans/main/wp29/wp29resolutions/ECE-TRANS-WP29-1140e.pdf" TargetMode="External"/><Relationship Id="rId4" Type="http://schemas.openxmlformats.org/officeDocument/2006/relationships/hyperlink" Target="http://www.ertrac.org/uploads/images/ERTRAC_Automated_Driving_2017.pdf" TargetMode="External"/><Relationship Id="rId9" Type="http://schemas.openxmlformats.org/officeDocument/2006/relationships/hyperlink" Target="https://www.regjeringen.no/contentassets/ba7ab6e2a0e14e39baa77f5b76f59d14/2016-04-08-declaration-of-amsterdam---final1400661.pdf" TargetMode="External"/><Relationship Id="rId14" Type="http://schemas.openxmlformats.org/officeDocument/2006/relationships/hyperlink" Target="https://www.c-roads.eu/platform.html" TargetMode="External"/><Relationship Id="rId22" Type="http://schemas.openxmlformats.org/officeDocument/2006/relationships/hyperlink" Target="http://www.acea.be/uploads/publications/Platooning_roadmap.pdf" TargetMode="External"/><Relationship Id="rId27" Type="http://schemas.openxmlformats.org/officeDocument/2006/relationships/hyperlink" Target="https://ec.europa.eu/transport/sites/transport/files/2017-05-access-to-in-vehicle-data-and-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B701-700A-4AFD-B096-E4776993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8347</Words>
  <Characters>51276</Characters>
  <Application>Microsoft Office Word</Application>
  <DocSecurity>0</DocSecurity>
  <Lines>821</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17</cp:revision>
  <cp:lastPrinted>2018-05-07T16:43:00Z</cp:lastPrinted>
  <dcterms:created xsi:type="dcterms:W3CDTF">2018-06-01T09:51:00Z</dcterms:created>
  <dcterms:modified xsi:type="dcterms:W3CDTF">2018-06-01T11:07:00Z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