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2E" w:rsidRDefault="001C7604" w:rsidP="001C760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E75982A-D739-4821-BD3A-C7FBBF269580" style="width:450.45pt;height:512.3pt">
            <v:imagedata r:id="rId8" o:title=""/>
          </v:shape>
        </w:pict>
      </w:r>
    </w:p>
    <w:bookmarkEnd w:id="0"/>
    <w:p w:rsidR="0093412E" w:rsidRDefault="0093412E">
      <w:pPr>
        <w:rPr>
          <w:rFonts w:ascii="Times New Roman" w:hAnsi="Times New Roman" w:cs="Times New Roman"/>
          <w:noProof/>
          <w:sz w:val="24"/>
          <w:szCs w:val="24"/>
        </w:rPr>
        <w:sectPr w:rsidR="0093412E" w:rsidSect="001C760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3412E" w:rsidRDefault="001C7604">
      <w:pPr>
        <w:pStyle w:val="Heading1"/>
        <w:rPr>
          <w:noProof/>
        </w:rPr>
      </w:pPr>
      <w:bookmarkStart w:id="1" w:name="_GoBack"/>
      <w:bookmarkEnd w:id="1"/>
      <w:r>
        <w:rPr>
          <w:noProof/>
        </w:rPr>
        <w:lastRenderedPageBreak/>
        <w:t>Introduction</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Between December 2017 and March 2018, the Commission consulted widely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lang w:val="en-GB"/>
        </w:rPr>
        <w:t xml:space="preserve"> with stakeholders including the general public, public authorities dealing with nature conservation and agriculture, academia, environmental non-governmental organizations, beekeeping sector, farming and other land management sectors. This report summaris</w:t>
      </w:r>
      <w:r>
        <w:rPr>
          <w:rFonts w:ascii="Times New Roman" w:hAnsi="Times New Roman" w:cs="Times New Roman"/>
          <w:noProof/>
          <w:sz w:val="24"/>
          <w:szCs w:val="24"/>
          <w:lang w:val="en-GB"/>
        </w:rPr>
        <w:t xml:space="preserve">es the inputs received following: (i) an </w:t>
      </w:r>
      <w:r>
        <w:rPr>
          <w:rFonts w:ascii="Times New Roman" w:hAnsi="Times New Roman" w:cs="Times New Roman"/>
          <w:b/>
          <w:noProof/>
          <w:sz w:val="24"/>
          <w:szCs w:val="24"/>
          <w:lang w:val="en-GB"/>
        </w:rPr>
        <w:t>open public consultation</w:t>
      </w:r>
      <w:r>
        <w:rPr>
          <w:rFonts w:ascii="Times New Roman" w:hAnsi="Times New Roman" w:cs="Times New Roman"/>
          <w:noProof/>
          <w:sz w:val="24"/>
          <w:szCs w:val="24"/>
          <w:lang w:val="en-GB"/>
        </w:rPr>
        <w:t xml:space="preserve">, which garnered over 66 000 responses; (ii) a </w:t>
      </w:r>
      <w:r>
        <w:rPr>
          <w:rFonts w:ascii="Times New Roman" w:hAnsi="Times New Roman" w:cs="Times New Roman"/>
          <w:b/>
          <w:noProof/>
          <w:sz w:val="24"/>
          <w:szCs w:val="24"/>
          <w:lang w:val="en-GB"/>
        </w:rPr>
        <w:t>two-day expert workshop</w:t>
      </w:r>
      <w:r>
        <w:rPr>
          <w:rFonts w:ascii="Times New Roman" w:hAnsi="Times New Roman" w:cs="Times New Roman"/>
          <w:noProof/>
          <w:sz w:val="24"/>
          <w:szCs w:val="24"/>
          <w:lang w:val="en-GB"/>
        </w:rPr>
        <w:t xml:space="preserve">; and (iii) the consultation of a number of Commission </w:t>
      </w:r>
      <w:r>
        <w:rPr>
          <w:rFonts w:ascii="Times New Roman" w:hAnsi="Times New Roman" w:cs="Times New Roman"/>
          <w:b/>
          <w:noProof/>
          <w:sz w:val="24"/>
          <w:szCs w:val="24"/>
          <w:lang w:val="en-GB"/>
        </w:rPr>
        <w:t>expert groups and committees</w:t>
      </w:r>
      <w:r>
        <w:rPr>
          <w:rFonts w:ascii="Times New Roman" w:hAnsi="Times New Roman" w:cs="Times New Roman"/>
          <w:noProof/>
          <w:sz w:val="24"/>
          <w:szCs w:val="24"/>
          <w:lang w:val="en-GB"/>
        </w:rPr>
        <w:t xml:space="preserve">. The report is structured around the </w:t>
      </w:r>
      <w:r>
        <w:rPr>
          <w:rFonts w:ascii="Times New Roman" w:hAnsi="Times New Roman" w:cs="Times New Roman"/>
          <w:noProof/>
          <w:sz w:val="24"/>
          <w:szCs w:val="24"/>
          <w:lang w:val="en-GB"/>
        </w:rPr>
        <w:t>three priority areas of the initiative as set out in the roadmap</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en-GB"/>
        </w:rPr>
        <w:t xml:space="preserve">. </w:t>
      </w:r>
    </w:p>
    <w:p w:rsidR="0093412E" w:rsidRDefault="001C7604">
      <w:pPr>
        <w:pStyle w:val="Heading1"/>
        <w:rPr>
          <w:noProof/>
        </w:rPr>
      </w:pPr>
      <w:r>
        <w:rPr>
          <w:noProof/>
        </w:rPr>
        <w:t>Results of the consultation activities</w:t>
      </w:r>
    </w:p>
    <w:p w:rsidR="0093412E" w:rsidRDefault="001C7604">
      <w:pPr>
        <w:pStyle w:val="Heading2"/>
        <w:rPr>
          <w:noProof/>
        </w:rPr>
      </w:pPr>
      <w:r>
        <w:rPr>
          <w:noProof/>
        </w:rPr>
        <w:t>Priority I: Improve knowledge on pollinators</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public consultation, nearly all respondents (over 95 %) considered that it was important to impro</w:t>
      </w:r>
      <w:r>
        <w:rPr>
          <w:rFonts w:ascii="Times New Roman" w:hAnsi="Times New Roman" w:cs="Times New Roman"/>
          <w:noProof/>
          <w:sz w:val="24"/>
          <w:szCs w:val="24"/>
          <w:lang w:val="en-GB"/>
        </w:rPr>
        <w:t>ve knowledge on pollinators and the causes and consequences of their decline. While at least two thirds of stakeholders in all groups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val="en-GB"/>
        </w:rPr>
        <w:t xml:space="preserve"> considered the decline of pollinators alarming, they considered it important to address the knowledge gaps that may obscu</w:t>
      </w:r>
      <w:r>
        <w:rPr>
          <w:rFonts w:ascii="Times New Roman" w:hAnsi="Times New Roman" w:cs="Times New Roman"/>
          <w:noProof/>
          <w:sz w:val="24"/>
          <w:szCs w:val="24"/>
          <w:lang w:val="en-GB"/>
        </w:rPr>
        <w:t xml:space="preserve">re the magnitude of the problem. </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One of key gaps identified by experts at the workshop was a lack of data on the abundance and population trends of wild pollinators. They emphasised the need for an EU-wide monitoring process to fill data gaps. Experts sug</w:t>
      </w:r>
      <w:r>
        <w:rPr>
          <w:rFonts w:ascii="Times New Roman" w:hAnsi="Times New Roman" w:cs="Times New Roman"/>
          <w:noProof/>
          <w:sz w:val="24"/>
          <w:szCs w:val="24"/>
          <w:lang w:val="en-GB"/>
        </w:rPr>
        <w:t>gested developing different tools and approaches to facilitate the monitoring process, such as DNA barcoding and machine learning. Another way to achieve this would be to get the public more involved in science.</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Almost all respondents to the public consult</w:t>
      </w:r>
      <w:r>
        <w:rPr>
          <w:rFonts w:ascii="Times New Roman" w:hAnsi="Times New Roman" w:cs="Times New Roman"/>
          <w:noProof/>
          <w:sz w:val="24"/>
          <w:szCs w:val="24"/>
          <w:lang w:val="en-GB"/>
        </w:rPr>
        <w:t>ation felt it was important to research the threats to pollinators and the impacts of their decline on natural ecosystems and human society. At the workshop, experts highlighted the need for further research on the combined effects of different threats, on</w:t>
      </w:r>
      <w:r>
        <w:rPr>
          <w:rFonts w:ascii="Times New Roman" w:hAnsi="Times New Roman" w:cs="Times New Roman"/>
          <w:noProof/>
          <w:sz w:val="24"/>
          <w:szCs w:val="24"/>
          <w:lang w:val="en-GB"/>
        </w:rPr>
        <w:t xml:space="preserve"> the resilience of pollinator populations and on the functional links between pollinators and pollinated plants. They also underlined the need to improve the availability of data, in particular on the status of pollinator habitats, agricultural land use an</w:t>
      </w:r>
      <w:r>
        <w:rPr>
          <w:rFonts w:ascii="Times New Roman" w:hAnsi="Times New Roman" w:cs="Times New Roman"/>
          <w:noProof/>
          <w:sz w:val="24"/>
          <w:szCs w:val="24"/>
          <w:lang w:val="en-GB"/>
        </w:rPr>
        <w:t>d management and pesticide use.</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scientific community stressed the need to strengthen research capacities, especially in less-researched EU regions. While different funding instruments were identified as relevant, the EU framework programme for</w:t>
      </w:r>
      <w:r>
        <w:rPr>
          <w:rFonts w:ascii="Times New Roman" w:hAnsi="Times New Roman" w:cs="Times New Roman"/>
          <w:noProof/>
          <w:sz w:val="24"/>
          <w:szCs w:val="24"/>
          <w:lang w:val="en-GB"/>
        </w:rPr>
        <w:t xml:space="preserve"> research and innovation was regarded as key.</w:t>
      </w:r>
    </w:p>
    <w:p w:rsidR="0093412E" w:rsidRDefault="001C7604">
      <w:pPr>
        <w:pStyle w:val="Heading2"/>
        <w:rPr>
          <w:noProof/>
        </w:rPr>
      </w:pPr>
      <w:r>
        <w:rPr>
          <w:noProof/>
        </w:rPr>
        <w:t>Priority II: Tackle the causes of the decline of pollinators</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large majority of public consultation respondents (75 % in the agri-food sector and over 90 % in other groups) rated intensive agricultural managem</w:t>
      </w:r>
      <w:r>
        <w:rPr>
          <w:rFonts w:ascii="Times New Roman" w:hAnsi="Times New Roman" w:cs="Times New Roman"/>
          <w:noProof/>
          <w:sz w:val="24"/>
          <w:szCs w:val="24"/>
          <w:lang w:val="en-GB"/>
        </w:rPr>
        <w:t>ent and pesticide use as the most important threats to pollinators. Three quarters of the agri-food sector respondents found these to be important drivers of the decline. For other stakeholder groups, the proportion was significantly higher (95 % or more).</w:t>
      </w:r>
      <w:r>
        <w:rPr>
          <w:rFonts w:ascii="Times New Roman" w:hAnsi="Times New Roman" w:cs="Times New Roman"/>
          <w:noProof/>
          <w:sz w:val="24"/>
          <w:szCs w:val="24"/>
          <w:lang w:val="en-GB"/>
        </w:rPr>
        <w:t xml:space="preserve"> Other threats like urbanisation, pollution, invasive alien </w:t>
      </w:r>
      <w:r>
        <w:rPr>
          <w:rFonts w:ascii="Times New Roman" w:hAnsi="Times New Roman" w:cs="Times New Roman"/>
          <w:noProof/>
          <w:sz w:val="24"/>
          <w:szCs w:val="24"/>
          <w:lang w:val="en-GB"/>
        </w:rPr>
        <w:lastRenderedPageBreak/>
        <w:t>species, diseases and climate change were considered important by at least half of the respondents in each stakeholder group. Individuals placed higher importance on climate change and diseases th</w:t>
      </w:r>
      <w:r>
        <w:rPr>
          <w:rFonts w:ascii="Times New Roman" w:hAnsi="Times New Roman" w:cs="Times New Roman"/>
          <w:noProof/>
          <w:sz w:val="24"/>
          <w:szCs w:val="24"/>
          <w:lang w:val="en-GB"/>
        </w:rPr>
        <w:t>an other stakeholder groups.</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Public consultation respondents considered that the most important actions to tackle the decline of pollinators are: (i) assessing the risks of pesticides to pollinators; and (ii) supporting their habitats, particularly in rural areas, both inside and outs</w:t>
      </w:r>
      <w:r>
        <w:rPr>
          <w:rFonts w:ascii="Times New Roman" w:hAnsi="Times New Roman" w:cs="Times New Roman"/>
          <w:noProof/>
          <w:sz w:val="24"/>
          <w:szCs w:val="24"/>
          <w:lang w:val="en-GB"/>
        </w:rPr>
        <w:t xml:space="preserve">ide Natura 2000 sites. However, a large majority of respondents (at least half in each stakeholder group) also considered that it was important to address other threats to pollinators, including getting the private sector and local communities involved in </w:t>
      </w:r>
      <w:r>
        <w:rPr>
          <w:rFonts w:ascii="Times New Roman" w:hAnsi="Times New Roman" w:cs="Times New Roman"/>
          <w:noProof/>
          <w:sz w:val="24"/>
          <w:szCs w:val="24"/>
          <w:lang w:val="en-GB"/>
        </w:rPr>
        <w:t xml:space="preserve">actions. </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workshop experts primarily focused on the restoration and maintenance of pollinator habitats in rural and urban landscapes and on addressing the threats of pesticides to pollinators. A majority of experts identified the Habitats Directive and</w:t>
      </w:r>
      <w:r>
        <w:rPr>
          <w:rFonts w:ascii="Times New Roman" w:hAnsi="Times New Roman" w:cs="Times New Roman"/>
          <w:noProof/>
          <w:sz w:val="24"/>
          <w:szCs w:val="24"/>
          <w:lang w:val="en-GB"/>
        </w:rPr>
        <w:t xml:space="preserve"> the EU common agricultural policy as key instruments to protect and support pollinator habitats. Experts widely agreed that getting farmers involved would be pivotal in creating a favourable environment for pollinators in rural areas. They also emphasised</w:t>
      </w:r>
      <w:r>
        <w:rPr>
          <w:rFonts w:ascii="Times New Roman" w:hAnsi="Times New Roman" w:cs="Times New Roman"/>
          <w:noProof/>
          <w:sz w:val="24"/>
          <w:szCs w:val="24"/>
          <w:lang w:val="en-GB"/>
        </w:rPr>
        <w:t xml:space="preserve"> the importance of urban areas and the potential of large infrastructure such as transport and energy for providing habitats and ensuring that they are connected to the wider landscape.</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reduce the threat of pesticides, experts stressed the need to impro</w:t>
      </w:r>
      <w:r>
        <w:rPr>
          <w:rFonts w:ascii="Times New Roman" w:hAnsi="Times New Roman" w:cs="Times New Roman"/>
          <w:noProof/>
          <w:sz w:val="24"/>
          <w:szCs w:val="24"/>
          <w:lang w:val="en-GB"/>
        </w:rPr>
        <w:t>ve risk assessment and reduce the exposure of pollinators to pesticides. Experts also considered it important to include wild pollinator species in the assessment and include explicit measures to reduce the impacts of pesticides on pollinators under the EU</w:t>
      </w:r>
      <w:r>
        <w:rPr>
          <w:rFonts w:ascii="Times New Roman" w:hAnsi="Times New Roman" w:cs="Times New Roman"/>
          <w:noProof/>
          <w:sz w:val="24"/>
          <w:szCs w:val="24"/>
          <w:lang w:val="en-GB"/>
        </w:rPr>
        <w:t xml:space="preserve"> Directive on the Sustainable Use of Pesticides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lang w:val="en-GB"/>
        </w:rPr>
        <w:t>.</w:t>
      </w:r>
    </w:p>
    <w:p w:rsidR="0093412E" w:rsidRDefault="001C7604">
      <w:pPr>
        <w:pStyle w:val="Heading2"/>
        <w:rPr>
          <w:noProof/>
        </w:rPr>
      </w:pPr>
      <w:r>
        <w:rPr>
          <w:noProof/>
        </w:rPr>
        <w:t>Priority III: Raise awareness and improve collaboration and knowledge sharing</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 90 % of the public consultation respondents emphasised the importance of raising awareness, getting the public involved in </w:t>
      </w:r>
      <w:r>
        <w:rPr>
          <w:rFonts w:ascii="Times New Roman" w:hAnsi="Times New Roman" w:cs="Times New Roman"/>
          <w:noProof/>
          <w:sz w:val="24"/>
          <w:szCs w:val="24"/>
          <w:lang w:val="en-GB"/>
        </w:rPr>
        <w:t>solutions and facilitating collaboration and knowledge exchange. Respondents highlighted the need for an EU initiative to support action at national, regional and local levels. While suggestions on how to make the knowledge widely available differed, stake</w:t>
      </w:r>
      <w:r>
        <w:rPr>
          <w:rFonts w:ascii="Times New Roman" w:hAnsi="Times New Roman" w:cs="Times New Roman"/>
          <w:noProof/>
          <w:sz w:val="24"/>
          <w:szCs w:val="24"/>
          <w:lang w:val="en-GB"/>
        </w:rPr>
        <w:t>holders broadly agreed on the need for a central open-access knowledge platform.</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Experts broadly supported the involvement of the public in science and acknowledged the catalytic role that educational institutions such as schools and museums can play in th</w:t>
      </w:r>
      <w:r>
        <w:rPr>
          <w:rFonts w:ascii="Times New Roman" w:hAnsi="Times New Roman" w:cs="Times New Roman"/>
          <w:noProof/>
          <w:sz w:val="24"/>
          <w:szCs w:val="24"/>
          <w:lang w:val="en-GB"/>
        </w:rPr>
        <w:t>is. While there is a number of existing platforms supporting stakeholder collaboration, experts thought the collaboration capacity should be further strengthened.</w:t>
      </w:r>
    </w:p>
    <w:p w:rsidR="0093412E" w:rsidRDefault="001C7604">
      <w:pPr>
        <w:pStyle w:val="Heading1"/>
        <w:rPr>
          <w:noProof/>
        </w:rPr>
      </w:pPr>
      <w:r>
        <w:rPr>
          <w:noProof/>
        </w:rPr>
        <w:t>Conclusion</w:t>
      </w:r>
    </w:p>
    <w:p w:rsidR="0093412E" w:rsidRDefault="001C7604">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All contributions to the consultation were taken into account, but due to the wide</w:t>
      </w:r>
      <w:r>
        <w:rPr>
          <w:rFonts w:ascii="Times New Roman" w:hAnsi="Times New Roman" w:cs="Times New Roman"/>
          <w:noProof/>
          <w:sz w:val="24"/>
          <w:szCs w:val="24"/>
          <w:lang w:val="en-GB"/>
        </w:rPr>
        <w:t xml:space="preserve"> range of views expressed, the final policy document may not necessarily reflect all of them. The initiative will address identified knowledge needs through actions that bring together the knowledge that already exists in this field, making it widely acces</w:t>
      </w:r>
      <w:r>
        <w:rPr>
          <w:rFonts w:ascii="Times New Roman" w:hAnsi="Times New Roman" w:cs="Times New Roman"/>
          <w:noProof/>
          <w:sz w:val="24"/>
          <w:szCs w:val="24"/>
          <w:lang w:val="en-GB"/>
        </w:rPr>
        <w:t>sible while acquiring new knowledge to fill the gaps. The initiative will also tackle well-established threats to pollinators, whether directly (intensive agricultural management and pesticide use, invasive alien species) or indirectly (climate change, dis</w:t>
      </w:r>
      <w:r>
        <w:rPr>
          <w:rFonts w:ascii="Times New Roman" w:hAnsi="Times New Roman" w:cs="Times New Roman"/>
          <w:noProof/>
          <w:sz w:val="24"/>
          <w:szCs w:val="24"/>
          <w:lang w:val="en-GB"/>
        </w:rPr>
        <w:t xml:space="preserve">eases and pollution). The initiative will support collaboration and action at all levels in order to enable a coordinated EU response to the problem. It will also seek to involve wider society by promoting and supporting action taken by the general public </w:t>
      </w:r>
      <w:r>
        <w:rPr>
          <w:rFonts w:ascii="Times New Roman" w:hAnsi="Times New Roman" w:cs="Times New Roman"/>
          <w:noProof/>
          <w:sz w:val="24"/>
          <w:szCs w:val="24"/>
          <w:lang w:val="en-GB"/>
        </w:rPr>
        <w:t>and the private sector.</w:t>
      </w:r>
    </w:p>
    <w:p w:rsidR="0093412E" w:rsidRDefault="0093412E">
      <w:pPr>
        <w:rPr>
          <w:rFonts w:ascii="Times New Roman" w:hAnsi="Times New Roman" w:cs="Times New Roman"/>
          <w:noProof/>
          <w:sz w:val="24"/>
          <w:szCs w:val="24"/>
          <w:lang w:val="en-GB"/>
        </w:rPr>
      </w:pPr>
    </w:p>
    <w:sectPr w:rsidR="0093412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12E" w:rsidRDefault="001C7604">
      <w:pPr>
        <w:spacing w:after="0" w:line="240" w:lineRule="auto"/>
      </w:pPr>
      <w:r>
        <w:separator/>
      </w:r>
    </w:p>
  </w:endnote>
  <w:endnote w:type="continuationSeparator" w:id="0">
    <w:p w:rsidR="0093412E" w:rsidRDefault="001C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04" w:rsidRPr="001C7604" w:rsidRDefault="001C7604" w:rsidP="001C7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04" w:rsidRPr="001C7604" w:rsidRDefault="001C7604" w:rsidP="001C7604">
    <w:pPr>
      <w:pStyle w:val="FooterCoverPage"/>
      <w:rPr>
        <w:rFonts w:ascii="Arial" w:hAnsi="Arial" w:cs="Arial"/>
        <w:b/>
        <w:sz w:val="48"/>
      </w:rPr>
    </w:pPr>
    <w:r w:rsidRPr="001C7604">
      <w:rPr>
        <w:rFonts w:ascii="Arial" w:hAnsi="Arial" w:cs="Arial"/>
        <w:b/>
        <w:sz w:val="48"/>
      </w:rPr>
      <w:t>EN</w:t>
    </w:r>
    <w:r w:rsidRPr="001C7604">
      <w:rPr>
        <w:rFonts w:ascii="Arial" w:hAnsi="Arial" w:cs="Arial"/>
        <w:b/>
        <w:sz w:val="48"/>
      </w:rPr>
      <w:tab/>
    </w:r>
    <w:r w:rsidRPr="001C7604">
      <w:rPr>
        <w:rFonts w:ascii="Arial" w:hAnsi="Arial" w:cs="Arial"/>
        <w:b/>
        <w:sz w:val="48"/>
      </w:rPr>
      <w:tab/>
    </w:r>
    <w:r w:rsidRPr="001C7604">
      <w:tab/>
    </w:r>
    <w:r w:rsidRPr="001C760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04" w:rsidRPr="001C7604" w:rsidRDefault="001C7604" w:rsidP="001C760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E" w:rsidRDefault="009341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22352"/>
      <w:docPartObj>
        <w:docPartGallery w:val="Page Numbers (Bottom of Page)"/>
        <w:docPartUnique/>
      </w:docPartObj>
    </w:sdtPr>
    <w:sdtEndPr>
      <w:rPr>
        <w:noProof/>
      </w:rPr>
    </w:sdtEndPr>
    <w:sdtContent>
      <w:p w:rsidR="0093412E" w:rsidRDefault="001C760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3412E" w:rsidRDefault="009341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E" w:rsidRDefault="00934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12E" w:rsidRDefault="001C7604">
      <w:pPr>
        <w:spacing w:after="0" w:line="240" w:lineRule="auto"/>
      </w:pPr>
      <w:r>
        <w:separator/>
      </w:r>
    </w:p>
  </w:footnote>
  <w:footnote w:type="continuationSeparator" w:id="0">
    <w:p w:rsidR="0093412E" w:rsidRDefault="001C7604">
      <w:pPr>
        <w:spacing w:after="0" w:line="240" w:lineRule="auto"/>
      </w:pPr>
      <w:r>
        <w:continuationSeparator/>
      </w:r>
    </w:p>
  </w:footnote>
  <w:footnote w:id="1">
    <w:p w:rsidR="0093412E" w:rsidRDefault="001C7604">
      <w:pPr>
        <w:pStyle w:val="FootnoteText"/>
      </w:pPr>
      <w:r>
        <w:rPr>
          <w:rStyle w:val="FootnoteReference"/>
        </w:rPr>
        <w:footnoteRef/>
      </w:r>
      <w:r>
        <w:t xml:space="preserve"> </w:t>
      </w:r>
      <w:hyperlink r:id="rId1" w:history="1">
        <w:r>
          <w:rPr>
            <w:rStyle w:val="Hyperlink"/>
          </w:rPr>
          <w:t>http://ec.europa.eu/environment/nature/conservation/species/pollinators/index_en.htm</w:t>
        </w:r>
      </w:hyperlink>
    </w:p>
  </w:footnote>
  <w:footnote w:id="2">
    <w:p w:rsidR="0093412E" w:rsidRDefault="001C7604">
      <w:pPr>
        <w:pStyle w:val="FootnoteText"/>
        <w:rPr>
          <w:rFonts w:cs="Times New Roman"/>
        </w:rPr>
      </w:pPr>
      <w:r>
        <w:rPr>
          <w:rStyle w:val="FootnoteReference"/>
          <w:rFonts w:cs="Times New Roman"/>
        </w:rPr>
        <w:footnoteRef/>
      </w:r>
      <w:r>
        <w:rPr>
          <w:rFonts w:cs="Times New Roman"/>
        </w:rPr>
        <w:t xml:space="preserve"> </w:t>
      </w:r>
      <w:hyperlink r:id="rId2" w:history="1">
        <w:r>
          <w:rPr>
            <w:rStyle w:val="Hyperlink"/>
            <w:rFonts w:cs="Times New Roman"/>
          </w:rPr>
          <w:t>https://ec.europa.eu/info/law/better-regulation/initiative/136668/attachment/090166e5b6db6927</w:t>
        </w:r>
      </w:hyperlink>
    </w:p>
  </w:footnote>
  <w:footnote w:id="3">
    <w:p w:rsidR="0093412E" w:rsidRDefault="001C7604">
      <w:pPr>
        <w:pStyle w:val="FootnoteText"/>
      </w:pPr>
      <w:r>
        <w:rPr>
          <w:rStyle w:val="FootnoteReference"/>
        </w:rPr>
        <w:footnoteRef/>
      </w:r>
      <w:r>
        <w:t xml:space="preserve"> The analysis of the public consultation categorises</w:t>
      </w:r>
      <w:r>
        <w:t xml:space="preserve"> respondents as individuals and in four organisation groups (agri-food, apiculture, nature/environment and others).</w:t>
      </w:r>
    </w:p>
  </w:footnote>
  <w:footnote w:id="4">
    <w:p w:rsidR="0093412E" w:rsidRDefault="001C7604">
      <w:pPr>
        <w:pStyle w:val="FootnoteText"/>
      </w:pPr>
      <w:r>
        <w:rPr>
          <w:rStyle w:val="FootnoteReference"/>
        </w:rPr>
        <w:footnoteRef/>
      </w:r>
      <w:r>
        <w:t xml:space="preserve"> Directive 2009/128/EC.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04" w:rsidRPr="001C7604" w:rsidRDefault="001C7604" w:rsidP="001C7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04" w:rsidRPr="001C7604" w:rsidRDefault="001C7604" w:rsidP="001C760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04" w:rsidRPr="001C7604" w:rsidRDefault="001C7604" w:rsidP="001C760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E" w:rsidRDefault="009341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E" w:rsidRDefault="009341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E" w:rsidRDefault="00934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2B7EC7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 _x000b_This document corrects the document SWD(2018) 303 final._x000b_Concerns correction of date on the EN, FR and DE linguistic versions._x000b_"/>
    <w:docVar w:name="LW_COVERPAGE_EXISTS" w:val="True"/>
    <w:docVar w:name="LW_COVERPAGE_GUID" w:val="6E75982A-D739-4821-BD3A-C7FBBF269580"/>
    <w:docVar w:name="LW_COVERPAGE_TYPE" w:val="1"/>
    <w:docVar w:name="LW_CROSSREFERENCE" w:val="{COM(2018) 395 final}_x000d__x000a_{SWD(2018) 302 final}"/>
    <w:docVar w:name="LW_DocType" w:val="NORMAL"/>
    <w:docVar w:name="LW_EMISSION" w:val="1.6.2018"/>
    <w:docVar w:name="LW_EMISSION_ISODATE" w:val="2018-06-01"/>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COMMUNICATION FROM THE COMMISSION TO THE EUROPEAN PARLIAMENT, THE COUNCIL, THE EUROPEAN ECONOMIC AND SOCIAL COMMITTEE AND THE COMMITTEE OF THE REGIONS_x000b__x000b_EU Pollinators Initiative_x000b__x000b_"/>
    <w:docVar w:name="LW_PART_NBR" w:val="1"/>
    <w:docVar w:name="LW_PART_NBR_TOTAL" w:val="1"/>
    <w:docVar w:name="LW_REF.INST.NEW" w:val="SWD"/>
    <w:docVar w:name="LW_REF.INST.NEW_ADOPTED" w:val="final/2"/>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lt;UNUSED&gt;"/>
  </w:docVars>
  <w:rsids>
    <w:rsidRoot w:val="0093412E"/>
    <w:rsid w:val="001C7604"/>
    <w:rsid w:val="009341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en-GB"/>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lang w:val="en-GB"/>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en-GB"/>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lang w:val="en-GB"/>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60862">
      <w:bodyDiv w:val="1"/>
      <w:marLeft w:val="0"/>
      <w:marRight w:val="0"/>
      <w:marTop w:val="0"/>
      <w:marBottom w:val="0"/>
      <w:divBdr>
        <w:top w:val="none" w:sz="0" w:space="0" w:color="auto"/>
        <w:left w:val="none" w:sz="0" w:space="0" w:color="auto"/>
        <w:bottom w:val="none" w:sz="0" w:space="0" w:color="auto"/>
        <w:right w:val="none" w:sz="0" w:space="0" w:color="auto"/>
      </w:divBdr>
    </w:div>
    <w:div w:id="16349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initiative/136668/attachment/090166e5b6db6927" TargetMode="External"/><Relationship Id="rId1" Type="http://schemas.openxmlformats.org/officeDocument/2006/relationships/hyperlink" Target="http://ec.europa.eu/environment/nature/conservation/species/pollinator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969</Words>
  <Characters>5590</Characters>
  <Application>Microsoft Office Word</Application>
  <DocSecurity>0</DocSecurity>
  <Lines>84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32</cp:revision>
  <cp:lastPrinted>2015-08-28T07:32:00Z</cp:lastPrinted>
  <dcterms:created xsi:type="dcterms:W3CDTF">2018-05-04T07:46:00Z</dcterms:created>
  <dcterms:modified xsi:type="dcterms:W3CDTF">2018-06-01T12:54:00Z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