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8A088BE-ABEA-402F-BB79-0E65F2B567D6" style="width:450.75pt;height:434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ОБРАЗЕЦ ЗА ПРОГРАМИТЕ ПО INTERREG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103"/>
      </w:tblGrid>
      <w:tr>
        <w:trPr>
          <w:trHeight w:val="222"/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CCI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[15 знака]</w:t>
            </w:r>
          </w:p>
        </w:tc>
      </w:tr>
      <w:tr>
        <w:trPr>
          <w:trHeight w:val="269"/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[255]</w:t>
            </w:r>
          </w:p>
        </w:tc>
      </w:tr>
      <w:tr>
        <w:trPr>
          <w:trHeight w:val="138"/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Версия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Първа година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[4]</w:t>
            </w: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Последна година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[4]</w:t>
            </w: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Допустими от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Допустими до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i/>
                <w:noProof/>
                <w:color w:val="8DB3E2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Номер на решението на Комисията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i/>
                <w:noProof/>
                <w:color w:val="8DB3E2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 на решението на Комисията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i/>
                <w:noProof/>
                <w:color w:val="8DB3E2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Номер на решението за изменение на програмата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i/>
                <w:noProof/>
                <w:color w:val="8DB3E2"/>
                <w:sz w:val="18"/>
                <w:szCs w:val="18"/>
              </w:rPr>
            </w:pPr>
            <w:r>
              <w:rPr>
                <w:noProof/>
                <w:sz w:val="18"/>
              </w:rPr>
              <w:t>[20]</w:t>
            </w: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 на влизане в сила на решението за изменение на програмата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Региони по NUTS в рамките на програмата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3315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Компонент на Interreg 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/>
              <w:rPr>
                <w:noProof/>
                <w:sz w:val="18"/>
                <w:szCs w:val="18"/>
              </w:rPr>
            </w:pPr>
          </w:p>
        </w:tc>
      </w:tr>
    </w:tbl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1. Програмна стратегия: основни предизвикателства пред развитието и отговори на политиката</w:t>
      </w:r>
    </w:p>
    <w:p>
      <w:pPr>
        <w:numPr>
          <w:ilvl w:val="1"/>
          <w:numId w:val="1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Програмен район (не се изисква за програмите по компонент 4 на Interreg)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а), член 17, параграф 9, буква а)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</w:rPr>
        <w:t>Текстово поле [2 000]</w:t>
      </w:r>
    </w:p>
    <w:p>
      <w:pPr>
        <w:numPr>
          <w:ilvl w:val="1"/>
          <w:numId w:val="1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Обобщение на основните общи предизвикателства, като се вземат предвид икономическите, социалните и териториалните различия, съвместните инвестиционни потребности и взаимно допълване с други форми на подпомагане, извлечените поуки от опита в миналото и макрорегионалните стратегии и стратегиите за морските басейни, когато програмният район в своята цялост или частично попада в обхвата на една или няколко стратегии.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б), член 17, параграф 9, буква б)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</w:rPr>
        <w:t>Текстово поле [50 000]</w:t>
      </w:r>
    </w:p>
    <w:p>
      <w:pPr>
        <w:numPr>
          <w:ilvl w:val="1"/>
          <w:numId w:val="1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Обосновка за избраните цели на политиката и специфичните цели на Interreg, съответните приоритети, специфични цели и форми на подпомагане, разглеждане, когато е целесъобразно, на липсващите връзки в трансграничната инфраструктура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 4, буква в)</w:t>
      </w:r>
    </w:p>
    <w:p>
      <w:p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noProof/>
        </w:rPr>
        <w:br w:type="page"/>
      </w:r>
    </w:p>
    <w:p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Таблица 1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1"/>
        <w:gridCol w:w="1396"/>
        <w:gridCol w:w="1210"/>
        <w:gridCol w:w="5361"/>
      </w:tblGrid>
      <w:tr>
        <w:tc>
          <w:tcPr>
            <w:tcW w:w="58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Избрана цел на политиката или избрана специфична цел на Interreg</w:t>
            </w:r>
          </w:p>
        </w:tc>
        <w:tc>
          <w:tcPr>
            <w:tcW w:w="900" w:type="pct"/>
          </w:tcPr>
          <w:p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Избрана специфична цел </w:t>
            </w:r>
          </w:p>
        </w:tc>
        <w:tc>
          <w:tcPr>
            <w:tcW w:w="481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Приоритет</w:t>
            </w:r>
          </w:p>
        </w:tc>
        <w:tc>
          <w:tcPr>
            <w:tcW w:w="3034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Обосновка на избора </w:t>
            </w:r>
          </w:p>
        </w:tc>
      </w:tr>
      <w:tr>
        <w:tc>
          <w:tcPr>
            <w:tcW w:w="58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900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481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3034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[2 000 за цел]</w:t>
            </w:r>
          </w:p>
        </w:tc>
      </w:tr>
    </w:tbl>
    <w:p>
      <w:pPr>
        <w:numPr>
          <w:ilvl w:val="0"/>
          <w:numId w:val="5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Приоритети [300]</w:t>
      </w:r>
    </w:p>
    <w:p>
      <w:pPr>
        <w:pStyle w:val="ListParagraph"/>
        <w:ind w:left="360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букви г) и д)</w:t>
      </w:r>
    </w:p>
    <w:p>
      <w:pPr>
        <w:numPr>
          <w:ilvl w:val="1"/>
          <w:numId w:val="5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Наименование на приоритета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(повтаря се за всеки приоритет)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г)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iCs/>
          <w:noProof/>
        </w:rPr>
      </w:pPr>
      <w:r>
        <w:rPr>
          <w:rFonts w:ascii="Times New Roman" w:hAnsi="Times New Roman"/>
          <w:i/>
          <w:noProof/>
        </w:rPr>
        <w:t>Текстово поле: [300]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>
        <w:tc>
          <w:tcPr>
            <w:tcW w:w="9322" w:type="dxa"/>
          </w:tcPr>
          <w:p>
            <w:pPr>
              <w:pStyle w:val="Text3"/>
              <w:spacing w:before="0" w:after="0"/>
              <w:ind w:left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</w:rPr>
              <w:t>Това е приоритет в съответствие с прехвърляне съгласно член 17, параграф 3</w:t>
            </w:r>
          </w:p>
        </w:tc>
      </w:tr>
    </w:tbl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2.1.1.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Специфична цел</w:t>
      </w:r>
      <w:r>
        <w:rPr>
          <w:rFonts w:ascii="Times New Roman" w:hAnsi="Times New Roman"/>
          <w:noProof/>
          <w:sz w:val="24"/>
        </w:rPr>
        <w:t xml:space="preserve"> (повтаря се за всяка избрана специфична цел, за приоритети, различни от техническа помощ)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2.1.2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Съответни видове дейности, включително списък на планираните операции от стратегическо значение, и очакваният им принос за тези специфични цели и за макрорегионалните стратегии и стратегиите за морските басейни, когато е целесъобразно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i), член 17, параграф 9, буква в), подточка ii)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[7000]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Списък на планираните операции от стратегическо значение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[2000]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За програмите по компонент 4 на Interreg: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9, буква в), подточка i)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Определяне на един-единствен бенефициер или ограничен списък на бенефициерите и процедурата за отпускане на средства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[7000]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2.1.3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Показатели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ii), член 17, параграф 9, буква в), подточка iii)</w:t>
      </w:r>
    </w:p>
    <w:p>
      <w:pPr>
        <w:spacing w:before="240" w:after="24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2: Показатели за крайните продукти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145"/>
        <w:gridCol w:w="403"/>
        <w:gridCol w:w="2534"/>
        <w:gridCol w:w="1312"/>
        <w:gridCol w:w="1316"/>
        <w:gridCol w:w="1567"/>
      </w:tblGrid>
      <w:tr>
        <w:trPr>
          <w:trHeight w:val="836"/>
        </w:trPr>
        <w:tc>
          <w:tcPr>
            <w:tcW w:w="475" w:type="pct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Приоритет </w:t>
            </w:r>
          </w:p>
        </w:tc>
        <w:tc>
          <w:tcPr>
            <w:tcW w:w="497" w:type="pct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Специфична цел</w:t>
            </w:r>
          </w:p>
        </w:tc>
        <w:tc>
          <w:tcPr>
            <w:tcW w:w="249" w:type="pct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ID</w:t>
            </w:r>
          </w:p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[5]</w:t>
            </w:r>
          </w:p>
        </w:tc>
        <w:tc>
          <w:tcPr>
            <w:tcW w:w="1407" w:type="pct"/>
            <w:shd w:val="clear" w:color="auto" w:fill="auto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Показател </w:t>
            </w:r>
          </w:p>
        </w:tc>
        <w:tc>
          <w:tcPr>
            <w:tcW w:w="744" w:type="pct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Мерна единица</w:t>
            </w:r>
          </w:p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[255]</w:t>
            </w:r>
          </w:p>
        </w:tc>
        <w:tc>
          <w:tcPr>
            <w:tcW w:w="746" w:type="pct"/>
            <w:shd w:val="clear" w:color="auto" w:fill="auto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Етапна цел (2024 г.)</w:t>
            </w:r>
          </w:p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[200]</w:t>
            </w:r>
          </w:p>
        </w:tc>
        <w:tc>
          <w:tcPr>
            <w:tcW w:w="881" w:type="pct"/>
            <w:shd w:val="clear" w:color="auto" w:fill="auto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Крайна цел (2029 г.)</w:t>
            </w:r>
          </w:p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[200]</w:t>
            </w:r>
          </w:p>
        </w:tc>
      </w:tr>
      <w:tr>
        <w:trPr>
          <w:trHeight w:val="579"/>
        </w:trPr>
        <w:tc>
          <w:tcPr>
            <w:tcW w:w="475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97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49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1407" w:type="pct"/>
            <w:shd w:val="clear" w:color="auto" w:fill="auto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744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</w:tr>
      <w:tr>
        <w:trPr>
          <w:trHeight w:val="579"/>
        </w:trPr>
        <w:tc>
          <w:tcPr>
            <w:tcW w:w="475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97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49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1407" w:type="pct"/>
            <w:shd w:val="clear" w:color="auto" w:fill="auto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744" w:type="pct"/>
          </w:tcPr>
          <w:p>
            <w:pPr>
              <w:pStyle w:val="Text1"/>
              <w:ind w:left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>
            <w:pPr>
              <w:pStyle w:val="Text1"/>
              <w:ind w:left="0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before="240" w:after="24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3: Показатели за резултатите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145"/>
        <w:gridCol w:w="394"/>
        <w:gridCol w:w="977"/>
        <w:gridCol w:w="1019"/>
        <w:gridCol w:w="952"/>
        <w:gridCol w:w="1070"/>
        <w:gridCol w:w="796"/>
        <w:gridCol w:w="931"/>
        <w:gridCol w:w="993"/>
      </w:tblGrid>
      <w:tr>
        <w:trPr>
          <w:trHeight w:val="947"/>
        </w:trPr>
        <w:tc>
          <w:tcPr>
            <w:tcW w:w="476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Приоритет </w:t>
            </w:r>
          </w:p>
        </w:tc>
        <w:tc>
          <w:tcPr>
            <w:tcW w:w="498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Специфична цел</w:t>
            </w:r>
          </w:p>
        </w:tc>
        <w:tc>
          <w:tcPr>
            <w:tcW w:w="248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ID</w:t>
            </w:r>
          </w:p>
        </w:tc>
        <w:tc>
          <w:tcPr>
            <w:tcW w:w="578" w:type="pct"/>
            <w:shd w:val="clear" w:color="auto" w:fill="auto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Показател </w:t>
            </w:r>
          </w:p>
        </w:tc>
        <w:tc>
          <w:tcPr>
            <w:tcW w:w="660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Мерна единица</w:t>
            </w:r>
          </w:p>
        </w:tc>
        <w:tc>
          <w:tcPr>
            <w:tcW w:w="496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Базови стойности</w:t>
            </w:r>
          </w:p>
        </w:tc>
        <w:tc>
          <w:tcPr>
            <w:tcW w:w="578" w:type="pct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Референтна година</w:t>
            </w:r>
          </w:p>
        </w:tc>
        <w:tc>
          <w:tcPr>
            <w:tcW w:w="496" w:type="pct"/>
            <w:shd w:val="clear" w:color="auto" w:fill="auto"/>
          </w:tcPr>
          <w:p>
            <w:pPr>
              <w:pStyle w:val="Text1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Крайна цел (2029 г.)</w:t>
            </w:r>
          </w:p>
        </w:tc>
        <w:tc>
          <w:tcPr>
            <w:tcW w:w="413" w:type="pct"/>
            <w:shd w:val="clear" w:color="auto" w:fill="auto"/>
          </w:tcPr>
          <w:p>
            <w:pPr>
              <w:pStyle w:val="Text1"/>
              <w:spacing w:line="480" w:lineRule="auto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Източник на данните</w:t>
            </w:r>
          </w:p>
        </w:tc>
        <w:tc>
          <w:tcPr>
            <w:tcW w:w="557" w:type="pct"/>
          </w:tcPr>
          <w:p>
            <w:pPr>
              <w:pStyle w:val="Text1"/>
              <w:spacing w:line="480" w:lineRule="auto"/>
              <w:ind w:left="0"/>
              <w:rPr>
                <w:rFonts w:cs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Забележки</w:t>
            </w:r>
          </w:p>
        </w:tc>
      </w:tr>
      <w:tr>
        <w:trPr>
          <w:trHeight w:val="629"/>
        </w:trPr>
        <w:tc>
          <w:tcPr>
            <w:tcW w:w="476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498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48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78" w:type="pct"/>
            <w:shd w:val="clear" w:color="auto" w:fill="auto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660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496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78" w:type="pct"/>
          </w:tcPr>
          <w:p>
            <w:pPr>
              <w:pStyle w:val="Text1"/>
              <w:ind w:left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pStyle w:val="Text1"/>
              <w:ind w:left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pStyle w:val="Text1"/>
              <w:spacing w:line="480" w:lineRule="auto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57" w:type="pct"/>
          </w:tcPr>
          <w:p>
            <w:pPr>
              <w:rPr>
                <w:i/>
                <w:noProof/>
                <w:sz w:val="14"/>
                <w:szCs w:val="14"/>
              </w:rPr>
            </w:pPr>
          </w:p>
        </w:tc>
      </w:tr>
      <w:tr>
        <w:trPr>
          <w:trHeight w:val="629"/>
        </w:trPr>
        <w:tc>
          <w:tcPr>
            <w:tcW w:w="476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498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48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78" w:type="pct"/>
            <w:shd w:val="clear" w:color="auto" w:fill="auto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660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496" w:type="pct"/>
          </w:tcPr>
          <w:p>
            <w:pPr>
              <w:pStyle w:val="Text1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78" w:type="pct"/>
          </w:tcPr>
          <w:p>
            <w:pPr>
              <w:pStyle w:val="Text1"/>
              <w:ind w:left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pStyle w:val="Text1"/>
              <w:ind w:left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pStyle w:val="Text1"/>
              <w:spacing w:line="480" w:lineRule="auto"/>
              <w:ind w:left="0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557" w:type="pct"/>
          </w:tcPr>
          <w:p>
            <w:pPr>
              <w:rPr>
                <w:i/>
                <w:noProof/>
                <w:sz w:val="14"/>
                <w:szCs w:val="14"/>
              </w:rPr>
            </w:pPr>
          </w:p>
        </w:tc>
      </w:tr>
    </w:tbl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2.1.4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Основните целеви групи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iii), член 17, параграф 9, буква в), подточка iv)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[7000]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2.1.5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Конкретни целеви територии, включително планираното използване на интегрирани териториални инвестиции (ITI), водено от общностите местно развитие (CLLD) или други териториални инструменти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iv)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[7000]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2.1.6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Планирано използване на финансови инструменти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v)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sz w:val="24"/>
        </w:rPr>
        <w:t>Текстово поле [7000]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2.1.7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Ориентировъчно разпределение на програмираните средства в зависимост от вида на интервенцията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д), подточка vi), член 17, параграф 9, буква в), подточка v)</w:t>
      </w:r>
    </w:p>
    <w:p>
      <w:pPr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4: Измерение 1 — Област на интервенция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657"/>
        <w:gridCol w:w="1898"/>
        <w:gridCol w:w="1204"/>
        <w:gridCol w:w="2659"/>
      </w:tblGrid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Приоритет №</w:t>
            </w: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Фонд</w:t>
            </w: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Специфична цел</w:t>
            </w: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Код </w:t>
            </w: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Сума (EUR)</w:t>
            </w:r>
          </w:p>
        </w:tc>
      </w:tr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5: Измерение 2 — Форма на финансиране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657"/>
        <w:gridCol w:w="1898"/>
        <w:gridCol w:w="1204"/>
        <w:gridCol w:w="2659"/>
      </w:tblGrid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Приоритет №</w:t>
            </w: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Фонд</w:t>
            </w: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Специфична цел</w:t>
            </w: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Код </w:t>
            </w: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Сума (EUR)</w:t>
            </w:r>
          </w:p>
        </w:tc>
      </w:tr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6: Измерение 3 — Териториален механизъм за изпълнение и териториална насоченост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657"/>
        <w:gridCol w:w="1898"/>
        <w:gridCol w:w="1204"/>
        <w:gridCol w:w="2659"/>
      </w:tblGrid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Приоритет №</w:t>
            </w: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Фонд</w:t>
            </w: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Специфична цел</w:t>
            </w: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Код </w:t>
            </w: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Сума (EUR)</w:t>
            </w:r>
          </w:p>
        </w:tc>
      </w:tr>
      <w:tr>
        <w:tc>
          <w:tcPr>
            <w:tcW w:w="18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657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89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20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26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</w:tr>
    </w:tbl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2.T.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Приоритет за техническа помощ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е) от Регламента за ЕТС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Текстово поле [8000] </w:t>
            </w:r>
          </w:p>
        </w:tc>
      </w:tr>
    </w:tbl>
    <w:p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0"/>
        <w:gridCol w:w="2082"/>
        <w:gridCol w:w="1514"/>
        <w:gridCol w:w="3342"/>
      </w:tblGrid>
      <w:tr>
        <w:tc>
          <w:tcPr>
            <w:tcW w:w="126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Приоритет №</w:t>
            </w:r>
          </w:p>
        </w:tc>
        <w:tc>
          <w:tcPr>
            <w:tcW w:w="1121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Фонд</w:t>
            </w:r>
          </w:p>
        </w:tc>
        <w:tc>
          <w:tcPr>
            <w:tcW w:w="81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Код </w:t>
            </w:r>
          </w:p>
        </w:tc>
        <w:tc>
          <w:tcPr>
            <w:tcW w:w="1799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Сума (EUR)</w:t>
            </w:r>
          </w:p>
        </w:tc>
      </w:tr>
      <w:tr>
        <w:tc>
          <w:tcPr>
            <w:tcW w:w="126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121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815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  <w:tc>
          <w:tcPr>
            <w:tcW w:w="1799" w:type="pct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</w:p>
        </w:tc>
      </w:tr>
    </w:tbl>
    <w:p>
      <w:pPr>
        <w:numPr>
          <w:ilvl w:val="0"/>
          <w:numId w:val="5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Финансов план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ж)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3.1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Финансови бюджетни кредити по години </w:t>
      </w:r>
    </w:p>
    <w:p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ж), подточка i), член 17, параграф 5, буква а), подточки i)—iv)</w:t>
      </w:r>
    </w:p>
    <w:p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Таблица 7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648"/>
        <w:gridCol w:w="955"/>
        <w:gridCol w:w="956"/>
        <w:gridCol w:w="956"/>
        <w:gridCol w:w="956"/>
        <w:gridCol w:w="957"/>
        <w:gridCol w:w="958"/>
        <w:gridCol w:w="958"/>
        <w:gridCol w:w="976"/>
      </w:tblGrid>
      <w:tr>
        <w:trPr>
          <w:trHeight w:val="226"/>
        </w:trP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Фонд</w:t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2021 г.</w:t>
            </w: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2022 г.</w:t>
            </w: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2023 г.</w:t>
            </w: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2024 г.</w:t>
            </w: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2025 г.</w:t>
            </w: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2026 г.</w:t>
            </w: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2027 г.</w:t>
            </w: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 xml:space="preserve">Общо </w:t>
            </w: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ЕФРР</w:t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ИПП III ТГС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1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Трансгранично сътрудничество за съседство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2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ИПП III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3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ИСРМС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4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ПОСТ Гренландия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5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ПОСТ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6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Средства от Interreg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7"/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138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 xml:space="preserve">Общо </w:t>
            </w:r>
          </w:p>
        </w:tc>
        <w:tc>
          <w:tcPr>
            <w:tcW w:w="1021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3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02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</w:tbl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3.2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Общо бюджетни кредити по фонд и национално съфинансиране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both"/>
              <w:rPr>
                <w:noProof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</w:rPr>
              <w:t>Позоваване: член 17, параграф 4, буква ж), подточка ii), член 17, параграф 5, буква а), подточки i)—iv), член 17, параграф 5, буква б)</w:t>
            </w:r>
          </w:p>
          <w:p>
            <w:pPr>
              <w:rPr>
                <w:noProof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noProof/>
          <w:color w:val="000000"/>
          <w:sz w:val="24"/>
        </w:rPr>
        <w:t>Таблица 8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sym w:font="Symbol" w:char="F02A"/>
      </w:r>
    </w:p>
    <w:tbl>
      <w:tblPr>
        <w:tblStyle w:val="TableGrid"/>
        <w:tblW w:w="4529" w:type="pct"/>
        <w:jc w:val="center"/>
        <w:tblLook w:val="04A0" w:firstRow="1" w:lastRow="0" w:firstColumn="1" w:lastColumn="0" w:noHBand="0" w:noVBand="1"/>
      </w:tblPr>
      <w:tblGrid>
        <w:gridCol w:w="1040"/>
        <w:gridCol w:w="1102"/>
        <w:gridCol w:w="1385"/>
        <w:gridCol w:w="1374"/>
        <w:gridCol w:w="1524"/>
        <w:gridCol w:w="1456"/>
        <w:gridCol w:w="1090"/>
        <w:gridCol w:w="1090"/>
        <w:gridCol w:w="1089"/>
        <w:gridCol w:w="1313"/>
        <w:gridCol w:w="1680"/>
      </w:tblGrid>
      <w:tr>
        <w:trPr>
          <w:jc w:val="center"/>
        </w:trPr>
        <w:tc>
          <w:tcPr>
            <w:tcW w:w="380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ЦП № или ТП</w:t>
            </w:r>
          </w:p>
        </w:tc>
        <w:tc>
          <w:tcPr>
            <w:tcW w:w="402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Приоритет</w:t>
            </w:r>
          </w:p>
        </w:tc>
        <w:tc>
          <w:tcPr>
            <w:tcW w:w="502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Фонд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(което е приложимо)</w:t>
            </w:r>
          </w:p>
        </w:tc>
        <w:tc>
          <w:tcPr>
            <w:tcW w:w="498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Основа за изчисляване на подкрепата от ЕС (общо или публична)</w:t>
            </w:r>
          </w:p>
        </w:tc>
        <w:tc>
          <w:tcPr>
            <w:tcW w:w="551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Финансов принос на ЕС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а)</w:t>
            </w:r>
          </w:p>
        </w:tc>
        <w:tc>
          <w:tcPr>
            <w:tcW w:w="527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Национален финансов принос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(б) = (в) + (г)</w:t>
            </w:r>
          </w:p>
        </w:tc>
        <w:tc>
          <w:tcPr>
            <w:tcW w:w="744" w:type="pct"/>
            <w:gridSpan w:val="2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Индикативно разпределение на националния принос</w:t>
            </w:r>
          </w:p>
        </w:tc>
        <w:tc>
          <w:tcPr>
            <w:tcW w:w="397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 xml:space="preserve">Общо 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(д) = (а) + (б)</w:t>
            </w:r>
          </w:p>
        </w:tc>
        <w:tc>
          <w:tcPr>
            <w:tcW w:w="393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Процент на съфинансиране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(е) = (a)/(д)</w:t>
            </w:r>
          </w:p>
        </w:tc>
        <w:tc>
          <w:tcPr>
            <w:tcW w:w="606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Финансов принос от трети държави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(за информация)</w:t>
            </w: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 xml:space="preserve">Национален публичен 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(в)</w:t>
            </w: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 xml:space="preserve">Национален частен </w:t>
            </w:r>
          </w:p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(г)</w:t>
            </w:r>
          </w:p>
        </w:tc>
        <w:tc>
          <w:tcPr>
            <w:tcW w:w="397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Приоритет 1</w:t>
            </w: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ЕФРР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ИПП III ТГС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8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Трансгранично сътрудничество за съседство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9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ИПП III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10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ИСРМС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11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ПОСТ Гренландия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12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ПОСТ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13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vMerge/>
            <w:tcBorders>
              <w:bottom w:val="single" w:sz="4" w:space="0" w:color="auto"/>
            </w:tcBorders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Средства от Interreg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6"/>
              </w:rPr>
              <w:footnoteReference w:id="14"/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tcBorders>
              <w:bottom w:val="single" w:sz="4" w:space="0" w:color="auto"/>
            </w:tcBorders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Приоритет 2</w:t>
            </w: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(средства както по-горе)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Общо</w:t>
            </w:r>
          </w:p>
        </w:tc>
        <w:tc>
          <w:tcPr>
            <w:tcW w:w="502" w:type="pct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Всички фондове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ЕФРР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ИПП III ТГС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Трансгранично сътрудничество за съседство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ИПП III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ИСРМС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ПОСТ Гренландия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ПОСТ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2" w:type="pct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Средства от Interreg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380" w:type="pct"/>
            <w:shd w:val="pct25" w:color="auto" w:fill="auto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Общо</w:t>
            </w:r>
          </w:p>
        </w:tc>
        <w:tc>
          <w:tcPr>
            <w:tcW w:w="50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</w:rPr>
              <w:t>Всички фондове</w:t>
            </w:r>
          </w:p>
        </w:tc>
        <w:tc>
          <w:tcPr>
            <w:tcW w:w="498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51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2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72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7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393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606" w:type="pct"/>
          </w:tcPr>
          <w:p>
            <w:pPr>
              <w:spacing w:after="60"/>
              <w:jc w:val="both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</w:tr>
    </w:tbl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</w:rPr>
        <w:sym w:font="Symbol" w:char="F02A"/>
      </w:r>
      <w:r>
        <w:rPr>
          <w:rFonts w:ascii="Times New Roman" w:hAnsi="Times New Roman"/>
          <w:noProof/>
          <w:sz w:val="20"/>
        </w:rPr>
        <w:t>Преди средносрочния преглед тази таблица включва само сумите за годините 2021—2025 г.</w:t>
      </w:r>
    </w:p>
    <w:p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>
      <w:pPr>
        <w:numPr>
          <w:ilvl w:val="0"/>
          <w:numId w:val="5"/>
        </w:num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Предприети действия за привличане на съответните партньори в подготовката на програмата по Interreg и ролята на тези партньори по програмата в изпълнението, мониторинга и оценката на програмата</w:t>
      </w:r>
    </w:p>
    <w:p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4, буква з)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9394"/>
      </w:tblGrid>
      <w:tr>
        <w:trPr>
          <w:trHeight w:val="489"/>
        </w:trPr>
        <w:tc>
          <w:tcPr>
            <w:tcW w:w="9394" w:type="dxa"/>
          </w:tcPr>
          <w:p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t>Текстово поле [10 000]</w:t>
            </w:r>
          </w:p>
        </w:tc>
      </w:tr>
    </w:tbl>
    <w:p>
      <w:pPr>
        <w:numPr>
          <w:ilvl w:val="0"/>
          <w:numId w:val="5"/>
        </w:num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Подход към комуникацията и видимостта на програмата по Interreg, включително планирания бюджет </w:t>
      </w:r>
    </w:p>
    <w:p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 17, параграф 4, буква и)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color w:val="000000"/>
        </w:rPr>
        <w:t>Текстово поле [10 000]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6.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Разпоредби за прилагане</w:t>
      </w: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6.1.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Програмни органи </w:t>
      </w:r>
    </w:p>
    <w:p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7, буква а)</w:t>
      </w:r>
    </w:p>
    <w:p>
      <w:pPr>
        <w:pStyle w:val="ListParagraph"/>
        <w:ind w:left="360"/>
        <w:jc w:val="center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Таблица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518"/>
        <w:gridCol w:w="2460"/>
        <w:gridCol w:w="2266"/>
      </w:tblGrid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Програмни органи 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Наименование на институцията </w:t>
            </w:r>
            <w:r>
              <w:rPr>
                <w:rFonts w:ascii="Times New Roman" w:hAnsi="Times New Roman"/>
                <w:noProof/>
                <w:sz w:val="20"/>
              </w:rPr>
              <w:t>[255]</w:t>
            </w: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Име на лицето за контакт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[200]</w:t>
            </w: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Електронна поща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[200]</w:t>
            </w:r>
          </w:p>
        </w:tc>
      </w:tr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Управляващ орган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Национален орган (за програми с участващи трети държави, ако е целесъобразно)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Одитен орган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Група одитори представители (за програми с участващи трети държави, ако е целесъобразно)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261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Организация, на която ще се превеждат средствата от Комисията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60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6.2.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Процедура за създаване на съвместен секретариат </w:t>
      </w:r>
    </w:p>
    <w:p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 7, буква б)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color w:val="000000"/>
        </w:rPr>
        <w:t>Текстово поле [3500]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>
      <w:pPr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6.3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Разпределяне на задълженията между участващите държави членки и, когато е приложимо, трети държави и отвъдморски страни и територии, в случай на финансови корекции, наложени от управляващия орган или Комисията</w:t>
      </w:r>
    </w:p>
    <w:p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</w:rPr>
        <w:t>Позоваване: член 17, параграф 7, буква в)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i/>
          <w:noProof/>
          <w:color w:val="000000"/>
        </w:rPr>
      </w:pPr>
      <w:r>
        <w:rPr>
          <w:rFonts w:ascii="Times New Roman" w:hAnsi="Times New Roman"/>
          <w:i/>
          <w:noProof/>
          <w:color w:val="000000"/>
        </w:rPr>
        <w:t>Текстово поле [10 500]</w:t>
      </w:r>
    </w:p>
    <w:p>
      <w:pPr>
        <w:jc w:val="both"/>
        <w:rPr>
          <w:rFonts w:ascii="Times New Roman" w:eastAsia="Times New Roman" w:hAnsi="Times New Roman" w:cs="Times New Roman"/>
          <w:b/>
          <w:noProof/>
        </w:rPr>
      </w:pPr>
    </w:p>
    <w:p>
      <w:pPr>
        <w:jc w:val="both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ДОПЪЛНЕНИЯ</w:t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noProof/>
          <w:color w:val="000000"/>
          <w:sz w:val="24"/>
        </w:rPr>
        <w:t>Карта на програмния район</w:t>
      </w: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Възстановяване на допустимите разходи на държавите членки от Комисията въз основа на единичните разходи, еднократните суми и единните ставки</w:t>
      </w: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Финансиране, което не е свързано с разходи</w:t>
      </w:r>
    </w:p>
    <w:p>
      <w:pPr>
        <w:pStyle w:val="ListParagraph"/>
        <w:jc w:val="both"/>
        <w:rPr>
          <w:rFonts w:ascii="Times New Roman" w:eastAsia="Times New Roman" w:hAnsi="Times New Roman" w:cs="Times New Roman"/>
          <w:b/>
          <w:noProof/>
        </w:rPr>
      </w:pPr>
    </w:p>
    <w:p>
      <w:pPr>
        <w:ind w:left="1418" w:hanging="141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Допълнение 1: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Карта на програмния район</w:t>
      </w:r>
    </w:p>
    <w:p>
      <w:pPr>
        <w:ind w:left="1418" w:hanging="1418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Допълнение 2: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Възстановяване на допустимите разходи на държавите членки от Комисията въз основа на единичните разходи, еднократните суми и единните ставки </w:t>
      </w:r>
      <w:bookmarkStart w:id="2" w:name="_Toc380656957"/>
    </w:p>
    <w:bookmarkEnd w:id="2"/>
    <w:p>
      <w:pPr>
        <w:ind w:left="1418" w:hanging="1418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Възстановяване на допустимите разходи на държавите членки от Комисията въз основа на единичните разходи, еднократните суми и единните ставки 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Образец за представяне на данните за разглеждане от Комисията</w:t>
      </w:r>
    </w:p>
    <w:p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u w:val="single"/>
        </w:rPr>
        <w:t>(член 88 от РОР)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Дата на внасяне на предложението</w:t>
            </w: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Настояща версия </w:t>
            </w: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  <w:sz w:val="20"/>
          <w:szCs w:val="20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>
      <w:pPr>
        <w:spacing w:after="240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A.</w:t>
      </w:r>
      <w:r>
        <w:rPr>
          <w:noProof/>
        </w:rPr>
        <w:tab/>
      </w:r>
      <w:r>
        <w:rPr>
          <w:rFonts w:ascii="Times New Roman" w:hAnsi="Times New Roman"/>
          <w:b/>
          <w:noProof/>
          <w:u w:val="single"/>
        </w:rPr>
        <w:t xml:space="preserve">Обобщение на основните елементи 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4"/>
        <w:gridCol w:w="1586"/>
        <w:gridCol w:w="951"/>
        <w:gridCol w:w="1647"/>
        <w:gridCol w:w="951"/>
        <w:gridCol w:w="1701"/>
        <w:gridCol w:w="1934"/>
        <w:gridCol w:w="1446"/>
        <w:gridCol w:w="2003"/>
      </w:tblGrid>
      <w:tr>
        <w:tc>
          <w:tcPr>
            <w:tcW w:w="416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Приоритет </w:t>
            </w:r>
          </w:p>
        </w:tc>
        <w:tc>
          <w:tcPr>
            <w:tcW w:w="332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Фонд</w:t>
            </w:r>
          </w:p>
        </w:tc>
        <w:tc>
          <w:tcPr>
            <w:tcW w:w="552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Прогнозен дял от общия размер на разпределените финансови средства в рамките на приоритета, за който ще се прилагат варианти за опростено отчитане на разходите, в % (приблизителна оценка)</w:t>
            </w:r>
          </w:p>
        </w:tc>
        <w:tc>
          <w:tcPr>
            <w:tcW w:w="904" w:type="pct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Вид операция/видове операции</w:t>
            </w:r>
          </w:p>
        </w:tc>
        <w:tc>
          <w:tcPr>
            <w:tcW w:w="923" w:type="pct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Съответно(и) наименование(ия) на показателя(ите)</w:t>
            </w:r>
          </w:p>
        </w:tc>
        <w:tc>
          <w:tcPr>
            <w:tcW w:w="673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Мерна единица на показателя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Вид варианти за опростено отчитане на разходите (стандартна таблица на единичните разходи, еднократни суми или единни ставки)</w:t>
            </w: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Съответни стандартни таблици на единичните разходи, еднократни суми или единни ставки</w:t>
            </w:r>
          </w:p>
        </w:tc>
      </w:tr>
      <w:tr>
        <w:tc>
          <w:tcPr>
            <w:tcW w:w="416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2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52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Код</w:t>
            </w:r>
          </w:p>
        </w:tc>
        <w:tc>
          <w:tcPr>
            <w:tcW w:w="57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Описание</w:t>
            </w: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Код </w:t>
            </w:r>
          </w:p>
        </w:tc>
        <w:tc>
          <w:tcPr>
            <w:tcW w:w="592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Описание</w:t>
            </w:r>
          </w:p>
        </w:tc>
        <w:tc>
          <w:tcPr>
            <w:tcW w:w="673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16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2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52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73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92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03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</w:tr>
      <w:tr>
        <w:tc>
          <w:tcPr>
            <w:tcW w:w="416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2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52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73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92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03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noProof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 w:code="9"/>
          <w:pgMar w:top="1134" w:right="567" w:bottom="1134" w:left="567" w:header="709" w:footer="709" w:gutter="0"/>
          <w:cols w:space="708"/>
          <w:titlePg/>
          <w:docGrid w:linePitch="360"/>
        </w:sectPr>
      </w:pPr>
    </w:p>
    <w:p>
      <w:pPr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Б. Подробности за типа операция (попълва се за всеки тип операция)</w:t>
      </w: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Управляващият орган получавал ли е подкрепа от външно дружество за определяне на опростените разходи по-долу? </w:t>
      </w: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Ако отговорът е „да“, моля, посочете кое външно дружество: </w:t>
      </w:r>
      <w:r>
        <w:rPr>
          <w:noProof/>
        </w:rPr>
        <w:tab/>
      </w:r>
      <w:r>
        <w:rPr>
          <w:rFonts w:ascii="Times New Roman" w:hAnsi="Times New Roman"/>
          <w:b/>
          <w:noProof/>
          <w:bdr w:val="single" w:sz="4" w:space="0" w:color="auto"/>
        </w:rPr>
        <w:t>Да/Не — Наименование на външното дружество</w:t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Типове операции: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6379"/>
      </w:tblGrid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1.1. Описание на типа операция 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1.2 Приоритет/специфична(и) цел(и)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1.3 Наименование на показателя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5"/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1.4 Мерна единица на показателя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1.5 Стандартни таблици на единичните разходи, еднократните суми или единните ставки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1.6 Размер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1.7 Категории разходи, обхванати от единичните разходи, еднократните суми или единните ставки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1.8 Тези категории разходи покриват ли всички допустими разходи за операцията? (ДА/НЕ)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1.9 Метод на корекция 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11.10 Проверка на метода за достигане до мерната единица  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 опишете какви документи ще бъдат използвани, за да се провери достигането до мерната единица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- опишете какво ще бъде проверено по време на проверките на управлението (включително на място), и от кого  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- опишете какви мерки са предприети за събиране и съхраняване на данните/документите 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1.11 Възможни порочни стимули или проблеми, дължащи се на този показател, как те могат да бъдат смекчени и очакваното ниво на риска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1.12 Обща сума (на национално ниво и на ниво ЕС), която се очаква да бъде възстановена </w:t>
            </w:r>
          </w:p>
        </w:tc>
        <w:tc>
          <w:tcPr>
            <w:tcW w:w="63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rFonts w:ascii="Times New Roman" w:hAnsi="Times New Roman" w:cs="Times New Roman"/>
          <w:b/>
          <w:noProof/>
          <w:u w:val="single"/>
        </w:rPr>
      </w:pPr>
    </w:p>
    <w:p>
      <w:pPr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В: Изчисляване на стандартната таблица на единичните разходи, еднократните суми или единните ставки</w:t>
      </w:r>
    </w:p>
    <w:p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i/>
          <w:noProof/>
        </w:rPr>
        <w:t>1.</w:t>
      </w:r>
      <w:r>
        <w:rPr>
          <w:rFonts w:ascii="Times New Roman" w:hAnsi="Times New Roman"/>
          <w:noProof/>
        </w:rPr>
        <w:t xml:space="preserve"> Източник на данните, използвани за изчисляване на стандартната таблица на единичните разходи, еднократните суми или единните ставки (кой е генерирал, събрал и записал данните; къде се съхраняват данните; крайни срокове; валидиране и др.):</w:t>
      </w:r>
    </w:p>
    <w:p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</w:p>
    <w:p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/>
          <w:i/>
          <w:noProof/>
        </w:rPr>
        <w:t>2.</w:t>
      </w:r>
      <w:r>
        <w:rPr>
          <w:rFonts w:ascii="Times New Roman" w:hAnsi="Times New Roman"/>
          <w:noProof/>
        </w:rPr>
        <w:t xml:space="preserve"> Моля, уточнете защо предложените метод и изчисление са подходящи за типа операция:</w:t>
      </w:r>
    </w:p>
    <w:p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</w:p>
    <w:p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/>
          <w:i/>
          <w:noProof/>
        </w:rPr>
        <w:t>3.</w:t>
      </w:r>
      <w:r>
        <w:rPr>
          <w:rFonts w:ascii="Times New Roman" w:hAnsi="Times New Roman"/>
          <w:noProof/>
        </w:rPr>
        <w:t xml:space="preserve"> Моля, посочете как са били направени изчисленията, включително и допускането по отношение на качеството или количествата. Когато е приложимо, следва да се използват статистически данни и референтни стойности, и да се приложат към настоящото приложение във формат, позволяващ употребата им от Комисията.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</w:p>
    <w:p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/>
          <w:i/>
          <w:noProof/>
        </w:rPr>
        <w:t>4</w:t>
      </w:r>
      <w:r>
        <w:rPr>
          <w:rFonts w:ascii="Times New Roman" w:hAnsi="Times New Roman"/>
          <w:noProof/>
        </w:rPr>
        <w:t>. Моля, обяснете как сте гарантирали, че само допустимите разходи са включени в изчислението на стандартната таблица на единичните разходи, еднократните суми или единните ставки;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</w:p>
    <w:p>
      <w:pPr>
        <w:spacing w:after="24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/>
          <w:i/>
          <w:noProof/>
        </w:rPr>
        <w:t>5</w:t>
      </w:r>
      <w:r>
        <w:rPr>
          <w:rFonts w:ascii="Times New Roman" w:hAnsi="Times New Roman"/>
          <w:noProof/>
        </w:rPr>
        <w:t>. Оценка на одитния(те) орган(и) на методиката на изчисление и на размера, както и на механизмите, осигуряващи проверката, качеството, събирането и съхранението на данните: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noProof/>
        </w:rPr>
      </w:pPr>
    </w:p>
    <w:p>
      <w:pPr>
        <w:rPr>
          <w:b/>
          <w:noProof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Допълнение 3: Финансиране, което не е свързано с разходи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Образец за представяне на данните за разглеждане от Комисията</w:t>
      </w:r>
    </w:p>
    <w:p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u w:val="single"/>
        </w:rPr>
        <w:t>(член 89 от РОР)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Дата на внасяне на предложението</w:t>
            </w: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Настояща версия </w:t>
            </w: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</w:p>
    <w:p>
      <w:pPr>
        <w:spacing w:after="240"/>
        <w:rPr>
          <w:rFonts w:ascii="Times New Roman" w:hAnsi="Times New Roman" w:cs="Times New Roman"/>
          <w:b/>
          <w:noProof/>
          <w:u w:val="singl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pacing w:after="240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A.</w:t>
      </w:r>
      <w:r>
        <w:rPr>
          <w:noProof/>
        </w:rPr>
        <w:tab/>
      </w:r>
      <w:r>
        <w:rPr>
          <w:rFonts w:ascii="Times New Roman" w:hAnsi="Times New Roman"/>
          <w:b/>
          <w:noProof/>
          <w:u w:val="single"/>
        </w:rPr>
        <w:t xml:space="preserve">Обобщение на основните елементи </w:t>
      </w:r>
    </w:p>
    <w:tbl>
      <w:tblPr>
        <w:tblW w:w="4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854"/>
        <w:gridCol w:w="1698"/>
        <w:gridCol w:w="2411"/>
        <w:gridCol w:w="2464"/>
        <w:gridCol w:w="864"/>
        <w:gridCol w:w="1571"/>
        <w:gridCol w:w="1788"/>
      </w:tblGrid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Приоритет </w:t>
            </w: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Фонд</w:t>
            </w: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Сумата, покрита от финансирането, което не е свързано с разходи</w:t>
            </w: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Вид операция/видове операции</w:t>
            </w: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Условия, които трябва да бъдат изпълнени/резултатите, които трябва да бъдат постигнати</w:t>
            </w:r>
          </w:p>
        </w:tc>
        <w:tc>
          <w:tcPr>
            <w:tcW w:w="977" w:type="pct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Съответно(и) наименование(ия) на показателя(ите)</w:t>
            </w: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Мерна единица на показателя</w:t>
            </w: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Код 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Описание</w:t>
            </w: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color w:val="7F7F7F"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Общ обхванат размер</w:t>
            </w:r>
          </w:p>
        </w:tc>
        <w:tc>
          <w:tcPr>
            <w:tcW w:w="353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4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27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>
      <w:pPr>
        <w:spacing w:after="240"/>
        <w:rPr>
          <w:rFonts w:ascii="Times New Roman" w:hAnsi="Times New Roman" w:cs="Times New Roman"/>
          <w:b/>
          <w:noProof/>
          <w:u w:val="single"/>
        </w:rPr>
      </w:pPr>
    </w:p>
    <w:p>
      <w:pPr>
        <w:rPr>
          <w:rFonts w:ascii="Times New Roman" w:hAnsi="Times New Roman" w:cs="Times New Roman"/>
          <w:b/>
          <w:noProof/>
          <w:u w:val="singl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Б. Подробности за типа операция (попълва се за всеки тип операция)</w:t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Типове операции: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417"/>
        <w:gridCol w:w="3189"/>
        <w:gridCol w:w="1595"/>
        <w:gridCol w:w="1595"/>
      </w:tblGrid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1.1. Описание на типа операция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1.2 Приоритет/специфична(и) цел(и)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1.3 Условия, които трябва да бъдат изпълнени, или резултати, които трябва да бъдат постигнати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1.4 Краен срок за изпълнение на условията или постигане на резултатите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1.5 Определяне на показателя за престациите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1.6 Мерна единица на показателя за престациите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1.7 Междинни престации (ако е приложимо), които водят до възстановяване на разходи от страна на Комисията с график за възстановяване на разходите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Междинни престации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Суми</w:t>
            </w:r>
          </w:p>
        </w:tc>
      </w:tr>
      <w:tr>
        <w:trPr>
          <w:trHeight w:val="36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6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1.8 Обща сума (включително финансиране от ЕС и национално финансиране)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1.9 Метод на корекция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1.10 Проверка на постигането на резултат или условие (и, когато е приложимо, междинни престации)</w:t>
            </w:r>
          </w:p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 опишете какви документи ще бъдат използвани, за да се провери постигането на резултата или изпълнението на условието</w:t>
            </w:r>
          </w:p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 опишете какво ще бъде проверено по време на проверките на управлението (включително на място) и от кого</w:t>
            </w:r>
          </w:p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- опишете какви мерки са предприети за събиране и съхраняване на данните/документите  </w:t>
            </w:r>
          </w:p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8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1.11 Мерки за осигуряване на одитна следа </w:t>
            </w:r>
          </w:p>
          <w:p>
            <w:pPr>
              <w:spacing w:after="8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Моля, посочете органа/органите, отговарящи за тези мерки.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noProof/>
        </w:rPr>
      </w:pPr>
    </w:p>
    <w:sectPr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54202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  <w:pBdr>
        <w:top w:val="single" w:sz="4" w:space="1" w:color="808080"/>
      </w:pBdr>
      <w:jc w:val="right"/>
      <w:rPr>
        <w:rStyle w:val="PageNumber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31352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23995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8918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2043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12806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8317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7504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426" w:hanging="426"/>
        <w:rPr>
          <w:rFonts w:ascii="Times New Roman" w:hAnsi="Times New Roman" w:cs="Times New Roman"/>
          <w:i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 1, външно трансгранично сътрудничество</w:t>
      </w:r>
    </w:p>
  </w:footnote>
  <w:footnote w:id="2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 1, външно трансгранично сътрудничество</w:t>
      </w:r>
    </w:p>
  </w:footnote>
  <w:footnote w:id="3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4">
    <w:p>
      <w:pPr>
        <w:pStyle w:val="FootnoteText"/>
        <w:ind w:left="426" w:hanging="426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5">
    <w:p>
      <w:pPr>
        <w:pStyle w:val="FootnoteText"/>
        <w:ind w:left="426" w:hanging="426"/>
        <w:rPr>
          <w:rFonts w:ascii="Times New Roman" w:hAnsi="Times New Roman" w:cs="Times New Roman"/>
          <w:i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6">
    <w:p>
      <w:pPr>
        <w:pStyle w:val="FootnoteText"/>
        <w:ind w:left="426" w:hanging="426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3 и 4</w:t>
      </w:r>
    </w:p>
  </w:footnote>
  <w:footnote w:id="7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 xml:space="preserve">ЕФРР, ИПП III, или ИСРМС или ПОСТ, като единична сума по компоненти 2 и 4 </w:t>
      </w:r>
    </w:p>
  </w:footnote>
  <w:footnote w:id="8">
    <w:p>
      <w:pPr>
        <w:pStyle w:val="FootnoteText"/>
        <w:ind w:left="426" w:hanging="426"/>
        <w:rPr>
          <w:rFonts w:ascii="Times New Roman" w:hAnsi="Times New Roman" w:cs="Times New Roman"/>
          <w:i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 1, външно трансгранично сътрудничество</w:t>
      </w:r>
    </w:p>
  </w:footnote>
  <w:footnote w:id="9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 1, външно трансгранично сътрудничество</w:t>
      </w:r>
    </w:p>
  </w:footnote>
  <w:footnote w:id="10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11">
    <w:p>
      <w:pPr>
        <w:pStyle w:val="FootnoteText"/>
        <w:ind w:left="426" w:hanging="426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12">
    <w:p>
      <w:pPr>
        <w:pStyle w:val="FootnoteText"/>
        <w:ind w:left="426" w:hanging="426"/>
        <w:rPr>
          <w:rFonts w:ascii="Times New Roman" w:hAnsi="Times New Roman" w:cs="Times New Roman"/>
          <w:i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2 и 4</w:t>
      </w:r>
    </w:p>
  </w:footnote>
  <w:footnote w:id="13">
    <w:p>
      <w:pPr>
        <w:pStyle w:val="FootnoteText"/>
        <w:ind w:left="426" w:hanging="426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>Компоненти 3 и 4</w:t>
      </w:r>
    </w:p>
  </w:footnote>
  <w:footnote w:id="14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i/>
        </w:rPr>
        <w:t xml:space="preserve">ЕФРР, ИПП III, или ИСРМС или ПОСТ, като единична сума по компоненти 2 и 4 </w:t>
      </w:r>
    </w:p>
  </w:footnote>
  <w:footnote w:id="15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Няколко допълнителни показатели (например един показател за крайния продукт и един показател за резултатите) са възможно за един тип операция. В тези случаи полета 1.3—1.11 следва да се попълнят за всеки показател.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7B6F46"/>
      </w:pBdr>
      <w:tabs>
        <w:tab w:val="right" w:pos="8820"/>
      </w:tabs>
      <w:ind w:right="3027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7B6F46"/>
      </w:pBdr>
      <w:tabs>
        <w:tab w:val="right" w:pos="8820"/>
      </w:tabs>
      <w:ind w:right="3027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7B6F46"/>
      </w:pBdr>
      <w:tabs>
        <w:tab w:val="right" w:pos="8820"/>
      </w:tabs>
      <w:ind w:right="3027"/>
      <w:jc w:val="cent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EE"/>
    <w:multiLevelType w:val="hybridMultilevel"/>
    <w:tmpl w:val="3C5C0B7E"/>
    <w:lvl w:ilvl="0" w:tplc="8C58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1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2431E9"/>
    <w:multiLevelType w:val="hybridMultilevel"/>
    <w:tmpl w:val="E5E2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4E0"/>
    <w:multiLevelType w:val="hybridMultilevel"/>
    <w:tmpl w:val="7BF27AAC"/>
    <w:lvl w:ilvl="0" w:tplc="8C58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C78B8"/>
    <w:multiLevelType w:val="multilevel"/>
    <w:tmpl w:val="5C1E6B1C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211C6A93"/>
    <w:multiLevelType w:val="hybridMultilevel"/>
    <w:tmpl w:val="9CDA02C4"/>
    <w:lvl w:ilvl="0" w:tplc="8C58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A46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2173F"/>
    <w:multiLevelType w:val="hybridMultilevel"/>
    <w:tmpl w:val="037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51F8E"/>
    <w:multiLevelType w:val="hybridMultilevel"/>
    <w:tmpl w:val="A498D5B6"/>
    <w:lvl w:ilvl="0" w:tplc="8C58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41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1C5324"/>
    <w:multiLevelType w:val="hybridMultilevel"/>
    <w:tmpl w:val="CC30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D4EEB"/>
    <w:multiLevelType w:val="hybridMultilevel"/>
    <w:tmpl w:val="BAB4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53070"/>
    <w:multiLevelType w:val="hybridMultilevel"/>
    <w:tmpl w:val="D8140FE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DCD1FCC"/>
    <w:multiLevelType w:val="hybridMultilevel"/>
    <w:tmpl w:val="16DA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80202"/>
    <w:multiLevelType w:val="hybridMultilevel"/>
    <w:tmpl w:val="85523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8252F"/>
    <w:multiLevelType w:val="hybridMultilevel"/>
    <w:tmpl w:val="68B4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93E05"/>
    <w:multiLevelType w:val="hybridMultilevel"/>
    <w:tmpl w:val="EAC2A478"/>
    <w:lvl w:ilvl="0" w:tplc="8C58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D388A"/>
    <w:multiLevelType w:val="hybridMultilevel"/>
    <w:tmpl w:val="A8AC4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A7B3A"/>
    <w:multiLevelType w:val="hybridMultilevel"/>
    <w:tmpl w:val="B65C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33277"/>
    <w:multiLevelType w:val="hybridMultilevel"/>
    <w:tmpl w:val="7AE42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8B4C2C"/>
    <w:multiLevelType w:val="hybridMultilevel"/>
    <w:tmpl w:val="0D08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8A088BE-ABEA-402F-BB79-0E65F2B567D6"/>
    <w:docVar w:name="LW_COVERPAGE_TYPE" w:val="1"/>
    <w:docVar w:name="LW_CROSSREFERENCE" w:val="{SEC(2018) 268 final}_x000a_{SWD(2018) 282 final}_x000a_{SWD(2018) 283 final}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Страсбург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9?\u1087?\u1077?\u1094?\u1080?\u1072?\u1083?\u1085?\u1080?\u1090?\u1077? \u1088?\u1072?\u1079?\u1087?\u1086?\u1088?\u1077?\u1076?\u1073?\u1080? \u1079?\u1072? \u1094?\u1077?\u1083? \u8222?\u1045?\u1074?\u1088?\u1086?\u1087?\u1077?\u1081?\u1089?\u1082?\u1086? \u1090?\u1077?\u1088?\u1080?\u1090?\u1086?\u1088?\u1080?\u1072?\u1083?\u1085?\u1086? \u1089?\u1098?\u1090?\u1088?\u1091?\u1076?\u1085?\u1080?\u1095?\u1077?\u1089?\u1090?\u1074?\u1086?\u8220? (Interreg), \u1087?\u1086?\u1076?\u1087?\u1086?\u1084?\u1072?\u1075?\u1072?\u1085?\u1072? \u1086?\u1090? \u1045?\u1074?\u1088?\u1086?\u1087?\u1077?\u1081?\u1089?\u1082?\u1080?\u1103? \u1092?\u1086?\u1085?\u1076? \u1079?\u1072? \u1088?\u1077?\u1075?\u1080?\u1086?\u1085?\u1072?\u1083?\u1085?\u1086? \u1088?\u1072?\u1079?\u1074?\u1080?\u1090?\u1080?\u1077? \u1080? \u1080?\u1085?\u1089?\u1090?\u1088?\u1091?\u1084?\u1077?\u1085?\u1090?\u1080? \u1079?\u1072? \u1074?\u1098?\u1085?\u1096?\u1085?\u1086? \u1092?\u1080?\u1085?\u1072?\u1085?\u1089?\u1080?\u1088?\u1072?\u1085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link w:val="Text1"/>
    <w:locked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"/>
    <w:next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Point0number">
    <w:name w:val="Point 0 (number)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numPr>
        <w:ilvl w:val="4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numPr>
        <w:ilvl w:val="6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styleId="PageNumber">
    <w:name w:val="page number"/>
  </w:style>
  <w:style w:type="paragraph" w:styleId="Title">
    <w:name w:val="Title"/>
    <w:basedOn w:val="Normal"/>
    <w:link w:val="TitleChar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lang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link w:val="Text1"/>
    <w:locked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"/>
    <w:next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Point0number">
    <w:name w:val="Point 0 (number)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numPr>
        <w:ilvl w:val="4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numPr>
        <w:ilvl w:val="6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styleId="PageNumber">
    <w:name w:val="page number"/>
  </w:style>
  <w:style w:type="paragraph" w:styleId="Title">
    <w:name w:val="Title"/>
    <w:basedOn w:val="Normal"/>
    <w:link w:val="TitleChar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lang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image" Target="media/image1.emf"/><Relationship Id="rId51" Type="http://schemas.openxmlformats.org/officeDocument/2006/relationships/header" Target="header2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1921</Words>
  <Characters>11124</Characters>
  <Application>Microsoft Office Word</Application>
  <DocSecurity>0</DocSecurity>
  <Lines>1112</Lines>
  <Paragraphs>352</Paragraphs>
  <ScaleCrop>false</ScaleCrop>
  <Company>European Commission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 Martine (ECFIN)</dc:creator>
  <cp:lastModifiedBy>DIGIT/A3</cp:lastModifiedBy>
  <cp:revision>19</cp:revision>
  <dcterms:created xsi:type="dcterms:W3CDTF">2018-05-29T12:55:00Z</dcterms:created>
  <dcterms:modified xsi:type="dcterms:W3CDTF">2018-06-01T13:16:00Z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