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E7A56FF9-1079-4B00-8885-AFA5075C3E2C" style="width:450.35pt;height:397.3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 I</w:t>
      </w:r>
      <w:r>
        <w:rPr>
          <w:noProof/>
        </w:rPr>
        <w:br/>
      </w:r>
      <w:r>
        <w:rPr>
          <w:noProof/>
        </w:rPr>
        <w:br/>
        <w:t>РЕГУЛАТОРНА ИНФОРМАЦИЯ, ПОПАДАЩА В ОБХВАТА НА НАСТОЯЩИЯ РЕГЛАМЕНТ</w:t>
      </w:r>
    </w:p>
    <w:p>
      <w:pPr>
        <w:pStyle w:val="NormalLeft"/>
        <w:rPr>
          <w:b/>
          <w:noProof/>
        </w:rPr>
      </w:pPr>
      <w:r>
        <w:rPr>
          <w:b/>
          <w:noProof/>
        </w:rPr>
        <w:t xml:space="preserve">Регулаторни изисквания за информация, определени в правото на Съюза </w:t>
      </w:r>
    </w:p>
    <w:p>
      <w:pPr>
        <w:pStyle w:val="Text1"/>
        <w:rPr>
          <w:noProof/>
        </w:rPr>
      </w:pPr>
      <w:r>
        <w:rPr>
          <w:noProof/>
        </w:rPr>
        <w:t>Настоящата таблица включва регулаторните изисквания за информация, изложени в актове на Съюза за определяне на условията за превоза на стоки на територията на Съюза, в съответствие с дял VI от трета част от Договора, както и условията за превоза на отпадъци:</w:t>
      </w:r>
    </w:p>
    <w:tbl>
      <w:tblPr>
        <w:tblStyle w:val="TableGrid"/>
        <w:tblW w:w="6208" w:type="dxa"/>
        <w:tblLook w:val="04A0" w:firstRow="1" w:lastRow="0" w:firstColumn="1" w:lastColumn="0" w:noHBand="0" w:noVBand="1"/>
      </w:tblPr>
      <w:tblGrid>
        <w:gridCol w:w="3486"/>
        <w:gridCol w:w="1230"/>
        <w:gridCol w:w="1508"/>
        <w:gridCol w:w="1508"/>
        <w:gridCol w:w="1084"/>
        <w:gridCol w:w="1675"/>
        <w:gridCol w:w="1725"/>
        <w:gridCol w:w="1490"/>
        <w:gridCol w:w="1081"/>
      </w:tblGrid>
      <w:tr>
        <w:trPr>
          <w:trHeight w:val="1216"/>
        </w:trPr>
        <w:tc>
          <w:tcPr>
            <w:tcW w:w="4320" w:type="dxa"/>
            <w:noWrap/>
            <w:hideMark/>
          </w:tcPr>
          <w:p>
            <w:pPr>
              <w:jc w:val="left"/>
              <w:rPr>
                <w:rFonts w:ascii="Calibri" w:eastAsia="Times New Roman" w:hAnsi="Calibri"/>
                <w:b/>
                <w:bCs/>
                <w:noProof/>
                <w:color w:val="000000"/>
                <w:szCs w:val="24"/>
              </w:rPr>
            </w:pPr>
            <w:r>
              <w:rPr>
                <w:rFonts w:ascii="Calibri" w:hAnsi="Calibri"/>
                <w:b/>
                <w:noProof/>
                <w:color w:val="000000"/>
              </w:rPr>
              <w:t>Законодателство на ЕС</w:t>
            </w:r>
          </w:p>
          <w:p>
            <w:pPr>
              <w:jc w:val="left"/>
              <w:rPr>
                <w:rFonts w:ascii="Calibri" w:eastAsia="Times New Roman" w:hAnsi="Calibri"/>
                <w:b/>
                <w:bCs/>
                <w:noProof/>
                <w:color w:val="000000"/>
                <w:szCs w:val="24"/>
              </w:rPr>
            </w:pPr>
          </w:p>
          <w:p>
            <w:pPr>
              <w:jc w:val="left"/>
              <w:rPr>
                <w:rFonts w:ascii="Calibri" w:eastAsia="Times New Roman" w:hAnsi="Calibri"/>
                <w:b/>
                <w:bCs/>
                <w:noProof/>
                <w:color w:val="000000"/>
                <w:szCs w:val="24"/>
              </w:rPr>
            </w:pPr>
          </w:p>
          <w:p>
            <w:pPr>
              <w:jc w:val="left"/>
              <w:rPr>
                <w:rFonts w:ascii="Calibri" w:eastAsia="Times New Roman" w:hAnsi="Calibri"/>
                <w:b/>
                <w:bCs/>
                <w:noProof/>
                <w:color w:val="000000"/>
                <w:sz w:val="28"/>
                <w:szCs w:val="28"/>
              </w:rPr>
            </w:pPr>
            <w:r>
              <w:rPr>
                <w:rFonts w:ascii="Calibri" w:hAnsi="Calibri"/>
                <w:b/>
                <w:noProof/>
                <w:color w:val="000000"/>
              </w:rPr>
              <w:t>Информационна позиция</w:t>
            </w:r>
          </w:p>
        </w:tc>
        <w:tc>
          <w:tcPr>
            <w:tcW w:w="236" w:type="dxa"/>
            <w:hideMark/>
          </w:tcPr>
          <w:p>
            <w:pPr>
              <w:jc w:val="left"/>
              <w:rPr>
                <w:rFonts w:ascii="Calibri" w:eastAsia="Times New Roman" w:hAnsi="Calibri"/>
                <w:b/>
                <w:bCs/>
                <w:noProof/>
                <w:color w:val="000000"/>
                <w:sz w:val="16"/>
                <w:szCs w:val="16"/>
              </w:rPr>
            </w:pPr>
            <w:r>
              <w:rPr>
                <w:rFonts w:ascii="Calibri" w:hAnsi="Calibri"/>
                <w:b/>
                <w:noProof/>
                <w:color w:val="000000"/>
                <w:sz w:val="16"/>
              </w:rPr>
              <w:t>Регламент № 11 на Съвета относно премахване на дискриминацията при определяне на транспортните тарифи и условия</w:t>
            </w:r>
          </w:p>
          <w:p>
            <w:pPr>
              <w:jc w:val="left"/>
              <w:rPr>
                <w:rFonts w:ascii="Calibri" w:eastAsia="Times New Roman" w:hAnsi="Calibri"/>
                <w:b/>
                <w:bCs/>
                <w:noProof/>
                <w:color w:val="000000"/>
                <w:sz w:val="16"/>
                <w:szCs w:val="16"/>
              </w:rPr>
            </w:pPr>
            <w:r>
              <w:rPr>
                <w:rFonts w:ascii="Calibri" w:hAnsi="Calibri"/>
                <w:b/>
                <w:noProof/>
                <w:color w:val="000000"/>
                <w:sz w:val="16"/>
              </w:rPr>
              <w:t>ОВ 052 (16.8.1960 г.,</w:t>
            </w:r>
            <w:r>
              <w:rPr>
                <w:noProof/>
              </w:rPr>
              <w:t xml:space="preserve"> </w:t>
            </w:r>
            <w:r>
              <w:rPr>
                <w:rFonts w:ascii="Calibri" w:hAnsi="Calibri"/>
                <w:b/>
                <w:noProof/>
                <w:color w:val="000000"/>
                <w:sz w:val="16"/>
              </w:rPr>
              <w:t xml:space="preserve"> стр. 1121—1126)</w:t>
            </w:r>
          </w:p>
        </w:tc>
        <w:tc>
          <w:tcPr>
            <w:tcW w:w="236" w:type="dxa"/>
            <w:hideMark/>
          </w:tcPr>
          <w:p>
            <w:pPr>
              <w:jc w:val="left"/>
              <w:rPr>
                <w:rFonts w:ascii="Calibri" w:eastAsia="Times New Roman" w:hAnsi="Calibri"/>
                <w:b/>
                <w:bCs/>
                <w:noProof/>
                <w:color w:val="000000"/>
                <w:sz w:val="16"/>
                <w:szCs w:val="16"/>
              </w:rPr>
            </w:pPr>
            <w:r>
              <w:rPr>
                <w:rFonts w:ascii="Calibri" w:hAnsi="Calibri"/>
                <w:b/>
                <w:noProof/>
                <w:color w:val="000000"/>
                <w:sz w:val="16"/>
              </w:rPr>
              <w:t>Директива 92/106/ЕИО относно създаването на общи правила за някои видове комбиниран транспорт на товари между държавите членки</w:t>
            </w:r>
          </w:p>
          <w:p>
            <w:pPr>
              <w:jc w:val="left"/>
              <w:rPr>
                <w:rFonts w:ascii="Calibri" w:eastAsia="Times New Roman" w:hAnsi="Calibri"/>
                <w:b/>
                <w:bCs/>
                <w:noProof/>
                <w:color w:val="000000"/>
                <w:sz w:val="16"/>
                <w:szCs w:val="16"/>
              </w:rPr>
            </w:pPr>
            <w:r>
              <w:rPr>
                <w:rFonts w:ascii="Calibri" w:hAnsi="Calibri"/>
                <w:b/>
                <w:noProof/>
                <w:color w:val="000000"/>
                <w:sz w:val="16"/>
              </w:rPr>
              <w:t>ОВ L 368 (17.12.1992 г., стр. 38—42)</w:t>
            </w:r>
          </w:p>
        </w:tc>
        <w:tc>
          <w:tcPr>
            <w:tcW w:w="236" w:type="dxa"/>
            <w:hideMark/>
          </w:tcPr>
          <w:p>
            <w:pPr>
              <w:jc w:val="left"/>
              <w:rPr>
                <w:rFonts w:asciiTheme="minorHAnsi" w:eastAsia="Times New Roman" w:hAnsiTheme="minorHAnsi"/>
                <w:b/>
                <w:bCs/>
                <w:noProof/>
                <w:color w:val="000000"/>
                <w:sz w:val="16"/>
                <w:szCs w:val="16"/>
              </w:rPr>
            </w:pPr>
            <w:r>
              <w:rPr>
                <w:noProof/>
              </w:rPr>
              <w:t>(Предложение</w:t>
            </w:r>
            <w:r>
              <w:rPr>
                <w:rFonts w:asciiTheme="minorHAnsi" w:hAnsiTheme="minorHAnsi"/>
                <w:b/>
                <w:noProof/>
                <w:color w:val="000000"/>
                <w:sz w:val="16"/>
              </w:rPr>
              <w:t xml:space="preserve"> COM(2017) 648 final —2017/0290 (COD) </w:t>
            </w:r>
            <w:r>
              <w:rPr>
                <w:rStyle w:val="st"/>
                <w:rFonts w:asciiTheme="minorHAnsi" w:hAnsiTheme="minorHAnsi"/>
                <w:b/>
                <w:noProof/>
                <w:sz w:val="16"/>
              </w:rPr>
              <w:t>за изменение на</w:t>
            </w:r>
            <w:r>
              <w:rPr>
                <w:rStyle w:val="st"/>
                <w:rFonts w:asciiTheme="minorHAnsi" w:hAnsiTheme="minorHAnsi"/>
                <w:noProof/>
                <w:sz w:val="16"/>
              </w:rPr>
              <w:t xml:space="preserve"> </w:t>
            </w:r>
            <w:r>
              <w:rPr>
                <w:rStyle w:val="st"/>
                <w:rFonts w:asciiTheme="minorHAnsi" w:hAnsiTheme="minorHAnsi"/>
                <w:b/>
                <w:noProof/>
                <w:sz w:val="16"/>
              </w:rPr>
              <w:t>Директива 92/106/ЕИО ]</w:t>
            </w:r>
          </w:p>
        </w:tc>
        <w:tc>
          <w:tcPr>
            <w:tcW w:w="236" w:type="dxa"/>
            <w:hideMark/>
          </w:tcPr>
          <w:p>
            <w:pPr>
              <w:jc w:val="left"/>
              <w:rPr>
                <w:rFonts w:ascii="Calibri" w:eastAsia="Times New Roman" w:hAnsi="Calibri"/>
                <w:b/>
                <w:bCs/>
                <w:noProof/>
                <w:color w:val="000000"/>
                <w:sz w:val="16"/>
                <w:szCs w:val="16"/>
              </w:rPr>
            </w:pPr>
            <w:r>
              <w:rPr>
                <w:rFonts w:ascii="Calibri" w:hAnsi="Calibri"/>
                <w:b/>
                <w:noProof/>
                <w:color w:val="000000"/>
                <w:sz w:val="16"/>
              </w:rPr>
              <w:t>Регламент (ЕО) № 1072/2009 относно общите правила за достъп до пазара на международни автомобилни превози на товари</w:t>
            </w:r>
          </w:p>
          <w:p>
            <w:pPr>
              <w:jc w:val="left"/>
              <w:rPr>
                <w:rFonts w:ascii="Calibri" w:eastAsia="Times New Roman" w:hAnsi="Calibri"/>
                <w:b/>
                <w:bCs/>
                <w:noProof/>
                <w:color w:val="000000"/>
                <w:sz w:val="16"/>
                <w:szCs w:val="16"/>
              </w:rPr>
            </w:pPr>
            <w:r>
              <w:rPr>
                <w:rFonts w:ascii="Calibri" w:hAnsi="Calibri"/>
                <w:b/>
                <w:noProof/>
                <w:color w:val="000000"/>
                <w:sz w:val="16"/>
              </w:rPr>
              <w:t>ОВ L 300/72, (14.11.2009 г., стр. 72—87)</w:t>
            </w:r>
          </w:p>
        </w:tc>
        <w:tc>
          <w:tcPr>
            <w:tcW w:w="236" w:type="dxa"/>
            <w:hideMark/>
          </w:tcPr>
          <w:p>
            <w:pPr>
              <w:jc w:val="left"/>
              <w:rPr>
                <w:rFonts w:ascii="Calibri" w:eastAsia="Times New Roman" w:hAnsi="Calibri"/>
                <w:b/>
                <w:bCs/>
                <w:noProof/>
                <w:color w:val="000000"/>
                <w:sz w:val="16"/>
                <w:szCs w:val="16"/>
              </w:rPr>
            </w:pPr>
            <w:r>
              <w:rPr>
                <w:rFonts w:ascii="Calibri" w:hAnsi="Calibri"/>
                <w:b/>
                <w:noProof/>
                <w:color w:val="000000"/>
                <w:sz w:val="16"/>
              </w:rPr>
              <w:t>[Предложение COM(2017) 0281 final — 2017/0123 (COD)</w:t>
            </w:r>
            <w:r>
              <w:rPr>
                <w:noProof/>
              </w:rPr>
              <w:t xml:space="preserve"> </w:t>
            </w:r>
            <w:r>
              <w:rPr>
                <w:rFonts w:ascii="Calibri" w:hAnsi="Calibri"/>
                <w:b/>
                <w:noProof/>
                <w:color w:val="000000"/>
                <w:sz w:val="16"/>
              </w:rPr>
              <w:t>за изменение на Регламент (ЕО) № 1071/2009 и Регламент (ЕО) № 1072/2009]</w:t>
            </w:r>
          </w:p>
        </w:tc>
        <w:tc>
          <w:tcPr>
            <w:tcW w:w="236" w:type="dxa"/>
            <w:hideMark/>
          </w:tcPr>
          <w:p>
            <w:pPr>
              <w:jc w:val="left"/>
              <w:rPr>
                <w:rFonts w:ascii="Calibri" w:eastAsia="Times New Roman" w:hAnsi="Calibri"/>
                <w:b/>
                <w:bCs/>
                <w:noProof/>
                <w:color w:val="000000"/>
                <w:sz w:val="16"/>
                <w:szCs w:val="16"/>
              </w:rPr>
            </w:pPr>
            <w:r>
              <w:rPr>
                <w:rFonts w:ascii="Calibri" w:hAnsi="Calibri"/>
                <w:b/>
                <w:noProof/>
                <w:color w:val="000000"/>
                <w:sz w:val="16"/>
              </w:rPr>
              <w:t>Регламент за изпълнение (ЕС) 2015/1998 на Комисията за установяване на подробни мерки за прилагането на общите основни стандарти за сигурност във въздухоплаването</w:t>
            </w:r>
          </w:p>
          <w:p>
            <w:pPr>
              <w:jc w:val="left"/>
              <w:rPr>
                <w:rFonts w:ascii="Calibri" w:eastAsia="Times New Roman" w:hAnsi="Calibri"/>
                <w:b/>
                <w:bCs/>
                <w:noProof/>
                <w:color w:val="000000"/>
                <w:sz w:val="16"/>
                <w:szCs w:val="16"/>
              </w:rPr>
            </w:pPr>
            <w:r>
              <w:rPr>
                <w:rFonts w:ascii="Calibri" w:hAnsi="Calibri"/>
                <w:b/>
                <w:noProof/>
                <w:color w:val="000000"/>
                <w:sz w:val="16"/>
              </w:rPr>
              <w:t>ОВ L 299 (14.11.2015 г., стр. 1—142)</w:t>
            </w:r>
          </w:p>
        </w:tc>
        <w:tc>
          <w:tcPr>
            <w:tcW w:w="236" w:type="dxa"/>
            <w:hideMark/>
          </w:tcPr>
          <w:p>
            <w:pPr>
              <w:jc w:val="left"/>
              <w:rPr>
                <w:rFonts w:ascii="Calibri" w:eastAsia="Times New Roman" w:hAnsi="Calibri"/>
                <w:b/>
                <w:bCs/>
                <w:noProof/>
                <w:color w:val="000000"/>
                <w:sz w:val="16"/>
                <w:szCs w:val="16"/>
              </w:rPr>
            </w:pPr>
            <w:r>
              <w:rPr>
                <w:rFonts w:ascii="Calibri" w:hAnsi="Calibri"/>
                <w:b/>
                <w:noProof/>
                <w:color w:val="000000"/>
                <w:sz w:val="16"/>
              </w:rPr>
              <w:t>Директива 2008/68/ЕО относно вътрешния превоз на опасни товари</w:t>
            </w:r>
            <w:r>
              <w:rPr>
                <w:rFonts w:ascii="Calibri" w:eastAsia="Times New Roman" w:hAnsi="Calibri"/>
                <w:b/>
                <w:bCs/>
                <w:noProof/>
                <w:color w:val="000000"/>
                <w:sz w:val="16"/>
                <w:szCs w:val="16"/>
              </w:rPr>
              <w:br/>
            </w:r>
            <w:r>
              <w:rPr>
                <w:rFonts w:ascii="Calibri" w:eastAsia="Times New Roman" w:hAnsi="Calibri"/>
                <w:b/>
                <w:bCs/>
                <w:noProof/>
                <w:color w:val="000000"/>
                <w:sz w:val="16"/>
                <w:szCs w:val="16"/>
              </w:rPr>
              <w:br/>
            </w:r>
            <w:r>
              <w:rPr>
                <w:rFonts w:ascii="Calibri" w:hAnsi="Calibri"/>
                <w:b/>
                <w:noProof/>
                <w:color w:val="000000"/>
                <w:sz w:val="16"/>
              </w:rPr>
              <w:t>OJ L 260, (30.9.2008, стр. 13—59)</w:t>
            </w:r>
          </w:p>
          <w:p>
            <w:pPr>
              <w:jc w:val="left"/>
              <w:rPr>
                <w:rFonts w:ascii="Calibri" w:eastAsia="Times New Roman" w:hAnsi="Calibri"/>
                <w:b/>
                <w:bCs/>
                <w:noProof/>
                <w:color w:val="000000"/>
                <w:sz w:val="16"/>
                <w:szCs w:val="16"/>
              </w:rPr>
            </w:pPr>
          </w:p>
          <w:p>
            <w:pPr>
              <w:jc w:val="left"/>
              <w:rPr>
                <w:rFonts w:ascii="Calibri" w:eastAsia="Times New Roman" w:hAnsi="Calibri"/>
                <w:b/>
                <w:bCs/>
                <w:noProof/>
                <w:color w:val="000000"/>
                <w:sz w:val="16"/>
                <w:szCs w:val="16"/>
              </w:rPr>
            </w:pPr>
            <w:r>
              <w:rPr>
                <w:rFonts w:ascii="Calibri" w:hAnsi="Calibri"/>
                <w:b/>
                <w:noProof/>
                <w:color w:val="000000"/>
                <w:sz w:val="16"/>
              </w:rPr>
              <w:t>Позовавания на ADR, RID и ADN</w:t>
            </w:r>
            <w:r>
              <w:rPr>
                <w:rStyle w:val="FootnoteReference"/>
                <w:rFonts w:ascii="Calibri" w:hAnsi="Calibri"/>
                <w:b/>
                <w:noProof/>
                <w:color w:val="000000"/>
                <w:sz w:val="16"/>
              </w:rPr>
              <w:footnoteReference w:id="1"/>
            </w:r>
          </w:p>
        </w:tc>
        <w:tc>
          <w:tcPr>
            <w:tcW w:w="236" w:type="dxa"/>
          </w:tcPr>
          <w:p>
            <w:pPr>
              <w:jc w:val="left"/>
              <w:rPr>
                <w:rFonts w:ascii="Calibri" w:eastAsia="Times New Roman" w:hAnsi="Calibri"/>
                <w:b/>
                <w:bCs/>
                <w:noProof/>
                <w:color w:val="000000"/>
                <w:sz w:val="16"/>
                <w:szCs w:val="16"/>
              </w:rPr>
            </w:pPr>
            <w:r>
              <w:rPr>
                <w:rFonts w:ascii="Calibri" w:hAnsi="Calibri"/>
                <w:b/>
                <w:noProof/>
                <w:color w:val="000000"/>
                <w:sz w:val="16"/>
              </w:rPr>
              <w:t>Регламент (ЕО) № 1013/2006 относно превози на отпадъци</w:t>
            </w:r>
          </w:p>
          <w:p>
            <w:pPr>
              <w:jc w:val="left"/>
              <w:rPr>
                <w:rFonts w:ascii="Calibri" w:eastAsia="Times New Roman" w:hAnsi="Calibri"/>
                <w:b/>
                <w:bCs/>
                <w:noProof/>
                <w:color w:val="000000"/>
                <w:sz w:val="16"/>
                <w:szCs w:val="16"/>
              </w:rPr>
            </w:pPr>
            <w:r>
              <w:rPr>
                <w:rFonts w:ascii="Calibri" w:hAnsi="Calibri"/>
                <w:b/>
                <w:noProof/>
                <w:color w:val="000000"/>
                <w:sz w:val="16"/>
              </w:rPr>
              <w:t>(ОВ L 190, 12.7.2006 г., стр. 1—98)</w:t>
            </w:r>
          </w:p>
        </w:tc>
      </w:tr>
      <w:tr>
        <w:trPr>
          <w:trHeight w:val="412"/>
        </w:trPr>
        <w:tc>
          <w:tcPr>
            <w:tcW w:w="4320" w:type="dxa"/>
            <w:hideMark/>
          </w:tcPr>
          <w:p>
            <w:pPr>
              <w:jc w:val="left"/>
              <w:rPr>
                <w:rFonts w:ascii="Calibri" w:eastAsia="Times New Roman" w:hAnsi="Calibri"/>
                <w:b/>
                <w:bCs/>
                <w:noProof/>
                <w:color w:val="000000"/>
                <w:sz w:val="16"/>
                <w:szCs w:val="16"/>
              </w:rPr>
            </w:pPr>
            <w:r>
              <w:rPr>
                <w:rFonts w:ascii="Calibri" w:hAnsi="Calibri"/>
                <w:b/>
                <w:noProof/>
                <w:color w:val="000000"/>
                <w:sz w:val="16"/>
              </w:rPr>
              <w:t>Име и адрес на изпращача</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xml:space="preserve">Член 6.1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Член 3 (позоваване на член 6 от Регламент № 11 на Съвета)</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p>
        </w:tc>
      </w:tr>
      <w:tr>
        <w:trPr>
          <w:trHeight w:val="417"/>
        </w:trPr>
        <w:tc>
          <w:tcPr>
            <w:tcW w:w="4320" w:type="dxa"/>
            <w:hideMark/>
          </w:tcPr>
          <w:p>
            <w:pPr>
              <w:jc w:val="left"/>
              <w:rPr>
                <w:rFonts w:ascii="Calibri" w:eastAsia="Times New Roman" w:hAnsi="Calibri"/>
                <w:b/>
                <w:bCs/>
                <w:noProof/>
                <w:color w:val="000000"/>
                <w:sz w:val="16"/>
                <w:szCs w:val="16"/>
              </w:rPr>
            </w:pPr>
            <w:r>
              <w:rPr>
                <w:rFonts w:ascii="Calibri" w:hAnsi="Calibri"/>
                <w:b/>
                <w:noProof/>
                <w:color w:val="000000"/>
                <w:sz w:val="16"/>
              </w:rPr>
              <w:t>Естество и тегло на товарите</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Член 6.1</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Член 3 (позоваване на член 6 от Регламент № 11 на Съвета)</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p>
        </w:tc>
      </w:tr>
      <w:tr>
        <w:trPr>
          <w:trHeight w:val="410"/>
        </w:trPr>
        <w:tc>
          <w:tcPr>
            <w:tcW w:w="4320" w:type="dxa"/>
            <w:hideMark/>
          </w:tcPr>
          <w:p>
            <w:pPr>
              <w:jc w:val="left"/>
              <w:rPr>
                <w:rFonts w:ascii="Calibri" w:eastAsia="Times New Roman" w:hAnsi="Calibri"/>
                <w:b/>
                <w:bCs/>
                <w:noProof/>
                <w:color w:val="000000"/>
                <w:sz w:val="16"/>
                <w:szCs w:val="16"/>
              </w:rPr>
            </w:pPr>
            <w:r>
              <w:rPr>
                <w:rFonts w:ascii="Calibri" w:hAnsi="Calibri"/>
                <w:b/>
                <w:noProof/>
                <w:color w:val="000000"/>
                <w:sz w:val="16"/>
              </w:rPr>
              <w:t>Място и дата на приемане на товарите за превоз</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Член 6.1</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Член 3 (позоваване на член 6 от Регламент № 11 на Съвета)</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p>
        </w:tc>
      </w:tr>
      <w:tr>
        <w:trPr>
          <w:trHeight w:val="416"/>
        </w:trPr>
        <w:tc>
          <w:tcPr>
            <w:tcW w:w="4320" w:type="dxa"/>
            <w:hideMark/>
          </w:tcPr>
          <w:p>
            <w:pPr>
              <w:jc w:val="left"/>
              <w:rPr>
                <w:rFonts w:ascii="Calibri" w:eastAsia="Times New Roman" w:hAnsi="Calibri"/>
                <w:b/>
                <w:bCs/>
                <w:noProof/>
                <w:color w:val="000000"/>
                <w:sz w:val="16"/>
                <w:szCs w:val="16"/>
              </w:rPr>
            </w:pPr>
            <w:r>
              <w:rPr>
                <w:rFonts w:ascii="Calibri" w:hAnsi="Calibri"/>
                <w:b/>
                <w:noProof/>
                <w:color w:val="000000"/>
                <w:sz w:val="16"/>
              </w:rPr>
              <w:t>Място, до което се доставят товарите</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Член 6.1</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Член 3 (позоваване на член 6 от Регламент № 11 на Съвета)</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p>
        </w:tc>
      </w:tr>
      <w:tr>
        <w:trPr>
          <w:trHeight w:val="915"/>
        </w:trPr>
        <w:tc>
          <w:tcPr>
            <w:tcW w:w="4320" w:type="dxa"/>
          </w:tcPr>
          <w:p>
            <w:pPr>
              <w:jc w:val="left"/>
              <w:rPr>
                <w:rFonts w:ascii="Calibri" w:eastAsia="Times New Roman" w:hAnsi="Calibri"/>
                <w:b/>
                <w:bCs/>
                <w:noProof/>
                <w:color w:val="000000"/>
                <w:sz w:val="16"/>
                <w:szCs w:val="16"/>
              </w:rPr>
            </w:pPr>
            <w:r>
              <w:rPr>
                <w:rFonts w:ascii="Calibri" w:hAnsi="Calibri"/>
                <w:b/>
                <w:noProof/>
                <w:color w:val="000000"/>
                <w:sz w:val="16"/>
              </w:rPr>
              <w:t>Маршрут за превоз на товарите, или разстояние за превозване, когато тези фактори обосновават прилагане на различна от нормално изчисляваната цена</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Член 6.1</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xml:space="preserve">Член 3 (позоваване на член 6 от Регламент № 11 на Съвета) </w:t>
            </w:r>
          </w:p>
        </w:tc>
        <w:tc>
          <w:tcPr>
            <w:tcW w:w="236" w:type="dxa"/>
          </w:tcPr>
          <w:p>
            <w:pPr>
              <w:jc w:val="left"/>
              <w:rPr>
                <w:rFonts w:ascii="Calibri" w:eastAsia="Times New Roman" w:hAnsi="Calibri"/>
                <w:b/>
                <w:bCs/>
                <w:noProof/>
                <w:color w:val="000000"/>
                <w:sz w:val="16"/>
                <w:szCs w:val="16"/>
              </w:rPr>
            </w:pPr>
          </w:p>
        </w:tc>
        <w:tc>
          <w:tcPr>
            <w:tcW w:w="236" w:type="dxa"/>
          </w:tcPr>
          <w:p>
            <w:pPr>
              <w:jc w:val="left"/>
              <w:rPr>
                <w:rFonts w:ascii="Calibri" w:eastAsia="Times New Roman" w:hAnsi="Calibri"/>
                <w:b/>
                <w:bCs/>
                <w:noProof/>
                <w:color w:val="000000"/>
                <w:sz w:val="16"/>
                <w:szCs w:val="16"/>
              </w:rPr>
            </w:pPr>
          </w:p>
        </w:tc>
        <w:tc>
          <w:tcPr>
            <w:tcW w:w="236" w:type="dxa"/>
          </w:tcPr>
          <w:p>
            <w:pPr>
              <w:jc w:val="left"/>
              <w:rPr>
                <w:rFonts w:ascii="Calibri" w:eastAsia="Times New Roman" w:hAnsi="Calibri"/>
                <w:b/>
                <w:bCs/>
                <w:noProof/>
                <w:color w:val="000000"/>
                <w:sz w:val="16"/>
                <w:szCs w:val="16"/>
              </w:rPr>
            </w:pPr>
          </w:p>
        </w:tc>
        <w:tc>
          <w:tcPr>
            <w:tcW w:w="236" w:type="dxa"/>
          </w:tcPr>
          <w:p>
            <w:pPr>
              <w:jc w:val="left"/>
              <w:rPr>
                <w:rFonts w:ascii="Calibri" w:eastAsia="Times New Roman" w:hAnsi="Calibri"/>
                <w:b/>
                <w:bCs/>
                <w:noProof/>
                <w:color w:val="000000"/>
                <w:sz w:val="16"/>
                <w:szCs w:val="16"/>
              </w:rPr>
            </w:pPr>
          </w:p>
        </w:tc>
        <w:tc>
          <w:tcPr>
            <w:tcW w:w="236" w:type="dxa"/>
          </w:tcPr>
          <w:p>
            <w:pPr>
              <w:jc w:val="left"/>
              <w:rPr>
                <w:rFonts w:ascii="Calibri" w:eastAsia="Times New Roman" w:hAnsi="Calibri"/>
                <w:b/>
                <w:bCs/>
                <w:noProof/>
                <w:color w:val="000000"/>
                <w:sz w:val="16"/>
                <w:szCs w:val="16"/>
              </w:rPr>
            </w:pPr>
          </w:p>
        </w:tc>
        <w:tc>
          <w:tcPr>
            <w:tcW w:w="236" w:type="dxa"/>
          </w:tcPr>
          <w:p>
            <w:pPr>
              <w:jc w:val="left"/>
              <w:rPr>
                <w:rFonts w:ascii="Calibri" w:eastAsia="Times New Roman" w:hAnsi="Calibri"/>
                <w:b/>
                <w:bCs/>
                <w:noProof/>
                <w:color w:val="000000"/>
                <w:sz w:val="16"/>
                <w:szCs w:val="16"/>
              </w:rPr>
            </w:pPr>
          </w:p>
        </w:tc>
      </w:tr>
      <w:tr>
        <w:trPr>
          <w:trHeight w:val="915"/>
        </w:trPr>
        <w:tc>
          <w:tcPr>
            <w:tcW w:w="4320" w:type="dxa"/>
            <w:hideMark/>
          </w:tcPr>
          <w:p>
            <w:pPr>
              <w:jc w:val="left"/>
              <w:rPr>
                <w:rFonts w:ascii="Calibri" w:eastAsia="Times New Roman" w:hAnsi="Calibri"/>
                <w:b/>
                <w:bCs/>
                <w:noProof/>
                <w:color w:val="000000"/>
                <w:sz w:val="16"/>
                <w:szCs w:val="16"/>
              </w:rPr>
            </w:pPr>
            <w:r>
              <w:rPr>
                <w:rFonts w:ascii="Calibri" w:hAnsi="Calibri"/>
                <w:b/>
                <w:noProof/>
                <w:color w:val="000000"/>
                <w:sz w:val="16"/>
              </w:rPr>
              <w:t>Гранично-пропускателни пунктове, когато има такива</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Член 6.1</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xml:space="preserve">Член 3 (позоваване на член 6 от Регламент № 11 на Съвета от 27 юни 1960 г.)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p>
        </w:tc>
      </w:tr>
      <w:tr>
        <w:trPr>
          <w:trHeight w:val="300"/>
        </w:trPr>
        <w:tc>
          <w:tcPr>
            <w:tcW w:w="4320" w:type="dxa"/>
            <w:hideMark/>
          </w:tcPr>
          <w:p>
            <w:pPr>
              <w:jc w:val="left"/>
              <w:rPr>
                <w:rFonts w:ascii="Calibri" w:eastAsia="Times New Roman" w:hAnsi="Calibri"/>
                <w:b/>
                <w:bCs/>
                <w:noProof/>
                <w:color w:val="000000"/>
                <w:sz w:val="16"/>
                <w:szCs w:val="16"/>
              </w:rPr>
            </w:pPr>
            <w:r>
              <w:rPr>
                <w:rFonts w:ascii="Calibri" w:hAnsi="Calibri"/>
                <w:b/>
                <w:noProof/>
                <w:color w:val="000000"/>
                <w:sz w:val="16"/>
              </w:rPr>
              <w:t>Железопътни гари за товарене и разтоварване</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Член 3</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p>
        </w:tc>
      </w:tr>
      <w:tr>
        <w:trPr>
          <w:trHeight w:val="336"/>
        </w:trPr>
        <w:tc>
          <w:tcPr>
            <w:tcW w:w="4320" w:type="dxa"/>
            <w:hideMark/>
          </w:tcPr>
          <w:p>
            <w:pPr>
              <w:jc w:val="left"/>
              <w:rPr>
                <w:rFonts w:ascii="Calibri" w:eastAsia="Times New Roman" w:hAnsi="Calibri"/>
                <w:b/>
                <w:bCs/>
                <w:noProof/>
                <w:color w:val="000000"/>
                <w:sz w:val="16"/>
                <w:szCs w:val="16"/>
              </w:rPr>
            </w:pPr>
            <w:r>
              <w:rPr>
                <w:rFonts w:ascii="Calibri" w:hAnsi="Calibri"/>
                <w:b/>
                <w:noProof/>
                <w:color w:val="000000"/>
                <w:sz w:val="16"/>
              </w:rPr>
              <w:t>Пристанища за товарене и разтоварване по вътрешните водни пътища</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Член 3</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p>
        </w:tc>
      </w:tr>
      <w:tr>
        <w:trPr>
          <w:trHeight w:val="412"/>
        </w:trPr>
        <w:tc>
          <w:tcPr>
            <w:tcW w:w="4320" w:type="dxa"/>
            <w:hideMark/>
          </w:tcPr>
          <w:p>
            <w:pPr>
              <w:jc w:val="left"/>
              <w:rPr>
                <w:rFonts w:ascii="Calibri" w:eastAsia="Times New Roman" w:hAnsi="Calibri"/>
                <w:b/>
                <w:bCs/>
                <w:noProof/>
                <w:color w:val="000000"/>
                <w:sz w:val="16"/>
                <w:szCs w:val="16"/>
              </w:rPr>
            </w:pPr>
            <w:r>
              <w:rPr>
                <w:rFonts w:ascii="Calibri" w:hAnsi="Calibri"/>
                <w:b/>
                <w:noProof/>
                <w:color w:val="000000"/>
                <w:sz w:val="16"/>
              </w:rPr>
              <w:t xml:space="preserve">Морски пристанища за товарене и разтоварване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Член 3</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p>
        </w:tc>
      </w:tr>
      <w:tr>
        <w:trPr>
          <w:trHeight w:val="701"/>
        </w:trPr>
        <w:tc>
          <w:tcPr>
            <w:tcW w:w="4320" w:type="dxa"/>
            <w:hideMark/>
          </w:tcPr>
          <w:p>
            <w:pPr>
              <w:jc w:val="left"/>
              <w:rPr>
                <w:rFonts w:ascii="Calibri" w:eastAsia="Times New Roman" w:hAnsi="Calibri"/>
                <w:b/>
                <w:bCs/>
                <w:noProof/>
                <w:color w:val="000000"/>
                <w:sz w:val="16"/>
                <w:szCs w:val="16"/>
              </w:rPr>
            </w:pPr>
            <w:r>
              <w:rPr>
                <w:rFonts w:ascii="Calibri" w:hAnsi="Calibri"/>
                <w:b/>
                <w:noProof/>
                <w:color w:val="000000"/>
                <w:sz w:val="16"/>
              </w:rPr>
              <w:t>Печат, поставян от железопътните или пристанищните органи на съответните железопътни гари или пристанища по вътрешните водни пътища, или морски пристанища, когато частта от пътуването, която се извършва с влак или по вътрешни водни пътища, или по море, е приключила</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Член 3</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p>
        </w:tc>
      </w:tr>
      <w:tr>
        <w:trPr>
          <w:trHeight w:val="915"/>
        </w:trPr>
        <w:tc>
          <w:tcPr>
            <w:tcW w:w="4320" w:type="dxa"/>
            <w:hideMark/>
          </w:tcPr>
          <w:p>
            <w:pPr>
              <w:jc w:val="left"/>
              <w:rPr>
                <w:rFonts w:ascii="Calibri" w:eastAsia="Times New Roman" w:hAnsi="Calibri"/>
                <w:b/>
                <w:bCs/>
                <w:noProof/>
                <w:color w:val="000000"/>
                <w:sz w:val="16"/>
                <w:szCs w:val="16"/>
              </w:rPr>
            </w:pPr>
            <w:r>
              <w:rPr>
                <w:rFonts w:ascii="Calibri" w:hAnsi="Calibri"/>
                <w:b/>
                <w:noProof/>
                <w:color w:val="000000"/>
                <w:sz w:val="16"/>
              </w:rPr>
              <w:t>[Име, адрес, данни за контакт и подпис на изпращача]</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[Член 3.2, буква а) (заменя член 3 от Директива 92/106/ЕИО на Съвета)]</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p>
        </w:tc>
      </w:tr>
      <w:tr>
        <w:trPr>
          <w:trHeight w:val="915"/>
        </w:trPr>
        <w:tc>
          <w:tcPr>
            <w:tcW w:w="4320" w:type="dxa"/>
            <w:hideMark/>
          </w:tcPr>
          <w:p>
            <w:pPr>
              <w:jc w:val="left"/>
              <w:rPr>
                <w:rFonts w:ascii="Calibri" w:eastAsia="Times New Roman" w:hAnsi="Calibri"/>
                <w:b/>
                <w:bCs/>
                <w:noProof/>
                <w:color w:val="000000"/>
                <w:sz w:val="16"/>
                <w:szCs w:val="16"/>
              </w:rPr>
            </w:pPr>
            <w:r>
              <w:rPr>
                <w:rFonts w:ascii="Calibri" w:hAnsi="Calibri"/>
                <w:b/>
                <w:noProof/>
                <w:color w:val="000000"/>
                <w:sz w:val="16"/>
              </w:rPr>
              <w:t>[Мястото и датата, на които започват операциите по комбиниран транспорт в Съюза]</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[Член 3.2, буква б) (заменя член 3 от Директива 92/106/ЕИО на Съвета)]</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p>
        </w:tc>
      </w:tr>
      <w:tr>
        <w:trPr>
          <w:trHeight w:val="915"/>
        </w:trPr>
        <w:tc>
          <w:tcPr>
            <w:tcW w:w="4320" w:type="dxa"/>
            <w:hideMark/>
          </w:tcPr>
          <w:p>
            <w:pPr>
              <w:jc w:val="left"/>
              <w:rPr>
                <w:rFonts w:ascii="Calibri" w:eastAsia="Times New Roman" w:hAnsi="Calibri"/>
                <w:b/>
                <w:bCs/>
                <w:noProof/>
                <w:color w:val="000000"/>
                <w:sz w:val="16"/>
                <w:szCs w:val="16"/>
              </w:rPr>
            </w:pPr>
            <w:r>
              <w:rPr>
                <w:rFonts w:ascii="Calibri" w:hAnsi="Calibri"/>
                <w:b/>
                <w:noProof/>
                <w:color w:val="000000"/>
                <w:sz w:val="16"/>
              </w:rPr>
              <w:t>[Име, адрес и данни за контакт на получателя]</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[Член 3.2, буква в) (заменя член 3 от Директива 92/106/ЕИО на Съвета)]</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p>
        </w:tc>
      </w:tr>
      <w:tr>
        <w:trPr>
          <w:trHeight w:val="915"/>
        </w:trPr>
        <w:tc>
          <w:tcPr>
            <w:tcW w:w="4320" w:type="dxa"/>
            <w:hideMark/>
          </w:tcPr>
          <w:p>
            <w:pPr>
              <w:jc w:val="left"/>
              <w:rPr>
                <w:rFonts w:ascii="Calibri" w:eastAsia="Times New Roman" w:hAnsi="Calibri"/>
                <w:b/>
                <w:bCs/>
                <w:noProof/>
                <w:color w:val="000000"/>
                <w:sz w:val="16"/>
                <w:szCs w:val="16"/>
              </w:rPr>
            </w:pPr>
            <w:r>
              <w:rPr>
                <w:rFonts w:ascii="Calibri" w:hAnsi="Calibri"/>
                <w:b/>
                <w:noProof/>
                <w:color w:val="000000"/>
                <w:sz w:val="16"/>
              </w:rPr>
              <w:t>[Мястото и датата, на които в Съюза приключват операциите по комбиниран транспорт]</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[Член 3.2, буква г) (заменя член 3 от Директива 92/106/ЕИО на Съвета)]</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hideMark/>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p>
        </w:tc>
      </w:tr>
      <w:tr>
        <w:trPr>
          <w:trHeight w:val="1025"/>
        </w:trPr>
        <w:tc>
          <w:tcPr>
            <w:tcW w:w="4320" w:type="dxa"/>
          </w:tcPr>
          <w:p>
            <w:pPr>
              <w:jc w:val="left"/>
              <w:rPr>
                <w:rFonts w:ascii="Calibri" w:eastAsia="Times New Roman" w:hAnsi="Calibri"/>
                <w:b/>
                <w:bCs/>
                <w:noProof/>
                <w:color w:val="000000"/>
                <w:sz w:val="16"/>
                <w:szCs w:val="16"/>
              </w:rPr>
            </w:pPr>
            <w:r>
              <w:rPr>
                <w:rFonts w:ascii="Calibri" w:hAnsi="Calibri"/>
                <w:b/>
                <w:noProof/>
                <w:color w:val="000000"/>
                <w:sz w:val="16"/>
              </w:rPr>
              <w:t>[Разстоянието по права линия между мястото, където в Съюза започва операцията по комбиниран транспорт, и мястото, където завършва операцията по комбиниран транспорт]</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[Член 3.2, буква д) (заменя член 3 от Директива 92/106/ЕИО на Съвета)]</w:t>
            </w: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r>
      <w:tr>
        <w:trPr>
          <w:trHeight w:val="1365"/>
        </w:trPr>
        <w:tc>
          <w:tcPr>
            <w:tcW w:w="4320" w:type="dxa"/>
          </w:tcPr>
          <w:p>
            <w:pPr>
              <w:jc w:val="left"/>
              <w:rPr>
                <w:rFonts w:ascii="Calibri" w:eastAsia="Times New Roman" w:hAnsi="Calibri"/>
                <w:b/>
                <w:bCs/>
                <w:noProof/>
                <w:color w:val="000000"/>
                <w:sz w:val="16"/>
                <w:szCs w:val="16"/>
              </w:rPr>
            </w:pPr>
            <w:r>
              <w:rPr>
                <w:rFonts w:ascii="Calibri" w:hAnsi="Calibri"/>
                <w:b/>
                <w:noProof/>
                <w:color w:val="000000"/>
                <w:sz w:val="16"/>
              </w:rPr>
              <w:t xml:space="preserve">[Подписано от изпращача описание на маршрута на операцията по комбиниран транспорт, включително най-малко следните данни за всяка отсечка, в т.ч. за всеки вид транспорт, включен в отсечката с различен от автомобилния превоз на операцията в рамките на Съюза: </w:t>
            </w:r>
            <w:r>
              <w:rPr>
                <w:rFonts w:ascii="Calibri" w:eastAsia="Times New Roman" w:hAnsi="Calibri"/>
                <w:b/>
                <w:bCs/>
                <w:noProof/>
                <w:color w:val="000000"/>
                <w:sz w:val="16"/>
                <w:szCs w:val="16"/>
              </w:rPr>
              <w:br/>
            </w:r>
            <w:r>
              <w:rPr>
                <w:rFonts w:ascii="Calibri" w:hAnsi="Calibri"/>
                <w:b/>
                <w:noProof/>
                <w:color w:val="000000"/>
                <w:sz w:val="16"/>
              </w:rPr>
              <w:t>i) последователност на отсечките (т.е. първа отсечка, отсечка с различен от автомобилния превоз или крайна отсечка);</w:t>
            </w:r>
            <w:r>
              <w:rPr>
                <w:rFonts w:ascii="Calibri" w:eastAsia="Times New Roman" w:hAnsi="Calibri"/>
                <w:b/>
                <w:bCs/>
                <w:noProof/>
                <w:color w:val="000000"/>
                <w:sz w:val="16"/>
                <w:szCs w:val="16"/>
              </w:rPr>
              <w:br/>
            </w:r>
            <w:r>
              <w:rPr>
                <w:rFonts w:ascii="Calibri" w:hAnsi="Calibri"/>
                <w:b/>
                <w:noProof/>
                <w:color w:val="000000"/>
                <w:sz w:val="16"/>
              </w:rPr>
              <w:t>ii) име, адрес и данни за контакт на превозвача;</w:t>
            </w:r>
            <w:r>
              <w:rPr>
                <w:rFonts w:ascii="Calibri" w:eastAsia="Times New Roman" w:hAnsi="Calibri"/>
                <w:b/>
                <w:bCs/>
                <w:noProof/>
                <w:color w:val="000000"/>
                <w:sz w:val="16"/>
                <w:szCs w:val="16"/>
              </w:rPr>
              <w:br/>
            </w:r>
            <w:r>
              <w:rPr>
                <w:rFonts w:ascii="Calibri" w:hAnsi="Calibri"/>
                <w:b/>
                <w:noProof/>
                <w:color w:val="000000"/>
                <w:sz w:val="16"/>
              </w:rPr>
              <w:t>iii) вид транспорт и неговата последователност по време на операцията.]</w:t>
            </w: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[Член 3.2, буква е) (заменя член 3 от Директива 92/106/ЕИО на Съвета)]</w:t>
            </w: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r>
      <w:tr>
        <w:trPr>
          <w:trHeight w:val="1017"/>
        </w:trPr>
        <w:tc>
          <w:tcPr>
            <w:tcW w:w="4320" w:type="dxa"/>
          </w:tcPr>
          <w:p>
            <w:pPr>
              <w:jc w:val="left"/>
              <w:rPr>
                <w:rFonts w:ascii="Calibri" w:eastAsia="Times New Roman" w:hAnsi="Calibri"/>
                <w:b/>
                <w:bCs/>
                <w:noProof/>
                <w:color w:val="000000"/>
                <w:sz w:val="16"/>
                <w:szCs w:val="16"/>
              </w:rPr>
            </w:pPr>
            <w:r>
              <w:rPr>
                <w:rFonts w:ascii="Calibri" w:hAnsi="Calibri"/>
                <w:b/>
                <w:noProof/>
                <w:color w:val="000000"/>
                <w:sz w:val="16"/>
              </w:rPr>
              <w:t>[идентифициране на транспортираната интермодална товарна единица]</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[Член 3.2, буква ж) (заменя член 3 от Директива 92/106/ЕИО на Съвета)]</w:t>
            </w: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r>
      <w:tr>
        <w:trPr>
          <w:trHeight w:val="1365"/>
        </w:trPr>
        <w:tc>
          <w:tcPr>
            <w:tcW w:w="4320" w:type="dxa"/>
          </w:tcPr>
          <w:p>
            <w:pPr>
              <w:jc w:val="left"/>
              <w:rPr>
                <w:rFonts w:ascii="Calibri" w:eastAsia="Times New Roman" w:hAnsi="Calibri"/>
                <w:b/>
                <w:bCs/>
                <w:noProof/>
                <w:color w:val="000000"/>
                <w:sz w:val="16"/>
                <w:szCs w:val="16"/>
              </w:rPr>
            </w:pPr>
            <w:r>
              <w:rPr>
                <w:rFonts w:ascii="Calibri" w:hAnsi="Calibri"/>
                <w:b/>
                <w:noProof/>
                <w:color w:val="000000"/>
                <w:sz w:val="16"/>
              </w:rPr>
              <w:t xml:space="preserve">[За началната отсечка с автомобилен превоз: </w:t>
            </w:r>
            <w:r>
              <w:rPr>
                <w:rFonts w:ascii="Calibri" w:eastAsia="Times New Roman" w:hAnsi="Calibri"/>
                <w:b/>
                <w:bCs/>
                <w:noProof/>
                <w:color w:val="000000"/>
                <w:sz w:val="16"/>
                <w:szCs w:val="16"/>
              </w:rPr>
              <w:br/>
            </w:r>
            <w:r>
              <w:rPr>
                <w:rFonts w:ascii="Calibri" w:hAnsi="Calibri"/>
                <w:b/>
                <w:noProof/>
                <w:color w:val="000000"/>
                <w:sz w:val="16"/>
              </w:rPr>
              <w:t>i) мястото на претоварване за отсечката с различен от автомобилния превоз;</w:t>
            </w:r>
            <w:r>
              <w:rPr>
                <w:rFonts w:ascii="Calibri" w:eastAsia="Times New Roman" w:hAnsi="Calibri"/>
                <w:b/>
                <w:bCs/>
                <w:noProof/>
                <w:color w:val="000000"/>
                <w:sz w:val="16"/>
                <w:szCs w:val="16"/>
              </w:rPr>
              <w:br/>
            </w:r>
            <w:r>
              <w:rPr>
                <w:rFonts w:ascii="Calibri" w:hAnsi="Calibri"/>
                <w:b/>
                <w:noProof/>
                <w:color w:val="000000"/>
                <w:sz w:val="16"/>
              </w:rPr>
              <w:t>ii) дължината по права линия на началната отсечка с автомобилен превоз между мястото на изпращане и първия терминал за претоварване;</w:t>
            </w:r>
            <w:r>
              <w:rPr>
                <w:rFonts w:ascii="Calibri" w:eastAsia="Times New Roman" w:hAnsi="Calibri"/>
                <w:b/>
                <w:bCs/>
                <w:noProof/>
                <w:color w:val="000000"/>
                <w:sz w:val="16"/>
                <w:szCs w:val="16"/>
              </w:rPr>
              <w:br/>
            </w:r>
            <w:r>
              <w:rPr>
                <w:rFonts w:ascii="Calibri" w:hAnsi="Calibri"/>
                <w:b/>
                <w:noProof/>
                <w:color w:val="000000"/>
                <w:sz w:val="16"/>
              </w:rPr>
              <w:t>iii) ако началната отсечка с автомобилен превоз е измината — подпис на превозвача, потвърждаващ, че транспортната операция от отсечката с автомобилен превоз е била осъществена;]</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[Член 3.2, буква з) (заменя член 3 от Директива 92/106/ЕИО на Съвета)]</w:t>
            </w: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r>
      <w:tr>
        <w:trPr>
          <w:trHeight w:val="1222"/>
        </w:trPr>
        <w:tc>
          <w:tcPr>
            <w:tcW w:w="4320" w:type="dxa"/>
          </w:tcPr>
          <w:p>
            <w:pPr>
              <w:jc w:val="left"/>
              <w:rPr>
                <w:rFonts w:ascii="Calibri" w:eastAsia="Times New Roman" w:hAnsi="Calibri"/>
                <w:b/>
                <w:bCs/>
                <w:noProof/>
                <w:color w:val="000000"/>
                <w:sz w:val="16"/>
                <w:szCs w:val="16"/>
              </w:rPr>
            </w:pPr>
            <w:r>
              <w:rPr>
                <w:rFonts w:ascii="Calibri" w:hAnsi="Calibri"/>
                <w:b/>
                <w:noProof/>
                <w:color w:val="000000"/>
                <w:sz w:val="16"/>
              </w:rPr>
              <w:t xml:space="preserve">[За крайната отсечка с автомобилен превоз: </w:t>
            </w:r>
            <w:r>
              <w:rPr>
                <w:rFonts w:ascii="Calibri" w:eastAsia="Times New Roman" w:hAnsi="Calibri"/>
                <w:b/>
                <w:bCs/>
                <w:noProof/>
                <w:color w:val="000000"/>
                <w:sz w:val="16"/>
                <w:szCs w:val="16"/>
              </w:rPr>
              <w:br/>
            </w:r>
            <w:r>
              <w:rPr>
                <w:rFonts w:ascii="Calibri" w:hAnsi="Calibri"/>
                <w:b/>
                <w:noProof/>
                <w:color w:val="000000"/>
                <w:sz w:val="16"/>
              </w:rPr>
              <w:t>i) мястото, откъдето са взети [претоварени] товарите от отсечката с различен от автомобилния превоз (железопътен превоз, превоз по вътрешни водни пътища или морски превоз);</w:t>
            </w:r>
            <w:r>
              <w:rPr>
                <w:rFonts w:ascii="Calibri" w:eastAsia="Times New Roman" w:hAnsi="Calibri"/>
                <w:b/>
                <w:bCs/>
                <w:noProof/>
                <w:color w:val="000000"/>
                <w:sz w:val="16"/>
                <w:szCs w:val="16"/>
              </w:rPr>
              <w:br/>
            </w:r>
            <w:r>
              <w:rPr>
                <w:rFonts w:ascii="Calibri" w:hAnsi="Calibri"/>
                <w:b/>
                <w:noProof/>
                <w:color w:val="000000"/>
                <w:sz w:val="16"/>
              </w:rPr>
              <w:t>ii) дължината по права линия на крайната отсечка с автомобилен превоз между мястото на претоварване и мястото, където завършва операцията по комбиниран транспорт в Съюза;]</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[Член 3.2, буква и) (заменя член 3 от Директива 92/106/ЕИО на Съвета)]</w:t>
            </w: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r>
      <w:tr>
        <w:trPr>
          <w:trHeight w:val="1440"/>
        </w:trPr>
        <w:tc>
          <w:tcPr>
            <w:tcW w:w="4320" w:type="dxa"/>
          </w:tcPr>
          <w:p>
            <w:pPr>
              <w:jc w:val="left"/>
              <w:rPr>
                <w:rFonts w:ascii="Calibri" w:eastAsia="Times New Roman" w:hAnsi="Calibri"/>
                <w:b/>
                <w:bCs/>
                <w:noProof/>
                <w:color w:val="000000"/>
                <w:sz w:val="16"/>
                <w:szCs w:val="16"/>
              </w:rPr>
            </w:pPr>
            <w:r>
              <w:rPr>
                <w:rFonts w:ascii="Calibri" w:hAnsi="Calibri"/>
                <w:b/>
                <w:noProof/>
                <w:color w:val="000000"/>
                <w:sz w:val="16"/>
              </w:rPr>
              <w:t>[За отсечката с различен от автомобилния превоз:</w:t>
            </w:r>
            <w:r>
              <w:rPr>
                <w:rFonts w:ascii="Calibri" w:eastAsia="Times New Roman" w:hAnsi="Calibri"/>
                <w:b/>
                <w:bCs/>
                <w:noProof/>
                <w:color w:val="000000"/>
                <w:sz w:val="16"/>
                <w:szCs w:val="16"/>
              </w:rPr>
              <w:br/>
            </w:r>
            <w:r>
              <w:rPr>
                <w:rFonts w:ascii="Calibri" w:hAnsi="Calibri"/>
                <w:b/>
                <w:noProof/>
                <w:color w:val="000000"/>
                <w:sz w:val="16"/>
              </w:rPr>
              <w:t>i) ако отсечката с различен от автомобилния превоз е измината — подпис на превозвача (или превозвачите в случай на две или повече транспортни операции по отсечката с различен от автомобилния превоз), потвърждаващ, че транспортната операция от отсечката с различен от автомобилния превоз е била осъществена;</w:t>
            </w:r>
            <w:r>
              <w:rPr>
                <w:rFonts w:ascii="Calibri" w:eastAsia="Times New Roman" w:hAnsi="Calibri"/>
                <w:b/>
                <w:bCs/>
                <w:noProof/>
                <w:color w:val="000000"/>
                <w:sz w:val="16"/>
                <w:szCs w:val="16"/>
              </w:rPr>
              <w:br/>
            </w:r>
            <w:r>
              <w:rPr>
                <w:rFonts w:ascii="Calibri" w:hAnsi="Calibri"/>
                <w:b/>
                <w:noProof/>
                <w:color w:val="000000"/>
                <w:sz w:val="16"/>
              </w:rPr>
              <w:t>ii) когато е възможно, подпис или печат на съответните железопътни или пристанищни органи във въпросните терминали (железопътна гара или пристанище) по отсечката с различен от автомобилния превоз, потвърждаващ, че съответната част от тази отсечка е била измината.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[Член 3.2, буква й) (заменя член 3 от Директива 92/106/ЕИО на Съвета)]</w:t>
            </w:r>
          </w:p>
        </w:tc>
        <w:tc>
          <w:tcPr>
            <w:tcW w:w="236" w:type="dxa"/>
          </w:tcPr>
          <w:p>
            <w:pPr>
              <w:jc w:val="left"/>
              <w:rPr>
                <w:rFonts w:ascii="Calibri" w:eastAsia="Times New Roman" w:hAnsi="Calibri"/>
                <w:b/>
                <w:bCs/>
                <w:noProof/>
                <w:color w:val="000000"/>
                <w:sz w:val="16"/>
                <w:szCs w:val="16"/>
              </w:rPr>
            </w:pPr>
          </w:p>
        </w:tc>
        <w:tc>
          <w:tcPr>
            <w:tcW w:w="236" w:type="dxa"/>
          </w:tcPr>
          <w:p>
            <w:pPr>
              <w:jc w:val="left"/>
              <w:rPr>
                <w:rFonts w:ascii="Calibri" w:eastAsia="Times New Roman" w:hAnsi="Calibri"/>
                <w:b/>
                <w:bCs/>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r>
      <w:tr>
        <w:trPr>
          <w:trHeight w:val="668"/>
        </w:trPr>
        <w:tc>
          <w:tcPr>
            <w:tcW w:w="4320" w:type="dxa"/>
          </w:tcPr>
          <w:p>
            <w:pPr>
              <w:jc w:val="left"/>
              <w:rPr>
                <w:rFonts w:ascii="Calibri" w:eastAsia="Times New Roman" w:hAnsi="Calibri"/>
                <w:b/>
                <w:bCs/>
                <w:noProof/>
                <w:color w:val="000000"/>
                <w:sz w:val="16"/>
                <w:szCs w:val="16"/>
              </w:rPr>
            </w:pPr>
            <w:r>
              <w:rPr>
                <w:rFonts w:ascii="Calibri" w:hAnsi="Calibri"/>
                <w:b/>
                <w:noProof/>
                <w:color w:val="000000"/>
                <w:sz w:val="16"/>
              </w:rPr>
              <w:t xml:space="preserve">Име, адрес и подпис на изпращача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Член 8,3, буква а)</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[Член 8.3, буква а) (не се предлагат промени)]</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p>
        </w:tc>
      </w:tr>
      <w:tr>
        <w:trPr>
          <w:trHeight w:val="706"/>
        </w:trPr>
        <w:tc>
          <w:tcPr>
            <w:tcW w:w="4320" w:type="dxa"/>
          </w:tcPr>
          <w:p>
            <w:pPr>
              <w:jc w:val="left"/>
              <w:rPr>
                <w:rFonts w:ascii="Calibri" w:eastAsia="Times New Roman" w:hAnsi="Calibri"/>
                <w:b/>
                <w:bCs/>
                <w:noProof/>
                <w:color w:val="000000"/>
                <w:sz w:val="16"/>
                <w:szCs w:val="16"/>
              </w:rPr>
            </w:pPr>
            <w:r>
              <w:rPr>
                <w:rFonts w:ascii="Calibri" w:hAnsi="Calibri"/>
                <w:b/>
                <w:noProof/>
                <w:color w:val="000000"/>
                <w:sz w:val="16"/>
              </w:rPr>
              <w:t>Име, адрес и подпис на превозвача</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Член 8.3, буква б)</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[Член 8.3, буква б) (не се предлагат промени)]</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p>
        </w:tc>
      </w:tr>
      <w:tr>
        <w:trPr>
          <w:trHeight w:val="701"/>
        </w:trPr>
        <w:tc>
          <w:tcPr>
            <w:tcW w:w="4320" w:type="dxa"/>
          </w:tcPr>
          <w:p>
            <w:pPr>
              <w:jc w:val="left"/>
              <w:rPr>
                <w:rFonts w:ascii="Calibri" w:eastAsia="Times New Roman" w:hAnsi="Calibri"/>
                <w:b/>
                <w:bCs/>
                <w:noProof/>
                <w:color w:val="000000"/>
                <w:sz w:val="16"/>
                <w:szCs w:val="16"/>
              </w:rPr>
            </w:pPr>
            <w:r>
              <w:rPr>
                <w:rFonts w:ascii="Calibri" w:hAnsi="Calibri"/>
                <w:b/>
                <w:noProof/>
                <w:color w:val="000000"/>
                <w:sz w:val="16"/>
              </w:rPr>
              <w:t>Име и адрес на получателя, както и неговият подпис и датата на доставка, след като бъдат доставени товарите</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Член 8,3, буква в)</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[Член 8.3, буква в) (не се предлагат промени)]</w:t>
            </w: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r>
      <w:tr>
        <w:trPr>
          <w:trHeight w:val="697"/>
        </w:trPr>
        <w:tc>
          <w:tcPr>
            <w:tcW w:w="4320" w:type="dxa"/>
          </w:tcPr>
          <w:p>
            <w:pPr>
              <w:jc w:val="left"/>
              <w:rPr>
                <w:rFonts w:ascii="Calibri" w:eastAsia="Times New Roman" w:hAnsi="Calibri"/>
                <w:b/>
                <w:bCs/>
                <w:noProof/>
                <w:color w:val="000000"/>
                <w:sz w:val="16"/>
                <w:szCs w:val="16"/>
              </w:rPr>
            </w:pPr>
            <w:r>
              <w:rPr>
                <w:rFonts w:ascii="Calibri" w:hAnsi="Calibri"/>
                <w:b/>
                <w:noProof/>
                <w:color w:val="000000"/>
                <w:sz w:val="16"/>
              </w:rPr>
              <w:t>Мястото и датата на приемане на товарите за превоз и мястото, предвидено за доставката</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Член 8.3, буква г)</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[Член 8.3, буква г) (не се предлагат промени)]</w:t>
            </w: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r>
      <w:tr>
        <w:trPr>
          <w:trHeight w:val="883"/>
        </w:trPr>
        <w:tc>
          <w:tcPr>
            <w:tcW w:w="4320" w:type="dxa"/>
          </w:tcPr>
          <w:p>
            <w:pPr>
              <w:jc w:val="left"/>
              <w:rPr>
                <w:rFonts w:ascii="Calibri" w:eastAsia="Times New Roman" w:hAnsi="Calibri"/>
                <w:b/>
                <w:bCs/>
                <w:noProof/>
                <w:color w:val="000000"/>
                <w:sz w:val="16"/>
                <w:szCs w:val="16"/>
              </w:rPr>
            </w:pPr>
            <w:r>
              <w:rPr>
                <w:rFonts w:ascii="Calibri" w:hAnsi="Calibri"/>
                <w:b/>
                <w:noProof/>
                <w:color w:val="000000"/>
                <w:sz w:val="16"/>
              </w:rPr>
              <w:t>Обичайното описание на естеството на товарите и начина на опаковане, а за опасните товари — тяхното общоприето описание, както и броят на колетите, особената им маркировка и номерата им</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Член 8.3</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[Член 8.3, буква д) (не се предлагат промени)]</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r>
      <w:tr>
        <w:trPr>
          <w:trHeight w:val="663"/>
        </w:trPr>
        <w:tc>
          <w:tcPr>
            <w:tcW w:w="4320" w:type="dxa"/>
          </w:tcPr>
          <w:p>
            <w:pPr>
              <w:jc w:val="left"/>
              <w:rPr>
                <w:rFonts w:ascii="Calibri" w:eastAsia="Times New Roman" w:hAnsi="Calibri"/>
                <w:b/>
                <w:bCs/>
                <w:noProof/>
                <w:color w:val="000000"/>
                <w:sz w:val="16"/>
                <w:szCs w:val="16"/>
              </w:rPr>
            </w:pPr>
            <w:r>
              <w:rPr>
                <w:rFonts w:ascii="Calibri" w:hAnsi="Calibri"/>
                <w:b/>
                <w:noProof/>
                <w:color w:val="000000"/>
                <w:sz w:val="16"/>
              </w:rPr>
              <w:t>Брутната маса или изразеното по друг начин количество на товарите</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Член 8,3, буква е)</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[Член 8.3, буква е) (не се предлагат промени)]</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r>
      <w:tr>
        <w:trPr>
          <w:trHeight w:val="687"/>
        </w:trPr>
        <w:tc>
          <w:tcPr>
            <w:tcW w:w="4320" w:type="dxa"/>
          </w:tcPr>
          <w:p>
            <w:pPr>
              <w:jc w:val="left"/>
              <w:rPr>
                <w:rFonts w:ascii="Calibri" w:eastAsia="Times New Roman" w:hAnsi="Calibri"/>
                <w:b/>
                <w:bCs/>
                <w:noProof/>
                <w:color w:val="000000"/>
                <w:sz w:val="16"/>
                <w:szCs w:val="16"/>
              </w:rPr>
            </w:pPr>
            <w:r>
              <w:rPr>
                <w:rFonts w:ascii="Calibri" w:hAnsi="Calibri"/>
                <w:b/>
                <w:noProof/>
                <w:color w:val="000000"/>
                <w:sz w:val="16"/>
              </w:rPr>
              <w:t>Регистрационните номера на моторното превозно средство и на ремаркето</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Член 8.3, буква ж)</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[Член 8.3, буква ж) (не се предлагат промени)]</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r>
      <w:tr>
        <w:trPr>
          <w:trHeight w:val="687"/>
        </w:trPr>
        <w:tc>
          <w:tcPr>
            <w:tcW w:w="4320" w:type="dxa"/>
          </w:tcPr>
          <w:p>
            <w:pPr>
              <w:jc w:val="left"/>
              <w:rPr>
                <w:rFonts w:ascii="Calibri" w:eastAsia="Times New Roman" w:hAnsi="Calibri"/>
                <w:b/>
                <w:bCs/>
                <w:noProof/>
                <w:color w:val="000000"/>
                <w:sz w:val="16"/>
                <w:szCs w:val="16"/>
              </w:rPr>
            </w:pPr>
            <w:r>
              <w:rPr>
                <w:rFonts w:ascii="Calibri" w:hAnsi="Calibri"/>
                <w:b/>
                <w:noProof/>
                <w:color w:val="000000"/>
                <w:sz w:val="16"/>
              </w:rPr>
              <w:t>Уникален буквено-цифров идентификатор на пълноправния контрольор, получен от компетентния орган</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Приложение 6.3.2.6, буква а)</w:t>
            </w: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r>
      <w:tr>
        <w:trPr>
          <w:trHeight w:val="458"/>
        </w:trPr>
        <w:tc>
          <w:tcPr>
            <w:tcW w:w="4320" w:type="dxa"/>
          </w:tcPr>
          <w:p>
            <w:pPr>
              <w:jc w:val="left"/>
              <w:rPr>
                <w:rFonts w:ascii="Calibri" w:eastAsia="Times New Roman" w:hAnsi="Calibri"/>
                <w:b/>
                <w:bCs/>
                <w:noProof/>
                <w:color w:val="000000"/>
                <w:sz w:val="16"/>
                <w:szCs w:val="16"/>
              </w:rPr>
            </w:pPr>
            <w:r>
              <w:rPr>
                <w:rFonts w:ascii="Calibri" w:hAnsi="Calibri"/>
                <w:b/>
                <w:noProof/>
                <w:color w:val="000000"/>
                <w:sz w:val="16"/>
              </w:rPr>
              <w:t>Уникален идентификатор на пратката — например номер на (вътрешната или общата) въздушна товарителница</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Приложение 6.3.2.6, буква б)</w:t>
            </w:r>
          </w:p>
        </w:tc>
        <w:tc>
          <w:tcPr>
            <w:tcW w:w="236" w:type="dxa"/>
          </w:tcPr>
          <w:p>
            <w:pPr>
              <w:jc w:val="left"/>
              <w:rPr>
                <w:rFonts w:ascii="Calibri" w:eastAsia="Times New Roman" w:hAnsi="Calibri"/>
                <w:b/>
                <w:bCs/>
                <w:noProof/>
                <w:color w:val="000000"/>
                <w:sz w:val="16"/>
                <w:szCs w:val="16"/>
              </w:rPr>
            </w:pPr>
          </w:p>
        </w:tc>
        <w:tc>
          <w:tcPr>
            <w:tcW w:w="236" w:type="dxa"/>
          </w:tcPr>
          <w:p>
            <w:pPr>
              <w:jc w:val="left"/>
              <w:rPr>
                <w:rFonts w:ascii="Calibri" w:eastAsia="Times New Roman" w:hAnsi="Calibri"/>
                <w:b/>
                <w:bCs/>
                <w:noProof/>
                <w:color w:val="000000"/>
                <w:sz w:val="16"/>
                <w:szCs w:val="16"/>
              </w:rPr>
            </w:pPr>
          </w:p>
        </w:tc>
      </w:tr>
      <w:tr>
        <w:trPr>
          <w:trHeight w:val="280"/>
        </w:trPr>
        <w:tc>
          <w:tcPr>
            <w:tcW w:w="4320" w:type="dxa"/>
          </w:tcPr>
          <w:p>
            <w:pPr>
              <w:jc w:val="left"/>
              <w:rPr>
                <w:rFonts w:ascii="Calibri" w:eastAsia="Times New Roman" w:hAnsi="Calibri"/>
                <w:b/>
                <w:bCs/>
                <w:noProof/>
                <w:color w:val="000000"/>
                <w:sz w:val="16"/>
                <w:szCs w:val="16"/>
              </w:rPr>
            </w:pPr>
            <w:r>
              <w:rPr>
                <w:rFonts w:ascii="Calibri" w:hAnsi="Calibri"/>
                <w:b/>
                <w:noProof/>
                <w:color w:val="000000"/>
                <w:sz w:val="16"/>
              </w:rPr>
              <w:t xml:space="preserve">Съдържание на пратката (**)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Приложение 6.3.2.6, буква в)</w:t>
            </w:r>
          </w:p>
        </w:tc>
        <w:tc>
          <w:tcPr>
            <w:tcW w:w="236" w:type="dxa"/>
          </w:tcPr>
          <w:p>
            <w:pPr>
              <w:jc w:val="left"/>
              <w:rPr>
                <w:rFonts w:ascii="Calibri" w:eastAsia="Times New Roman" w:hAnsi="Calibri"/>
                <w:b/>
                <w:bCs/>
                <w:noProof/>
                <w:color w:val="000000"/>
                <w:sz w:val="16"/>
                <w:szCs w:val="16"/>
              </w:rPr>
            </w:pPr>
          </w:p>
        </w:tc>
        <w:tc>
          <w:tcPr>
            <w:tcW w:w="236" w:type="dxa"/>
          </w:tcPr>
          <w:p>
            <w:pPr>
              <w:jc w:val="left"/>
              <w:rPr>
                <w:rFonts w:ascii="Calibri" w:eastAsia="Times New Roman" w:hAnsi="Calibri"/>
                <w:b/>
                <w:bCs/>
                <w:noProof/>
                <w:color w:val="000000"/>
                <w:sz w:val="16"/>
                <w:szCs w:val="16"/>
              </w:rPr>
            </w:pPr>
          </w:p>
        </w:tc>
      </w:tr>
      <w:tr>
        <w:trPr>
          <w:trHeight w:val="280"/>
        </w:trPr>
        <w:tc>
          <w:tcPr>
            <w:tcW w:w="4320" w:type="dxa"/>
          </w:tcPr>
          <w:p>
            <w:pPr>
              <w:jc w:val="left"/>
              <w:rPr>
                <w:rFonts w:ascii="Calibri" w:eastAsia="Times New Roman" w:hAnsi="Calibri"/>
                <w:b/>
                <w:bCs/>
                <w:noProof/>
                <w:color w:val="000000"/>
                <w:sz w:val="16"/>
                <w:szCs w:val="16"/>
              </w:rPr>
            </w:pPr>
            <w:r>
              <w:rPr>
                <w:rFonts w:ascii="Calibri" w:hAnsi="Calibri"/>
                <w:b/>
                <w:noProof/>
                <w:color w:val="000000"/>
                <w:sz w:val="16"/>
              </w:rPr>
              <w:t xml:space="preserve">Статутът на пратката по отношение сигурността, както следва: </w:t>
            </w:r>
            <w:r>
              <w:rPr>
                <w:rFonts w:ascii="Calibri" w:eastAsia="Times New Roman" w:hAnsi="Calibri"/>
                <w:b/>
                <w:bCs/>
                <w:noProof/>
                <w:color w:val="000000"/>
                <w:sz w:val="16"/>
                <w:szCs w:val="16"/>
              </w:rPr>
              <w:br/>
            </w:r>
            <w:r>
              <w:rPr>
                <w:rFonts w:ascii="Calibri" w:hAnsi="Calibri"/>
                <w:b/>
                <w:noProof/>
                <w:color w:val="000000"/>
                <w:sz w:val="16"/>
              </w:rPr>
              <w:t>— „SPX“, т.е. безопасно за превоз в пътнически, изцяло товарни или превозващи поща въздухоплавателни средства, или</w:t>
            </w:r>
            <w:r>
              <w:rPr>
                <w:rFonts w:ascii="Calibri" w:eastAsia="Times New Roman" w:hAnsi="Calibri"/>
                <w:b/>
                <w:bCs/>
                <w:noProof/>
                <w:color w:val="000000"/>
                <w:sz w:val="16"/>
                <w:szCs w:val="16"/>
              </w:rPr>
              <w:br/>
            </w:r>
            <w:r>
              <w:rPr>
                <w:rFonts w:ascii="Calibri" w:hAnsi="Calibri"/>
                <w:b/>
                <w:noProof/>
                <w:color w:val="000000"/>
                <w:sz w:val="16"/>
              </w:rPr>
              <w:t>—„SCO“, т.е. безопасно за превоз само в изцяло товарни или превозващи поща въздухоплавателни средства, или</w:t>
            </w:r>
            <w:r>
              <w:rPr>
                <w:rFonts w:ascii="Calibri" w:eastAsia="Times New Roman" w:hAnsi="Calibri"/>
                <w:b/>
                <w:bCs/>
                <w:noProof/>
                <w:color w:val="000000"/>
                <w:sz w:val="16"/>
                <w:szCs w:val="16"/>
              </w:rPr>
              <w:br/>
            </w:r>
            <w:r>
              <w:rPr>
                <w:rFonts w:ascii="Calibri" w:hAnsi="Calibri"/>
                <w:b/>
                <w:noProof/>
                <w:color w:val="000000"/>
                <w:sz w:val="16"/>
              </w:rPr>
              <w:t>— „SHR“, т.е. безопасно за превоз в пътнически, изцяло товарни или превозващи поща въздухоплавателни средства в съответствие с изискванията за високо ниво на риск</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Приложение 6.3.2.6, буква г)</w:t>
            </w:r>
          </w:p>
        </w:tc>
        <w:tc>
          <w:tcPr>
            <w:tcW w:w="236" w:type="dxa"/>
          </w:tcPr>
          <w:p>
            <w:pPr>
              <w:jc w:val="left"/>
              <w:rPr>
                <w:rFonts w:ascii="Calibri" w:eastAsia="Times New Roman" w:hAnsi="Calibri"/>
                <w:b/>
                <w:bCs/>
                <w:noProof/>
                <w:color w:val="000000"/>
                <w:sz w:val="16"/>
                <w:szCs w:val="16"/>
              </w:rPr>
            </w:pPr>
          </w:p>
        </w:tc>
        <w:tc>
          <w:tcPr>
            <w:tcW w:w="236" w:type="dxa"/>
          </w:tcPr>
          <w:p>
            <w:pPr>
              <w:jc w:val="left"/>
              <w:rPr>
                <w:rFonts w:ascii="Calibri" w:eastAsia="Times New Roman" w:hAnsi="Calibri"/>
                <w:b/>
                <w:bCs/>
                <w:noProof/>
                <w:color w:val="000000"/>
                <w:sz w:val="16"/>
                <w:szCs w:val="16"/>
              </w:rPr>
            </w:pPr>
          </w:p>
        </w:tc>
      </w:tr>
      <w:tr>
        <w:trPr>
          <w:trHeight w:val="280"/>
        </w:trPr>
        <w:tc>
          <w:tcPr>
            <w:tcW w:w="4320" w:type="dxa"/>
          </w:tcPr>
          <w:p>
            <w:pPr>
              <w:jc w:val="left"/>
              <w:rPr>
                <w:rFonts w:ascii="Calibri" w:eastAsia="Times New Roman" w:hAnsi="Calibri"/>
                <w:b/>
                <w:bCs/>
                <w:noProof/>
                <w:color w:val="000000"/>
                <w:sz w:val="16"/>
                <w:szCs w:val="16"/>
              </w:rPr>
            </w:pPr>
            <w:r>
              <w:rPr>
                <w:rFonts w:ascii="Calibri" w:hAnsi="Calibri"/>
                <w:b/>
                <w:noProof/>
                <w:color w:val="000000"/>
                <w:sz w:val="16"/>
              </w:rPr>
              <w:t xml:space="preserve">Причината за определяне на статуса по отношение на сигурността, както следва: </w:t>
            </w:r>
            <w:r>
              <w:rPr>
                <w:rFonts w:ascii="Calibri" w:eastAsia="Times New Roman" w:hAnsi="Calibri"/>
                <w:b/>
                <w:bCs/>
                <w:noProof/>
                <w:color w:val="000000"/>
                <w:sz w:val="16"/>
                <w:szCs w:val="16"/>
              </w:rPr>
              <w:br/>
            </w:r>
            <w:r>
              <w:rPr>
                <w:rFonts w:ascii="Calibri" w:hAnsi="Calibri"/>
                <w:b/>
                <w:noProof/>
                <w:color w:val="000000"/>
                <w:sz w:val="16"/>
              </w:rPr>
              <w:t>— „KC“, т. е. получено от познат изпращач; или</w:t>
            </w:r>
            <w:r>
              <w:rPr>
                <w:rFonts w:ascii="Calibri" w:eastAsia="Times New Roman" w:hAnsi="Calibri"/>
                <w:b/>
                <w:bCs/>
                <w:noProof/>
                <w:color w:val="000000"/>
                <w:sz w:val="16"/>
                <w:szCs w:val="16"/>
              </w:rPr>
              <w:br/>
            </w:r>
            <w:r>
              <w:rPr>
                <w:rFonts w:ascii="Calibri" w:hAnsi="Calibri"/>
                <w:b/>
                <w:noProof/>
                <w:color w:val="000000"/>
                <w:sz w:val="16"/>
              </w:rPr>
              <w:t>—„AC“, т. е. получено от регистриран изпращач; или</w:t>
            </w:r>
            <w:r>
              <w:rPr>
                <w:rFonts w:ascii="Calibri" w:eastAsia="Times New Roman" w:hAnsi="Calibri"/>
                <w:b/>
                <w:bCs/>
                <w:noProof/>
                <w:color w:val="000000"/>
                <w:sz w:val="16"/>
                <w:szCs w:val="16"/>
              </w:rPr>
              <w:br/>
            </w:r>
            <w:r>
              <w:rPr>
                <w:rFonts w:ascii="Calibri" w:hAnsi="Calibri"/>
                <w:b/>
                <w:noProof/>
                <w:color w:val="000000"/>
                <w:sz w:val="16"/>
              </w:rPr>
              <w:t>—„RA“, т. е. подбрано от пълноправен контрольор; или</w:t>
            </w:r>
            <w:r>
              <w:rPr>
                <w:rFonts w:ascii="Calibri" w:eastAsia="Times New Roman" w:hAnsi="Calibri"/>
                <w:b/>
                <w:bCs/>
                <w:noProof/>
                <w:color w:val="000000"/>
                <w:sz w:val="16"/>
                <w:szCs w:val="16"/>
              </w:rPr>
              <w:br/>
            </w:r>
            <w:r>
              <w:rPr>
                <w:rFonts w:ascii="Calibri" w:hAnsi="Calibri"/>
                <w:b/>
                <w:noProof/>
                <w:color w:val="000000"/>
                <w:sz w:val="16"/>
              </w:rPr>
              <w:t>— използваните средства или методи за проверка, или</w:t>
            </w:r>
            <w:r>
              <w:rPr>
                <w:rFonts w:ascii="Calibri" w:eastAsia="Times New Roman" w:hAnsi="Calibri"/>
                <w:b/>
                <w:bCs/>
                <w:noProof/>
                <w:color w:val="000000"/>
                <w:sz w:val="16"/>
                <w:szCs w:val="16"/>
              </w:rPr>
              <w:br/>
            </w:r>
            <w:r>
              <w:rPr>
                <w:rFonts w:ascii="Calibri" w:hAnsi="Calibri"/>
                <w:b/>
                <w:noProof/>
                <w:color w:val="000000"/>
                <w:sz w:val="16"/>
              </w:rPr>
              <w:t>— основанията за освобождаване на пратката от проверка</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Приложение 6.3.2.6, буква д)</w:t>
            </w:r>
          </w:p>
        </w:tc>
        <w:tc>
          <w:tcPr>
            <w:tcW w:w="236" w:type="dxa"/>
          </w:tcPr>
          <w:p>
            <w:pPr>
              <w:jc w:val="left"/>
              <w:rPr>
                <w:rFonts w:ascii="Calibri" w:eastAsia="Times New Roman" w:hAnsi="Calibri"/>
                <w:b/>
                <w:bCs/>
                <w:noProof/>
                <w:color w:val="000000"/>
                <w:sz w:val="16"/>
                <w:szCs w:val="16"/>
              </w:rPr>
            </w:pPr>
          </w:p>
        </w:tc>
        <w:tc>
          <w:tcPr>
            <w:tcW w:w="236" w:type="dxa"/>
          </w:tcPr>
          <w:p>
            <w:pPr>
              <w:jc w:val="left"/>
              <w:rPr>
                <w:rFonts w:ascii="Calibri" w:eastAsia="Times New Roman" w:hAnsi="Calibri"/>
                <w:b/>
                <w:bCs/>
                <w:noProof/>
                <w:color w:val="000000"/>
                <w:sz w:val="16"/>
                <w:szCs w:val="16"/>
              </w:rPr>
            </w:pPr>
          </w:p>
        </w:tc>
      </w:tr>
      <w:tr>
        <w:trPr>
          <w:trHeight w:val="280"/>
        </w:trPr>
        <w:tc>
          <w:tcPr>
            <w:tcW w:w="4320" w:type="dxa"/>
          </w:tcPr>
          <w:p>
            <w:pPr>
              <w:jc w:val="left"/>
              <w:rPr>
                <w:rFonts w:ascii="Calibri" w:eastAsia="Times New Roman" w:hAnsi="Calibri"/>
                <w:b/>
                <w:bCs/>
                <w:noProof/>
                <w:color w:val="000000"/>
                <w:sz w:val="16"/>
                <w:szCs w:val="16"/>
              </w:rPr>
            </w:pPr>
            <w:r>
              <w:rPr>
                <w:rFonts w:ascii="Calibri" w:hAnsi="Calibri"/>
                <w:b/>
                <w:noProof/>
                <w:color w:val="000000"/>
                <w:sz w:val="16"/>
              </w:rPr>
              <w:t>Името на лицето, определило статута по отношение на сигурността, или равностойна идентификация, както и дата и час на определяне</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Приложение 6.3.2.6, буква е)</w:t>
            </w:r>
          </w:p>
        </w:tc>
        <w:tc>
          <w:tcPr>
            <w:tcW w:w="236" w:type="dxa"/>
          </w:tcPr>
          <w:p>
            <w:pPr>
              <w:jc w:val="left"/>
              <w:rPr>
                <w:rFonts w:ascii="Calibri" w:eastAsia="Times New Roman" w:hAnsi="Calibri"/>
                <w:b/>
                <w:bCs/>
                <w:noProof/>
                <w:color w:val="000000"/>
                <w:sz w:val="16"/>
                <w:szCs w:val="16"/>
              </w:rPr>
            </w:pPr>
          </w:p>
        </w:tc>
        <w:tc>
          <w:tcPr>
            <w:tcW w:w="236" w:type="dxa"/>
          </w:tcPr>
          <w:p>
            <w:pPr>
              <w:jc w:val="left"/>
              <w:rPr>
                <w:rFonts w:ascii="Calibri" w:eastAsia="Times New Roman" w:hAnsi="Calibri"/>
                <w:b/>
                <w:bCs/>
                <w:noProof/>
                <w:color w:val="000000"/>
                <w:sz w:val="16"/>
                <w:szCs w:val="16"/>
              </w:rPr>
            </w:pPr>
          </w:p>
        </w:tc>
      </w:tr>
      <w:tr>
        <w:trPr>
          <w:trHeight w:val="280"/>
        </w:trPr>
        <w:tc>
          <w:tcPr>
            <w:tcW w:w="4320" w:type="dxa"/>
          </w:tcPr>
          <w:p>
            <w:pPr>
              <w:jc w:val="left"/>
              <w:rPr>
                <w:rFonts w:ascii="Calibri" w:eastAsia="Times New Roman" w:hAnsi="Calibri"/>
                <w:b/>
                <w:bCs/>
                <w:noProof/>
                <w:color w:val="000000"/>
                <w:sz w:val="16"/>
                <w:szCs w:val="16"/>
              </w:rPr>
            </w:pPr>
            <w:r>
              <w:rPr>
                <w:rFonts w:ascii="Calibri" w:hAnsi="Calibri"/>
                <w:b/>
                <w:noProof/>
                <w:color w:val="000000"/>
                <w:sz w:val="16"/>
              </w:rPr>
              <w:t>Уникалният идентификатор, получен от компетентния орган, за всеки пълноправен контрольор, приел определения за дадена пратка статут по отношение на сигурността от друг пълноправен контрольор</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Приложение 6.3.2.6, буква ж)</w:t>
            </w:r>
          </w:p>
        </w:tc>
        <w:tc>
          <w:tcPr>
            <w:tcW w:w="236" w:type="dxa"/>
          </w:tcPr>
          <w:p>
            <w:pPr>
              <w:jc w:val="left"/>
              <w:rPr>
                <w:rFonts w:ascii="Calibri" w:eastAsia="Times New Roman" w:hAnsi="Calibri"/>
                <w:b/>
                <w:bCs/>
                <w:noProof/>
                <w:color w:val="000000"/>
                <w:sz w:val="16"/>
                <w:szCs w:val="16"/>
              </w:rPr>
            </w:pPr>
          </w:p>
        </w:tc>
        <w:tc>
          <w:tcPr>
            <w:tcW w:w="236" w:type="dxa"/>
          </w:tcPr>
          <w:p>
            <w:pPr>
              <w:jc w:val="left"/>
              <w:rPr>
                <w:rFonts w:ascii="Calibri" w:eastAsia="Times New Roman" w:hAnsi="Calibri"/>
                <w:b/>
                <w:bCs/>
                <w:noProof/>
                <w:color w:val="000000"/>
                <w:sz w:val="16"/>
                <w:szCs w:val="16"/>
              </w:rPr>
            </w:pPr>
          </w:p>
        </w:tc>
      </w:tr>
      <w:tr>
        <w:trPr>
          <w:trHeight w:val="280"/>
        </w:trPr>
        <w:tc>
          <w:tcPr>
            <w:tcW w:w="4320" w:type="dxa"/>
            <w:tcBorders>
              <w:bottom w:val="single" w:sz="4" w:space="0" w:color="auto"/>
            </w:tcBorders>
          </w:tcPr>
          <w:p>
            <w:pPr>
              <w:jc w:val="left"/>
              <w:rPr>
                <w:rFonts w:asciiTheme="minorHAnsi" w:eastAsia="Times New Roman" w:hAnsiTheme="minorHAnsi" w:cstheme="minorHAnsi"/>
                <w:b/>
                <w:bCs/>
                <w:noProof/>
                <w:color w:val="000000"/>
                <w:sz w:val="16"/>
                <w:szCs w:val="16"/>
              </w:rPr>
            </w:pPr>
            <w:r>
              <w:rPr>
                <w:rFonts w:asciiTheme="minorHAnsi" w:hAnsiTheme="minorHAnsi" w:cstheme="minorHAnsi"/>
                <w:b/>
                <w:noProof/>
                <w:sz w:val="16"/>
              </w:rPr>
              <w:t>Обща информация, изисквана в транспортния документ</w:t>
            </w:r>
          </w:p>
        </w:tc>
        <w:tc>
          <w:tcPr>
            <w:tcW w:w="236" w:type="dxa"/>
            <w:tcBorders>
              <w:bottom w:val="single" w:sz="4" w:space="0" w:color="auto"/>
            </w:tcBorders>
          </w:tcPr>
          <w:p>
            <w:pPr>
              <w:jc w:val="left"/>
              <w:rPr>
                <w:rFonts w:ascii="Calibri" w:eastAsia="Times New Roman" w:hAnsi="Calibri"/>
                <w:noProof/>
                <w:color w:val="000000"/>
                <w:sz w:val="16"/>
                <w:szCs w:val="16"/>
              </w:rPr>
            </w:pPr>
            <w:r>
              <w:rPr>
                <w:noProof/>
                <w:sz w:val="16"/>
              </w:rPr>
              <w:t xml:space="preserve"> </w:t>
            </w:r>
          </w:p>
        </w:tc>
        <w:tc>
          <w:tcPr>
            <w:tcW w:w="236" w:type="dxa"/>
            <w:tcBorders>
              <w:bottom w:val="single" w:sz="4" w:space="0" w:color="auto"/>
            </w:tcBorders>
          </w:tcPr>
          <w:p>
            <w:pPr>
              <w:jc w:val="left"/>
              <w:rPr>
                <w:rFonts w:ascii="Calibri" w:eastAsia="Times New Roman" w:hAnsi="Calibri"/>
                <w:noProof/>
                <w:color w:val="000000"/>
                <w:sz w:val="16"/>
                <w:szCs w:val="16"/>
              </w:rPr>
            </w:pPr>
            <w:r>
              <w:rPr>
                <w:noProof/>
                <w:sz w:val="16"/>
              </w:rPr>
              <w:t xml:space="preserve"> </w:t>
            </w:r>
          </w:p>
        </w:tc>
        <w:tc>
          <w:tcPr>
            <w:tcW w:w="236" w:type="dxa"/>
            <w:tcBorders>
              <w:bottom w:val="single" w:sz="4" w:space="0" w:color="auto"/>
            </w:tcBorders>
          </w:tcPr>
          <w:p>
            <w:pPr>
              <w:jc w:val="left"/>
              <w:rPr>
                <w:rFonts w:ascii="Calibri" w:eastAsia="Times New Roman" w:hAnsi="Calibri"/>
                <w:noProof/>
                <w:color w:val="000000"/>
                <w:sz w:val="16"/>
                <w:szCs w:val="16"/>
              </w:rPr>
            </w:pPr>
            <w:r>
              <w:rPr>
                <w:noProof/>
                <w:sz w:val="16"/>
              </w:rPr>
              <w:t xml:space="preserve"> </w:t>
            </w:r>
          </w:p>
        </w:tc>
        <w:tc>
          <w:tcPr>
            <w:tcW w:w="236" w:type="dxa"/>
            <w:tcBorders>
              <w:bottom w:val="single" w:sz="4" w:space="0" w:color="auto"/>
            </w:tcBorders>
          </w:tcPr>
          <w:p>
            <w:pPr>
              <w:jc w:val="left"/>
              <w:rPr>
                <w:rFonts w:ascii="Calibri" w:eastAsia="Times New Roman" w:hAnsi="Calibri"/>
                <w:noProof/>
                <w:color w:val="000000"/>
                <w:sz w:val="16"/>
                <w:szCs w:val="16"/>
              </w:rPr>
            </w:pPr>
            <w:r>
              <w:rPr>
                <w:noProof/>
                <w:sz w:val="16"/>
              </w:rPr>
              <w:t xml:space="preserve"> </w:t>
            </w:r>
          </w:p>
        </w:tc>
        <w:tc>
          <w:tcPr>
            <w:tcW w:w="236" w:type="dxa"/>
            <w:tcBorders>
              <w:bottom w:val="single" w:sz="4" w:space="0" w:color="auto"/>
            </w:tcBorders>
          </w:tcPr>
          <w:p>
            <w:pPr>
              <w:jc w:val="left"/>
              <w:rPr>
                <w:rFonts w:ascii="Calibri" w:eastAsia="Times New Roman" w:hAnsi="Calibri"/>
                <w:noProof/>
                <w:color w:val="000000"/>
                <w:sz w:val="16"/>
                <w:szCs w:val="16"/>
              </w:rPr>
            </w:pPr>
            <w:r>
              <w:rPr>
                <w:noProof/>
                <w:sz w:val="16"/>
              </w:rPr>
              <w:t xml:space="preserve"> </w:t>
            </w:r>
          </w:p>
        </w:tc>
        <w:tc>
          <w:tcPr>
            <w:tcW w:w="236" w:type="dxa"/>
            <w:tcBorders>
              <w:bottom w:val="single" w:sz="4" w:space="0" w:color="auto"/>
            </w:tcBorders>
          </w:tcPr>
          <w:p>
            <w:pPr>
              <w:jc w:val="left"/>
              <w:rPr>
                <w:rFonts w:ascii="Calibri" w:eastAsia="Times New Roman" w:hAnsi="Calibri"/>
                <w:noProof/>
                <w:color w:val="000000"/>
                <w:sz w:val="16"/>
                <w:szCs w:val="16"/>
              </w:rPr>
            </w:pPr>
            <w:r>
              <w:rPr>
                <w:noProof/>
                <w:sz w:val="16"/>
              </w:rPr>
              <w:t xml:space="preserve"> </w:t>
            </w:r>
          </w:p>
        </w:tc>
        <w:tc>
          <w:tcPr>
            <w:tcW w:w="236" w:type="dxa"/>
            <w:tcBorders>
              <w:bottom w:val="single" w:sz="4" w:space="0" w:color="auto"/>
            </w:tcBorders>
          </w:tcPr>
          <w:p>
            <w:pPr>
              <w:jc w:val="left"/>
              <w:rPr>
                <w:rFonts w:ascii="Calibri" w:eastAsia="Times New Roman" w:hAnsi="Calibri"/>
                <w:b/>
                <w:bCs/>
                <w:noProof/>
                <w:color w:val="000000"/>
                <w:sz w:val="16"/>
                <w:szCs w:val="16"/>
              </w:rPr>
            </w:pPr>
            <w:r>
              <w:rPr>
                <w:noProof/>
                <w:sz w:val="16"/>
              </w:rPr>
              <w:t>5.4.1.1.1</w:t>
            </w:r>
          </w:p>
        </w:tc>
        <w:tc>
          <w:tcPr>
            <w:tcW w:w="236" w:type="dxa"/>
            <w:tcBorders>
              <w:bottom w:val="single" w:sz="4" w:space="0" w:color="auto"/>
            </w:tcBorders>
          </w:tcPr>
          <w:p>
            <w:pPr>
              <w:jc w:val="left"/>
              <w:rPr>
                <w:noProof/>
                <w:sz w:val="16"/>
                <w:szCs w:val="16"/>
              </w:rPr>
            </w:pPr>
          </w:p>
        </w:tc>
      </w:tr>
      <w:tr>
        <w:trPr>
          <w:trHeight w:val="425"/>
        </w:trPr>
        <w:tc>
          <w:tcPr>
            <w:tcW w:w="4320" w:type="dxa"/>
          </w:tcPr>
          <w:p>
            <w:pPr>
              <w:jc w:val="left"/>
              <w:rPr>
                <w:rFonts w:ascii="Calibri" w:eastAsia="Times New Roman" w:hAnsi="Calibri"/>
                <w:b/>
                <w:bCs/>
                <w:noProof/>
                <w:sz w:val="16"/>
                <w:szCs w:val="16"/>
              </w:rPr>
            </w:pPr>
            <w:r>
              <w:rPr>
                <w:rFonts w:ascii="Calibri" w:hAnsi="Calibri"/>
                <w:b/>
                <w:noProof/>
                <w:sz w:val="16"/>
              </w:rPr>
              <w:t xml:space="preserve">Обща информация, изисквана за превоз в танкерни плавателни съдове  </w:t>
            </w: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xml:space="preserve">5.4.1.1.2 — само ADN </w:t>
            </w:r>
          </w:p>
        </w:tc>
        <w:tc>
          <w:tcPr>
            <w:tcW w:w="236" w:type="dxa"/>
          </w:tcPr>
          <w:p>
            <w:pPr>
              <w:jc w:val="left"/>
              <w:rPr>
                <w:rFonts w:ascii="Calibri" w:eastAsia="Times New Roman" w:hAnsi="Calibri"/>
                <w:noProof/>
                <w:color w:val="000000"/>
                <w:sz w:val="16"/>
                <w:szCs w:val="16"/>
              </w:rPr>
            </w:pPr>
          </w:p>
        </w:tc>
      </w:tr>
      <w:tr>
        <w:trPr>
          <w:trHeight w:val="425"/>
        </w:trPr>
        <w:tc>
          <w:tcPr>
            <w:tcW w:w="4320" w:type="dxa"/>
          </w:tcPr>
          <w:p>
            <w:pPr>
              <w:jc w:val="left"/>
              <w:rPr>
                <w:rFonts w:ascii="Calibri" w:eastAsia="Times New Roman" w:hAnsi="Calibri"/>
                <w:b/>
                <w:bCs/>
                <w:noProof/>
                <w:sz w:val="16"/>
                <w:szCs w:val="16"/>
              </w:rPr>
            </w:pPr>
            <w:r>
              <w:rPr>
                <w:rFonts w:ascii="Calibri" w:hAnsi="Calibri"/>
                <w:b/>
                <w:noProof/>
                <w:sz w:val="16"/>
              </w:rPr>
              <w:t>Специфична информация, която е необходимо да бъде включена за определени видове опасни стоки или определени видове съхранение, или в случай на транспортна верига, включваща различни видове транспорт, съгласно специалните разпоредби в глава 5.4 от съответните приложения към ADR, RID и ADN</w:t>
            </w: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xml:space="preserve">От 5.4.1.1.3 до 5.4.1.1.21 —ADR и RID </w:t>
            </w:r>
          </w:p>
          <w:p>
            <w:pPr>
              <w:jc w:val="left"/>
              <w:rPr>
                <w:rFonts w:ascii="Calibri" w:eastAsia="Times New Roman" w:hAnsi="Calibri"/>
                <w:noProof/>
                <w:color w:val="000000"/>
                <w:sz w:val="16"/>
                <w:szCs w:val="16"/>
              </w:rPr>
            </w:pPr>
            <w:r>
              <w:rPr>
                <w:rFonts w:ascii="Calibri" w:hAnsi="Calibri"/>
                <w:noProof/>
                <w:color w:val="000000"/>
                <w:sz w:val="16"/>
              </w:rPr>
              <w:t>От 5.4.1.1.3 до 5.4.1.1.22 —ADN</w:t>
            </w:r>
          </w:p>
        </w:tc>
        <w:tc>
          <w:tcPr>
            <w:tcW w:w="236" w:type="dxa"/>
          </w:tcPr>
          <w:p>
            <w:pPr>
              <w:jc w:val="left"/>
              <w:rPr>
                <w:rFonts w:ascii="Calibri" w:eastAsia="Times New Roman" w:hAnsi="Calibri"/>
                <w:noProof/>
                <w:color w:val="000000"/>
                <w:sz w:val="16"/>
                <w:szCs w:val="16"/>
              </w:rPr>
            </w:pPr>
          </w:p>
        </w:tc>
      </w:tr>
      <w:tr>
        <w:trPr>
          <w:trHeight w:val="286"/>
        </w:trPr>
        <w:tc>
          <w:tcPr>
            <w:tcW w:w="4320" w:type="dxa"/>
          </w:tcPr>
          <w:p>
            <w:pPr>
              <w:jc w:val="left"/>
              <w:rPr>
                <w:rFonts w:ascii="Calibri" w:eastAsia="Times New Roman" w:hAnsi="Calibri"/>
                <w:b/>
                <w:bCs/>
                <w:noProof/>
                <w:sz w:val="16"/>
                <w:szCs w:val="16"/>
              </w:rPr>
            </w:pPr>
            <w:r>
              <w:rPr>
                <w:rFonts w:ascii="Calibri" w:hAnsi="Calibri"/>
                <w:b/>
                <w:noProof/>
                <w:sz w:val="16"/>
              </w:rPr>
              <w:t xml:space="preserve">Допълнителна и специална информация, необходима за определени класове опасни товари </w:t>
            </w: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5.4.1.2</w:t>
            </w:r>
          </w:p>
        </w:tc>
        <w:tc>
          <w:tcPr>
            <w:tcW w:w="236" w:type="dxa"/>
          </w:tcPr>
          <w:p>
            <w:pPr>
              <w:jc w:val="left"/>
              <w:rPr>
                <w:rFonts w:ascii="Calibri" w:eastAsia="Times New Roman" w:hAnsi="Calibri"/>
                <w:noProof/>
                <w:color w:val="000000"/>
                <w:sz w:val="16"/>
                <w:szCs w:val="16"/>
              </w:rPr>
            </w:pPr>
          </w:p>
        </w:tc>
      </w:tr>
      <w:tr>
        <w:trPr>
          <w:trHeight w:val="141"/>
        </w:trPr>
        <w:tc>
          <w:tcPr>
            <w:tcW w:w="4320" w:type="dxa"/>
          </w:tcPr>
          <w:p>
            <w:pPr>
              <w:jc w:val="left"/>
              <w:rPr>
                <w:rFonts w:ascii="Calibri" w:eastAsia="Times New Roman" w:hAnsi="Calibri"/>
                <w:b/>
                <w:bCs/>
                <w:noProof/>
                <w:sz w:val="16"/>
                <w:szCs w:val="16"/>
              </w:rPr>
            </w:pPr>
            <w:r>
              <w:rPr>
                <w:rFonts w:ascii="Calibri" w:hAnsi="Calibri"/>
                <w:b/>
                <w:noProof/>
                <w:sz w:val="16"/>
              </w:rPr>
              <w:t>Безопасни товари</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5.4.1.5</w:t>
            </w:r>
          </w:p>
        </w:tc>
        <w:tc>
          <w:tcPr>
            <w:tcW w:w="236" w:type="dxa"/>
          </w:tcPr>
          <w:p>
            <w:pPr>
              <w:jc w:val="left"/>
              <w:rPr>
                <w:rFonts w:ascii="Calibri" w:eastAsia="Times New Roman" w:hAnsi="Calibri"/>
                <w:noProof/>
                <w:color w:val="000000"/>
                <w:sz w:val="16"/>
                <w:szCs w:val="16"/>
              </w:rPr>
            </w:pPr>
          </w:p>
        </w:tc>
      </w:tr>
      <w:tr>
        <w:trPr>
          <w:trHeight w:val="141"/>
        </w:trPr>
        <w:tc>
          <w:tcPr>
            <w:tcW w:w="4320" w:type="dxa"/>
          </w:tcPr>
          <w:p>
            <w:pPr>
              <w:jc w:val="left"/>
              <w:rPr>
                <w:rFonts w:ascii="Calibri" w:eastAsia="Times New Roman" w:hAnsi="Calibri"/>
                <w:b/>
                <w:bCs/>
                <w:noProof/>
                <w:sz w:val="16"/>
                <w:szCs w:val="16"/>
              </w:rPr>
            </w:pPr>
            <w:r>
              <w:rPr>
                <w:rFonts w:ascii="Calibri" w:hAnsi="Calibri"/>
                <w:b/>
                <w:noProof/>
                <w:sz w:val="16"/>
              </w:rPr>
              <w:t>Сертификат за опаковане на контейнер</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 </w:t>
            </w: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5.4.2</w:t>
            </w:r>
          </w:p>
        </w:tc>
        <w:tc>
          <w:tcPr>
            <w:tcW w:w="236" w:type="dxa"/>
          </w:tcPr>
          <w:p>
            <w:pPr>
              <w:jc w:val="left"/>
              <w:rPr>
                <w:rFonts w:ascii="Calibri" w:eastAsia="Times New Roman" w:hAnsi="Calibri"/>
                <w:noProof/>
                <w:color w:val="000000"/>
                <w:sz w:val="16"/>
                <w:szCs w:val="16"/>
              </w:rPr>
            </w:pPr>
          </w:p>
        </w:tc>
      </w:tr>
      <w:tr>
        <w:trPr>
          <w:trHeight w:val="73"/>
        </w:trPr>
        <w:tc>
          <w:tcPr>
            <w:tcW w:w="4320" w:type="dxa"/>
          </w:tcPr>
          <w:p>
            <w:pPr>
              <w:jc w:val="left"/>
              <w:rPr>
                <w:rFonts w:ascii="Calibri" w:eastAsia="Times New Roman" w:hAnsi="Calibri"/>
                <w:b/>
                <w:bCs/>
                <w:noProof/>
                <w:sz w:val="16"/>
                <w:szCs w:val="16"/>
              </w:rPr>
            </w:pPr>
            <w:r>
              <w:rPr>
                <w:rFonts w:ascii="Calibri" w:hAnsi="Calibri"/>
                <w:b/>
                <w:noProof/>
                <w:sz w:val="16"/>
              </w:rPr>
              <w:t>Инструкции в писмена форма</w:t>
            </w: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5.4.3</w:t>
            </w:r>
          </w:p>
        </w:tc>
        <w:tc>
          <w:tcPr>
            <w:tcW w:w="236" w:type="dxa"/>
          </w:tcPr>
          <w:p>
            <w:pPr>
              <w:jc w:val="left"/>
              <w:rPr>
                <w:rFonts w:ascii="Calibri" w:eastAsia="Times New Roman" w:hAnsi="Calibri"/>
                <w:noProof/>
                <w:color w:val="000000"/>
                <w:sz w:val="16"/>
                <w:szCs w:val="16"/>
              </w:rPr>
            </w:pPr>
          </w:p>
        </w:tc>
      </w:tr>
      <w:tr>
        <w:trPr>
          <w:trHeight w:val="73"/>
        </w:trPr>
        <w:tc>
          <w:tcPr>
            <w:tcW w:w="4320" w:type="dxa"/>
          </w:tcPr>
          <w:p>
            <w:pPr>
              <w:jc w:val="left"/>
              <w:rPr>
                <w:rFonts w:ascii="Calibri" w:eastAsia="Times New Roman" w:hAnsi="Calibri"/>
                <w:b/>
                <w:bCs/>
                <w:noProof/>
                <w:sz w:val="16"/>
                <w:szCs w:val="16"/>
              </w:rPr>
            </w:pPr>
            <w:r>
              <w:rPr>
                <w:rFonts w:ascii="Calibri" w:hAnsi="Calibri"/>
                <w:b/>
                <w:noProof/>
                <w:sz w:val="16"/>
              </w:rPr>
              <w:t>Информация, съдържаща се в документа за нотифициране за превоза на отпадъци, предмет на процедурата на предварителна писмена нотификация и съгласие съгласно член 4 от Регламент (ЕО) № 1013/2006</w:t>
            </w: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Приложение IA</w:t>
            </w:r>
          </w:p>
        </w:tc>
      </w:tr>
      <w:tr>
        <w:trPr>
          <w:trHeight w:val="73"/>
        </w:trPr>
        <w:tc>
          <w:tcPr>
            <w:tcW w:w="4320" w:type="dxa"/>
          </w:tcPr>
          <w:p>
            <w:pPr>
              <w:jc w:val="left"/>
              <w:rPr>
                <w:rFonts w:ascii="Calibri" w:eastAsia="Times New Roman" w:hAnsi="Calibri"/>
                <w:b/>
                <w:bCs/>
                <w:noProof/>
                <w:sz w:val="16"/>
                <w:szCs w:val="16"/>
              </w:rPr>
            </w:pPr>
            <w:r>
              <w:rPr>
                <w:rFonts w:ascii="Calibri" w:hAnsi="Calibri"/>
                <w:b/>
                <w:noProof/>
                <w:sz w:val="16"/>
              </w:rPr>
              <w:t>Информация, съдържаща се в документа за превоз за превоза на отпадъци, предмет на процедурата на предварителна писмена нотификация и съгласие съгласно член 4 от Регламент (ЕО) № 1013/2006</w:t>
            </w: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Приложение IБ</w:t>
            </w:r>
          </w:p>
        </w:tc>
      </w:tr>
      <w:tr>
        <w:trPr>
          <w:trHeight w:val="73"/>
        </w:trPr>
        <w:tc>
          <w:tcPr>
            <w:tcW w:w="4320" w:type="dxa"/>
          </w:tcPr>
          <w:p>
            <w:pPr>
              <w:jc w:val="left"/>
              <w:rPr>
                <w:rFonts w:ascii="Calibri" w:eastAsia="Times New Roman" w:hAnsi="Calibri"/>
                <w:b/>
                <w:bCs/>
                <w:noProof/>
                <w:sz w:val="16"/>
                <w:szCs w:val="16"/>
              </w:rPr>
            </w:pPr>
            <w:r>
              <w:rPr>
                <w:rFonts w:ascii="Calibri" w:hAnsi="Calibri"/>
                <w:b/>
                <w:noProof/>
                <w:sz w:val="16"/>
              </w:rPr>
              <w:t>Информация, съдържаща се в документа, придружаващ превоза на отпадъци, предмет на общите информационни изисквания, определени в член 18 от Регламент (ЕО) № 1013/2006</w:t>
            </w: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p>
        </w:tc>
        <w:tc>
          <w:tcPr>
            <w:tcW w:w="236" w:type="dxa"/>
          </w:tcPr>
          <w:p>
            <w:pPr>
              <w:jc w:val="left"/>
              <w:rPr>
                <w:rFonts w:ascii="Calibri" w:eastAsia="Times New Roman" w:hAnsi="Calibri"/>
                <w:noProof/>
                <w:color w:val="000000"/>
                <w:sz w:val="16"/>
                <w:szCs w:val="16"/>
              </w:rPr>
            </w:pPr>
            <w:r>
              <w:rPr>
                <w:rFonts w:ascii="Calibri" w:hAnsi="Calibri"/>
                <w:noProof/>
                <w:color w:val="000000"/>
                <w:sz w:val="16"/>
              </w:rPr>
              <w:t>Приложение VII</w:t>
            </w:r>
          </w:p>
        </w:tc>
      </w:tr>
    </w:tbl>
    <w:p>
      <w:pPr>
        <w:rPr>
          <w:noProof/>
        </w:rPr>
      </w:pPr>
    </w:p>
    <w:p>
      <w:pPr>
        <w:spacing w:before="0" w:after="200" w:line="276" w:lineRule="auto"/>
        <w:jc w:val="left"/>
        <w:rPr>
          <w:b/>
          <w:noProof/>
        </w:rPr>
      </w:pPr>
      <w:r>
        <w:rPr>
          <w:b/>
          <w:noProof/>
        </w:rPr>
        <w:t xml:space="preserve">Право на държавите членки </w:t>
      </w:r>
    </w:p>
    <w:p>
      <w:pPr>
        <w:rPr>
          <w:noProof/>
        </w:rPr>
      </w:pPr>
      <w:r>
        <w:rPr>
          <w:noProof/>
        </w:rPr>
        <w:t xml:space="preserve">В таблицата по-долу е изброено съответното национално законодателство на държава членка, свързано с въпроси, които са предмет на дял VI от трета част от Договора, и което съдържа изискване за предоставяне на регулаторна информация, изцяло или частично идентична с информацията, посочена в точка А от настоящото приложение. </w:t>
      </w:r>
    </w:p>
    <w:p>
      <w:pPr>
        <w:rPr>
          <w:noProof/>
        </w:rPr>
      </w:pPr>
      <w:r>
        <w:rPr>
          <w:b/>
          <w:noProof/>
        </w:rPr>
        <w:t>[Държава членка]</w:t>
      </w:r>
      <w:r>
        <w:rPr>
          <w:noProof/>
        </w:rPr>
        <w:t xml:space="preserve"> </w:t>
      </w:r>
    </w:p>
    <w:tbl>
      <w:tblPr>
        <w:tblStyle w:val="TableGrid"/>
        <w:tblW w:w="9939" w:type="dxa"/>
        <w:tblLook w:val="04A0" w:firstRow="1" w:lastRow="0" w:firstColumn="1" w:lastColumn="0" w:noHBand="0" w:noVBand="1"/>
      </w:tblPr>
      <w:tblGrid>
        <w:gridCol w:w="5070"/>
        <w:gridCol w:w="1328"/>
        <w:gridCol w:w="1328"/>
        <w:gridCol w:w="885"/>
        <w:gridCol w:w="1328"/>
      </w:tblGrid>
      <w:tr>
        <w:trPr>
          <w:trHeight w:val="1216"/>
        </w:trPr>
        <w:tc>
          <w:tcPr>
            <w:tcW w:w="5070" w:type="dxa"/>
            <w:noWrap/>
            <w:hideMark/>
          </w:tcPr>
          <w:p>
            <w:pPr>
              <w:jc w:val="left"/>
              <w:rPr>
                <w:rFonts w:ascii="Calibri" w:eastAsia="Times New Roman" w:hAnsi="Calibri"/>
                <w:b/>
                <w:bCs/>
                <w:noProof/>
                <w:color w:val="000000"/>
                <w:szCs w:val="24"/>
              </w:rPr>
            </w:pPr>
            <w:r>
              <w:rPr>
                <w:rFonts w:ascii="Calibri" w:hAnsi="Calibri"/>
                <w:b/>
                <w:noProof/>
                <w:color w:val="000000"/>
              </w:rPr>
              <w:t>Законодателство</w:t>
            </w:r>
          </w:p>
          <w:p>
            <w:pPr>
              <w:jc w:val="left"/>
              <w:rPr>
                <w:rFonts w:ascii="Calibri" w:eastAsia="Times New Roman" w:hAnsi="Calibri"/>
                <w:b/>
                <w:bCs/>
                <w:noProof/>
                <w:color w:val="000000"/>
                <w:szCs w:val="24"/>
              </w:rPr>
            </w:pPr>
          </w:p>
          <w:p>
            <w:pPr>
              <w:jc w:val="left"/>
              <w:rPr>
                <w:rFonts w:ascii="Calibri" w:eastAsia="Times New Roman" w:hAnsi="Calibri"/>
                <w:b/>
                <w:bCs/>
                <w:noProof/>
                <w:color w:val="000000"/>
                <w:szCs w:val="24"/>
              </w:rPr>
            </w:pPr>
          </w:p>
          <w:p>
            <w:pPr>
              <w:jc w:val="left"/>
              <w:rPr>
                <w:rFonts w:ascii="Calibri" w:eastAsia="Times New Roman" w:hAnsi="Calibri"/>
                <w:b/>
                <w:bCs/>
                <w:noProof/>
                <w:color w:val="000000"/>
                <w:sz w:val="28"/>
                <w:szCs w:val="28"/>
              </w:rPr>
            </w:pPr>
            <w:r>
              <w:rPr>
                <w:rFonts w:ascii="Calibri" w:hAnsi="Calibri"/>
                <w:b/>
                <w:noProof/>
                <w:color w:val="000000"/>
              </w:rPr>
              <w:t>Информационна позиция</w:t>
            </w:r>
          </w:p>
        </w:tc>
        <w:tc>
          <w:tcPr>
            <w:tcW w:w="1289" w:type="dxa"/>
            <w:hideMark/>
          </w:tcPr>
          <w:p>
            <w:pPr>
              <w:jc w:val="left"/>
              <w:rPr>
                <w:rFonts w:ascii="Calibri" w:eastAsia="Times New Roman" w:hAnsi="Calibri"/>
                <w:b/>
                <w:bCs/>
                <w:noProof/>
                <w:color w:val="000000"/>
                <w:sz w:val="16"/>
                <w:szCs w:val="16"/>
              </w:rPr>
            </w:pPr>
            <w:r>
              <w:rPr>
                <w:rFonts w:ascii="Calibri" w:hAnsi="Calibri"/>
                <w:b/>
                <w:noProof/>
                <w:color w:val="000000"/>
                <w:sz w:val="16"/>
              </w:rPr>
              <w:t>[Законодателна препратка]</w:t>
            </w:r>
          </w:p>
        </w:tc>
        <w:tc>
          <w:tcPr>
            <w:tcW w:w="1161" w:type="dxa"/>
            <w:hideMark/>
          </w:tcPr>
          <w:p>
            <w:pPr>
              <w:jc w:val="left"/>
              <w:rPr>
                <w:rFonts w:ascii="Calibri" w:eastAsia="Times New Roman" w:hAnsi="Calibri"/>
                <w:b/>
                <w:bCs/>
                <w:noProof/>
                <w:color w:val="000000"/>
                <w:sz w:val="16"/>
                <w:szCs w:val="16"/>
              </w:rPr>
            </w:pPr>
            <w:r>
              <w:rPr>
                <w:rFonts w:ascii="Calibri" w:hAnsi="Calibri"/>
                <w:b/>
                <w:noProof/>
                <w:color w:val="000000"/>
                <w:sz w:val="16"/>
              </w:rPr>
              <w:t>[Законодателна препратка]</w:t>
            </w:r>
          </w:p>
        </w:tc>
        <w:tc>
          <w:tcPr>
            <w:tcW w:w="1335" w:type="dxa"/>
            <w:hideMark/>
          </w:tcPr>
          <w:p>
            <w:pPr>
              <w:jc w:val="left"/>
              <w:rPr>
                <w:rFonts w:ascii="Calibri" w:eastAsia="Times New Roman" w:hAnsi="Calibri"/>
                <w:b/>
                <w:bCs/>
                <w:noProof/>
                <w:color w:val="000000"/>
                <w:sz w:val="16"/>
                <w:szCs w:val="16"/>
              </w:rPr>
            </w:pPr>
            <w:r>
              <w:rPr>
                <w:rFonts w:ascii="Calibri" w:hAnsi="Calibri"/>
                <w:b/>
                <w:noProof/>
                <w:color w:val="000000"/>
                <w:sz w:val="16"/>
              </w:rPr>
              <w:t>[…]</w:t>
            </w:r>
          </w:p>
        </w:tc>
        <w:tc>
          <w:tcPr>
            <w:tcW w:w="1084" w:type="dxa"/>
            <w:hideMark/>
          </w:tcPr>
          <w:p>
            <w:pPr>
              <w:jc w:val="left"/>
              <w:rPr>
                <w:rFonts w:ascii="Calibri" w:eastAsia="Times New Roman" w:hAnsi="Calibri"/>
                <w:b/>
                <w:bCs/>
                <w:noProof/>
                <w:color w:val="000000"/>
                <w:sz w:val="16"/>
                <w:szCs w:val="16"/>
              </w:rPr>
            </w:pPr>
            <w:r>
              <w:rPr>
                <w:rFonts w:ascii="Calibri" w:hAnsi="Calibri"/>
                <w:b/>
                <w:noProof/>
                <w:color w:val="000000"/>
                <w:sz w:val="16"/>
              </w:rPr>
              <w:t>[Законодателна препратка]</w:t>
            </w:r>
          </w:p>
        </w:tc>
      </w:tr>
      <w:tr>
        <w:trPr>
          <w:trHeight w:val="412"/>
        </w:trPr>
        <w:tc>
          <w:tcPr>
            <w:tcW w:w="5070" w:type="dxa"/>
            <w:hideMark/>
          </w:tcPr>
          <w:p>
            <w:pPr>
              <w:jc w:val="left"/>
              <w:rPr>
                <w:rFonts w:ascii="Calibri" w:eastAsia="Times New Roman" w:hAnsi="Calibri"/>
                <w:b/>
                <w:bCs/>
                <w:noProof/>
                <w:color w:val="000000"/>
                <w:sz w:val="16"/>
                <w:szCs w:val="16"/>
              </w:rPr>
            </w:pPr>
            <w:r>
              <w:rPr>
                <w:rFonts w:ascii="Calibri" w:hAnsi="Calibri"/>
                <w:b/>
                <w:noProof/>
                <w:color w:val="000000"/>
                <w:sz w:val="16"/>
              </w:rPr>
              <w:t>[Информационна позиция, посочена в съответния член от правния акт]</w:t>
            </w:r>
          </w:p>
        </w:tc>
        <w:tc>
          <w:tcPr>
            <w:tcW w:w="1289" w:type="dxa"/>
            <w:hideMark/>
          </w:tcPr>
          <w:p>
            <w:pPr>
              <w:jc w:val="left"/>
              <w:rPr>
                <w:rFonts w:ascii="Calibri" w:eastAsia="Times New Roman" w:hAnsi="Calibri"/>
                <w:noProof/>
                <w:color w:val="000000"/>
                <w:sz w:val="16"/>
                <w:szCs w:val="16"/>
              </w:rPr>
            </w:pPr>
            <w:r>
              <w:rPr>
                <w:rFonts w:ascii="Calibri" w:hAnsi="Calibri"/>
                <w:noProof/>
                <w:color w:val="000000"/>
                <w:sz w:val="16"/>
              </w:rPr>
              <w:t xml:space="preserve">[Препратка към член] </w:t>
            </w:r>
          </w:p>
        </w:tc>
        <w:tc>
          <w:tcPr>
            <w:tcW w:w="1161" w:type="dxa"/>
            <w:hideMark/>
          </w:tcPr>
          <w:p>
            <w:pPr>
              <w:jc w:val="left"/>
              <w:rPr>
                <w:rFonts w:ascii="Calibri" w:eastAsia="Times New Roman" w:hAnsi="Calibri"/>
                <w:noProof/>
                <w:color w:val="000000"/>
                <w:sz w:val="16"/>
                <w:szCs w:val="16"/>
              </w:rPr>
            </w:pPr>
            <w:r>
              <w:rPr>
                <w:rFonts w:ascii="Calibri" w:hAnsi="Calibri"/>
                <w:noProof/>
                <w:color w:val="000000"/>
                <w:sz w:val="16"/>
              </w:rPr>
              <w:t>[Препратка към член]</w:t>
            </w:r>
          </w:p>
        </w:tc>
        <w:tc>
          <w:tcPr>
            <w:tcW w:w="1335" w:type="dxa"/>
            <w:hideMark/>
          </w:tcPr>
          <w:p>
            <w:pPr>
              <w:jc w:val="left"/>
              <w:rPr>
                <w:rFonts w:ascii="Calibri" w:eastAsia="Times New Roman" w:hAnsi="Calibri"/>
                <w:noProof/>
                <w:color w:val="000000"/>
                <w:sz w:val="16"/>
                <w:szCs w:val="16"/>
              </w:rPr>
            </w:pPr>
          </w:p>
        </w:tc>
        <w:tc>
          <w:tcPr>
            <w:tcW w:w="1084" w:type="dxa"/>
            <w:hideMark/>
          </w:tcPr>
          <w:p>
            <w:pPr>
              <w:jc w:val="left"/>
              <w:rPr>
                <w:rFonts w:ascii="Calibri" w:eastAsia="Times New Roman" w:hAnsi="Calibri"/>
                <w:noProof/>
                <w:color w:val="000000"/>
                <w:sz w:val="16"/>
                <w:szCs w:val="16"/>
              </w:rPr>
            </w:pPr>
            <w:r>
              <w:rPr>
                <w:rFonts w:ascii="Calibri" w:hAnsi="Calibri"/>
                <w:noProof/>
                <w:color w:val="000000"/>
                <w:sz w:val="16"/>
              </w:rPr>
              <w:t> [Препратка към член]</w:t>
            </w:r>
          </w:p>
        </w:tc>
      </w:tr>
      <w:tr>
        <w:trPr>
          <w:trHeight w:val="412"/>
        </w:trPr>
        <w:tc>
          <w:tcPr>
            <w:tcW w:w="5070" w:type="dxa"/>
          </w:tcPr>
          <w:p>
            <w:pPr>
              <w:jc w:val="left"/>
              <w:rPr>
                <w:rFonts w:ascii="Calibri" w:eastAsia="Times New Roman" w:hAnsi="Calibri"/>
                <w:b/>
                <w:bCs/>
                <w:noProof/>
                <w:color w:val="000000"/>
                <w:sz w:val="16"/>
                <w:szCs w:val="16"/>
              </w:rPr>
            </w:pPr>
            <w:r>
              <w:rPr>
                <w:rFonts w:ascii="Calibri" w:hAnsi="Calibri"/>
                <w:b/>
                <w:noProof/>
                <w:color w:val="000000"/>
                <w:sz w:val="16"/>
              </w:rPr>
              <w:t>[…]</w:t>
            </w:r>
          </w:p>
        </w:tc>
        <w:tc>
          <w:tcPr>
            <w:tcW w:w="1289" w:type="dxa"/>
          </w:tcPr>
          <w:p>
            <w:pPr>
              <w:jc w:val="left"/>
              <w:rPr>
                <w:rFonts w:ascii="Calibri" w:eastAsia="Times New Roman" w:hAnsi="Calibri"/>
                <w:noProof/>
                <w:color w:val="000000"/>
                <w:sz w:val="16"/>
                <w:szCs w:val="16"/>
              </w:rPr>
            </w:pPr>
            <w:r>
              <w:rPr>
                <w:rFonts w:ascii="Calibri" w:hAnsi="Calibri"/>
                <w:b/>
                <w:noProof/>
                <w:color w:val="000000"/>
                <w:sz w:val="16"/>
              </w:rPr>
              <w:t>[…]</w:t>
            </w:r>
          </w:p>
        </w:tc>
        <w:tc>
          <w:tcPr>
            <w:tcW w:w="1161" w:type="dxa"/>
          </w:tcPr>
          <w:p>
            <w:pPr>
              <w:jc w:val="left"/>
              <w:rPr>
                <w:rFonts w:ascii="Calibri" w:eastAsia="Times New Roman" w:hAnsi="Calibri"/>
                <w:noProof/>
                <w:color w:val="000000"/>
                <w:sz w:val="16"/>
                <w:szCs w:val="16"/>
              </w:rPr>
            </w:pPr>
            <w:r>
              <w:rPr>
                <w:rFonts w:ascii="Calibri" w:hAnsi="Calibri"/>
                <w:b/>
                <w:noProof/>
                <w:color w:val="000000"/>
                <w:sz w:val="16"/>
              </w:rPr>
              <w:t>[…]</w:t>
            </w:r>
          </w:p>
        </w:tc>
        <w:tc>
          <w:tcPr>
            <w:tcW w:w="1335" w:type="dxa"/>
          </w:tcPr>
          <w:p>
            <w:pPr>
              <w:jc w:val="left"/>
              <w:rPr>
                <w:rFonts w:ascii="Calibri" w:eastAsia="Times New Roman" w:hAnsi="Calibri"/>
                <w:noProof/>
                <w:color w:val="000000"/>
                <w:sz w:val="16"/>
                <w:szCs w:val="16"/>
              </w:rPr>
            </w:pPr>
            <w:r>
              <w:rPr>
                <w:rFonts w:ascii="Calibri" w:hAnsi="Calibri"/>
                <w:b/>
                <w:noProof/>
                <w:color w:val="000000"/>
                <w:sz w:val="16"/>
              </w:rPr>
              <w:t>[…]</w:t>
            </w:r>
          </w:p>
        </w:tc>
        <w:tc>
          <w:tcPr>
            <w:tcW w:w="1084" w:type="dxa"/>
          </w:tcPr>
          <w:p>
            <w:pPr>
              <w:jc w:val="left"/>
              <w:rPr>
                <w:rFonts w:ascii="Calibri" w:eastAsia="Times New Roman" w:hAnsi="Calibri"/>
                <w:noProof/>
                <w:color w:val="000000"/>
                <w:sz w:val="16"/>
                <w:szCs w:val="16"/>
              </w:rPr>
            </w:pPr>
            <w:r>
              <w:rPr>
                <w:rFonts w:ascii="Calibri" w:hAnsi="Calibri"/>
                <w:b/>
                <w:noProof/>
                <w:color w:val="000000"/>
                <w:sz w:val="16"/>
              </w:rPr>
              <w:t>[…]</w:t>
            </w:r>
          </w:p>
        </w:tc>
      </w:tr>
      <w:tr>
        <w:trPr>
          <w:trHeight w:val="412"/>
        </w:trPr>
        <w:tc>
          <w:tcPr>
            <w:tcW w:w="5070" w:type="dxa"/>
            <w:hideMark/>
          </w:tcPr>
          <w:p>
            <w:pPr>
              <w:jc w:val="left"/>
              <w:rPr>
                <w:rFonts w:ascii="Calibri" w:eastAsia="Times New Roman" w:hAnsi="Calibri"/>
                <w:b/>
                <w:bCs/>
                <w:noProof/>
                <w:color w:val="000000"/>
                <w:sz w:val="16"/>
                <w:szCs w:val="16"/>
              </w:rPr>
            </w:pPr>
            <w:r>
              <w:rPr>
                <w:rFonts w:ascii="Calibri" w:hAnsi="Calibri"/>
                <w:b/>
                <w:noProof/>
                <w:color w:val="000000"/>
                <w:sz w:val="16"/>
              </w:rPr>
              <w:t>[Информационна позиция, посочена в съответния член от правния акт]</w:t>
            </w:r>
          </w:p>
        </w:tc>
        <w:tc>
          <w:tcPr>
            <w:tcW w:w="1289" w:type="dxa"/>
            <w:hideMark/>
          </w:tcPr>
          <w:p>
            <w:pPr>
              <w:jc w:val="left"/>
              <w:rPr>
                <w:rFonts w:ascii="Calibri" w:eastAsia="Times New Roman" w:hAnsi="Calibri"/>
                <w:noProof/>
                <w:color w:val="000000"/>
                <w:sz w:val="16"/>
                <w:szCs w:val="16"/>
              </w:rPr>
            </w:pPr>
            <w:r>
              <w:rPr>
                <w:rFonts w:ascii="Calibri" w:hAnsi="Calibri"/>
                <w:noProof/>
                <w:color w:val="000000"/>
                <w:sz w:val="16"/>
              </w:rPr>
              <w:t xml:space="preserve">[Препратка към член] </w:t>
            </w:r>
          </w:p>
        </w:tc>
        <w:tc>
          <w:tcPr>
            <w:tcW w:w="1161" w:type="dxa"/>
            <w:hideMark/>
          </w:tcPr>
          <w:p>
            <w:pPr>
              <w:jc w:val="left"/>
              <w:rPr>
                <w:rFonts w:ascii="Calibri" w:eastAsia="Times New Roman" w:hAnsi="Calibri"/>
                <w:noProof/>
                <w:color w:val="000000"/>
                <w:sz w:val="16"/>
                <w:szCs w:val="16"/>
              </w:rPr>
            </w:pPr>
            <w:r>
              <w:rPr>
                <w:rFonts w:ascii="Calibri" w:hAnsi="Calibri"/>
                <w:noProof/>
                <w:color w:val="000000"/>
                <w:sz w:val="16"/>
              </w:rPr>
              <w:t>[Препратка към член]</w:t>
            </w:r>
          </w:p>
        </w:tc>
        <w:tc>
          <w:tcPr>
            <w:tcW w:w="1335" w:type="dxa"/>
            <w:hideMark/>
          </w:tcPr>
          <w:p>
            <w:pPr>
              <w:jc w:val="left"/>
              <w:rPr>
                <w:rFonts w:ascii="Calibri" w:eastAsia="Times New Roman" w:hAnsi="Calibri"/>
                <w:noProof/>
                <w:color w:val="000000"/>
                <w:sz w:val="16"/>
                <w:szCs w:val="16"/>
              </w:rPr>
            </w:pPr>
            <w:r>
              <w:rPr>
                <w:rFonts w:ascii="Calibri" w:hAnsi="Calibri"/>
                <w:b/>
                <w:noProof/>
                <w:color w:val="000000"/>
                <w:sz w:val="16"/>
              </w:rPr>
              <w:t>[…]</w:t>
            </w:r>
          </w:p>
        </w:tc>
        <w:tc>
          <w:tcPr>
            <w:tcW w:w="1084" w:type="dxa"/>
            <w:hideMark/>
          </w:tcPr>
          <w:p>
            <w:pPr>
              <w:jc w:val="left"/>
              <w:rPr>
                <w:rFonts w:ascii="Calibri" w:eastAsia="Times New Roman" w:hAnsi="Calibri"/>
                <w:noProof/>
                <w:color w:val="000000"/>
                <w:sz w:val="16"/>
                <w:szCs w:val="16"/>
              </w:rPr>
            </w:pPr>
            <w:r>
              <w:rPr>
                <w:rFonts w:ascii="Calibri" w:hAnsi="Calibri"/>
                <w:noProof/>
                <w:color w:val="000000"/>
                <w:sz w:val="16"/>
              </w:rPr>
              <w:t> [Препратка към член]</w:t>
            </w:r>
          </w:p>
        </w:tc>
      </w:tr>
    </w:tbl>
    <w:p>
      <w:pPr>
        <w:rPr>
          <w:noProof/>
        </w:rPr>
      </w:pPr>
    </w:p>
    <w:p>
      <w:pPr>
        <w:rPr>
          <w:noProof/>
        </w:rPr>
      </w:pPr>
      <w:r>
        <w:rPr>
          <w:b/>
          <w:noProof/>
        </w:rPr>
        <w:t>[Държава членка]</w:t>
      </w:r>
      <w:r>
        <w:rPr>
          <w:noProof/>
        </w:rPr>
        <w:t xml:space="preserve"> </w:t>
      </w:r>
    </w:p>
    <w:tbl>
      <w:tblPr>
        <w:tblStyle w:val="TableGrid"/>
        <w:tblW w:w="9939" w:type="dxa"/>
        <w:tblLook w:val="04A0" w:firstRow="1" w:lastRow="0" w:firstColumn="1" w:lastColumn="0" w:noHBand="0" w:noVBand="1"/>
      </w:tblPr>
      <w:tblGrid>
        <w:gridCol w:w="5070"/>
        <w:gridCol w:w="1328"/>
        <w:gridCol w:w="1328"/>
        <w:gridCol w:w="885"/>
        <w:gridCol w:w="1328"/>
      </w:tblGrid>
      <w:tr>
        <w:trPr>
          <w:trHeight w:val="1216"/>
        </w:trPr>
        <w:tc>
          <w:tcPr>
            <w:tcW w:w="5070" w:type="dxa"/>
            <w:noWrap/>
            <w:hideMark/>
          </w:tcPr>
          <w:p>
            <w:pPr>
              <w:jc w:val="left"/>
              <w:rPr>
                <w:rFonts w:ascii="Calibri" w:eastAsia="Times New Roman" w:hAnsi="Calibri"/>
                <w:b/>
                <w:bCs/>
                <w:noProof/>
                <w:color w:val="000000"/>
                <w:szCs w:val="24"/>
              </w:rPr>
            </w:pPr>
            <w:r>
              <w:rPr>
                <w:rFonts w:ascii="Calibri" w:hAnsi="Calibri"/>
                <w:b/>
                <w:noProof/>
                <w:color w:val="000000"/>
              </w:rPr>
              <w:t>Законодателство</w:t>
            </w:r>
          </w:p>
          <w:p>
            <w:pPr>
              <w:jc w:val="left"/>
              <w:rPr>
                <w:rFonts w:ascii="Calibri" w:eastAsia="Times New Roman" w:hAnsi="Calibri"/>
                <w:b/>
                <w:bCs/>
                <w:noProof/>
                <w:color w:val="000000"/>
                <w:szCs w:val="24"/>
              </w:rPr>
            </w:pPr>
          </w:p>
          <w:p>
            <w:pPr>
              <w:jc w:val="left"/>
              <w:rPr>
                <w:rFonts w:ascii="Calibri" w:eastAsia="Times New Roman" w:hAnsi="Calibri"/>
                <w:b/>
                <w:bCs/>
                <w:noProof/>
                <w:color w:val="000000"/>
                <w:szCs w:val="24"/>
              </w:rPr>
            </w:pPr>
          </w:p>
          <w:p>
            <w:pPr>
              <w:jc w:val="left"/>
              <w:rPr>
                <w:rFonts w:ascii="Calibri" w:eastAsia="Times New Roman" w:hAnsi="Calibri"/>
                <w:b/>
                <w:bCs/>
                <w:noProof/>
                <w:color w:val="000000"/>
                <w:sz w:val="28"/>
                <w:szCs w:val="28"/>
              </w:rPr>
            </w:pPr>
            <w:r>
              <w:rPr>
                <w:rFonts w:ascii="Calibri" w:hAnsi="Calibri"/>
                <w:b/>
                <w:noProof/>
                <w:color w:val="000000"/>
              </w:rPr>
              <w:t>Информационна позиция</w:t>
            </w:r>
          </w:p>
        </w:tc>
        <w:tc>
          <w:tcPr>
            <w:tcW w:w="1289" w:type="dxa"/>
            <w:hideMark/>
          </w:tcPr>
          <w:p>
            <w:pPr>
              <w:jc w:val="left"/>
              <w:rPr>
                <w:rFonts w:ascii="Calibri" w:eastAsia="Times New Roman" w:hAnsi="Calibri"/>
                <w:b/>
                <w:bCs/>
                <w:noProof/>
                <w:color w:val="000000"/>
                <w:sz w:val="16"/>
                <w:szCs w:val="16"/>
              </w:rPr>
            </w:pPr>
            <w:r>
              <w:rPr>
                <w:rFonts w:ascii="Calibri" w:hAnsi="Calibri"/>
                <w:b/>
                <w:noProof/>
                <w:color w:val="000000"/>
                <w:sz w:val="16"/>
              </w:rPr>
              <w:t>[Законодателна препратка]</w:t>
            </w:r>
          </w:p>
        </w:tc>
        <w:tc>
          <w:tcPr>
            <w:tcW w:w="1161" w:type="dxa"/>
            <w:hideMark/>
          </w:tcPr>
          <w:p>
            <w:pPr>
              <w:jc w:val="left"/>
              <w:rPr>
                <w:rFonts w:ascii="Calibri" w:eastAsia="Times New Roman" w:hAnsi="Calibri"/>
                <w:b/>
                <w:bCs/>
                <w:noProof/>
                <w:color w:val="000000"/>
                <w:sz w:val="16"/>
                <w:szCs w:val="16"/>
              </w:rPr>
            </w:pPr>
            <w:r>
              <w:rPr>
                <w:rFonts w:ascii="Calibri" w:hAnsi="Calibri"/>
                <w:b/>
                <w:noProof/>
                <w:color w:val="000000"/>
                <w:sz w:val="16"/>
              </w:rPr>
              <w:t>[Законодателна препратка]</w:t>
            </w:r>
          </w:p>
        </w:tc>
        <w:tc>
          <w:tcPr>
            <w:tcW w:w="1335" w:type="dxa"/>
            <w:hideMark/>
          </w:tcPr>
          <w:p>
            <w:pPr>
              <w:jc w:val="left"/>
              <w:rPr>
                <w:rFonts w:ascii="Calibri" w:eastAsia="Times New Roman" w:hAnsi="Calibri"/>
                <w:b/>
                <w:bCs/>
                <w:noProof/>
                <w:color w:val="000000"/>
                <w:sz w:val="16"/>
                <w:szCs w:val="16"/>
              </w:rPr>
            </w:pPr>
            <w:r>
              <w:rPr>
                <w:rFonts w:ascii="Calibri" w:hAnsi="Calibri"/>
                <w:b/>
                <w:noProof/>
                <w:color w:val="000000"/>
                <w:sz w:val="16"/>
              </w:rPr>
              <w:t>[…]</w:t>
            </w:r>
          </w:p>
        </w:tc>
        <w:tc>
          <w:tcPr>
            <w:tcW w:w="1084" w:type="dxa"/>
            <w:hideMark/>
          </w:tcPr>
          <w:p>
            <w:pPr>
              <w:jc w:val="left"/>
              <w:rPr>
                <w:rFonts w:ascii="Calibri" w:eastAsia="Times New Roman" w:hAnsi="Calibri"/>
                <w:b/>
                <w:bCs/>
                <w:noProof/>
                <w:color w:val="000000"/>
                <w:sz w:val="16"/>
                <w:szCs w:val="16"/>
              </w:rPr>
            </w:pPr>
            <w:r>
              <w:rPr>
                <w:rFonts w:ascii="Calibri" w:hAnsi="Calibri"/>
                <w:b/>
                <w:noProof/>
                <w:color w:val="000000"/>
                <w:sz w:val="16"/>
              </w:rPr>
              <w:t>[Законодателна препратка]</w:t>
            </w:r>
          </w:p>
        </w:tc>
      </w:tr>
      <w:tr>
        <w:trPr>
          <w:trHeight w:val="412"/>
        </w:trPr>
        <w:tc>
          <w:tcPr>
            <w:tcW w:w="5070" w:type="dxa"/>
            <w:hideMark/>
          </w:tcPr>
          <w:p>
            <w:pPr>
              <w:jc w:val="left"/>
              <w:rPr>
                <w:rFonts w:ascii="Calibri" w:eastAsia="Times New Roman" w:hAnsi="Calibri"/>
                <w:b/>
                <w:bCs/>
                <w:noProof/>
                <w:color w:val="000000"/>
                <w:sz w:val="16"/>
                <w:szCs w:val="16"/>
              </w:rPr>
            </w:pPr>
            <w:r>
              <w:rPr>
                <w:rFonts w:ascii="Calibri" w:hAnsi="Calibri"/>
                <w:b/>
                <w:noProof/>
                <w:color w:val="000000"/>
                <w:sz w:val="16"/>
              </w:rPr>
              <w:t>[Информационна позиция, посочена в съответния член от правния акт]</w:t>
            </w:r>
          </w:p>
        </w:tc>
        <w:tc>
          <w:tcPr>
            <w:tcW w:w="1289" w:type="dxa"/>
            <w:hideMark/>
          </w:tcPr>
          <w:p>
            <w:pPr>
              <w:jc w:val="left"/>
              <w:rPr>
                <w:rFonts w:ascii="Calibri" w:eastAsia="Times New Roman" w:hAnsi="Calibri"/>
                <w:noProof/>
                <w:color w:val="000000"/>
                <w:sz w:val="16"/>
                <w:szCs w:val="16"/>
              </w:rPr>
            </w:pPr>
            <w:r>
              <w:rPr>
                <w:rFonts w:ascii="Calibri" w:hAnsi="Calibri"/>
                <w:noProof/>
                <w:color w:val="000000"/>
                <w:sz w:val="16"/>
              </w:rPr>
              <w:t xml:space="preserve">[Препратка към член] </w:t>
            </w:r>
          </w:p>
        </w:tc>
        <w:tc>
          <w:tcPr>
            <w:tcW w:w="1161" w:type="dxa"/>
            <w:hideMark/>
          </w:tcPr>
          <w:p>
            <w:pPr>
              <w:jc w:val="left"/>
              <w:rPr>
                <w:rFonts w:ascii="Calibri" w:eastAsia="Times New Roman" w:hAnsi="Calibri"/>
                <w:noProof/>
                <w:color w:val="000000"/>
                <w:sz w:val="16"/>
                <w:szCs w:val="16"/>
              </w:rPr>
            </w:pPr>
            <w:r>
              <w:rPr>
                <w:rFonts w:ascii="Calibri" w:hAnsi="Calibri"/>
                <w:noProof/>
                <w:color w:val="000000"/>
                <w:sz w:val="16"/>
              </w:rPr>
              <w:t>[Препратка към член]</w:t>
            </w:r>
          </w:p>
        </w:tc>
        <w:tc>
          <w:tcPr>
            <w:tcW w:w="1335" w:type="dxa"/>
            <w:hideMark/>
          </w:tcPr>
          <w:p>
            <w:pPr>
              <w:jc w:val="left"/>
              <w:rPr>
                <w:rFonts w:ascii="Calibri" w:eastAsia="Times New Roman" w:hAnsi="Calibri"/>
                <w:noProof/>
                <w:color w:val="000000"/>
                <w:sz w:val="16"/>
                <w:szCs w:val="16"/>
              </w:rPr>
            </w:pPr>
          </w:p>
        </w:tc>
        <w:tc>
          <w:tcPr>
            <w:tcW w:w="1084" w:type="dxa"/>
            <w:hideMark/>
          </w:tcPr>
          <w:p>
            <w:pPr>
              <w:jc w:val="left"/>
              <w:rPr>
                <w:rFonts w:ascii="Calibri" w:eastAsia="Times New Roman" w:hAnsi="Calibri"/>
                <w:noProof/>
                <w:color w:val="000000"/>
                <w:sz w:val="16"/>
                <w:szCs w:val="16"/>
              </w:rPr>
            </w:pPr>
            <w:r>
              <w:rPr>
                <w:rFonts w:ascii="Calibri" w:hAnsi="Calibri"/>
                <w:noProof/>
                <w:color w:val="000000"/>
                <w:sz w:val="16"/>
              </w:rPr>
              <w:t> [Препратка към член]</w:t>
            </w:r>
          </w:p>
        </w:tc>
      </w:tr>
      <w:tr>
        <w:trPr>
          <w:trHeight w:val="412"/>
        </w:trPr>
        <w:tc>
          <w:tcPr>
            <w:tcW w:w="5070" w:type="dxa"/>
          </w:tcPr>
          <w:p>
            <w:pPr>
              <w:jc w:val="left"/>
              <w:rPr>
                <w:rFonts w:ascii="Calibri" w:eastAsia="Times New Roman" w:hAnsi="Calibri"/>
                <w:b/>
                <w:bCs/>
                <w:noProof/>
                <w:color w:val="000000"/>
                <w:sz w:val="16"/>
                <w:szCs w:val="16"/>
              </w:rPr>
            </w:pPr>
            <w:r>
              <w:rPr>
                <w:rFonts w:ascii="Calibri" w:hAnsi="Calibri"/>
                <w:b/>
                <w:noProof/>
                <w:color w:val="000000"/>
                <w:sz w:val="16"/>
              </w:rPr>
              <w:t>[…]</w:t>
            </w:r>
          </w:p>
        </w:tc>
        <w:tc>
          <w:tcPr>
            <w:tcW w:w="1289" w:type="dxa"/>
          </w:tcPr>
          <w:p>
            <w:pPr>
              <w:jc w:val="left"/>
              <w:rPr>
                <w:rFonts w:ascii="Calibri" w:eastAsia="Times New Roman" w:hAnsi="Calibri"/>
                <w:noProof/>
                <w:color w:val="000000"/>
                <w:sz w:val="16"/>
                <w:szCs w:val="16"/>
              </w:rPr>
            </w:pPr>
            <w:r>
              <w:rPr>
                <w:rFonts w:ascii="Calibri" w:hAnsi="Calibri"/>
                <w:b/>
                <w:noProof/>
                <w:color w:val="000000"/>
                <w:sz w:val="16"/>
              </w:rPr>
              <w:t>[…]</w:t>
            </w:r>
          </w:p>
        </w:tc>
        <w:tc>
          <w:tcPr>
            <w:tcW w:w="1161" w:type="dxa"/>
          </w:tcPr>
          <w:p>
            <w:pPr>
              <w:jc w:val="left"/>
              <w:rPr>
                <w:rFonts w:ascii="Calibri" w:eastAsia="Times New Roman" w:hAnsi="Calibri"/>
                <w:noProof/>
                <w:color w:val="000000"/>
                <w:sz w:val="16"/>
                <w:szCs w:val="16"/>
              </w:rPr>
            </w:pPr>
            <w:r>
              <w:rPr>
                <w:rFonts w:ascii="Calibri" w:hAnsi="Calibri"/>
                <w:b/>
                <w:noProof/>
                <w:color w:val="000000"/>
                <w:sz w:val="16"/>
              </w:rPr>
              <w:t>[…]</w:t>
            </w:r>
          </w:p>
        </w:tc>
        <w:tc>
          <w:tcPr>
            <w:tcW w:w="1335" w:type="dxa"/>
          </w:tcPr>
          <w:p>
            <w:pPr>
              <w:jc w:val="left"/>
              <w:rPr>
                <w:rFonts w:ascii="Calibri" w:eastAsia="Times New Roman" w:hAnsi="Calibri"/>
                <w:noProof/>
                <w:color w:val="000000"/>
                <w:sz w:val="16"/>
                <w:szCs w:val="16"/>
              </w:rPr>
            </w:pPr>
            <w:r>
              <w:rPr>
                <w:rFonts w:ascii="Calibri" w:hAnsi="Calibri"/>
                <w:b/>
                <w:noProof/>
                <w:color w:val="000000"/>
                <w:sz w:val="16"/>
              </w:rPr>
              <w:t>[…]</w:t>
            </w:r>
          </w:p>
        </w:tc>
        <w:tc>
          <w:tcPr>
            <w:tcW w:w="1084" w:type="dxa"/>
          </w:tcPr>
          <w:p>
            <w:pPr>
              <w:jc w:val="left"/>
              <w:rPr>
                <w:rFonts w:ascii="Calibri" w:eastAsia="Times New Roman" w:hAnsi="Calibri"/>
                <w:noProof/>
                <w:color w:val="000000"/>
                <w:sz w:val="16"/>
                <w:szCs w:val="16"/>
              </w:rPr>
            </w:pPr>
            <w:r>
              <w:rPr>
                <w:rFonts w:ascii="Calibri" w:hAnsi="Calibri"/>
                <w:b/>
                <w:noProof/>
                <w:color w:val="000000"/>
                <w:sz w:val="16"/>
              </w:rPr>
              <w:t>[…]</w:t>
            </w:r>
          </w:p>
        </w:tc>
      </w:tr>
      <w:tr>
        <w:trPr>
          <w:trHeight w:val="412"/>
        </w:trPr>
        <w:tc>
          <w:tcPr>
            <w:tcW w:w="5070" w:type="dxa"/>
            <w:hideMark/>
          </w:tcPr>
          <w:p>
            <w:pPr>
              <w:jc w:val="left"/>
              <w:rPr>
                <w:rFonts w:ascii="Calibri" w:eastAsia="Times New Roman" w:hAnsi="Calibri"/>
                <w:b/>
                <w:bCs/>
                <w:noProof/>
                <w:color w:val="000000"/>
                <w:sz w:val="16"/>
                <w:szCs w:val="16"/>
              </w:rPr>
            </w:pPr>
            <w:r>
              <w:rPr>
                <w:rFonts w:ascii="Calibri" w:hAnsi="Calibri"/>
                <w:b/>
                <w:noProof/>
                <w:color w:val="000000"/>
                <w:sz w:val="16"/>
              </w:rPr>
              <w:t>[Информационна позиция, посочена в съответния член от правния акт]</w:t>
            </w:r>
          </w:p>
        </w:tc>
        <w:tc>
          <w:tcPr>
            <w:tcW w:w="1289" w:type="dxa"/>
            <w:hideMark/>
          </w:tcPr>
          <w:p>
            <w:pPr>
              <w:jc w:val="left"/>
              <w:rPr>
                <w:rFonts w:ascii="Calibri" w:eastAsia="Times New Roman" w:hAnsi="Calibri"/>
                <w:noProof/>
                <w:color w:val="000000"/>
                <w:sz w:val="16"/>
                <w:szCs w:val="16"/>
              </w:rPr>
            </w:pPr>
            <w:r>
              <w:rPr>
                <w:rFonts w:ascii="Calibri" w:hAnsi="Calibri"/>
                <w:noProof/>
                <w:color w:val="000000"/>
                <w:sz w:val="16"/>
              </w:rPr>
              <w:t xml:space="preserve">[Препратка към член] </w:t>
            </w:r>
          </w:p>
        </w:tc>
        <w:tc>
          <w:tcPr>
            <w:tcW w:w="1161" w:type="dxa"/>
            <w:hideMark/>
          </w:tcPr>
          <w:p>
            <w:pPr>
              <w:jc w:val="left"/>
              <w:rPr>
                <w:rFonts w:ascii="Calibri" w:eastAsia="Times New Roman" w:hAnsi="Calibri"/>
                <w:noProof/>
                <w:color w:val="000000"/>
                <w:sz w:val="16"/>
                <w:szCs w:val="16"/>
              </w:rPr>
            </w:pPr>
            <w:r>
              <w:rPr>
                <w:rFonts w:ascii="Calibri" w:hAnsi="Calibri"/>
                <w:noProof/>
                <w:color w:val="000000"/>
                <w:sz w:val="16"/>
              </w:rPr>
              <w:t>[Препратка към член]</w:t>
            </w:r>
          </w:p>
        </w:tc>
        <w:tc>
          <w:tcPr>
            <w:tcW w:w="1335" w:type="dxa"/>
            <w:hideMark/>
          </w:tcPr>
          <w:p>
            <w:pPr>
              <w:jc w:val="left"/>
              <w:rPr>
                <w:rFonts w:ascii="Calibri" w:eastAsia="Times New Roman" w:hAnsi="Calibri"/>
                <w:noProof/>
                <w:color w:val="000000"/>
                <w:sz w:val="16"/>
                <w:szCs w:val="16"/>
              </w:rPr>
            </w:pPr>
            <w:r>
              <w:rPr>
                <w:rFonts w:ascii="Calibri" w:hAnsi="Calibri"/>
                <w:b/>
                <w:noProof/>
                <w:color w:val="000000"/>
                <w:sz w:val="16"/>
              </w:rPr>
              <w:t>[…]</w:t>
            </w:r>
          </w:p>
        </w:tc>
        <w:tc>
          <w:tcPr>
            <w:tcW w:w="1084" w:type="dxa"/>
            <w:hideMark/>
          </w:tcPr>
          <w:p>
            <w:pPr>
              <w:jc w:val="left"/>
              <w:rPr>
                <w:rFonts w:ascii="Calibri" w:eastAsia="Times New Roman" w:hAnsi="Calibri"/>
                <w:noProof/>
                <w:color w:val="000000"/>
                <w:sz w:val="16"/>
                <w:szCs w:val="16"/>
              </w:rPr>
            </w:pPr>
            <w:r>
              <w:rPr>
                <w:rFonts w:ascii="Calibri" w:hAnsi="Calibri"/>
                <w:noProof/>
                <w:color w:val="000000"/>
                <w:sz w:val="16"/>
              </w:rPr>
              <w:t> [Препратка към член]</w:t>
            </w:r>
          </w:p>
        </w:tc>
      </w:tr>
    </w:tbl>
    <w:p>
      <w:pPr>
        <w:rPr>
          <w:noProof/>
        </w:rPr>
      </w:pPr>
    </w:p>
    <w:p>
      <w:pPr>
        <w:spacing w:before="0" w:after="200" w:line="276" w:lineRule="auto"/>
        <w:jc w:val="left"/>
        <w:rPr>
          <w:noProof/>
        </w:rPr>
      </w:pPr>
      <w:r>
        <w:rPr>
          <w:noProof/>
        </w:rPr>
        <w:br w:type="page"/>
      </w:r>
    </w:p>
    <w:p>
      <w:pPr>
        <w:pStyle w:val="Annexetitre"/>
        <w:rPr>
          <w:noProof/>
        </w:rPr>
      </w:pPr>
      <w:r>
        <w:rPr>
          <w:noProof/>
        </w:rPr>
        <w:t>ПРИЛОЖЕНИЕ II</w:t>
      </w:r>
      <w:r>
        <w:rPr>
          <w:noProof/>
        </w:rPr>
        <w:br/>
      </w:r>
      <w:r>
        <w:rPr>
          <w:noProof/>
        </w:rPr>
        <w:br/>
        <w:t>ИЗИСКВАНИЯ, СВЪРЗАНИ С НОТИФИЦИРАНИТЕ ОРГАНИ</w:t>
      </w:r>
    </w:p>
    <w:p>
      <w:pPr>
        <w:pStyle w:val="Text1"/>
        <w:rPr>
          <w:noProof/>
        </w:rPr>
      </w:pPr>
      <w:r>
        <w:rPr>
          <w:noProof/>
        </w:rPr>
        <w:t>1. За целите на нотификацията органът за оценяване на съответствието отговаря на изискванията, установени в параграфи 2—11.</w:t>
      </w:r>
    </w:p>
    <w:p>
      <w:pPr>
        <w:pStyle w:val="Text1"/>
        <w:rPr>
          <w:noProof/>
        </w:rPr>
      </w:pPr>
      <w:r>
        <w:rPr>
          <w:noProof/>
        </w:rPr>
        <w:t>2. Органът за оценяване на съответствието се създава съгласно националното право на дадена държава членка и притежава юридическа правосубектност.</w:t>
      </w:r>
    </w:p>
    <w:p>
      <w:pPr>
        <w:pStyle w:val="Text1"/>
        <w:rPr>
          <w:noProof/>
        </w:rPr>
      </w:pPr>
      <w:r>
        <w:rPr>
          <w:noProof/>
        </w:rPr>
        <w:t>3. Органът за оценяване на съответствието е трета страна, независима от организацията или платформата за eFTI, или доставчика на услуга за платформата, които оценява.</w:t>
      </w:r>
    </w:p>
    <w:p>
      <w:pPr>
        <w:pStyle w:val="Text1"/>
        <w:rPr>
          <w:noProof/>
        </w:rPr>
      </w:pPr>
      <w:r>
        <w:rPr>
          <w:noProof/>
        </w:rPr>
        <w:t>Орган, който принадлежи към стопанска асоциация и/или професионална федерация, представляващи предприятия, участващи в проектирането, производството, доставката, сглобяването, използването или поддръжката на платформата за eFTI, или доставчика на услуга за платформата, които този орган оценява, може да се счита за такъв орган, при условие че са доказани неговата независимост и липсата на конфликт на интереси.</w:t>
      </w:r>
    </w:p>
    <w:p>
      <w:pPr>
        <w:pStyle w:val="Text1"/>
        <w:rPr>
          <w:noProof/>
        </w:rPr>
      </w:pPr>
      <w:r>
        <w:rPr>
          <w:noProof/>
        </w:rPr>
        <w:t xml:space="preserve">4. Органът за оценяване на съответствието, неговото висше ръководство и персоналът, отговорен за изпълнение на задачите по оценяване на съответствието, не могат да бъдат проектант, производител, снабдител, лице, което монтира, купувач, собственик, ползвател или структура по поддържане на платформата за eFTI, или доставчик на услуга за платформата, които се оценяват, нито представител на някое от тези лица. </w:t>
      </w:r>
    </w:p>
    <w:p>
      <w:pPr>
        <w:pStyle w:val="Text1"/>
        <w:rPr>
          <w:noProof/>
        </w:rPr>
      </w:pPr>
      <w:r>
        <w:rPr>
          <w:noProof/>
        </w:rPr>
        <w:t>Органът за оценяване на съответствието, неговото висше ръководство и персонал, отговорен за изпълнение на задачите по оценяване на съответствието, не вземат пряко участие в проектирането, производството или конструирането, продажбата, монтирането, използването или поддръжката на платформата за eFTI, или доставчик на услуга за платформата, нито представляват лицата, ангажирани в тези дейности. Те не се включват в никаква дейност, която може да е в противоречие с тяхната независима преценка и почтено поведение по отношение на дейностите по оценяване на съответствието, за които са нотифицирани. Това се прилага по-конкретно за консултантски услуги.</w:t>
      </w:r>
    </w:p>
    <w:p>
      <w:pPr>
        <w:pStyle w:val="Text1"/>
        <w:rPr>
          <w:noProof/>
        </w:rPr>
      </w:pPr>
      <w:r>
        <w:rPr>
          <w:noProof/>
        </w:rPr>
        <w:t>Органите за оценяване на съответствието гарантират, че дейностите на техните поделения или подизпълнители не влияят върху поверителността, обективността или безпристрастността на техните дейности по оценяване на съответствието.</w:t>
      </w:r>
    </w:p>
    <w:p>
      <w:pPr>
        <w:pStyle w:val="Text1"/>
        <w:rPr>
          <w:noProof/>
        </w:rPr>
      </w:pPr>
      <w:r>
        <w:rPr>
          <w:noProof/>
        </w:rPr>
        <w:t>5. Органите за оценяване на съответствието и техният персонал осъществяват дейностите по оценяване на съответствието с най-висока степен на почтено професионално поведение и необходимата техническа компетентност в определената област и са напълно освободени от всякакъв натиск и облаги, най-вече финансови, които могат да повлияят на тяхната преценка или на резултатите от техните дейности по оценяване на съответствието, особено по отношение на лица или групи лица, заинтересовани от резултатите от тези дейности.</w:t>
      </w:r>
    </w:p>
    <w:p>
      <w:pPr>
        <w:pStyle w:val="Text1"/>
        <w:rPr>
          <w:noProof/>
        </w:rPr>
      </w:pPr>
      <w:r>
        <w:rPr>
          <w:noProof/>
        </w:rPr>
        <w:t>6. Органът за оценяване на съответствието е в състояние да осъществява всички задачи по оценяване на съответствието, предвидени за него съгласно членове 12 и 13 и по отношение на които органът е бил нотифициран, независимо дали тези задачи се изпълняват от самия орган за оценяване на съответствието, или от негово име и на негова отговорност.</w:t>
      </w:r>
    </w:p>
    <w:p>
      <w:pPr>
        <w:pStyle w:val="Text1"/>
        <w:rPr>
          <w:noProof/>
        </w:rPr>
      </w:pPr>
      <w:r>
        <w:rPr>
          <w:noProof/>
        </w:rPr>
        <w:t>По всяко време и за всяка процедура за сертифициране, във връзка с която е нотифициран, органът за оценяване на съответствието разполага с необходимите:</w:t>
      </w:r>
    </w:p>
    <w:p>
      <w:pPr>
        <w:pStyle w:val="Text1"/>
        <w:rPr>
          <w:noProof/>
        </w:rPr>
      </w:pPr>
      <w:r>
        <w:rPr>
          <w:noProof/>
        </w:rPr>
        <w:t>а) персонал с технически знания и достатъчен и подходящ опит за изпълнение на задачите за оценяване на съответствието;</w:t>
      </w:r>
    </w:p>
    <w:p>
      <w:pPr>
        <w:pStyle w:val="Text1"/>
        <w:rPr>
          <w:noProof/>
        </w:rPr>
      </w:pPr>
      <w:r>
        <w:rPr>
          <w:noProof/>
        </w:rPr>
        <w:t>б) описания на процедурите, в съответствие с които се извършва оценяването на съответствието, гарантиращи прозрачността и възможността за повтаряне на тези процедури. Той прилага подходящи политика и процедури, които да позволяват разграничение между задачите, които изпълнява като нотифициран орган, и всички други дейности;</w:t>
      </w:r>
    </w:p>
    <w:p>
      <w:pPr>
        <w:pStyle w:val="Text1"/>
        <w:rPr>
          <w:noProof/>
        </w:rPr>
      </w:pPr>
      <w:r>
        <w:rPr>
          <w:noProof/>
        </w:rPr>
        <w:t>в) процедури за изпълнение на дейности, които надлежно отчитат размера на дадено предприятие, отрасъла, в който осъществява дейността си, неговата структура и степента на сложност на съответната технология.</w:t>
      </w:r>
    </w:p>
    <w:p>
      <w:pPr>
        <w:pStyle w:val="Text1"/>
        <w:rPr>
          <w:noProof/>
        </w:rPr>
      </w:pPr>
      <w:r>
        <w:rPr>
          <w:noProof/>
        </w:rPr>
        <w:t>Органът за оценяване на съответствието разполага със средствата, необходими за изпълнение на технически и административни задачи, свързани с дейностите по оценяване на съответствието по подходящ начин.</w:t>
      </w:r>
    </w:p>
    <w:p>
      <w:pPr>
        <w:pStyle w:val="Text1"/>
        <w:rPr>
          <w:noProof/>
        </w:rPr>
      </w:pPr>
      <w:r>
        <w:rPr>
          <w:noProof/>
        </w:rPr>
        <w:t>7. Персоналът, отговорен за изпълнението на задачите по оценяване на съответствието, разполага със следното:</w:t>
      </w:r>
    </w:p>
    <w:p>
      <w:pPr>
        <w:pStyle w:val="Text1"/>
        <w:rPr>
          <w:noProof/>
        </w:rPr>
      </w:pPr>
      <w:r>
        <w:rPr>
          <w:noProof/>
        </w:rPr>
        <w:t>а) добро техническо и професионално обучение, обхващащо цялата дейност по оценяване на съответствието, във връзка с която е нотифициран органът за оценяване на съответствието;</w:t>
      </w:r>
    </w:p>
    <w:p>
      <w:pPr>
        <w:pStyle w:val="Text1"/>
        <w:rPr>
          <w:noProof/>
        </w:rPr>
      </w:pPr>
      <w:r>
        <w:rPr>
          <w:noProof/>
        </w:rPr>
        <w:t>б) задоволително познаване на изискванията за оценяването, което извършва, както и подходящи правомощия за извършването на такова оценяване;</w:t>
      </w:r>
    </w:p>
    <w:p>
      <w:pPr>
        <w:pStyle w:val="Text1"/>
        <w:rPr>
          <w:noProof/>
        </w:rPr>
      </w:pPr>
      <w:r>
        <w:rPr>
          <w:noProof/>
        </w:rPr>
        <w:t>в) подходящо познаване и разбиране на изискванията, изложени в член 9;</w:t>
      </w:r>
    </w:p>
    <w:p>
      <w:pPr>
        <w:pStyle w:val="Text1"/>
        <w:rPr>
          <w:noProof/>
        </w:rPr>
      </w:pPr>
      <w:r>
        <w:rPr>
          <w:noProof/>
        </w:rPr>
        <w:t>г) способност да изготвя сертификати за съответствие, записи и доклади, доказващи, че оценките са били извършени.</w:t>
      </w:r>
    </w:p>
    <w:p>
      <w:pPr>
        <w:pStyle w:val="Text1"/>
        <w:rPr>
          <w:noProof/>
        </w:rPr>
      </w:pPr>
      <w:r>
        <w:rPr>
          <w:noProof/>
        </w:rPr>
        <w:t>8. Осигурява се безпристрастността на органите за оценяване на съответствието, тяхното висше ръководство и на персонала, отговорен за изпълнението на задачите по оценяване на съответствието.</w:t>
      </w:r>
    </w:p>
    <w:p>
      <w:pPr>
        <w:pStyle w:val="Text1"/>
        <w:rPr>
          <w:noProof/>
        </w:rPr>
      </w:pPr>
      <w:r>
        <w:rPr>
          <w:noProof/>
        </w:rPr>
        <w:t>Възнаграждението на висшето ръководство и на персонала, отговорен за изпълнението на задачите по оценяване на съответствието на органа за оценяване на съответствието, не зависи от броя на извършените оценки или от резултатите от тези оценки.</w:t>
      </w:r>
    </w:p>
    <w:p>
      <w:pPr>
        <w:pStyle w:val="Text1"/>
        <w:rPr>
          <w:noProof/>
        </w:rPr>
      </w:pPr>
      <w:r>
        <w:rPr>
          <w:noProof/>
        </w:rPr>
        <w:t>9. Органите за оценяване на съответствието сключват застраховка за покриване на отговорността им, освен ако отговорността се поема от държавата съгласно националното законодателство или ако държавата членка е пряко отговорна за оценяване на съответствието.</w:t>
      </w:r>
    </w:p>
    <w:p>
      <w:pPr>
        <w:pStyle w:val="Text1"/>
        <w:rPr>
          <w:noProof/>
        </w:rPr>
      </w:pPr>
      <w:r>
        <w:rPr>
          <w:noProof/>
        </w:rPr>
        <w:t>10. Персоналът на органа за оценяване на съответствието спазва задължение за служебна тайна по отношение на информацията, получена при изпълнение на своите задачи съгласно членове 12 и 13 или съгласно разпоредба от националното законодателство по прилагането им, освен по отношение на компетентните органи на държавата членка, в която осъществява дейността си. Осигурява се защита на правата на собственост.</w:t>
      </w:r>
    </w:p>
    <w:p>
      <w:pPr>
        <w:pStyle w:val="Text1"/>
        <w:rPr>
          <w:noProof/>
        </w:rPr>
      </w:pPr>
      <w:r>
        <w:rPr>
          <w:noProof/>
        </w:rPr>
        <w:t>11. Органите за оценяване на съответствието участват в съответните дейности по стандартизация и съответните регулаторни дейности или се уверяват, че техният персонал, отговорен за изпълнение на задачите по оценка на съответствието, е уведомен за тях.</w:t>
      </w:r>
    </w:p>
    <w:sectPr>
      <w:headerReference w:type="default" r:id="rId16"/>
      <w:footerReference w:type="default" r:id="rId17"/>
      <w:headerReference w:type="first" r:id="rId18"/>
      <w:footerReference w:type="first" r:id="rId19"/>
      <w:pgSz w:w="16839" w:h="11907" w:orient="landscape"/>
      <w:pgMar w:top="1417" w:right="1134" w:bottom="1417" w:left="1134" w:header="709" w:footer="709"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3B51BA" w15:done="0"/>
  <w15:commentEx w15:paraId="7D234AEE" w15:done="0"/>
  <w15:commentEx w15:paraId="20A3B73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highlight w:val="cyan"/>
        </w:rPr>
        <w:footnoteRef/>
      </w:r>
      <w:r>
        <w:tab/>
      </w:r>
      <w:r>
        <w:rPr>
          <w:highlight w:val="cyan"/>
        </w:rPr>
        <w:t>Позоваванията на Европейската спогодба за международен превоз на опасни товари по шосе (ADR), Правилника за международен железопътен транспорт на опасни товари (RID) и Европейското споразумение за международен превоз на опасни товари по вътрешните водни пътища (ADN) трябва да се разбират по смисъла на член 2, параграфи 1, 2 и 3 от Директива 2008/68/ЕО. Посочените цифри са тези на съответните приложения към ADR, RID и ADN.</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5D67E2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F70C78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1BEB88C"/>
    <w:lvl w:ilvl="0">
      <w:start w:val="1"/>
      <w:numFmt w:val="decimal"/>
      <w:pStyle w:val="ListNumber2"/>
      <w:lvlText w:val="%1."/>
      <w:lvlJc w:val="left"/>
      <w:pPr>
        <w:tabs>
          <w:tab w:val="num" w:pos="643"/>
        </w:tabs>
        <w:ind w:left="643" w:hanging="360"/>
      </w:pPr>
    </w:lvl>
  </w:abstractNum>
  <w:abstractNum w:abstractNumId="3">
    <w:nsid w:val="FFFFFF81"/>
    <w:multiLevelType w:val="singleLevel"/>
    <w:tmpl w:val="78F82C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02E7E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C166B8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32670D2"/>
    <w:lvl w:ilvl="0">
      <w:start w:val="1"/>
      <w:numFmt w:val="decimal"/>
      <w:pStyle w:val="ListNumber"/>
      <w:lvlText w:val="%1."/>
      <w:lvlJc w:val="left"/>
      <w:pPr>
        <w:tabs>
          <w:tab w:val="num" w:pos="360"/>
        </w:tabs>
        <w:ind w:left="360" w:hanging="360"/>
      </w:pPr>
    </w:lvl>
  </w:abstractNum>
  <w:abstractNum w:abstractNumId="7">
    <w:nsid w:val="FFFFFF89"/>
    <w:multiLevelType w:val="singleLevel"/>
    <w:tmpl w:val="AF2227B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OTEC Lia (MOVE)">
    <w15:presenceInfo w15:providerId="None" w15:userId="POTEC Lia (MOVE)"/>
  </w15:person>
  <w15:person w15:author="STANCIU Monica (MOVE)">
    <w15:presenceInfo w15:providerId="None" w15:userId="STANCIU Monica (MOV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4 09:41:2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2"/>
    <w:docVar w:name="LW_ANNEX_UNIQUE" w:val="0"/>
    <w:docVar w:name="LW_CORRIGENDUM" w:val="&lt;UNUSED&gt;"/>
    <w:docVar w:name="LW_COVERPAGE_EXISTS" w:val="True"/>
    <w:docVar w:name="LW_COVERPAGE_GUID" w:val="E7A56FF9-1079-4B00-8885-AFA5075C3E2C"/>
    <w:docVar w:name="LW_COVERPAGE_TYPE" w:val="1"/>
    <w:docVar w:name="LW_CROSSREFERENCE" w:val="{SEC(2018) 231 final}_x000b_{SWD(2018) 183 final}_x000b_{SWD(2018) 184 final}"/>
    <w:docVar w:name="LW_DocType" w:val="ANNEX"/>
    <w:docVar w:name="LW_EMISSION" w:val="17.5.2018"/>
    <w:docVar w:name="LW_EMISSION_ISODATE" w:val="2018-05-17"/>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u1086?\u1090?\u1085?\u1086?\u1089?\u1085?\u1086? \u1077?\u1083?\u1077?\u1082?\u1090?\u1088?\u1086?\u1085?\u1085?\u1072?\u1090?\u1072? \u1080?\u1085?\u1092?\u1086?\u1088?\u1084?\u1072?\u1094?\u1080?\u1103? \u1079?\u1072? \u1090?\u1086?\u1074?\u1072?\u1088?\u1085?\u1080? \u1087?\u1088?\u1077?\u1074?\u1086?\u1079?\u1080?"/>
    <w:docVar w:name="LW_OBJETACTEPRINCIPAL.CP" w:val="\u1086?\u1090?\u1085?\u1086?\u1089?\u1085?\u1086? \u1077?\u1083?\u1077?\u1082?\u1090?\u1088?\u1086?\u1085?\u1085?\u1072?\u1090?\u1072? \u1080?\u1085?\u1092?\u1086?\u1088?\u1084?\u1072?\u1094?\u1080?\u1103? \u1079?\u1072? \u1090?\u1086?\u1074?\u1072?\u1088?\u1085?\u1080? \u1087?\u1088?\u1077?\u1074?\u1086?\u1079?\u1080?"/>
    <w:docVar w:name="LW_PART_NBR" w:val="&lt;UNUSED&gt;"/>
    <w:docVar w:name="LW_PART_NBR_TOTAL" w:val="&lt;UNUSED&gt;"/>
    <w:docVar w:name="LW_REF.INST.NEW" w:val="COM"/>
    <w:docVar w:name="LW_REF.INST.NEW_ADOPTED" w:val="final"/>
    <w:docVar w:name="LW_REF.INST.NEW_TEXT" w:val="(2018) 2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u1055?\u1088?\u1077?\u1076?\u1083?\u1086?\u1078?\u1077?\u1085?\u1080?\u1077?\u1090?\u1086? \u1079?\u1072? \u1088?\u1077?\u1075?\u1083?\u1072?\u1084?\u1077?\u1085?\u1090? \u1085?\u1072? \u1045?\u1074?\u1088?\u1086?\u1087?\u1077?\u1081?\u1089?\u1082?\u1080?\u1103? \u1087?\u1072?\u1088?\u1083?\u1072?\u1084?\u1077?\u1085?\u1090? \u1080? \u1085?\u1072? \u1057?\u1098?\u1074?\u1077?\u1090?\u1072? _x000b_"/>
    <w:docVar w:name="LW_TYPEACTEPRINCIPAL.CP" w:val="\u1055?\u1088?\u1077?\u1076?\u1083?\u1086?\u1078?\u1077?\u1085?\u1080?\u1077?\u1090?\u1086? \u1079?\u1072? \u1088?\u1077?\u1075?\u1083?\u1072?\u1084?\u1077?\u1085?\u1090? \u1085?\u1072? \u1045?\u1074?\u1088?\u1086?\u1087?\u1077?\u1081?\u1089?\u1082?\u1080?\u1103? \u1087?\u1072?\u1088?\u1083?\u1072?\u1084?\u1077?\u1085?\u1090? \u1080? \u1085?\u1072? \u1057?\u1098?\u1074?\u1077?\u1090?\u1072? 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st">
    <w:name w:val="st"/>
    <w:basedOn w:val="DefaultParagraphFont"/>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val="en-GB"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val="en-GB"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st">
    <w:name w:val="st"/>
    <w:basedOn w:val="DefaultParagraphFont"/>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val="en-GB"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val="en-GB"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1BD88E5-2BA9-4433-A902-769B41B12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13</Pages>
  <Words>2541</Words>
  <Characters>14995</Characters>
  <Application>Microsoft Office Word</Application>
  <DocSecurity>0</DocSecurity>
  <Lines>937</Lines>
  <Paragraphs>227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DIGIT/A3</cp:lastModifiedBy>
  <cp:revision>10</cp:revision>
  <cp:lastPrinted>2018-04-30T16:11:00Z</cp:lastPrinted>
  <dcterms:created xsi:type="dcterms:W3CDTF">2018-05-31T08:31:00Z</dcterms:created>
  <dcterms:modified xsi:type="dcterms:W3CDTF">2018-06-04T07:41:00Z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2</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