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D9083659-D946-4D93-9CEF-1B7B46D31D16"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r>
        <w:rPr>
          <w:noProof/>
        </w:rPr>
        <w:br/>
      </w:r>
      <w:r>
        <w:rPr>
          <w:noProof/>
        </w:rPr>
        <w:br/>
        <w:t>INFORMATIONS RÉGLEMENTAIRES RELEVANT DU CHAMP D’APPLICATION DU PRÉSENT RÈGLEMENT</w:t>
      </w:r>
    </w:p>
    <w:p>
      <w:pPr>
        <w:pStyle w:val="NormalLeft"/>
        <w:rPr>
          <w:b/>
          <w:noProof/>
        </w:rPr>
      </w:pPr>
      <w:r>
        <w:rPr>
          <w:b/>
          <w:noProof/>
        </w:rPr>
        <w:t>Exigences en matière d’informations réglementaires établies par le droit de l’Union</w:t>
      </w:r>
    </w:p>
    <w:p>
      <w:pPr>
        <w:pStyle w:val="Text1"/>
        <w:rPr>
          <w:noProof/>
        </w:rPr>
      </w:pPr>
      <w:r>
        <w:rPr>
          <w:noProof/>
        </w:rPr>
        <w:t>Le tableau ci-dessous répertorie les exigences en matière d’informations réglementaires définies dans les actes de l’Union établissant les conditions pour le transport de marchandises sur le territoire de l’Union conformément au titre VI de la troisième partie du traité, ainsi que les conditions relatives aux transferts de déchets:</w:t>
      </w:r>
    </w:p>
    <w:tbl>
      <w:tblPr>
        <w:tblStyle w:val="TableGrid"/>
        <w:tblW w:w="14989" w:type="dxa"/>
        <w:tblLook w:val="04A0" w:firstRow="1" w:lastRow="0" w:firstColumn="1" w:lastColumn="0" w:noHBand="0" w:noVBand="1"/>
      </w:tblPr>
      <w:tblGrid>
        <w:gridCol w:w="5070"/>
        <w:gridCol w:w="1233"/>
        <w:gridCol w:w="1632"/>
        <w:gridCol w:w="1589"/>
        <w:gridCol w:w="1134"/>
        <w:gridCol w:w="1038"/>
        <w:gridCol w:w="1227"/>
        <w:gridCol w:w="1134"/>
        <w:gridCol w:w="1030"/>
      </w:tblGrid>
      <w:tr>
        <w:trPr>
          <w:trHeight w:val="1216"/>
        </w:trPr>
        <w:tc>
          <w:tcPr>
            <w:tcW w:w="5070" w:type="dxa"/>
            <w:noWrap/>
            <w:hideMark/>
          </w:tcPr>
          <w:p>
            <w:pPr>
              <w:jc w:val="left"/>
              <w:rPr>
                <w:rFonts w:ascii="Calibri" w:eastAsia="Times New Roman" w:hAnsi="Calibri"/>
                <w:b/>
                <w:bCs/>
                <w:noProof/>
                <w:color w:val="000000"/>
                <w:szCs w:val="24"/>
              </w:rPr>
            </w:pPr>
            <w:r>
              <w:rPr>
                <w:rFonts w:ascii="Calibri" w:hAnsi="Calibri"/>
                <w:b/>
                <w:noProof/>
                <w:color w:val="000000"/>
              </w:rPr>
              <w:t>Texte législatif de l’Union</w:t>
            </w:r>
          </w:p>
          <w:p>
            <w:pPr>
              <w:jc w:val="left"/>
              <w:rPr>
                <w:rFonts w:ascii="Calibri" w:eastAsia="Times New Roman" w:hAnsi="Calibri"/>
                <w:b/>
                <w:bCs/>
                <w:noProof/>
                <w:color w:val="000000"/>
                <w:szCs w:val="24"/>
              </w:rPr>
            </w:pPr>
          </w:p>
          <w:p>
            <w:pPr>
              <w:jc w:val="left"/>
              <w:rPr>
                <w:rFonts w:ascii="Calibri" w:eastAsia="Times New Roman" w:hAnsi="Calibri"/>
                <w:b/>
                <w:bCs/>
                <w:noProof/>
                <w:color w:val="000000"/>
                <w:szCs w:val="24"/>
              </w:rPr>
            </w:pPr>
          </w:p>
          <w:p>
            <w:pPr>
              <w:jc w:val="left"/>
              <w:rPr>
                <w:rFonts w:ascii="Calibri" w:eastAsia="Times New Roman" w:hAnsi="Calibri"/>
                <w:b/>
                <w:bCs/>
                <w:noProof/>
                <w:color w:val="000000"/>
                <w:sz w:val="28"/>
                <w:szCs w:val="28"/>
              </w:rPr>
            </w:pPr>
            <w:r>
              <w:rPr>
                <w:rFonts w:ascii="Calibri" w:hAnsi="Calibri"/>
                <w:b/>
                <w:noProof/>
                <w:color w:val="000000"/>
              </w:rPr>
              <w:t>Élément d’information</w:t>
            </w:r>
          </w:p>
        </w:tc>
        <w:tc>
          <w:tcPr>
            <w:tcW w:w="1223" w:type="dxa"/>
            <w:hideMark/>
          </w:tcPr>
          <w:p>
            <w:pPr>
              <w:jc w:val="left"/>
              <w:rPr>
                <w:rFonts w:ascii="Calibri" w:eastAsia="Times New Roman" w:hAnsi="Calibri"/>
                <w:b/>
                <w:bCs/>
                <w:noProof/>
                <w:color w:val="000000"/>
                <w:sz w:val="16"/>
                <w:szCs w:val="16"/>
              </w:rPr>
            </w:pPr>
            <w:r>
              <w:rPr>
                <w:rFonts w:ascii="Calibri" w:hAnsi="Calibri"/>
                <w:b/>
                <w:noProof/>
                <w:color w:val="000000"/>
                <w:sz w:val="16"/>
              </w:rPr>
              <w:t>Règlement nº 11 du Conseil concernant la suppression de discriminations en matière de prix et conditions de transport</w:t>
            </w:r>
          </w:p>
          <w:p>
            <w:pPr>
              <w:jc w:val="left"/>
              <w:rPr>
                <w:rFonts w:ascii="Calibri" w:eastAsia="Times New Roman" w:hAnsi="Calibri"/>
                <w:b/>
                <w:bCs/>
                <w:noProof/>
                <w:color w:val="000000"/>
                <w:sz w:val="16"/>
                <w:szCs w:val="16"/>
              </w:rPr>
            </w:pPr>
            <w:r>
              <w:rPr>
                <w:rFonts w:ascii="Calibri" w:hAnsi="Calibri"/>
                <w:b/>
                <w:noProof/>
                <w:color w:val="000000"/>
                <w:sz w:val="16"/>
              </w:rPr>
              <w:t>JO 052 du 16.8.1960, p. 1121–1126</w:t>
            </w:r>
          </w:p>
        </w:tc>
        <w:tc>
          <w:tcPr>
            <w:tcW w:w="1161" w:type="dxa"/>
            <w:hideMark/>
          </w:tcPr>
          <w:p>
            <w:pPr>
              <w:jc w:val="left"/>
              <w:rPr>
                <w:rFonts w:ascii="Calibri" w:eastAsia="Times New Roman" w:hAnsi="Calibri"/>
                <w:b/>
                <w:bCs/>
                <w:noProof/>
                <w:color w:val="000000"/>
                <w:sz w:val="16"/>
                <w:szCs w:val="16"/>
              </w:rPr>
            </w:pPr>
            <w:r>
              <w:rPr>
                <w:rFonts w:ascii="Calibri" w:hAnsi="Calibri"/>
                <w:b/>
                <w:noProof/>
                <w:color w:val="000000"/>
                <w:sz w:val="16"/>
              </w:rPr>
              <w:t>Directive 92/106/CEE relative à l’établissement de règles communes pour certains transports combinés de marchandises entre États membres</w:t>
            </w:r>
          </w:p>
          <w:p>
            <w:pPr>
              <w:jc w:val="left"/>
              <w:rPr>
                <w:rFonts w:ascii="Calibri" w:eastAsia="Times New Roman" w:hAnsi="Calibri"/>
                <w:b/>
                <w:bCs/>
                <w:noProof/>
                <w:color w:val="000000"/>
                <w:sz w:val="16"/>
                <w:szCs w:val="16"/>
              </w:rPr>
            </w:pPr>
            <w:r>
              <w:rPr>
                <w:rFonts w:ascii="Calibri" w:hAnsi="Calibri"/>
                <w:b/>
                <w:noProof/>
                <w:color w:val="000000"/>
                <w:sz w:val="16"/>
              </w:rPr>
              <w:t>JO L 368 du 17.12.1992, p. 38-42.</w:t>
            </w:r>
          </w:p>
        </w:tc>
        <w:tc>
          <w:tcPr>
            <w:tcW w:w="1244" w:type="dxa"/>
            <w:hideMark/>
          </w:tcPr>
          <w:p>
            <w:pPr>
              <w:jc w:val="left"/>
              <w:rPr>
                <w:rFonts w:asciiTheme="minorHAnsi" w:eastAsia="Times New Roman" w:hAnsiTheme="minorHAnsi"/>
                <w:b/>
                <w:bCs/>
                <w:noProof/>
                <w:color w:val="000000"/>
                <w:sz w:val="16"/>
                <w:szCs w:val="16"/>
              </w:rPr>
            </w:pPr>
            <w:r>
              <w:rPr>
                <w:rFonts w:asciiTheme="minorHAnsi" w:hAnsiTheme="minorHAnsi"/>
                <w:b/>
                <w:noProof/>
                <w:color w:val="000000"/>
                <w:sz w:val="16"/>
              </w:rPr>
              <w:t xml:space="preserve">[Proposition COM(2017) 648 final - 2017/0290 (COD) </w:t>
            </w:r>
            <w:r>
              <w:rPr>
                <w:rStyle w:val="st"/>
                <w:rFonts w:asciiTheme="minorHAnsi" w:hAnsiTheme="minorHAnsi"/>
                <w:b/>
                <w:noProof/>
                <w:sz w:val="16"/>
              </w:rPr>
              <w:t>modifiant la</w:t>
            </w:r>
            <w:r>
              <w:rPr>
                <w:rStyle w:val="st"/>
                <w:rFonts w:asciiTheme="minorHAnsi" w:hAnsiTheme="minorHAnsi"/>
                <w:noProof/>
                <w:sz w:val="16"/>
              </w:rPr>
              <w:t xml:space="preserve"> </w:t>
            </w:r>
            <w:r>
              <w:rPr>
                <w:rStyle w:val="st"/>
                <w:rFonts w:asciiTheme="minorHAnsi" w:hAnsiTheme="minorHAnsi"/>
                <w:b/>
                <w:noProof/>
                <w:sz w:val="16"/>
              </w:rPr>
              <w:t>directive 92/106/CEE]</w:t>
            </w:r>
          </w:p>
        </w:tc>
        <w:tc>
          <w:tcPr>
            <w:tcW w:w="1084" w:type="dxa"/>
            <w:hideMark/>
          </w:tcPr>
          <w:p>
            <w:pPr>
              <w:jc w:val="left"/>
              <w:rPr>
                <w:rFonts w:ascii="Calibri" w:eastAsia="Times New Roman" w:hAnsi="Calibri"/>
                <w:b/>
                <w:bCs/>
                <w:noProof/>
                <w:color w:val="000000"/>
                <w:sz w:val="16"/>
                <w:szCs w:val="16"/>
              </w:rPr>
            </w:pPr>
            <w:r>
              <w:rPr>
                <w:rFonts w:ascii="Calibri" w:hAnsi="Calibri"/>
                <w:b/>
                <w:noProof/>
                <w:color w:val="000000"/>
                <w:sz w:val="16"/>
              </w:rPr>
              <w:t>Règlement (CE) n° 1072/2009 établissant des règles communes pour l’accès au marché du transport international de marchandises par route</w:t>
            </w:r>
          </w:p>
          <w:p>
            <w:pPr>
              <w:jc w:val="left"/>
              <w:rPr>
                <w:rFonts w:ascii="Calibri" w:eastAsia="Times New Roman" w:hAnsi="Calibri"/>
                <w:b/>
                <w:bCs/>
                <w:noProof/>
                <w:color w:val="000000"/>
                <w:sz w:val="16"/>
                <w:szCs w:val="16"/>
              </w:rPr>
            </w:pPr>
            <w:r>
              <w:rPr>
                <w:rFonts w:ascii="Calibri" w:hAnsi="Calibri"/>
                <w:b/>
                <w:noProof/>
                <w:color w:val="000000"/>
                <w:sz w:val="16"/>
              </w:rPr>
              <w:t>JO L 300 du 14.11.2009, p. 72-87.</w:t>
            </w:r>
          </w:p>
        </w:tc>
        <w:tc>
          <w:tcPr>
            <w:tcW w:w="1225" w:type="dxa"/>
            <w:hideMark/>
          </w:tcPr>
          <w:p>
            <w:pPr>
              <w:jc w:val="left"/>
              <w:rPr>
                <w:rFonts w:ascii="Calibri" w:eastAsia="Times New Roman" w:hAnsi="Calibri"/>
                <w:b/>
                <w:bCs/>
                <w:noProof/>
                <w:color w:val="000000"/>
                <w:sz w:val="16"/>
                <w:szCs w:val="16"/>
              </w:rPr>
            </w:pPr>
            <w:r>
              <w:rPr>
                <w:rFonts w:ascii="Calibri" w:hAnsi="Calibri"/>
                <w:b/>
                <w:noProof/>
                <w:color w:val="000000"/>
                <w:sz w:val="16"/>
              </w:rPr>
              <w:t>[Proposition COM(2017) 0281 final – 2017/0123 (COD) modifiant le règlement (CE) nº 1071/2009 et le règlement (CE) nº 1072/2009]</w:t>
            </w:r>
          </w:p>
        </w:tc>
        <w:tc>
          <w:tcPr>
            <w:tcW w:w="1376" w:type="dxa"/>
            <w:hideMark/>
          </w:tcPr>
          <w:p>
            <w:pPr>
              <w:jc w:val="left"/>
              <w:rPr>
                <w:rFonts w:ascii="Calibri" w:eastAsia="Times New Roman" w:hAnsi="Calibri"/>
                <w:b/>
                <w:bCs/>
                <w:noProof/>
                <w:color w:val="000000"/>
                <w:sz w:val="16"/>
                <w:szCs w:val="16"/>
              </w:rPr>
            </w:pPr>
            <w:r>
              <w:rPr>
                <w:rFonts w:ascii="Calibri" w:hAnsi="Calibri"/>
                <w:b/>
                <w:noProof/>
                <w:color w:val="000000"/>
                <w:sz w:val="16"/>
              </w:rPr>
              <w:t>Règlement d'exécution (UE) 2015/1998 de la Commission fixant des mesures détaillées pour la mise en œuvre des normes de base communes dans le domaine de la sûreté de l’aviation civile</w:t>
            </w:r>
          </w:p>
          <w:p>
            <w:pPr>
              <w:jc w:val="left"/>
              <w:rPr>
                <w:rFonts w:ascii="Calibri" w:eastAsia="Times New Roman" w:hAnsi="Calibri"/>
                <w:b/>
                <w:bCs/>
                <w:noProof/>
                <w:color w:val="000000"/>
                <w:sz w:val="16"/>
                <w:szCs w:val="16"/>
              </w:rPr>
            </w:pPr>
            <w:r>
              <w:rPr>
                <w:rFonts w:ascii="Calibri" w:hAnsi="Calibri"/>
                <w:b/>
                <w:noProof/>
                <w:color w:val="000000"/>
                <w:sz w:val="16"/>
              </w:rPr>
              <w:t>JO L 299 du 14.11.2015, p. 1-142.</w:t>
            </w:r>
          </w:p>
        </w:tc>
        <w:tc>
          <w:tcPr>
            <w:tcW w:w="1317" w:type="dxa"/>
            <w:hideMark/>
          </w:tcPr>
          <w:p>
            <w:pPr>
              <w:jc w:val="left"/>
              <w:rPr>
                <w:rFonts w:ascii="Calibri" w:eastAsia="Times New Roman" w:hAnsi="Calibri"/>
                <w:b/>
                <w:bCs/>
                <w:noProof/>
                <w:color w:val="000000"/>
                <w:sz w:val="16"/>
                <w:szCs w:val="16"/>
              </w:rPr>
            </w:pPr>
            <w:r>
              <w:rPr>
                <w:rFonts w:ascii="Calibri" w:hAnsi="Calibri"/>
                <w:b/>
                <w:noProof/>
                <w:color w:val="000000"/>
                <w:sz w:val="16"/>
              </w:rPr>
              <w:t>Directive 2008/68/CE relative au transport intérieur des marchandises dangereuses</w:t>
            </w:r>
            <w:r>
              <w:rPr>
                <w:rFonts w:ascii="Calibri" w:eastAsia="Times New Roman" w:hAnsi="Calibri"/>
                <w:b/>
                <w:bCs/>
                <w:noProof/>
                <w:color w:val="000000"/>
                <w:sz w:val="16"/>
                <w:szCs w:val="16"/>
              </w:rPr>
              <w:br/>
            </w:r>
            <w:r>
              <w:rPr>
                <w:rFonts w:ascii="Calibri" w:eastAsia="Times New Roman" w:hAnsi="Calibri"/>
                <w:b/>
                <w:bCs/>
                <w:noProof/>
                <w:color w:val="000000"/>
                <w:sz w:val="16"/>
                <w:szCs w:val="16"/>
              </w:rPr>
              <w:br/>
            </w:r>
            <w:r>
              <w:rPr>
                <w:rFonts w:ascii="Calibri" w:hAnsi="Calibri"/>
                <w:b/>
                <w:noProof/>
                <w:color w:val="000000"/>
                <w:sz w:val="16"/>
              </w:rPr>
              <w:t>JO L 260 du 30.9.2008, p. 13-59.</w:t>
            </w:r>
          </w:p>
          <w:p>
            <w:pPr>
              <w:jc w:val="left"/>
              <w:rPr>
                <w:rFonts w:ascii="Calibri" w:eastAsia="Times New Roman" w:hAnsi="Calibri"/>
                <w:b/>
                <w:bCs/>
                <w:noProof/>
                <w:color w:val="000000"/>
                <w:sz w:val="16"/>
                <w:szCs w:val="16"/>
              </w:rPr>
            </w:pPr>
          </w:p>
          <w:p>
            <w:pPr>
              <w:jc w:val="left"/>
              <w:rPr>
                <w:rFonts w:ascii="Calibri" w:eastAsia="Times New Roman" w:hAnsi="Calibri"/>
                <w:b/>
                <w:bCs/>
                <w:noProof/>
                <w:color w:val="000000"/>
                <w:sz w:val="16"/>
                <w:szCs w:val="16"/>
              </w:rPr>
            </w:pPr>
            <w:r>
              <w:rPr>
                <w:rFonts w:ascii="Calibri" w:hAnsi="Calibri"/>
                <w:b/>
                <w:noProof/>
                <w:color w:val="000000"/>
                <w:sz w:val="16"/>
              </w:rPr>
              <w:t>Référence à l’ADR, au RID, à l’ADN</w:t>
            </w:r>
            <w:r>
              <w:rPr>
                <w:rStyle w:val="FootnoteReference"/>
                <w:rFonts w:ascii="Calibri" w:hAnsi="Calibri"/>
                <w:b/>
                <w:noProof/>
                <w:color w:val="000000"/>
                <w:sz w:val="16"/>
              </w:rPr>
              <w:footnoteReference w:id="1"/>
            </w:r>
          </w:p>
        </w:tc>
        <w:tc>
          <w:tcPr>
            <w:tcW w:w="1289" w:type="dxa"/>
          </w:tcPr>
          <w:p>
            <w:pPr>
              <w:jc w:val="left"/>
              <w:rPr>
                <w:rFonts w:ascii="Calibri" w:eastAsia="Times New Roman" w:hAnsi="Calibri"/>
                <w:b/>
                <w:bCs/>
                <w:noProof/>
                <w:color w:val="000000"/>
                <w:sz w:val="16"/>
                <w:szCs w:val="16"/>
              </w:rPr>
            </w:pPr>
            <w:r>
              <w:rPr>
                <w:rFonts w:ascii="Calibri" w:hAnsi="Calibri"/>
                <w:b/>
                <w:noProof/>
                <w:color w:val="000000"/>
                <w:sz w:val="16"/>
              </w:rPr>
              <w:t>Règlement (CE) n° 013/2006 concernant les transferts de déchets</w:t>
            </w:r>
          </w:p>
          <w:p>
            <w:pPr>
              <w:jc w:val="left"/>
              <w:rPr>
                <w:rFonts w:ascii="Calibri" w:eastAsia="Times New Roman" w:hAnsi="Calibri"/>
                <w:b/>
                <w:bCs/>
                <w:noProof/>
                <w:color w:val="000000"/>
                <w:sz w:val="16"/>
                <w:szCs w:val="16"/>
              </w:rPr>
            </w:pPr>
            <w:r>
              <w:rPr>
                <w:rFonts w:ascii="Calibri" w:hAnsi="Calibri"/>
                <w:b/>
                <w:noProof/>
                <w:color w:val="000000"/>
                <w:sz w:val="16"/>
              </w:rPr>
              <w:t>JO L 190 du 12.7.2006, p. 1-98.</w:t>
            </w:r>
          </w:p>
        </w:tc>
      </w:tr>
      <w:tr>
        <w:trPr>
          <w:trHeight w:val="412"/>
        </w:trPr>
        <w:tc>
          <w:tcPr>
            <w:tcW w:w="5070" w:type="dxa"/>
            <w:hideMark/>
          </w:tcPr>
          <w:p>
            <w:pPr>
              <w:jc w:val="left"/>
              <w:rPr>
                <w:rFonts w:ascii="Calibri" w:eastAsia="Times New Roman" w:hAnsi="Calibri"/>
                <w:b/>
                <w:bCs/>
                <w:noProof/>
                <w:color w:val="000000"/>
                <w:sz w:val="16"/>
                <w:szCs w:val="16"/>
              </w:rPr>
            </w:pPr>
            <w:r>
              <w:rPr>
                <w:rFonts w:ascii="Calibri" w:hAnsi="Calibri"/>
                <w:b/>
                <w:noProof/>
                <w:color w:val="000000"/>
                <w:sz w:val="16"/>
              </w:rPr>
              <w:t>Le nom et l’adresse de l’expéditeur</w:t>
            </w:r>
          </w:p>
        </w:tc>
        <w:tc>
          <w:tcPr>
            <w:tcW w:w="1223" w:type="dxa"/>
            <w:hideMark/>
          </w:tcPr>
          <w:p>
            <w:pPr>
              <w:jc w:val="left"/>
              <w:rPr>
                <w:rFonts w:ascii="Calibri" w:eastAsia="Times New Roman" w:hAnsi="Calibri"/>
                <w:noProof/>
                <w:color w:val="000000"/>
                <w:sz w:val="16"/>
                <w:szCs w:val="16"/>
              </w:rPr>
            </w:pPr>
            <w:r>
              <w:rPr>
                <w:rFonts w:ascii="Calibri" w:hAnsi="Calibri"/>
                <w:noProof/>
                <w:color w:val="000000"/>
                <w:sz w:val="16"/>
              </w:rPr>
              <w:t>Article 6.1</w:t>
            </w:r>
          </w:p>
        </w:tc>
        <w:tc>
          <w:tcPr>
            <w:tcW w:w="1161" w:type="dxa"/>
            <w:hideMark/>
          </w:tcPr>
          <w:p>
            <w:pPr>
              <w:jc w:val="left"/>
              <w:rPr>
                <w:rFonts w:ascii="Calibri" w:eastAsia="Times New Roman" w:hAnsi="Calibri"/>
                <w:noProof/>
                <w:color w:val="000000"/>
                <w:sz w:val="16"/>
                <w:szCs w:val="16"/>
              </w:rPr>
            </w:pPr>
            <w:r>
              <w:rPr>
                <w:rFonts w:ascii="Calibri" w:hAnsi="Calibri"/>
                <w:noProof/>
                <w:color w:val="000000"/>
                <w:sz w:val="16"/>
              </w:rPr>
              <w:t>Article 3 (référence à l’article 6 du règlement n° 11 du Conseil du 27 juin 1960)</w:t>
            </w:r>
          </w:p>
        </w:tc>
        <w:tc>
          <w:tcPr>
            <w:tcW w:w="1244" w:type="dxa"/>
            <w:hideMark/>
          </w:tcPr>
          <w:p>
            <w:pPr>
              <w:jc w:val="left"/>
              <w:rPr>
                <w:rFonts w:ascii="Calibri" w:eastAsia="Times New Roman" w:hAnsi="Calibri"/>
                <w:noProof/>
                <w:color w:val="000000"/>
                <w:sz w:val="16"/>
                <w:szCs w:val="16"/>
              </w:rPr>
            </w:pPr>
          </w:p>
        </w:tc>
        <w:tc>
          <w:tcPr>
            <w:tcW w:w="1084" w:type="dxa"/>
            <w:hideMark/>
          </w:tcPr>
          <w:p>
            <w:pPr>
              <w:jc w:val="left"/>
              <w:rPr>
                <w:rFonts w:ascii="Calibri" w:eastAsia="Times New Roman" w:hAnsi="Calibri"/>
                <w:noProof/>
                <w:color w:val="000000"/>
                <w:sz w:val="16"/>
                <w:szCs w:val="16"/>
              </w:rPr>
            </w:pPr>
          </w:p>
        </w:tc>
        <w:tc>
          <w:tcPr>
            <w:tcW w:w="1225" w:type="dxa"/>
            <w:hideMark/>
          </w:tcPr>
          <w:p>
            <w:pPr>
              <w:jc w:val="left"/>
              <w:rPr>
                <w:rFonts w:ascii="Calibri" w:eastAsia="Times New Roman" w:hAnsi="Calibri"/>
                <w:noProof/>
                <w:color w:val="000000"/>
                <w:sz w:val="16"/>
                <w:szCs w:val="16"/>
              </w:rPr>
            </w:pPr>
          </w:p>
        </w:tc>
        <w:tc>
          <w:tcPr>
            <w:tcW w:w="1376" w:type="dxa"/>
            <w:hideMark/>
          </w:tcPr>
          <w:p>
            <w:pPr>
              <w:jc w:val="left"/>
              <w:rPr>
                <w:rFonts w:ascii="Calibri" w:eastAsia="Times New Roman" w:hAnsi="Calibri"/>
                <w:noProof/>
                <w:color w:val="000000"/>
                <w:sz w:val="16"/>
                <w:szCs w:val="16"/>
              </w:rPr>
            </w:pPr>
          </w:p>
        </w:tc>
        <w:tc>
          <w:tcPr>
            <w:tcW w:w="1317" w:type="dxa"/>
            <w:hideMark/>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p>
        </w:tc>
      </w:tr>
      <w:tr>
        <w:trPr>
          <w:trHeight w:val="417"/>
        </w:trPr>
        <w:tc>
          <w:tcPr>
            <w:tcW w:w="5070" w:type="dxa"/>
            <w:hideMark/>
          </w:tcPr>
          <w:p>
            <w:pPr>
              <w:jc w:val="left"/>
              <w:rPr>
                <w:rFonts w:ascii="Calibri" w:eastAsia="Times New Roman" w:hAnsi="Calibri"/>
                <w:b/>
                <w:bCs/>
                <w:noProof/>
                <w:color w:val="000000"/>
                <w:sz w:val="16"/>
                <w:szCs w:val="16"/>
              </w:rPr>
            </w:pPr>
            <w:r>
              <w:rPr>
                <w:rFonts w:ascii="Calibri" w:hAnsi="Calibri"/>
                <w:b/>
                <w:noProof/>
                <w:color w:val="000000"/>
                <w:sz w:val="16"/>
              </w:rPr>
              <w:t>La nature et le poids de la marchandise</w:t>
            </w:r>
          </w:p>
        </w:tc>
        <w:tc>
          <w:tcPr>
            <w:tcW w:w="1223" w:type="dxa"/>
            <w:hideMark/>
          </w:tcPr>
          <w:p>
            <w:pPr>
              <w:jc w:val="left"/>
              <w:rPr>
                <w:rFonts w:ascii="Calibri" w:eastAsia="Times New Roman" w:hAnsi="Calibri"/>
                <w:noProof/>
                <w:color w:val="000000"/>
                <w:sz w:val="16"/>
                <w:szCs w:val="16"/>
              </w:rPr>
            </w:pPr>
            <w:r>
              <w:rPr>
                <w:rFonts w:ascii="Calibri" w:hAnsi="Calibri"/>
                <w:noProof/>
                <w:color w:val="000000"/>
                <w:sz w:val="16"/>
              </w:rPr>
              <w:t>Article 6.1</w:t>
            </w:r>
          </w:p>
        </w:tc>
        <w:tc>
          <w:tcPr>
            <w:tcW w:w="1161" w:type="dxa"/>
            <w:hideMark/>
          </w:tcPr>
          <w:p>
            <w:pPr>
              <w:jc w:val="left"/>
              <w:rPr>
                <w:rFonts w:ascii="Calibri" w:eastAsia="Times New Roman" w:hAnsi="Calibri"/>
                <w:noProof/>
                <w:color w:val="000000"/>
                <w:sz w:val="16"/>
                <w:szCs w:val="16"/>
              </w:rPr>
            </w:pPr>
            <w:r>
              <w:rPr>
                <w:rFonts w:ascii="Calibri" w:hAnsi="Calibri"/>
                <w:noProof/>
                <w:color w:val="000000"/>
                <w:sz w:val="16"/>
              </w:rPr>
              <w:t>Article 3 (référence à l’article 6 du règlement n° 11 du Conseil)</w:t>
            </w:r>
          </w:p>
        </w:tc>
        <w:tc>
          <w:tcPr>
            <w:tcW w:w="1244" w:type="dxa"/>
            <w:hideMark/>
          </w:tcPr>
          <w:p>
            <w:pPr>
              <w:jc w:val="left"/>
              <w:rPr>
                <w:rFonts w:ascii="Calibri" w:eastAsia="Times New Roman" w:hAnsi="Calibri"/>
                <w:noProof/>
                <w:color w:val="000000"/>
                <w:sz w:val="16"/>
                <w:szCs w:val="16"/>
              </w:rPr>
            </w:pPr>
          </w:p>
        </w:tc>
        <w:tc>
          <w:tcPr>
            <w:tcW w:w="1084" w:type="dxa"/>
            <w:hideMark/>
          </w:tcPr>
          <w:p>
            <w:pPr>
              <w:jc w:val="left"/>
              <w:rPr>
                <w:rFonts w:ascii="Calibri" w:eastAsia="Times New Roman" w:hAnsi="Calibri"/>
                <w:noProof/>
                <w:color w:val="000000"/>
                <w:sz w:val="16"/>
                <w:szCs w:val="16"/>
              </w:rPr>
            </w:pPr>
          </w:p>
        </w:tc>
        <w:tc>
          <w:tcPr>
            <w:tcW w:w="1225" w:type="dxa"/>
            <w:hideMark/>
          </w:tcPr>
          <w:p>
            <w:pPr>
              <w:jc w:val="left"/>
              <w:rPr>
                <w:rFonts w:ascii="Calibri" w:eastAsia="Times New Roman" w:hAnsi="Calibri"/>
                <w:noProof/>
                <w:color w:val="000000"/>
                <w:sz w:val="16"/>
                <w:szCs w:val="16"/>
              </w:rPr>
            </w:pPr>
          </w:p>
        </w:tc>
        <w:tc>
          <w:tcPr>
            <w:tcW w:w="1376" w:type="dxa"/>
            <w:hideMark/>
          </w:tcPr>
          <w:p>
            <w:pPr>
              <w:jc w:val="left"/>
              <w:rPr>
                <w:rFonts w:ascii="Calibri" w:eastAsia="Times New Roman" w:hAnsi="Calibri"/>
                <w:noProof/>
                <w:color w:val="000000"/>
                <w:sz w:val="16"/>
                <w:szCs w:val="16"/>
              </w:rPr>
            </w:pPr>
          </w:p>
        </w:tc>
        <w:tc>
          <w:tcPr>
            <w:tcW w:w="1317" w:type="dxa"/>
            <w:hideMark/>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p>
        </w:tc>
      </w:tr>
      <w:tr>
        <w:trPr>
          <w:trHeight w:val="410"/>
        </w:trPr>
        <w:tc>
          <w:tcPr>
            <w:tcW w:w="5070" w:type="dxa"/>
            <w:hideMark/>
          </w:tcPr>
          <w:p>
            <w:pPr>
              <w:jc w:val="left"/>
              <w:rPr>
                <w:rFonts w:ascii="Calibri" w:eastAsia="Times New Roman" w:hAnsi="Calibri"/>
                <w:b/>
                <w:bCs/>
                <w:noProof/>
                <w:color w:val="000000"/>
                <w:sz w:val="16"/>
                <w:szCs w:val="16"/>
              </w:rPr>
            </w:pPr>
            <w:r>
              <w:rPr>
                <w:rFonts w:ascii="Calibri" w:hAnsi="Calibri"/>
                <w:b/>
                <w:noProof/>
                <w:color w:val="000000"/>
                <w:sz w:val="16"/>
              </w:rPr>
              <w:t>La localité et la date d’acceptation des marchandises au transport</w:t>
            </w:r>
          </w:p>
        </w:tc>
        <w:tc>
          <w:tcPr>
            <w:tcW w:w="1223" w:type="dxa"/>
            <w:hideMark/>
          </w:tcPr>
          <w:p>
            <w:pPr>
              <w:jc w:val="left"/>
              <w:rPr>
                <w:rFonts w:ascii="Calibri" w:eastAsia="Times New Roman" w:hAnsi="Calibri"/>
                <w:noProof/>
                <w:color w:val="000000"/>
                <w:sz w:val="16"/>
                <w:szCs w:val="16"/>
              </w:rPr>
            </w:pPr>
            <w:r>
              <w:rPr>
                <w:rFonts w:ascii="Calibri" w:hAnsi="Calibri"/>
                <w:noProof/>
                <w:color w:val="000000"/>
                <w:sz w:val="16"/>
              </w:rPr>
              <w:t>Article 6.1</w:t>
            </w:r>
          </w:p>
        </w:tc>
        <w:tc>
          <w:tcPr>
            <w:tcW w:w="1161" w:type="dxa"/>
            <w:hideMark/>
          </w:tcPr>
          <w:p>
            <w:pPr>
              <w:jc w:val="left"/>
              <w:rPr>
                <w:rFonts w:ascii="Calibri" w:eastAsia="Times New Roman" w:hAnsi="Calibri"/>
                <w:noProof/>
                <w:color w:val="000000"/>
                <w:sz w:val="16"/>
                <w:szCs w:val="16"/>
              </w:rPr>
            </w:pPr>
            <w:r>
              <w:rPr>
                <w:rFonts w:ascii="Calibri" w:hAnsi="Calibri"/>
                <w:noProof/>
                <w:color w:val="000000"/>
                <w:sz w:val="16"/>
              </w:rPr>
              <w:t>Article 3 (référence à l’article 6 du règlement n° 11 du Conseil)</w:t>
            </w:r>
          </w:p>
        </w:tc>
        <w:tc>
          <w:tcPr>
            <w:tcW w:w="1244" w:type="dxa"/>
            <w:hideMark/>
          </w:tcPr>
          <w:p>
            <w:pPr>
              <w:jc w:val="left"/>
              <w:rPr>
                <w:rFonts w:ascii="Calibri" w:eastAsia="Times New Roman" w:hAnsi="Calibri"/>
                <w:noProof/>
                <w:color w:val="000000"/>
                <w:sz w:val="16"/>
                <w:szCs w:val="16"/>
              </w:rPr>
            </w:pPr>
          </w:p>
        </w:tc>
        <w:tc>
          <w:tcPr>
            <w:tcW w:w="1084" w:type="dxa"/>
            <w:hideMark/>
          </w:tcPr>
          <w:p>
            <w:pPr>
              <w:jc w:val="left"/>
              <w:rPr>
                <w:rFonts w:ascii="Calibri" w:eastAsia="Times New Roman" w:hAnsi="Calibri"/>
                <w:noProof/>
                <w:color w:val="000000"/>
                <w:sz w:val="16"/>
                <w:szCs w:val="16"/>
              </w:rPr>
            </w:pPr>
          </w:p>
        </w:tc>
        <w:tc>
          <w:tcPr>
            <w:tcW w:w="1225" w:type="dxa"/>
            <w:hideMark/>
          </w:tcPr>
          <w:p>
            <w:pPr>
              <w:jc w:val="left"/>
              <w:rPr>
                <w:rFonts w:ascii="Calibri" w:eastAsia="Times New Roman" w:hAnsi="Calibri"/>
                <w:noProof/>
                <w:color w:val="000000"/>
                <w:sz w:val="16"/>
                <w:szCs w:val="16"/>
              </w:rPr>
            </w:pPr>
          </w:p>
        </w:tc>
        <w:tc>
          <w:tcPr>
            <w:tcW w:w="1376" w:type="dxa"/>
            <w:hideMark/>
          </w:tcPr>
          <w:p>
            <w:pPr>
              <w:jc w:val="left"/>
              <w:rPr>
                <w:rFonts w:ascii="Calibri" w:eastAsia="Times New Roman" w:hAnsi="Calibri"/>
                <w:noProof/>
                <w:color w:val="000000"/>
                <w:sz w:val="16"/>
                <w:szCs w:val="16"/>
              </w:rPr>
            </w:pPr>
          </w:p>
        </w:tc>
        <w:tc>
          <w:tcPr>
            <w:tcW w:w="1317" w:type="dxa"/>
            <w:hideMark/>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p>
        </w:tc>
      </w:tr>
      <w:tr>
        <w:trPr>
          <w:trHeight w:val="416"/>
        </w:trPr>
        <w:tc>
          <w:tcPr>
            <w:tcW w:w="5070" w:type="dxa"/>
            <w:hideMark/>
          </w:tcPr>
          <w:p>
            <w:pPr>
              <w:jc w:val="left"/>
              <w:rPr>
                <w:rFonts w:ascii="Calibri" w:eastAsia="Times New Roman" w:hAnsi="Calibri"/>
                <w:b/>
                <w:bCs/>
                <w:noProof/>
                <w:color w:val="000000"/>
                <w:sz w:val="16"/>
                <w:szCs w:val="16"/>
              </w:rPr>
            </w:pPr>
            <w:r>
              <w:rPr>
                <w:rFonts w:ascii="Calibri" w:hAnsi="Calibri"/>
                <w:b/>
                <w:noProof/>
                <w:color w:val="000000"/>
                <w:sz w:val="16"/>
              </w:rPr>
              <w:t>La localité prévue pour la livraison de la marchandise</w:t>
            </w:r>
          </w:p>
        </w:tc>
        <w:tc>
          <w:tcPr>
            <w:tcW w:w="1223" w:type="dxa"/>
            <w:hideMark/>
          </w:tcPr>
          <w:p>
            <w:pPr>
              <w:jc w:val="left"/>
              <w:rPr>
                <w:rFonts w:ascii="Calibri" w:eastAsia="Times New Roman" w:hAnsi="Calibri"/>
                <w:noProof/>
                <w:color w:val="000000"/>
                <w:sz w:val="16"/>
                <w:szCs w:val="16"/>
              </w:rPr>
            </w:pPr>
            <w:r>
              <w:rPr>
                <w:rFonts w:ascii="Calibri" w:hAnsi="Calibri"/>
                <w:noProof/>
                <w:color w:val="000000"/>
                <w:sz w:val="16"/>
              </w:rPr>
              <w:t>Article 6.1</w:t>
            </w:r>
          </w:p>
        </w:tc>
        <w:tc>
          <w:tcPr>
            <w:tcW w:w="1161" w:type="dxa"/>
            <w:hideMark/>
          </w:tcPr>
          <w:p>
            <w:pPr>
              <w:jc w:val="left"/>
              <w:rPr>
                <w:rFonts w:ascii="Calibri" w:eastAsia="Times New Roman" w:hAnsi="Calibri"/>
                <w:noProof/>
                <w:color w:val="000000"/>
                <w:sz w:val="16"/>
                <w:szCs w:val="16"/>
              </w:rPr>
            </w:pPr>
            <w:r>
              <w:rPr>
                <w:rFonts w:ascii="Calibri" w:hAnsi="Calibri"/>
                <w:noProof/>
                <w:color w:val="000000"/>
                <w:sz w:val="16"/>
              </w:rPr>
              <w:t>Article 3 (référence à l’article 6 du règlement n° 11 du Conseil)</w:t>
            </w:r>
          </w:p>
        </w:tc>
        <w:tc>
          <w:tcPr>
            <w:tcW w:w="1244" w:type="dxa"/>
            <w:hideMark/>
          </w:tcPr>
          <w:p>
            <w:pPr>
              <w:jc w:val="left"/>
              <w:rPr>
                <w:rFonts w:ascii="Calibri" w:eastAsia="Times New Roman" w:hAnsi="Calibri"/>
                <w:noProof/>
                <w:color w:val="000000"/>
                <w:sz w:val="16"/>
                <w:szCs w:val="16"/>
              </w:rPr>
            </w:pPr>
          </w:p>
        </w:tc>
        <w:tc>
          <w:tcPr>
            <w:tcW w:w="1084" w:type="dxa"/>
            <w:hideMark/>
          </w:tcPr>
          <w:p>
            <w:pPr>
              <w:jc w:val="left"/>
              <w:rPr>
                <w:rFonts w:ascii="Calibri" w:eastAsia="Times New Roman" w:hAnsi="Calibri"/>
                <w:noProof/>
                <w:color w:val="000000"/>
                <w:sz w:val="16"/>
                <w:szCs w:val="16"/>
              </w:rPr>
            </w:pPr>
          </w:p>
        </w:tc>
        <w:tc>
          <w:tcPr>
            <w:tcW w:w="1225" w:type="dxa"/>
            <w:hideMark/>
          </w:tcPr>
          <w:p>
            <w:pPr>
              <w:jc w:val="left"/>
              <w:rPr>
                <w:rFonts w:ascii="Calibri" w:eastAsia="Times New Roman" w:hAnsi="Calibri"/>
                <w:noProof/>
                <w:color w:val="000000"/>
                <w:sz w:val="16"/>
                <w:szCs w:val="16"/>
              </w:rPr>
            </w:pPr>
          </w:p>
        </w:tc>
        <w:tc>
          <w:tcPr>
            <w:tcW w:w="1376" w:type="dxa"/>
            <w:hideMark/>
          </w:tcPr>
          <w:p>
            <w:pPr>
              <w:jc w:val="left"/>
              <w:rPr>
                <w:rFonts w:ascii="Calibri" w:eastAsia="Times New Roman" w:hAnsi="Calibri"/>
                <w:noProof/>
                <w:color w:val="000000"/>
                <w:sz w:val="16"/>
                <w:szCs w:val="16"/>
              </w:rPr>
            </w:pPr>
          </w:p>
        </w:tc>
        <w:tc>
          <w:tcPr>
            <w:tcW w:w="1317" w:type="dxa"/>
            <w:hideMark/>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p>
        </w:tc>
      </w:tr>
      <w:tr>
        <w:trPr>
          <w:trHeight w:val="915"/>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L'itinéraire d'acheminement ou la distance, dans la mesure où ces éléments justifient un prix différent du prix de transport normalement applicable</w:t>
            </w:r>
          </w:p>
        </w:tc>
        <w:tc>
          <w:tcPr>
            <w:tcW w:w="1223" w:type="dxa"/>
          </w:tcPr>
          <w:p>
            <w:pPr>
              <w:jc w:val="left"/>
              <w:rPr>
                <w:rFonts w:ascii="Calibri" w:eastAsia="Times New Roman" w:hAnsi="Calibri"/>
                <w:noProof/>
                <w:color w:val="000000"/>
                <w:sz w:val="16"/>
                <w:szCs w:val="16"/>
              </w:rPr>
            </w:pPr>
            <w:r>
              <w:rPr>
                <w:rFonts w:ascii="Calibri" w:hAnsi="Calibri"/>
                <w:noProof/>
                <w:color w:val="000000"/>
                <w:sz w:val="16"/>
              </w:rPr>
              <w:t>Article 6.1</w:t>
            </w:r>
          </w:p>
        </w:tc>
        <w:tc>
          <w:tcPr>
            <w:tcW w:w="1161" w:type="dxa"/>
          </w:tcPr>
          <w:p>
            <w:pPr>
              <w:jc w:val="left"/>
              <w:rPr>
                <w:rFonts w:ascii="Calibri" w:eastAsia="Times New Roman" w:hAnsi="Calibri"/>
                <w:noProof/>
                <w:color w:val="000000"/>
                <w:sz w:val="16"/>
                <w:szCs w:val="16"/>
              </w:rPr>
            </w:pPr>
            <w:r>
              <w:rPr>
                <w:rFonts w:ascii="Calibri" w:hAnsi="Calibri"/>
                <w:noProof/>
                <w:color w:val="000000"/>
                <w:sz w:val="16"/>
              </w:rPr>
              <w:t>Article 3 (référence à l’article 6 du règlement n° 11 du Conseil)</w:t>
            </w:r>
          </w:p>
        </w:tc>
        <w:tc>
          <w:tcPr>
            <w:tcW w:w="1244" w:type="dxa"/>
          </w:tcPr>
          <w:p>
            <w:pPr>
              <w:jc w:val="left"/>
              <w:rPr>
                <w:rFonts w:ascii="Calibri" w:eastAsia="Times New Roman" w:hAnsi="Calibri"/>
                <w:b/>
                <w:bCs/>
                <w:noProof/>
                <w:color w:val="000000"/>
                <w:sz w:val="16"/>
                <w:szCs w:val="16"/>
              </w:rPr>
            </w:pPr>
          </w:p>
        </w:tc>
        <w:tc>
          <w:tcPr>
            <w:tcW w:w="1084" w:type="dxa"/>
          </w:tcPr>
          <w:p>
            <w:pPr>
              <w:jc w:val="left"/>
              <w:rPr>
                <w:rFonts w:ascii="Calibri" w:eastAsia="Times New Roman" w:hAnsi="Calibri"/>
                <w:b/>
                <w:bCs/>
                <w:noProof/>
                <w:color w:val="000000"/>
                <w:sz w:val="16"/>
                <w:szCs w:val="16"/>
              </w:rPr>
            </w:pPr>
          </w:p>
        </w:tc>
        <w:tc>
          <w:tcPr>
            <w:tcW w:w="1225" w:type="dxa"/>
          </w:tcPr>
          <w:p>
            <w:pPr>
              <w:jc w:val="left"/>
              <w:rPr>
                <w:rFonts w:ascii="Calibri" w:eastAsia="Times New Roman" w:hAnsi="Calibri"/>
                <w:b/>
                <w:bCs/>
                <w:noProof/>
                <w:color w:val="000000"/>
                <w:sz w:val="16"/>
                <w:szCs w:val="16"/>
              </w:rPr>
            </w:pPr>
          </w:p>
        </w:tc>
        <w:tc>
          <w:tcPr>
            <w:tcW w:w="1376" w:type="dxa"/>
          </w:tcPr>
          <w:p>
            <w:pPr>
              <w:jc w:val="left"/>
              <w:rPr>
                <w:rFonts w:ascii="Calibri" w:eastAsia="Times New Roman" w:hAnsi="Calibri"/>
                <w:b/>
                <w:bCs/>
                <w:noProof/>
                <w:color w:val="000000"/>
                <w:sz w:val="16"/>
                <w:szCs w:val="16"/>
              </w:rPr>
            </w:pPr>
          </w:p>
        </w:tc>
        <w:tc>
          <w:tcPr>
            <w:tcW w:w="1317" w:type="dxa"/>
          </w:tcPr>
          <w:p>
            <w:pPr>
              <w:jc w:val="left"/>
              <w:rPr>
                <w:rFonts w:ascii="Calibri" w:eastAsia="Times New Roman" w:hAnsi="Calibri"/>
                <w:b/>
                <w:bCs/>
                <w:noProof/>
                <w:color w:val="000000"/>
                <w:sz w:val="16"/>
                <w:szCs w:val="16"/>
              </w:rPr>
            </w:pPr>
          </w:p>
        </w:tc>
        <w:tc>
          <w:tcPr>
            <w:tcW w:w="1289" w:type="dxa"/>
          </w:tcPr>
          <w:p>
            <w:pPr>
              <w:jc w:val="left"/>
              <w:rPr>
                <w:rFonts w:ascii="Calibri" w:eastAsia="Times New Roman" w:hAnsi="Calibri"/>
                <w:b/>
                <w:bCs/>
                <w:noProof/>
                <w:color w:val="000000"/>
                <w:sz w:val="16"/>
                <w:szCs w:val="16"/>
              </w:rPr>
            </w:pPr>
          </w:p>
        </w:tc>
      </w:tr>
      <w:tr>
        <w:trPr>
          <w:trHeight w:val="915"/>
        </w:trPr>
        <w:tc>
          <w:tcPr>
            <w:tcW w:w="5070" w:type="dxa"/>
            <w:hideMark/>
          </w:tcPr>
          <w:p>
            <w:pPr>
              <w:jc w:val="left"/>
              <w:rPr>
                <w:rFonts w:ascii="Calibri" w:eastAsia="Times New Roman" w:hAnsi="Calibri"/>
                <w:b/>
                <w:bCs/>
                <w:noProof/>
                <w:color w:val="000000"/>
                <w:sz w:val="16"/>
                <w:szCs w:val="16"/>
              </w:rPr>
            </w:pPr>
            <w:r>
              <w:rPr>
                <w:rFonts w:ascii="Calibri" w:hAnsi="Calibri"/>
                <w:b/>
                <w:noProof/>
                <w:color w:val="000000"/>
                <w:sz w:val="16"/>
              </w:rPr>
              <w:t>Le cas échéant, les points de passage aux frontières</w:t>
            </w:r>
          </w:p>
        </w:tc>
        <w:tc>
          <w:tcPr>
            <w:tcW w:w="1223" w:type="dxa"/>
            <w:hideMark/>
          </w:tcPr>
          <w:p>
            <w:pPr>
              <w:jc w:val="left"/>
              <w:rPr>
                <w:rFonts w:ascii="Calibri" w:eastAsia="Times New Roman" w:hAnsi="Calibri"/>
                <w:noProof/>
                <w:color w:val="000000"/>
                <w:sz w:val="16"/>
                <w:szCs w:val="16"/>
              </w:rPr>
            </w:pPr>
            <w:r>
              <w:rPr>
                <w:rFonts w:ascii="Calibri" w:hAnsi="Calibri"/>
                <w:noProof/>
                <w:color w:val="000000"/>
                <w:sz w:val="16"/>
              </w:rPr>
              <w:t>Article 6.1</w:t>
            </w:r>
          </w:p>
        </w:tc>
        <w:tc>
          <w:tcPr>
            <w:tcW w:w="1161" w:type="dxa"/>
            <w:hideMark/>
          </w:tcPr>
          <w:p>
            <w:pPr>
              <w:jc w:val="left"/>
              <w:rPr>
                <w:rFonts w:ascii="Calibri" w:eastAsia="Times New Roman" w:hAnsi="Calibri"/>
                <w:noProof/>
                <w:color w:val="000000"/>
                <w:sz w:val="16"/>
                <w:szCs w:val="16"/>
              </w:rPr>
            </w:pPr>
            <w:r>
              <w:rPr>
                <w:rFonts w:ascii="Calibri" w:hAnsi="Calibri"/>
                <w:noProof/>
                <w:color w:val="000000"/>
                <w:sz w:val="16"/>
              </w:rPr>
              <w:t>Article 3 (référence à l’article 6 du règlement n° 11 du Conseil)</w:t>
            </w:r>
          </w:p>
        </w:tc>
        <w:tc>
          <w:tcPr>
            <w:tcW w:w="1244" w:type="dxa"/>
            <w:hideMark/>
          </w:tcPr>
          <w:p>
            <w:pPr>
              <w:jc w:val="left"/>
              <w:rPr>
                <w:rFonts w:ascii="Calibri" w:eastAsia="Times New Roman" w:hAnsi="Calibri"/>
                <w:noProof/>
                <w:color w:val="000000"/>
                <w:sz w:val="16"/>
                <w:szCs w:val="16"/>
              </w:rPr>
            </w:pPr>
          </w:p>
        </w:tc>
        <w:tc>
          <w:tcPr>
            <w:tcW w:w="1084" w:type="dxa"/>
            <w:hideMark/>
          </w:tcPr>
          <w:p>
            <w:pPr>
              <w:jc w:val="left"/>
              <w:rPr>
                <w:rFonts w:ascii="Calibri" w:eastAsia="Times New Roman" w:hAnsi="Calibri"/>
                <w:noProof/>
                <w:color w:val="000000"/>
                <w:sz w:val="16"/>
                <w:szCs w:val="16"/>
              </w:rPr>
            </w:pPr>
          </w:p>
        </w:tc>
        <w:tc>
          <w:tcPr>
            <w:tcW w:w="1225" w:type="dxa"/>
            <w:hideMark/>
          </w:tcPr>
          <w:p>
            <w:pPr>
              <w:jc w:val="left"/>
              <w:rPr>
                <w:rFonts w:ascii="Calibri" w:eastAsia="Times New Roman" w:hAnsi="Calibri"/>
                <w:noProof/>
                <w:color w:val="000000"/>
                <w:sz w:val="16"/>
                <w:szCs w:val="16"/>
              </w:rPr>
            </w:pPr>
          </w:p>
        </w:tc>
        <w:tc>
          <w:tcPr>
            <w:tcW w:w="1376" w:type="dxa"/>
            <w:hideMark/>
          </w:tcPr>
          <w:p>
            <w:pPr>
              <w:jc w:val="left"/>
              <w:rPr>
                <w:rFonts w:ascii="Calibri" w:eastAsia="Times New Roman" w:hAnsi="Calibri"/>
                <w:noProof/>
                <w:color w:val="000000"/>
                <w:sz w:val="16"/>
                <w:szCs w:val="16"/>
              </w:rPr>
            </w:pPr>
          </w:p>
        </w:tc>
        <w:tc>
          <w:tcPr>
            <w:tcW w:w="1317" w:type="dxa"/>
            <w:hideMark/>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p>
        </w:tc>
      </w:tr>
      <w:tr>
        <w:trPr>
          <w:trHeight w:val="300"/>
        </w:trPr>
        <w:tc>
          <w:tcPr>
            <w:tcW w:w="5070" w:type="dxa"/>
            <w:hideMark/>
          </w:tcPr>
          <w:p>
            <w:pPr>
              <w:jc w:val="left"/>
              <w:rPr>
                <w:rFonts w:ascii="Calibri" w:eastAsia="Times New Roman" w:hAnsi="Calibri"/>
                <w:b/>
                <w:bCs/>
                <w:noProof/>
                <w:color w:val="000000"/>
                <w:sz w:val="16"/>
                <w:szCs w:val="16"/>
              </w:rPr>
            </w:pPr>
            <w:r>
              <w:rPr>
                <w:rFonts w:ascii="Calibri" w:hAnsi="Calibri"/>
                <w:b/>
                <w:noProof/>
                <w:color w:val="000000"/>
                <w:sz w:val="16"/>
              </w:rPr>
              <w:t>Les gares ferroviaires d'embarquement et de débarquement</w:t>
            </w:r>
          </w:p>
        </w:tc>
        <w:tc>
          <w:tcPr>
            <w:tcW w:w="1223" w:type="dxa"/>
            <w:hideMark/>
          </w:tcPr>
          <w:p>
            <w:pPr>
              <w:jc w:val="left"/>
              <w:rPr>
                <w:rFonts w:ascii="Calibri" w:eastAsia="Times New Roman" w:hAnsi="Calibri"/>
                <w:noProof/>
                <w:color w:val="000000"/>
                <w:sz w:val="16"/>
                <w:szCs w:val="16"/>
              </w:rPr>
            </w:pPr>
          </w:p>
        </w:tc>
        <w:tc>
          <w:tcPr>
            <w:tcW w:w="1161" w:type="dxa"/>
            <w:hideMark/>
          </w:tcPr>
          <w:p>
            <w:pPr>
              <w:jc w:val="left"/>
              <w:rPr>
                <w:rFonts w:ascii="Calibri" w:eastAsia="Times New Roman" w:hAnsi="Calibri"/>
                <w:noProof/>
                <w:color w:val="000000"/>
                <w:sz w:val="16"/>
                <w:szCs w:val="16"/>
              </w:rPr>
            </w:pPr>
            <w:r>
              <w:rPr>
                <w:rFonts w:ascii="Calibri" w:hAnsi="Calibri"/>
                <w:noProof/>
                <w:color w:val="000000"/>
                <w:sz w:val="16"/>
              </w:rPr>
              <w:t>Article 3</w:t>
            </w:r>
          </w:p>
        </w:tc>
        <w:tc>
          <w:tcPr>
            <w:tcW w:w="1244" w:type="dxa"/>
            <w:hideMark/>
          </w:tcPr>
          <w:p>
            <w:pPr>
              <w:jc w:val="left"/>
              <w:rPr>
                <w:rFonts w:ascii="Calibri" w:eastAsia="Times New Roman" w:hAnsi="Calibri"/>
                <w:noProof/>
                <w:color w:val="000000"/>
                <w:sz w:val="16"/>
                <w:szCs w:val="16"/>
              </w:rPr>
            </w:pPr>
          </w:p>
        </w:tc>
        <w:tc>
          <w:tcPr>
            <w:tcW w:w="1084" w:type="dxa"/>
            <w:hideMark/>
          </w:tcPr>
          <w:p>
            <w:pPr>
              <w:jc w:val="left"/>
              <w:rPr>
                <w:rFonts w:ascii="Calibri" w:eastAsia="Times New Roman" w:hAnsi="Calibri"/>
                <w:noProof/>
                <w:color w:val="000000"/>
                <w:sz w:val="16"/>
                <w:szCs w:val="16"/>
              </w:rPr>
            </w:pPr>
          </w:p>
        </w:tc>
        <w:tc>
          <w:tcPr>
            <w:tcW w:w="1225" w:type="dxa"/>
            <w:hideMark/>
          </w:tcPr>
          <w:p>
            <w:pPr>
              <w:jc w:val="left"/>
              <w:rPr>
                <w:rFonts w:ascii="Calibri" w:eastAsia="Times New Roman" w:hAnsi="Calibri"/>
                <w:noProof/>
                <w:color w:val="000000"/>
                <w:sz w:val="16"/>
                <w:szCs w:val="16"/>
              </w:rPr>
            </w:pPr>
          </w:p>
        </w:tc>
        <w:tc>
          <w:tcPr>
            <w:tcW w:w="1376" w:type="dxa"/>
            <w:hideMark/>
          </w:tcPr>
          <w:p>
            <w:pPr>
              <w:jc w:val="left"/>
              <w:rPr>
                <w:rFonts w:ascii="Calibri" w:eastAsia="Times New Roman" w:hAnsi="Calibri"/>
                <w:noProof/>
                <w:color w:val="000000"/>
                <w:sz w:val="16"/>
                <w:szCs w:val="16"/>
              </w:rPr>
            </w:pPr>
          </w:p>
        </w:tc>
        <w:tc>
          <w:tcPr>
            <w:tcW w:w="1317" w:type="dxa"/>
            <w:hideMark/>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p>
        </w:tc>
      </w:tr>
      <w:tr>
        <w:trPr>
          <w:trHeight w:val="336"/>
        </w:trPr>
        <w:tc>
          <w:tcPr>
            <w:tcW w:w="5070" w:type="dxa"/>
            <w:hideMark/>
          </w:tcPr>
          <w:p>
            <w:pPr>
              <w:jc w:val="left"/>
              <w:rPr>
                <w:rFonts w:ascii="Calibri" w:eastAsia="Times New Roman" w:hAnsi="Calibri"/>
                <w:b/>
                <w:bCs/>
                <w:noProof/>
                <w:color w:val="000000"/>
                <w:sz w:val="16"/>
                <w:szCs w:val="16"/>
              </w:rPr>
            </w:pPr>
            <w:r>
              <w:rPr>
                <w:rFonts w:ascii="Calibri" w:hAnsi="Calibri"/>
                <w:b/>
                <w:noProof/>
                <w:color w:val="000000"/>
                <w:sz w:val="16"/>
              </w:rPr>
              <w:t>Les ports fluviaux d’embarquement et de débarquement</w:t>
            </w:r>
          </w:p>
        </w:tc>
        <w:tc>
          <w:tcPr>
            <w:tcW w:w="1223" w:type="dxa"/>
            <w:hideMark/>
          </w:tcPr>
          <w:p>
            <w:pPr>
              <w:jc w:val="left"/>
              <w:rPr>
                <w:rFonts w:ascii="Calibri" w:eastAsia="Times New Roman" w:hAnsi="Calibri"/>
                <w:noProof/>
                <w:color w:val="000000"/>
                <w:sz w:val="16"/>
                <w:szCs w:val="16"/>
              </w:rPr>
            </w:pPr>
          </w:p>
        </w:tc>
        <w:tc>
          <w:tcPr>
            <w:tcW w:w="1161" w:type="dxa"/>
            <w:hideMark/>
          </w:tcPr>
          <w:p>
            <w:pPr>
              <w:jc w:val="left"/>
              <w:rPr>
                <w:rFonts w:ascii="Calibri" w:eastAsia="Times New Roman" w:hAnsi="Calibri"/>
                <w:noProof/>
                <w:color w:val="000000"/>
                <w:sz w:val="16"/>
                <w:szCs w:val="16"/>
              </w:rPr>
            </w:pPr>
            <w:r>
              <w:rPr>
                <w:rFonts w:ascii="Calibri" w:hAnsi="Calibri"/>
                <w:noProof/>
                <w:color w:val="000000"/>
                <w:sz w:val="16"/>
              </w:rPr>
              <w:t>Article 3</w:t>
            </w:r>
          </w:p>
        </w:tc>
        <w:tc>
          <w:tcPr>
            <w:tcW w:w="1244" w:type="dxa"/>
            <w:hideMark/>
          </w:tcPr>
          <w:p>
            <w:pPr>
              <w:jc w:val="left"/>
              <w:rPr>
                <w:rFonts w:ascii="Calibri" w:eastAsia="Times New Roman" w:hAnsi="Calibri"/>
                <w:noProof/>
                <w:color w:val="000000"/>
                <w:sz w:val="16"/>
                <w:szCs w:val="16"/>
              </w:rPr>
            </w:pPr>
          </w:p>
        </w:tc>
        <w:tc>
          <w:tcPr>
            <w:tcW w:w="1084" w:type="dxa"/>
            <w:hideMark/>
          </w:tcPr>
          <w:p>
            <w:pPr>
              <w:jc w:val="left"/>
              <w:rPr>
                <w:rFonts w:ascii="Calibri" w:eastAsia="Times New Roman" w:hAnsi="Calibri"/>
                <w:noProof/>
                <w:color w:val="000000"/>
                <w:sz w:val="16"/>
                <w:szCs w:val="16"/>
              </w:rPr>
            </w:pPr>
          </w:p>
        </w:tc>
        <w:tc>
          <w:tcPr>
            <w:tcW w:w="1225" w:type="dxa"/>
            <w:hideMark/>
          </w:tcPr>
          <w:p>
            <w:pPr>
              <w:jc w:val="left"/>
              <w:rPr>
                <w:rFonts w:ascii="Calibri" w:eastAsia="Times New Roman" w:hAnsi="Calibri"/>
                <w:noProof/>
                <w:color w:val="000000"/>
                <w:sz w:val="16"/>
                <w:szCs w:val="16"/>
              </w:rPr>
            </w:pPr>
          </w:p>
        </w:tc>
        <w:tc>
          <w:tcPr>
            <w:tcW w:w="1376" w:type="dxa"/>
            <w:hideMark/>
          </w:tcPr>
          <w:p>
            <w:pPr>
              <w:jc w:val="left"/>
              <w:rPr>
                <w:rFonts w:ascii="Calibri" w:eastAsia="Times New Roman" w:hAnsi="Calibri"/>
                <w:noProof/>
                <w:color w:val="000000"/>
                <w:sz w:val="16"/>
                <w:szCs w:val="16"/>
              </w:rPr>
            </w:pPr>
          </w:p>
        </w:tc>
        <w:tc>
          <w:tcPr>
            <w:tcW w:w="1317" w:type="dxa"/>
            <w:hideMark/>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p>
        </w:tc>
      </w:tr>
      <w:tr>
        <w:trPr>
          <w:trHeight w:val="412"/>
        </w:trPr>
        <w:tc>
          <w:tcPr>
            <w:tcW w:w="5070" w:type="dxa"/>
            <w:hideMark/>
          </w:tcPr>
          <w:p>
            <w:pPr>
              <w:jc w:val="left"/>
              <w:rPr>
                <w:rFonts w:ascii="Calibri" w:eastAsia="Times New Roman" w:hAnsi="Calibri"/>
                <w:b/>
                <w:bCs/>
                <w:noProof/>
                <w:color w:val="000000"/>
                <w:sz w:val="16"/>
                <w:szCs w:val="16"/>
              </w:rPr>
            </w:pPr>
            <w:r>
              <w:rPr>
                <w:rFonts w:ascii="Calibri" w:hAnsi="Calibri"/>
                <w:b/>
                <w:noProof/>
                <w:color w:val="000000"/>
                <w:sz w:val="16"/>
              </w:rPr>
              <w:t>Les ports maritimes d’embarquement et de débarquement</w:t>
            </w:r>
          </w:p>
        </w:tc>
        <w:tc>
          <w:tcPr>
            <w:tcW w:w="1223" w:type="dxa"/>
            <w:hideMark/>
          </w:tcPr>
          <w:p>
            <w:pPr>
              <w:jc w:val="left"/>
              <w:rPr>
                <w:rFonts w:ascii="Calibri" w:eastAsia="Times New Roman" w:hAnsi="Calibri"/>
                <w:noProof/>
                <w:color w:val="000000"/>
                <w:sz w:val="16"/>
                <w:szCs w:val="16"/>
              </w:rPr>
            </w:pPr>
          </w:p>
        </w:tc>
        <w:tc>
          <w:tcPr>
            <w:tcW w:w="1161" w:type="dxa"/>
            <w:hideMark/>
          </w:tcPr>
          <w:p>
            <w:pPr>
              <w:jc w:val="left"/>
              <w:rPr>
                <w:rFonts w:ascii="Calibri" w:eastAsia="Times New Roman" w:hAnsi="Calibri"/>
                <w:noProof/>
                <w:color w:val="000000"/>
                <w:sz w:val="16"/>
                <w:szCs w:val="16"/>
              </w:rPr>
            </w:pPr>
            <w:r>
              <w:rPr>
                <w:rFonts w:ascii="Calibri" w:hAnsi="Calibri"/>
                <w:noProof/>
                <w:color w:val="000000"/>
                <w:sz w:val="16"/>
              </w:rPr>
              <w:t>Article 3</w:t>
            </w:r>
          </w:p>
        </w:tc>
        <w:tc>
          <w:tcPr>
            <w:tcW w:w="1244" w:type="dxa"/>
            <w:hideMark/>
          </w:tcPr>
          <w:p>
            <w:pPr>
              <w:jc w:val="left"/>
              <w:rPr>
                <w:rFonts w:ascii="Calibri" w:eastAsia="Times New Roman" w:hAnsi="Calibri"/>
                <w:noProof/>
                <w:color w:val="000000"/>
                <w:sz w:val="16"/>
                <w:szCs w:val="16"/>
              </w:rPr>
            </w:pPr>
          </w:p>
        </w:tc>
        <w:tc>
          <w:tcPr>
            <w:tcW w:w="1084" w:type="dxa"/>
            <w:hideMark/>
          </w:tcPr>
          <w:p>
            <w:pPr>
              <w:jc w:val="left"/>
              <w:rPr>
                <w:rFonts w:ascii="Calibri" w:eastAsia="Times New Roman" w:hAnsi="Calibri"/>
                <w:noProof/>
                <w:color w:val="000000"/>
                <w:sz w:val="16"/>
                <w:szCs w:val="16"/>
              </w:rPr>
            </w:pPr>
          </w:p>
        </w:tc>
        <w:tc>
          <w:tcPr>
            <w:tcW w:w="1225" w:type="dxa"/>
            <w:hideMark/>
          </w:tcPr>
          <w:p>
            <w:pPr>
              <w:jc w:val="left"/>
              <w:rPr>
                <w:rFonts w:ascii="Calibri" w:eastAsia="Times New Roman" w:hAnsi="Calibri"/>
                <w:noProof/>
                <w:color w:val="000000"/>
                <w:sz w:val="16"/>
                <w:szCs w:val="16"/>
              </w:rPr>
            </w:pPr>
          </w:p>
        </w:tc>
        <w:tc>
          <w:tcPr>
            <w:tcW w:w="1376" w:type="dxa"/>
            <w:hideMark/>
          </w:tcPr>
          <w:p>
            <w:pPr>
              <w:jc w:val="left"/>
              <w:rPr>
                <w:rFonts w:ascii="Calibri" w:eastAsia="Times New Roman" w:hAnsi="Calibri"/>
                <w:noProof/>
                <w:color w:val="000000"/>
                <w:sz w:val="16"/>
                <w:szCs w:val="16"/>
              </w:rPr>
            </w:pPr>
          </w:p>
        </w:tc>
        <w:tc>
          <w:tcPr>
            <w:tcW w:w="1317" w:type="dxa"/>
            <w:hideMark/>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p>
        </w:tc>
      </w:tr>
      <w:tr>
        <w:trPr>
          <w:trHeight w:val="701"/>
        </w:trPr>
        <w:tc>
          <w:tcPr>
            <w:tcW w:w="5070" w:type="dxa"/>
            <w:hideMark/>
          </w:tcPr>
          <w:p>
            <w:pPr>
              <w:jc w:val="left"/>
              <w:rPr>
                <w:rFonts w:ascii="Calibri" w:eastAsia="Times New Roman" w:hAnsi="Calibri"/>
                <w:b/>
                <w:bCs/>
                <w:noProof/>
                <w:color w:val="000000"/>
                <w:sz w:val="16"/>
                <w:szCs w:val="16"/>
              </w:rPr>
            </w:pPr>
            <w:r>
              <w:rPr>
                <w:rFonts w:ascii="Calibri" w:hAnsi="Calibri"/>
                <w:b/>
                <w:noProof/>
                <w:color w:val="000000"/>
                <w:sz w:val="16"/>
              </w:rPr>
              <w:t>Le cachet des administrations ferroviaires ou portuaires dans les gares ferroviaires ou les ports fluviaux ou maritimes en question lorsque la partie du transport qui est effectuée par chemin de fer ou par voie navigable ou par mer est terminée.</w:t>
            </w:r>
          </w:p>
        </w:tc>
        <w:tc>
          <w:tcPr>
            <w:tcW w:w="1223" w:type="dxa"/>
            <w:hideMark/>
          </w:tcPr>
          <w:p>
            <w:pPr>
              <w:jc w:val="left"/>
              <w:rPr>
                <w:rFonts w:ascii="Calibri" w:eastAsia="Times New Roman" w:hAnsi="Calibri"/>
                <w:noProof/>
                <w:color w:val="000000"/>
                <w:sz w:val="16"/>
                <w:szCs w:val="16"/>
              </w:rPr>
            </w:pPr>
          </w:p>
        </w:tc>
        <w:tc>
          <w:tcPr>
            <w:tcW w:w="1161" w:type="dxa"/>
            <w:hideMark/>
          </w:tcPr>
          <w:p>
            <w:pPr>
              <w:jc w:val="left"/>
              <w:rPr>
                <w:rFonts w:ascii="Calibri" w:eastAsia="Times New Roman" w:hAnsi="Calibri"/>
                <w:noProof/>
                <w:color w:val="000000"/>
                <w:sz w:val="16"/>
                <w:szCs w:val="16"/>
              </w:rPr>
            </w:pPr>
            <w:r>
              <w:rPr>
                <w:rFonts w:ascii="Calibri" w:hAnsi="Calibri"/>
                <w:noProof/>
                <w:color w:val="000000"/>
                <w:sz w:val="16"/>
              </w:rPr>
              <w:t>Article 3</w:t>
            </w:r>
          </w:p>
        </w:tc>
        <w:tc>
          <w:tcPr>
            <w:tcW w:w="1244" w:type="dxa"/>
            <w:hideMark/>
          </w:tcPr>
          <w:p>
            <w:pPr>
              <w:jc w:val="left"/>
              <w:rPr>
                <w:rFonts w:ascii="Calibri" w:eastAsia="Times New Roman" w:hAnsi="Calibri"/>
                <w:noProof/>
                <w:color w:val="000000"/>
                <w:sz w:val="16"/>
                <w:szCs w:val="16"/>
              </w:rPr>
            </w:pPr>
          </w:p>
        </w:tc>
        <w:tc>
          <w:tcPr>
            <w:tcW w:w="1084" w:type="dxa"/>
            <w:hideMark/>
          </w:tcPr>
          <w:p>
            <w:pPr>
              <w:jc w:val="left"/>
              <w:rPr>
                <w:rFonts w:ascii="Calibri" w:eastAsia="Times New Roman" w:hAnsi="Calibri"/>
                <w:noProof/>
                <w:color w:val="000000"/>
                <w:sz w:val="16"/>
                <w:szCs w:val="16"/>
              </w:rPr>
            </w:pPr>
          </w:p>
        </w:tc>
        <w:tc>
          <w:tcPr>
            <w:tcW w:w="1225" w:type="dxa"/>
            <w:hideMark/>
          </w:tcPr>
          <w:p>
            <w:pPr>
              <w:jc w:val="left"/>
              <w:rPr>
                <w:rFonts w:ascii="Calibri" w:eastAsia="Times New Roman" w:hAnsi="Calibri"/>
                <w:noProof/>
                <w:color w:val="000000"/>
                <w:sz w:val="16"/>
                <w:szCs w:val="16"/>
              </w:rPr>
            </w:pPr>
          </w:p>
        </w:tc>
        <w:tc>
          <w:tcPr>
            <w:tcW w:w="1376" w:type="dxa"/>
            <w:hideMark/>
          </w:tcPr>
          <w:p>
            <w:pPr>
              <w:jc w:val="left"/>
              <w:rPr>
                <w:rFonts w:ascii="Calibri" w:eastAsia="Times New Roman" w:hAnsi="Calibri"/>
                <w:noProof/>
                <w:color w:val="000000"/>
                <w:sz w:val="16"/>
                <w:szCs w:val="16"/>
              </w:rPr>
            </w:pPr>
          </w:p>
        </w:tc>
        <w:tc>
          <w:tcPr>
            <w:tcW w:w="1317" w:type="dxa"/>
            <w:hideMark/>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p>
        </w:tc>
      </w:tr>
      <w:tr>
        <w:trPr>
          <w:trHeight w:val="915"/>
        </w:trPr>
        <w:tc>
          <w:tcPr>
            <w:tcW w:w="5070" w:type="dxa"/>
            <w:hideMark/>
          </w:tcPr>
          <w:p>
            <w:pPr>
              <w:jc w:val="left"/>
              <w:rPr>
                <w:rFonts w:ascii="Calibri" w:eastAsia="Times New Roman" w:hAnsi="Calibri"/>
                <w:b/>
                <w:bCs/>
                <w:noProof/>
                <w:color w:val="000000"/>
                <w:sz w:val="16"/>
                <w:szCs w:val="16"/>
              </w:rPr>
            </w:pPr>
            <w:r>
              <w:rPr>
                <w:rFonts w:ascii="Calibri" w:hAnsi="Calibri"/>
                <w:b/>
                <w:noProof/>
                <w:color w:val="000000"/>
                <w:sz w:val="16"/>
              </w:rPr>
              <w:t>[Le nom, l’adresse, les coordonnées et la signature de l’expéditeur]</w:t>
            </w:r>
          </w:p>
        </w:tc>
        <w:tc>
          <w:tcPr>
            <w:tcW w:w="1223"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161"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244" w:type="dxa"/>
            <w:hideMark/>
          </w:tcPr>
          <w:p>
            <w:pPr>
              <w:jc w:val="left"/>
              <w:rPr>
                <w:rFonts w:ascii="Calibri" w:eastAsia="Times New Roman" w:hAnsi="Calibri"/>
                <w:noProof/>
                <w:color w:val="000000"/>
                <w:sz w:val="16"/>
                <w:szCs w:val="16"/>
              </w:rPr>
            </w:pPr>
            <w:r>
              <w:rPr>
                <w:rFonts w:ascii="Calibri" w:hAnsi="Calibri"/>
                <w:noProof/>
                <w:color w:val="000000"/>
                <w:sz w:val="16"/>
              </w:rPr>
              <w:t>[Article 3.2, point a), qui remplace l’article 3 de la directive 92/106/CEE du Conseil]</w:t>
            </w:r>
          </w:p>
        </w:tc>
        <w:tc>
          <w:tcPr>
            <w:tcW w:w="1084"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225"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37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317"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289" w:type="dxa"/>
          </w:tcPr>
          <w:p>
            <w:pPr>
              <w:jc w:val="left"/>
              <w:rPr>
                <w:rFonts w:ascii="Calibri" w:eastAsia="Times New Roman" w:hAnsi="Calibri"/>
                <w:noProof/>
                <w:color w:val="000000"/>
                <w:sz w:val="16"/>
                <w:szCs w:val="16"/>
              </w:rPr>
            </w:pPr>
          </w:p>
        </w:tc>
      </w:tr>
      <w:tr>
        <w:trPr>
          <w:trHeight w:val="915"/>
        </w:trPr>
        <w:tc>
          <w:tcPr>
            <w:tcW w:w="5070" w:type="dxa"/>
            <w:hideMark/>
          </w:tcPr>
          <w:p>
            <w:pPr>
              <w:jc w:val="left"/>
              <w:rPr>
                <w:rFonts w:ascii="Calibri" w:eastAsia="Times New Roman" w:hAnsi="Calibri"/>
                <w:b/>
                <w:bCs/>
                <w:noProof/>
                <w:color w:val="000000"/>
                <w:sz w:val="16"/>
                <w:szCs w:val="16"/>
              </w:rPr>
            </w:pPr>
            <w:r>
              <w:rPr>
                <w:rFonts w:ascii="Calibri" w:hAnsi="Calibri"/>
                <w:b/>
                <w:noProof/>
                <w:color w:val="000000"/>
                <w:sz w:val="16"/>
              </w:rPr>
              <w:t>[Le lieu et la date de début des opérations de transport combiné dans l’Union]</w:t>
            </w:r>
          </w:p>
        </w:tc>
        <w:tc>
          <w:tcPr>
            <w:tcW w:w="1223"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161"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244" w:type="dxa"/>
            <w:hideMark/>
          </w:tcPr>
          <w:p>
            <w:pPr>
              <w:jc w:val="left"/>
              <w:rPr>
                <w:rFonts w:ascii="Calibri" w:eastAsia="Times New Roman" w:hAnsi="Calibri"/>
                <w:noProof/>
                <w:color w:val="000000"/>
                <w:sz w:val="16"/>
                <w:szCs w:val="16"/>
              </w:rPr>
            </w:pPr>
            <w:r>
              <w:rPr>
                <w:rFonts w:ascii="Calibri" w:hAnsi="Calibri"/>
                <w:noProof/>
                <w:color w:val="000000"/>
                <w:sz w:val="16"/>
              </w:rPr>
              <w:t>[Article 3.2, point b), qui remplace l’article 3 de la directive 92/106/CEE du Conseil]</w:t>
            </w:r>
          </w:p>
        </w:tc>
        <w:tc>
          <w:tcPr>
            <w:tcW w:w="1084"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225"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37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317"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289" w:type="dxa"/>
          </w:tcPr>
          <w:p>
            <w:pPr>
              <w:jc w:val="left"/>
              <w:rPr>
                <w:rFonts w:ascii="Calibri" w:eastAsia="Times New Roman" w:hAnsi="Calibri"/>
                <w:noProof/>
                <w:color w:val="000000"/>
                <w:sz w:val="16"/>
                <w:szCs w:val="16"/>
              </w:rPr>
            </w:pPr>
          </w:p>
        </w:tc>
      </w:tr>
      <w:tr>
        <w:trPr>
          <w:trHeight w:val="915"/>
        </w:trPr>
        <w:tc>
          <w:tcPr>
            <w:tcW w:w="5070" w:type="dxa"/>
            <w:hideMark/>
          </w:tcPr>
          <w:p>
            <w:pPr>
              <w:jc w:val="left"/>
              <w:rPr>
                <w:rFonts w:ascii="Calibri" w:eastAsia="Times New Roman" w:hAnsi="Calibri"/>
                <w:b/>
                <w:bCs/>
                <w:noProof/>
                <w:color w:val="000000"/>
                <w:sz w:val="16"/>
                <w:szCs w:val="16"/>
              </w:rPr>
            </w:pPr>
            <w:r>
              <w:rPr>
                <w:rFonts w:ascii="Calibri" w:hAnsi="Calibri"/>
                <w:b/>
                <w:noProof/>
                <w:color w:val="000000"/>
                <w:sz w:val="16"/>
              </w:rPr>
              <w:t>[Nom, adresse et coordonnées du destinataire]</w:t>
            </w:r>
          </w:p>
        </w:tc>
        <w:tc>
          <w:tcPr>
            <w:tcW w:w="1223"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161"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244" w:type="dxa"/>
            <w:hideMark/>
          </w:tcPr>
          <w:p>
            <w:pPr>
              <w:jc w:val="left"/>
              <w:rPr>
                <w:rFonts w:ascii="Calibri" w:eastAsia="Times New Roman" w:hAnsi="Calibri"/>
                <w:noProof/>
                <w:color w:val="000000"/>
                <w:sz w:val="16"/>
                <w:szCs w:val="16"/>
              </w:rPr>
            </w:pPr>
            <w:r>
              <w:rPr>
                <w:rFonts w:ascii="Calibri" w:hAnsi="Calibri"/>
                <w:noProof/>
                <w:color w:val="000000"/>
                <w:sz w:val="16"/>
              </w:rPr>
              <w:t>[Article 3.2, point c), qui remplace l’article 3 de la directive 92/106/CEE du Conseil]</w:t>
            </w:r>
          </w:p>
        </w:tc>
        <w:tc>
          <w:tcPr>
            <w:tcW w:w="1084"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225"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37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317"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289" w:type="dxa"/>
          </w:tcPr>
          <w:p>
            <w:pPr>
              <w:jc w:val="left"/>
              <w:rPr>
                <w:rFonts w:ascii="Calibri" w:eastAsia="Times New Roman" w:hAnsi="Calibri"/>
                <w:noProof/>
                <w:color w:val="000000"/>
                <w:sz w:val="16"/>
                <w:szCs w:val="16"/>
              </w:rPr>
            </w:pPr>
          </w:p>
        </w:tc>
      </w:tr>
      <w:tr>
        <w:trPr>
          <w:trHeight w:val="915"/>
        </w:trPr>
        <w:tc>
          <w:tcPr>
            <w:tcW w:w="5070" w:type="dxa"/>
            <w:hideMark/>
          </w:tcPr>
          <w:p>
            <w:pPr>
              <w:jc w:val="left"/>
              <w:rPr>
                <w:rFonts w:ascii="Calibri" w:eastAsia="Times New Roman" w:hAnsi="Calibri"/>
                <w:b/>
                <w:bCs/>
                <w:noProof/>
                <w:color w:val="000000"/>
                <w:sz w:val="16"/>
                <w:szCs w:val="16"/>
              </w:rPr>
            </w:pPr>
            <w:r>
              <w:rPr>
                <w:rFonts w:ascii="Calibri" w:hAnsi="Calibri"/>
                <w:b/>
                <w:noProof/>
                <w:color w:val="000000"/>
                <w:sz w:val="16"/>
              </w:rPr>
              <w:t>[Le lieu et la date de fin des opérations de transport combiné dans l’Union]</w:t>
            </w:r>
          </w:p>
        </w:tc>
        <w:tc>
          <w:tcPr>
            <w:tcW w:w="1223"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161"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244" w:type="dxa"/>
            <w:hideMark/>
          </w:tcPr>
          <w:p>
            <w:pPr>
              <w:jc w:val="left"/>
              <w:rPr>
                <w:rFonts w:ascii="Calibri" w:eastAsia="Times New Roman" w:hAnsi="Calibri"/>
                <w:noProof/>
                <w:color w:val="000000"/>
                <w:sz w:val="16"/>
                <w:szCs w:val="16"/>
              </w:rPr>
            </w:pPr>
            <w:r>
              <w:rPr>
                <w:rFonts w:ascii="Calibri" w:hAnsi="Calibri"/>
                <w:noProof/>
                <w:color w:val="000000"/>
                <w:sz w:val="16"/>
              </w:rPr>
              <w:t>[Article 3.2, point d), qui remplace l’article 3 de la directive 92/106/CEE du Conseil]</w:t>
            </w:r>
          </w:p>
        </w:tc>
        <w:tc>
          <w:tcPr>
            <w:tcW w:w="1084"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225"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37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317"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1289" w:type="dxa"/>
          </w:tcPr>
          <w:p>
            <w:pPr>
              <w:jc w:val="left"/>
              <w:rPr>
                <w:rFonts w:ascii="Calibri" w:eastAsia="Times New Roman" w:hAnsi="Calibri"/>
                <w:noProof/>
                <w:color w:val="000000"/>
                <w:sz w:val="16"/>
                <w:szCs w:val="16"/>
              </w:rPr>
            </w:pPr>
          </w:p>
        </w:tc>
      </w:tr>
      <w:tr>
        <w:trPr>
          <w:trHeight w:val="1025"/>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[La distance à vol d’oiseau entre le lieu où l’opération de transport combiné débute et le lieu où elle se termine dans l’Union]</w:t>
            </w:r>
          </w:p>
        </w:tc>
        <w:tc>
          <w:tcPr>
            <w:tcW w:w="1223"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161"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244" w:type="dxa"/>
          </w:tcPr>
          <w:p>
            <w:pPr>
              <w:jc w:val="left"/>
              <w:rPr>
                <w:rFonts w:ascii="Calibri" w:eastAsia="Times New Roman" w:hAnsi="Calibri"/>
                <w:noProof/>
                <w:color w:val="000000"/>
                <w:sz w:val="16"/>
                <w:szCs w:val="16"/>
              </w:rPr>
            </w:pPr>
            <w:r>
              <w:rPr>
                <w:rFonts w:ascii="Calibri" w:hAnsi="Calibri"/>
                <w:noProof/>
                <w:color w:val="000000"/>
                <w:sz w:val="16"/>
              </w:rPr>
              <w:t>[Article 3.2, point e), qui remplace l’article 3 de la directive 92/106/CEE du Conseil]</w:t>
            </w:r>
          </w:p>
        </w:tc>
        <w:tc>
          <w:tcPr>
            <w:tcW w:w="1084" w:type="dxa"/>
          </w:tcPr>
          <w:p>
            <w:pPr>
              <w:jc w:val="left"/>
              <w:rPr>
                <w:rFonts w:ascii="Calibri" w:eastAsia="Times New Roman" w:hAnsi="Calibri"/>
                <w:noProof/>
                <w:color w:val="000000"/>
                <w:sz w:val="16"/>
                <w:szCs w:val="16"/>
              </w:rPr>
            </w:pPr>
          </w:p>
        </w:tc>
        <w:tc>
          <w:tcPr>
            <w:tcW w:w="1225" w:type="dxa"/>
          </w:tcPr>
          <w:p>
            <w:pPr>
              <w:jc w:val="left"/>
              <w:rPr>
                <w:rFonts w:ascii="Calibri" w:eastAsia="Times New Roman" w:hAnsi="Calibri"/>
                <w:noProof/>
                <w:color w:val="000000"/>
                <w:sz w:val="16"/>
                <w:szCs w:val="16"/>
              </w:rPr>
            </w:pPr>
          </w:p>
        </w:tc>
        <w:tc>
          <w:tcPr>
            <w:tcW w:w="1376" w:type="dxa"/>
          </w:tcPr>
          <w:p>
            <w:pPr>
              <w:jc w:val="left"/>
              <w:rPr>
                <w:rFonts w:ascii="Calibri" w:eastAsia="Times New Roman" w:hAnsi="Calibri"/>
                <w:noProof/>
                <w:color w:val="000000"/>
                <w:sz w:val="16"/>
                <w:szCs w:val="16"/>
              </w:rPr>
            </w:pPr>
          </w:p>
        </w:tc>
        <w:tc>
          <w:tcPr>
            <w:tcW w:w="1317" w:type="dxa"/>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p>
        </w:tc>
      </w:tr>
      <w:tr>
        <w:trPr>
          <w:trHeight w:val="1365"/>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 xml:space="preserve">[une description, signée par l’expéditeur, de l’itinéraire de l’opération de transport combiné comportant au moins les informations suivantes pour chaque segment du trajet à l’intérieur l’Union, y compris pour chaque mode de transport utilisé pour le segment non routier: </w:t>
            </w:r>
            <w:r>
              <w:rPr>
                <w:rFonts w:ascii="Calibri" w:eastAsia="Times New Roman" w:hAnsi="Calibri"/>
                <w:b/>
                <w:bCs/>
                <w:noProof/>
                <w:color w:val="000000"/>
                <w:sz w:val="16"/>
                <w:szCs w:val="16"/>
              </w:rPr>
              <w:br/>
            </w:r>
            <w:r>
              <w:rPr>
                <w:rFonts w:ascii="Calibri" w:hAnsi="Calibri"/>
                <w:b/>
                <w:noProof/>
                <w:color w:val="000000"/>
                <w:sz w:val="16"/>
              </w:rPr>
              <w:t>i) l’ordre des segments (par exemple, premier segment, segment non routier ou segment final);</w:t>
            </w:r>
            <w:r>
              <w:rPr>
                <w:rFonts w:ascii="Calibri" w:eastAsia="Times New Roman" w:hAnsi="Calibri"/>
                <w:b/>
                <w:bCs/>
                <w:noProof/>
                <w:color w:val="000000"/>
                <w:sz w:val="16"/>
                <w:szCs w:val="16"/>
              </w:rPr>
              <w:br/>
            </w:r>
            <w:r>
              <w:rPr>
                <w:rFonts w:ascii="Calibri" w:hAnsi="Calibri"/>
                <w:b/>
                <w:noProof/>
                <w:color w:val="000000"/>
                <w:sz w:val="16"/>
              </w:rPr>
              <w:t>ii) le nom, l’adresse et les coordonnées du transporteur;</w:t>
            </w:r>
            <w:r>
              <w:rPr>
                <w:rFonts w:ascii="Calibri" w:eastAsia="Times New Roman" w:hAnsi="Calibri"/>
                <w:b/>
                <w:bCs/>
                <w:noProof/>
                <w:color w:val="000000"/>
                <w:sz w:val="16"/>
                <w:szCs w:val="16"/>
              </w:rPr>
              <w:br/>
            </w:r>
            <w:r>
              <w:rPr>
                <w:rFonts w:ascii="Calibri" w:hAnsi="Calibri"/>
                <w:b/>
                <w:noProof/>
                <w:color w:val="000000"/>
                <w:sz w:val="16"/>
              </w:rPr>
              <w:t>iii) le mode de transport et son ordre d’utilisation dans l’opération.]</w:t>
            </w:r>
          </w:p>
        </w:tc>
        <w:tc>
          <w:tcPr>
            <w:tcW w:w="1223" w:type="dxa"/>
          </w:tcPr>
          <w:p>
            <w:pPr>
              <w:jc w:val="left"/>
              <w:rPr>
                <w:rFonts w:ascii="Calibri" w:eastAsia="Times New Roman" w:hAnsi="Calibri"/>
                <w:noProof/>
                <w:color w:val="000000"/>
                <w:sz w:val="16"/>
                <w:szCs w:val="16"/>
              </w:rPr>
            </w:pPr>
          </w:p>
        </w:tc>
        <w:tc>
          <w:tcPr>
            <w:tcW w:w="1161" w:type="dxa"/>
          </w:tcPr>
          <w:p>
            <w:pPr>
              <w:jc w:val="left"/>
              <w:rPr>
                <w:rFonts w:ascii="Calibri" w:eastAsia="Times New Roman" w:hAnsi="Calibri"/>
                <w:noProof/>
                <w:color w:val="000000"/>
                <w:sz w:val="16"/>
                <w:szCs w:val="16"/>
              </w:rPr>
            </w:pPr>
          </w:p>
        </w:tc>
        <w:tc>
          <w:tcPr>
            <w:tcW w:w="1244" w:type="dxa"/>
          </w:tcPr>
          <w:p>
            <w:pPr>
              <w:jc w:val="left"/>
              <w:rPr>
                <w:rFonts w:ascii="Calibri" w:eastAsia="Times New Roman" w:hAnsi="Calibri"/>
                <w:noProof/>
                <w:color w:val="000000"/>
                <w:sz w:val="16"/>
                <w:szCs w:val="16"/>
              </w:rPr>
            </w:pPr>
            <w:r>
              <w:rPr>
                <w:rFonts w:ascii="Calibri" w:hAnsi="Calibri"/>
                <w:noProof/>
                <w:color w:val="000000"/>
                <w:sz w:val="16"/>
              </w:rPr>
              <w:t>[Article 3.2, point f), qui remplace l’article 3 de la directive 92/106/CEE du Conseil]</w:t>
            </w:r>
          </w:p>
        </w:tc>
        <w:tc>
          <w:tcPr>
            <w:tcW w:w="1084" w:type="dxa"/>
          </w:tcPr>
          <w:p>
            <w:pPr>
              <w:jc w:val="left"/>
              <w:rPr>
                <w:rFonts w:ascii="Calibri" w:eastAsia="Times New Roman" w:hAnsi="Calibri"/>
                <w:noProof/>
                <w:color w:val="000000"/>
                <w:sz w:val="16"/>
                <w:szCs w:val="16"/>
              </w:rPr>
            </w:pPr>
          </w:p>
        </w:tc>
        <w:tc>
          <w:tcPr>
            <w:tcW w:w="1225" w:type="dxa"/>
          </w:tcPr>
          <w:p>
            <w:pPr>
              <w:jc w:val="left"/>
              <w:rPr>
                <w:rFonts w:ascii="Calibri" w:eastAsia="Times New Roman" w:hAnsi="Calibri"/>
                <w:noProof/>
                <w:color w:val="000000"/>
                <w:sz w:val="16"/>
                <w:szCs w:val="16"/>
              </w:rPr>
            </w:pPr>
          </w:p>
        </w:tc>
        <w:tc>
          <w:tcPr>
            <w:tcW w:w="1376" w:type="dxa"/>
          </w:tcPr>
          <w:p>
            <w:pPr>
              <w:jc w:val="left"/>
              <w:rPr>
                <w:rFonts w:ascii="Calibri" w:eastAsia="Times New Roman" w:hAnsi="Calibri"/>
                <w:noProof/>
                <w:color w:val="000000"/>
                <w:sz w:val="16"/>
                <w:szCs w:val="16"/>
              </w:rPr>
            </w:pPr>
          </w:p>
        </w:tc>
        <w:tc>
          <w:tcPr>
            <w:tcW w:w="1317" w:type="dxa"/>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p>
        </w:tc>
      </w:tr>
      <w:tr>
        <w:trPr>
          <w:trHeight w:val="1017"/>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[L’identification de l’unité de chargement intermodale transportée]</w:t>
            </w:r>
          </w:p>
        </w:tc>
        <w:tc>
          <w:tcPr>
            <w:tcW w:w="1223"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161"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244" w:type="dxa"/>
          </w:tcPr>
          <w:p>
            <w:pPr>
              <w:jc w:val="left"/>
              <w:rPr>
                <w:rFonts w:ascii="Calibri" w:eastAsia="Times New Roman" w:hAnsi="Calibri"/>
                <w:noProof/>
                <w:color w:val="000000"/>
                <w:sz w:val="16"/>
                <w:szCs w:val="16"/>
              </w:rPr>
            </w:pPr>
            <w:r>
              <w:rPr>
                <w:rFonts w:ascii="Calibri" w:hAnsi="Calibri"/>
                <w:noProof/>
                <w:color w:val="000000"/>
                <w:sz w:val="16"/>
              </w:rPr>
              <w:t>[Article 3.2, point g), qui remplace l’article 3 de la directive 92/106/CEE du Conseil]</w:t>
            </w:r>
          </w:p>
        </w:tc>
        <w:tc>
          <w:tcPr>
            <w:tcW w:w="1084" w:type="dxa"/>
          </w:tcPr>
          <w:p>
            <w:pPr>
              <w:jc w:val="left"/>
              <w:rPr>
                <w:rFonts w:ascii="Calibri" w:eastAsia="Times New Roman" w:hAnsi="Calibri"/>
                <w:noProof/>
                <w:color w:val="000000"/>
                <w:sz w:val="16"/>
                <w:szCs w:val="16"/>
              </w:rPr>
            </w:pPr>
          </w:p>
        </w:tc>
        <w:tc>
          <w:tcPr>
            <w:tcW w:w="1225" w:type="dxa"/>
          </w:tcPr>
          <w:p>
            <w:pPr>
              <w:jc w:val="left"/>
              <w:rPr>
                <w:rFonts w:ascii="Calibri" w:eastAsia="Times New Roman" w:hAnsi="Calibri"/>
                <w:noProof/>
                <w:color w:val="000000"/>
                <w:sz w:val="16"/>
                <w:szCs w:val="16"/>
              </w:rPr>
            </w:pPr>
          </w:p>
        </w:tc>
        <w:tc>
          <w:tcPr>
            <w:tcW w:w="1376" w:type="dxa"/>
          </w:tcPr>
          <w:p>
            <w:pPr>
              <w:jc w:val="left"/>
              <w:rPr>
                <w:rFonts w:ascii="Calibri" w:eastAsia="Times New Roman" w:hAnsi="Calibri"/>
                <w:noProof/>
                <w:color w:val="000000"/>
                <w:sz w:val="16"/>
                <w:szCs w:val="16"/>
              </w:rPr>
            </w:pPr>
          </w:p>
        </w:tc>
        <w:tc>
          <w:tcPr>
            <w:tcW w:w="1317" w:type="dxa"/>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p>
        </w:tc>
      </w:tr>
      <w:tr>
        <w:trPr>
          <w:trHeight w:val="1365"/>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 xml:space="preserve">[Concernant le segment initial du transport routier: </w:t>
            </w:r>
            <w:r>
              <w:rPr>
                <w:rFonts w:ascii="Calibri" w:eastAsia="Times New Roman" w:hAnsi="Calibri"/>
                <w:b/>
                <w:bCs/>
                <w:noProof/>
                <w:color w:val="000000"/>
                <w:sz w:val="16"/>
                <w:szCs w:val="16"/>
              </w:rPr>
              <w:br/>
            </w:r>
            <w:r>
              <w:rPr>
                <w:rFonts w:ascii="Calibri" w:hAnsi="Calibri"/>
                <w:b/>
                <w:noProof/>
                <w:color w:val="000000"/>
                <w:sz w:val="16"/>
              </w:rPr>
              <w:t xml:space="preserve"> i) le lieu de transbordement vers le mode non routier; </w:t>
            </w:r>
            <w:r>
              <w:rPr>
                <w:rFonts w:ascii="Calibri" w:eastAsia="Times New Roman" w:hAnsi="Calibri"/>
                <w:b/>
                <w:bCs/>
                <w:noProof/>
                <w:color w:val="000000"/>
                <w:sz w:val="16"/>
                <w:szCs w:val="16"/>
              </w:rPr>
              <w:br/>
            </w:r>
            <w:r>
              <w:rPr>
                <w:rFonts w:ascii="Calibri" w:hAnsi="Calibri"/>
                <w:b/>
                <w:noProof/>
                <w:color w:val="000000"/>
                <w:sz w:val="16"/>
              </w:rPr>
              <w:t xml:space="preserve">ii) la longueur du segment routier initial, à vol d’oiseau, entre le lieu d’expédition et le premier terminal de transbordement; </w:t>
            </w:r>
            <w:r>
              <w:rPr>
                <w:rFonts w:ascii="Calibri" w:eastAsia="Times New Roman" w:hAnsi="Calibri"/>
                <w:b/>
                <w:bCs/>
                <w:noProof/>
                <w:color w:val="000000"/>
                <w:sz w:val="16"/>
                <w:szCs w:val="16"/>
              </w:rPr>
              <w:br/>
            </w:r>
            <w:r>
              <w:rPr>
                <w:rFonts w:ascii="Calibri" w:hAnsi="Calibri"/>
                <w:b/>
                <w:noProof/>
                <w:color w:val="000000"/>
                <w:sz w:val="16"/>
              </w:rPr>
              <w:t>iii) une fois le segment routier initial terminé, une signature du transporteur confirmant que l’opération de transport par la route a été effectuée]</w:t>
            </w:r>
          </w:p>
        </w:tc>
        <w:tc>
          <w:tcPr>
            <w:tcW w:w="1223"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161"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244" w:type="dxa"/>
          </w:tcPr>
          <w:p>
            <w:pPr>
              <w:jc w:val="left"/>
              <w:rPr>
                <w:rFonts w:ascii="Calibri" w:eastAsia="Times New Roman" w:hAnsi="Calibri"/>
                <w:noProof/>
                <w:color w:val="000000"/>
                <w:sz w:val="16"/>
                <w:szCs w:val="16"/>
              </w:rPr>
            </w:pPr>
            <w:r>
              <w:rPr>
                <w:rFonts w:ascii="Calibri" w:hAnsi="Calibri"/>
                <w:noProof/>
                <w:color w:val="000000"/>
                <w:sz w:val="16"/>
              </w:rPr>
              <w:t>[Article 3.2, point h), qui remplace l’article 3 de la directive 92/106/CEE du Conseil]</w:t>
            </w:r>
          </w:p>
        </w:tc>
        <w:tc>
          <w:tcPr>
            <w:tcW w:w="1084" w:type="dxa"/>
          </w:tcPr>
          <w:p>
            <w:pPr>
              <w:jc w:val="left"/>
              <w:rPr>
                <w:rFonts w:ascii="Calibri" w:eastAsia="Times New Roman" w:hAnsi="Calibri"/>
                <w:noProof/>
                <w:color w:val="000000"/>
                <w:sz w:val="16"/>
                <w:szCs w:val="16"/>
              </w:rPr>
            </w:pPr>
          </w:p>
        </w:tc>
        <w:tc>
          <w:tcPr>
            <w:tcW w:w="1225" w:type="dxa"/>
          </w:tcPr>
          <w:p>
            <w:pPr>
              <w:jc w:val="left"/>
              <w:rPr>
                <w:rFonts w:ascii="Calibri" w:eastAsia="Times New Roman" w:hAnsi="Calibri"/>
                <w:noProof/>
                <w:color w:val="000000"/>
                <w:sz w:val="16"/>
                <w:szCs w:val="16"/>
              </w:rPr>
            </w:pPr>
          </w:p>
        </w:tc>
        <w:tc>
          <w:tcPr>
            <w:tcW w:w="1376" w:type="dxa"/>
          </w:tcPr>
          <w:p>
            <w:pPr>
              <w:jc w:val="left"/>
              <w:rPr>
                <w:rFonts w:ascii="Calibri" w:eastAsia="Times New Roman" w:hAnsi="Calibri"/>
                <w:noProof/>
                <w:color w:val="000000"/>
                <w:sz w:val="16"/>
                <w:szCs w:val="16"/>
              </w:rPr>
            </w:pPr>
          </w:p>
        </w:tc>
        <w:tc>
          <w:tcPr>
            <w:tcW w:w="1317" w:type="dxa"/>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p>
        </w:tc>
      </w:tr>
      <w:tr>
        <w:trPr>
          <w:trHeight w:val="1222"/>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 xml:space="preserve">[Concernant le segment final du transport routier: </w:t>
            </w:r>
            <w:r>
              <w:rPr>
                <w:rFonts w:ascii="Calibri" w:eastAsia="Times New Roman" w:hAnsi="Calibri"/>
                <w:b/>
                <w:bCs/>
                <w:noProof/>
                <w:color w:val="000000"/>
                <w:sz w:val="16"/>
                <w:szCs w:val="16"/>
              </w:rPr>
              <w:br/>
            </w:r>
            <w:r>
              <w:rPr>
                <w:rFonts w:ascii="Calibri" w:hAnsi="Calibri"/>
                <w:b/>
                <w:noProof/>
                <w:color w:val="000000"/>
                <w:sz w:val="16"/>
              </w:rPr>
              <w:t xml:space="preserve">i) le lieu où les marchandises sont enlevées du mode non routier (rail, voie navigable intérieure ou voie maritime); </w:t>
            </w:r>
            <w:r>
              <w:rPr>
                <w:rFonts w:ascii="Calibri" w:eastAsia="Times New Roman" w:hAnsi="Calibri"/>
                <w:b/>
                <w:bCs/>
                <w:noProof/>
                <w:color w:val="000000"/>
                <w:sz w:val="16"/>
                <w:szCs w:val="16"/>
              </w:rPr>
              <w:br/>
            </w:r>
            <w:r>
              <w:rPr>
                <w:rFonts w:ascii="Calibri" w:hAnsi="Calibri"/>
                <w:b/>
                <w:noProof/>
                <w:color w:val="000000"/>
                <w:sz w:val="16"/>
              </w:rPr>
              <w:t>ii) la longueur du segment routier final, à vol d’oiseau, entre le lieu de transbordement et le lieu où s’achève l’opération de transport combiné dans l’Union.]</w:t>
            </w:r>
          </w:p>
        </w:tc>
        <w:tc>
          <w:tcPr>
            <w:tcW w:w="1223"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161"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244" w:type="dxa"/>
          </w:tcPr>
          <w:p>
            <w:pPr>
              <w:jc w:val="left"/>
              <w:rPr>
                <w:rFonts w:ascii="Calibri" w:eastAsia="Times New Roman" w:hAnsi="Calibri"/>
                <w:noProof/>
                <w:color w:val="000000"/>
                <w:sz w:val="16"/>
                <w:szCs w:val="16"/>
              </w:rPr>
            </w:pPr>
            <w:r>
              <w:rPr>
                <w:rFonts w:ascii="Calibri" w:hAnsi="Calibri"/>
                <w:noProof/>
                <w:color w:val="000000"/>
                <w:sz w:val="16"/>
              </w:rPr>
              <w:t>[Article 3.2, point i), qui remplace l’article 3 de la directive 92/106/CEE du Conseil]</w:t>
            </w:r>
          </w:p>
        </w:tc>
        <w:tc>
          <w:tcPr>
            <w:tcW w:w="1084" w:type="dxa"/>
          </w:tcPr>
          <w:p>
            <w:pPr>
              <w:jc w:val="left"/>
              <w:rPr>
                <w:rFonts w:ascii="Calibri" w:eastAsia="Times New Roman" w:hAnsi="Calibri"/>
                <w:noProof/>
                <w:color w:val="000000"/>
                <w:sz w:val="16"/>
                <w:szCs w:val="16"/>
              </w:rPr>
            </w:pPr>
          </w:p>
        </w:tc>
        <w:tc>
          <w:tcPr>
            <w:tcW w:w="1225" w:type="dxa"/>
          </w:tcPr>
          <w:p>
            <w:pPr>
              <w:jc w:val="left"/>
              <w:rPr>
                <w:rFonts w:ascii="Calibri" w:eastAsia="Times New Roman" w:hAnsi="Calibri"/>
                <w:noProof/>
                <w:color w:val="000000"/>
                <w:sz w:val="16"/>
                <w:szCs w:val="16"/>
              </w:rPr>
            </w:pPr>
          </w:p>
        </w:tc>
        <w:tc>
          <w:tcPr>
            <w:tcW w:w="1376" w:type="dxa"/>
          </w:tcPr>
          <w:p>
            <w:pPr>
              <w:jc w:val="left"/>
              <w:rPr>
                <w:rFonts w:ascii="Calibri" w:eastAsia="Times New Roman" w:hAnsi="Calibri"/>
                <w:noProof/>
                <w:color w:val="000000"/>
                <w:sz w:val="16"/>
                <w:szCs w:val="16"/>
              </w:rPr>
            </w:pPr>
          </w:p>
        </w:tc>
        <w:tc>
          <w:tcPr>
            <w:tcW w:w="1317" w:type="dxa"/>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p>
        </w:tc>
      </w:tr>
      <w:tr>
        <w:trPr>
          <w:trHeight w:val="1440"/>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[Concernant le segment non routier:</w:t>
            </w:r>
            <w:r>
              <w:rPr>
                <w:rFonts w:ascii="Calibri" w:eastAsia="Times New Roman" w:hAnsi="Calibri"/>
                <w:b/>
                <w:bCs/>
                <w:noProof/>
                <w:color w:val="000000"/>
                <w:sz w:val="16"/>
                <w:szCs w:val="16"/>
              </w:rPr>
              <w:br/>
            </w:r>
            <w:r>
              <w:rPr>
                <w:rFonts w:ascii="Calibri" w:hAnsi="Calibri"/>
                <w:b/>
                <w:noProof/>
                <w:color w:val="000000"/>
                <w:sz w:val="16"/>
              </w:rPr>
              <w:t>i) une fois le segment non routier terminé, une signature du transporteur (ou des transporteurs si plusieurs modes de transport autres que la route ont été utilisés sur le segment non routier) confirmant que l’opération de transport sur le trajet non routier a été achevée;</w:t>
            </w:r>
            <w:r>
              <w:rPr>
                <w:rFonts w:ascii="Calibri" w:eastAsia="Times New Roman" w:hAnsi="Calibri"/>
                <w:b/>
                <w:bCs/>
                <w:noProof/>
                <w:color w:val="000000"/>
                <w:sz w:val="16"/>
                <w:szCs w:val="16"/>
              </w:rPr>
              <w:br/>
            </w:r>
            <w:r>
              <w:rPr>
                <w:rFonts w:ascii="Calibri" w:hAnsi="Calibri"/>
                <w:b/>
                <w:noProof/>
                <w:color w:val="000000"/>
                <w:sz w:val="16"/>
              </w:rPr>
              <w:t>ii) lorsque c’est possible, une signature ou un cachet des autorités ferroviaires ou portuaires compétentes dans les terminaux (gare ferroviaire ou port) utilisés le long du trajet non routier, confirmant que la partie du segment non routier en question a été achevée.]</w:t>
            </w:r>
          </w:p>
        </w:tc>
        <w:tc>
          <w:tcPr>
            <w:tcW w:w="1223"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161"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244" w:type="dxa"/>
          </w:tcPr>
          <w:p>
            <w:pPr>
              <w:jc w:val="left"/>
              <w:rPr>
                <w:rFonts w:ascii="Calibri" w:eastAsia="Times New Roman" w:hAnsi="Calibri"/>
                <w:noProof/>
                <w:color w:val="000000"/>
                <w:sz w:val="16"/>
                <w:szCs w:val="16"/>
              </w:rPr>
            </w:pPr>
            <w:r>
              <w:rPr>
                <w:rFonts w:ascii="Calibri" w:hAnsi="Calibri"/>
                <w:noProof/>
                <w:color w:val="000000"/>
                <w:sz w:val="16"/>
              </w:rPr>
              <w:t>[Article 3.2, point j), qui remplace l’article 3 de la directive 92/106/CEE du Conseil]</w:t>
            </w:r>
          </w:p>
        </w:tc>
        <w:tc>
          <w:tcPr>
            <w:tcW w:w="1084" w:type="dxa"/>
          </w:tcPr>
          <w:p>
            <w:pPr>
              <w:jc w:val="left"/>
              <w:rPr>
                <w:rFonts w:ascii="Calibri" w:eastAsia="Times New Roman" w:hAnsi="Calibri"/>
                <w:b/>
                <w:bCs/>
                <w:noProof/>
                <w:color w:val="000000"/>
                <w:sz w:val="16"/>
                <w:szCs w:val="16"/>
              </w:rPr>
            </w:pPr>
          </w:p>
        </w:tc>
        <w:tc>
          <w:tcPr>
            <w:tcW w:w="1225" w:type="dxa"/>
          </w:tcPr>
          <w:p>
            <w:pPr>
              <w:jc w:val="left"/>
              <w:rPr>
                <w:rFonts w:ascii="Calibri" w:eastAsia="Times New Roman" w:hAnsi="Calibri"/>
                <w:b/>
                <w:bCs/>
                <w:noProof/>
                <w:color w:val="000000"/>
                <w:sz w:val="16"/>
                <w:szCs w:val="16"/>
              </w:rPr>
            </w:pPr>
          </w:p>
        </w:tc>
        <w:tc>
          <w:tcPr>
            <w:tcW w:w="1376" w:type="dxa"/>
          </w:tcPr>
          <w:p>
            <w:pPr>
              <w:jc w:val="left"/>
              <w:rPr>
                <w:rFonts w:ascii="Calibri" w:eastAsia="Times New Roman" w:hAnsi="Calibri"/>
                <w:noProof/>
                <w:color w:val="000000"/>
                <w:sz w:val="16"/>
                <w:szCs w:val="16"/>
              </w:rPr>
            </w:pPr>
          </w:p>
        </w:tc>
        <w:tc>
          <w:tcPr>
            <w:tcW w:w="1317" w:type="dxa"/>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p>
        </w:tc>
      </w:tr>
      <w:tr>
        <w:trPr>
          <w:trHeight w:val="668"/>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Le nom, l’adresse et la signature de l’expéditeur</w:t>
            </w:r>
          </w:p>
        </w:tc>
        <w:tc>
          <w:tcPr>
            <w:tcW w:w="1223" w:type="dxa"/>
          </w:tcPr>
          <w:p>
            <w:pPr>
              <w:jc w:val="left"/>
              <w:rPr>
                <w:rFonts w:ascii="Calibri" w:eastAsia="Times New Roman" w:hAnsi="Calibri"/>
                <w:noProof/>
                <w:color w:val="000000"/>
                <w:sz w:val="16"/>
                <w:szCs w:val="16"/>
              </w:rPr>
            </w:pPr>
          </w:p>
        </w:tc>
        <w:tc>
          <w:tcPr>
            <w:tcW w:w="1161" w:type="dxa"/>
          </w:tcPr>
          <w:p>
            <w:pPr>
              <w:jc w:val="left"/>
              <w:rPr>
                <w:rFonts w:ascii="Calibri" w:eastAsia="Times New Roman" w:hAnsi="Calibri"/>
                <w:noProof/>
                <w:color w:val="000000"/>
                <w:sz w:val="16"/>
                <w:szCs w:val="16"/>
              </w:rPr>
            </w:pPr>
          </w:p>
        </w:tc>
        <w:tc>
          <w:tcPr>
            <w:tcW w:w="1244" w:type="dxa"/>
          </w:tcPr>
          <w:p>
            <w:pPr>
              <w:jc w:val="left"/>
              <w:rPr>
                <w:rFonts w:ascii="Calibri" w:eastAsia="Times New Roman" w:hAnsi="Calibri"/>
                <w:noProof/>
                <w:color w:val="000000"/>
                <w:sz w:val="16"/>
                <w:szCs w:val="16"/>
              </w:rPr>
            </w:pPr>
          </w:p>
        </w:tc>
        <w:tc>
          <w:tcPr>
            <w:tcW w:w="1084" w:type="dxa"/>
          </w:tcPr>
          <w:p>
            <w:pPr>
              <w:jc w:val="left"/>
              <w:rPr>
                <w:rFonts w:ascii="Calibri" w:eastAsia="Times New Roman" w:hAnsi="Calibri"/>
                <w:noProof/>
                <w:color w:val="000000"/>
                <w:sz w:val="16"/>
                <w:szCs w:val="16"/>
              </w:rPr>
            </w:pPr>
            <w:r>
              <w:rPr>
                <w:rFonts w:ascii="Calibri" w:hAnsi="Calibri"/>
                <w:noProof/>
                <w:color w:val="000000"/>
                <w:sz w:val="16"/>
              </w:rPr>
              <w:t>Article 8.3, point a)</w:t>
            </w:r>
          </w:p>
        </w:tc>
        <w:tc>
          <w:tcPr>
            <w:tcW w:w="1225" w:type="dxa"/>
          </w:tcPr>
          <w:p>
            <w:pPr>
              <w:jc w:val="left"/>
              <w:rPr>
                <w:rFonts w:ascii="Calibri" w:eastAsia="Times New Roman" w:hAnsi="Calibri"/>
                <w:noProof/>
                <w:color w:val="000000"/>
                <w:sz w:val="16"/>
                <w:szCs w:val="16"/>
              </w:rPr>
            </w:pPr>
            <w:r>
              <w:rPr>
                <w:rFonts w:ascii="Calibri" w:hAnsi="Calibri"/>
                <w:noProof/>
                <w:color w:val="000000"/>
                <w:sz w:val="16"/>
              </w:rPr>
              <w:t>[Article 8.3, point a) (aucune modification proposée)]</w:t>
            </w:r>
          </w:p>
        </w:tc>
        <w:tc>
          <w:tcPr>
            <w:tcW w:w="137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317"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289" w:type="dxa"/>
          </w:tcPr>
          <w:p>
            <w:pPr>
              <w:jc w:val="left"/>
              <w:rPr>
                <w:rFonts w:ascii="Calibri" w:eastAsia="Times New Roman" w:hAnsi="Calibri"/>
                <w:noProof/>
                <w:color w:val="000000"/>
                <w:sz w:val="16"/>
                <w:szCs w:val="16"/>
              </w:rPr>
            </w:pPr>
          </w:p>
        </w:tc>
      </w:tr>
      <w:tr>
        <w:trPr>
          <w:trHeight w:val="706"/>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Le nom, l’adresse et la signature du transporteur</w:t>
            </w:r>
          </w:p>
        </w:tc>
        <w:tc>
          <w:tcPr>
            <w:tcW w:w="1223" w:type="dxa"/>
          </w:tcPr>
          <w:p>
            <w:pPr>
              <w:jc w:val="left"/>
              <w:rPr>
                <w:rFonts w:ascii="Calibri" w:eastAsia="Times New Roman" w:hAnsi="Calibri"/>
                <w:noProof/>
                <w:color w:val="000000"/>
                <w:sz w:val="16"/>
                <w:szCs w:val="16"/>
              </w:rPr>
            </w:pPr>
          </w:p>
        </w:tc>
        <w:tc>
          <w:tcPr>
            <w:tcW w:w="1161" w:type="dxa"/>
          </w:tcPr>
          <w:p>
            <w:pPr>
              <w:jc w:val="left"/>
              <w:rPr>
                <w:rFonts w:ascii="Calibri" w:eastAsia="Times New Roman" w:hAnsi="Calibri"/>
                <w:noProof/>
                <w:color w:val="000000"/>
                <w:sz w:val="16"/>
                <w:szCs w:val="16"/>
              </w:rPr>
            </w:pPr>
          </w:p>
        </w:tc>
        <w:tc>
          <w:tcPr>
            <w:tcW w:w="1244" w:type="dxa"/>
          </w:tcPr>
          <w:p>
            <w:pPr>
              <w:jc w:val="left"/>
              <w:rPr>
                <w:rFonts w:ascii="Calibri" w:eastAsia="Times New Roman" w:hAnsi="Calibri"/>
                <w:noProof/>
                <w:color w:val="000000"/>
                <w:sz w:val="16"/>
                <w:szCs w:val="16"/>
              </w:rPr>
            </w:pPr>
          </w:p>
        </w:tc>
        <w:tc>
          <w:tcPr>
            <w:tcW w:w="1084" w:type="dxa"/>
          </w:tcPr>
          <w:p>
            <w:pPr>
              <w:jc w:val="left"/>
              <w:rPr>
                <w:rFonts w:ascii="Calibri" w:eastAsia="Times New Roman" w:hAnsi="Calibri"/>
                <w:noProof/>
                <w:color w:val="000000"/>
                <w:sz w:val="16"/>
                <w:szCs w:val="16"/>
              </w:rPr>
            </w:pPr>
            <w:r>
              <w:rPr>
                <w:rFonts w:ascii="Calibri" w:hAnsi="Calibri"/>
                <w:noProof/>
                <w:color w:val="000000"/>
                <w:sz w:val="16"/>
              </w:rPr>
              <w:t>Article 8.3, point b)</w:t>
            </w:r>
          </w:p>
        </w:tc>
        <w:tc>
          <w:tcPr>
            <w:tcW w:w="1225" w:type="dxa"/>
          </w:tcPr>
          <w:p>
            <w:pPr>
              <w:jc w:val="left"/>
              <w:rPr>
                <w:rFonts w:ascii="Calibri" w:eastAsia="Times New Roman" w:hAnsi="Calibri"/>
                <w:noProof/>
                <w:color w:val="000000"/>
                <w:sz w:val="16"/>
                <w:szCs w:val="16"/>
              </w:rPr>
            </w:pPr>
            <w:r>
              <w:rPr>
                <w:rFonts w:ascii="Calibri" w:hAnsi="Calibri"/>
                <w:noProof/>
                <w:color w:val="000000"/>
                <w:sz w:val="16"/>
              </w:rPr>
              <w:t>[Article 8.3, point b) (aucune modification proposée)]</w:t>
            </w:r>
          </w:p>
        </w:tc>
        <w:tc>
          <w:tcPr>
            <w:tcW w:w="137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317"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289" w:type="dxa"/>
          </w:tcPr>
          <w:p>
            <w:pPr>
              <w:jc w:val="left"/>
              <w:rPr>
                <w:rFonts w:ascii="Calibri" w:eastAsia="Times New Roman" w:hAnsi="Calibri"/>
                <w:noProof/>
                <w:color w:val="000000"/>
                <w:sz w:val="16"/>
                <w:szCs w:val="16"/>
              </w:rPr>
            </w:pPr>
          </w:p>
        </w:tc>
      </w:tr>
      <w:tr>
        <w:trPr>
          <w:trHeight w:val="701"/>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Le nom et l’adresse du destinataire, ainsi que sa signature et la date de livraison une fois les marchandises livrées</w:t>
            </w:r>
          </w:p>
        </w:tc>
        <w:tc>
          <w:tcPr>
            <w:tcW w:w="1223" w:type="dxa"/>
          </w:tcPr>
          <w:p>
            <w:pPr>
              <w:jc w:val="left"/>
              <w:rPr>
                <w:rFonts w:ascii="Calibri" w:eastAsia="Times New Roman" w:hAnsi="Calibri"/>
                <w:noProof/>
                <w:color w:val="000000"/>
                <w:sz w:val="16"/>
                <w:szCs w:val="16"/>
              </w:rPr>
            </w:pPr>
          </w:p>
        </w:tc>
        <w:tc>
          <w:tcPr>
            <w:tcW w:w="1161" w:type="dxa"/>
          </w:tcPr>
          <w:p>
            <w:pPr>
              <w:jc w:val="left"/>
              <w:rPr>
                <w:rFonts w:ascii="Calibri" w:eastAsia="Times New Roman" w:hAnsi="Calibri"/>
                <w:noProof/>
                <w:color w:val="000000"/>
                <w:sz w:val="16"/>
                <w:szCs w:val="16"/>
              </w:rPr>
            </w:pPr>
          </w:p>
        </w:tc>
        <w:tc>
          <w:tcPr>
            <w:tcW w:w="1244" w:type="dxa"/>
          </w:tcPr>
          <w:p>
            <w:pPr>
              <w:jc w:val="left"/>
              <w:rPr>
                <w:rFonts w:ascii="Calibri" w:eastAsia="Times New Roman" w:hAnsi="Calibri"/>
                <w:noProof/>
                <w:color w:val="000000"/>
                <w:sz w:val="16"/>
                <w:szCs w:val="16"/>
              </w:rPr>
            </w:pPr>
          </w:p>
        </w:tc>
        <w:tc>
          <w:tcPr>
            <w:tcW w:w="1084" w:type="dxa"/>
          </w:tcPr>
          <w:p>
            <w:pPr>
              <w:jc w:val="left"/>
              <w:rPr>
                <w:rFonts w:ascii="Calibri" w:eastAsia="Times New Roman" w:hAnsi="Calibri"/>
                <w:noProof/>
                <w:color w:val="000000"/>
                <w:sz w:val="16"/>
                <w:szCs w:val="16"/>
              </w:rPr>
            </w:pPr>
            <w:r>
              <w:rPr>
                <w:rFonts w:ascii="Calibri" w:hAnsi="Calibri"/>
                <w:noProof/>
                <w:color w:val="000000"/>
                <w:sz w:val="16"/>
              </w:rPr>
              <w:t>Article 8.3, point c)</w:t>
            </w:r>
          </w:p>
        </w:tc>
        <w:tc>
          <w:tcPr>
            <w:tcW w:w="1225" w:type="dxa"/>
          </w:tcPr>
          <w:p>
            <w:pPr>
              <w:jc w:val="left"/>
              <w:rPr>
                <w:rFonts w:ascii="Calibri" w:eastAsia="Times New Roman" w:hAnsi="Calibri"/>
                <w:noProof/>
                <w:color w:val="000000"/>
                <w:sz w:val="16"/>
                <w:szCs w:val="16"/>
              </w:rPr>
            </w:pPr>
            <w:r>
              <w:rPr>
                <w:rFonts w:ascii="Calibri" w:hAnsi="Calibri"/>
                <w:noProof/>
                <w:color w:val="000000"/>
                <w:sz w:val="16"/>
              </w:rPr>
              <w:t>[Article 8.3, point c) (aucune modification proposée)]</w:t>
            </w:r>
          </w:p>
        </w:tc>
        <w:tc>
          <w:tcPr>
            <w:tcW w:w="1376" w:type="dxa"/>
          </w:tcPr>
          <w:p>
            <w:pPr>
              <w:jc w:val="left"/>
              <w:rPr>
                <w:rFonts w:ascii="Calibri" w:eastAsia="Times New Roman" w:hAnsi="Calibri"/>
                <w:noProof/>
                <w:color w:val="000000"/>
                <w:sz w:val="16"/>
                <w:szCs w:val="16"/>
              </w:rPr>
            </w:pPr>
          </w:p>
        </w:tc>
        <w:tc>
          <w:tcPr>
            <w:tcW w:w="1317" w:type="dxa"/>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p>
        </w:tc>
      </w:tr>
      <w:tr>
        <w:trPr>
          <w:trHeight w:val="697"/>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Le lieu et la date de prise en charge des marchandises et le lieu prévu pour la livraison</w:t>
            </w:r>
          </w:p>
        </w:tc>
        <w:tc>
          <w:tcPr>
            <w:tcW w:w="1223" w:type="dxa"/>
          </w:tcPr>
          <w:p>
            <w:pPr>
              <w:jc w:val="left"/>
              <w:rPr>
                <w:rFonts w:ascii="Calibri" w:eastAsia="Times New Roman" w:hAnsi="Calibri"/>
                <w:noProof/>
                <w:color w:val="000000"/>
                <w:sz w:val="16"/>
                <w:szCs w:val="16"/>
              </w:rPr>
            </w:pPr>
          </w:p>
        </w:tc>
        <w:tc>
          <w:tcPr>
            <w:tcW w:w="1161" w:type="dxa"/>
          </w:tcPr>
          <w:p>
            <w:pPr>
              <w:jc w:val="left"/>
              <w:rPr>
                <w:rFonts w:ascii="Calibri" w:eastAsia="Times New Roman" w:hAnsi="Calibri"/>
                <w:noProof/>
                <w:color w:val="000000"/>
                <w:sz w:val="16"/>
                <w:szCs w:val="16"/>
              </w:rPr>
            </w:pPr>
          </w:p>
        </w:tc>
        <w:tc>
          <w:tcPr>
            <w:tcW w:w="1244" w:type="dxa"/>
          </w:tcPr>
          <w:p>
            <w:pPr>
              <w:jc w:val="left"/>
              <w:rPr>
                <w:rFonts w:ascii="Calibri" w:eastAsia="Times New Roman" w:hAnsi="Calibri"/>
                <w:noProof/>
                <w:color w:val="000000"/>
                <w:sz w:val="16"/>
                <w:szCs w:val="16"/>
              </w:rPr>
            </w:pPr>
          </w:p>
        </w:tc>
        <w:tc>
          <w:tcPr>
            <w:tcW w:w="1084" w:type="dxa"/>
          </w:tcPr>
          <w:p>
            <w:pPr>
              <w:jc w:val="left"/>
              <w:rPr>
                <w:rFonts w:ascii="Calibri" w:eastAsia="Times New Roman" w:hAnsi="Calibri"/>
                <w:noProof/>
                <w:color w:val="000000"/>
                <w:sz w:val="16"/>
                <w:szCs w:val="16"/>
              </w:rPr>
            </w:pPr>
            <w:r>
              <w:rPr>
                <w:rFonts w:ascii="Calibri" w:hAnsi="Calibri"/>
                <w:noProof/>
                <w:color w:val="000000"/>
                <w:sz w:val="16"/>
              </w:rPr>
              <w:t>Article 8.3, point d)</w:t>
            </w:r>
          </w:p>
        </w:tc>
        <w:tc>
          <w:tcPr>
            <w:tcW w:w="1225" w:type="dxa"/>
          </w:tcPr>
          <w:p>
            <w:pPr>
              <w:jc w:val="left"/>
              <w:rPr>
                <w:rFonts w:ascii="Calibri" w:eastAsia="Times New Roman" w:hAnsi="Calibri"/>
                <w:noProof/>
                <w:color w:val="000000"/>
                <w:sz w:val="16"/>
                <w:szCs w:val="16"/>
              </w:rPr>
            </w:pPr>
            <w:r>
              <w:rPr>
                <w:rFonts w:ascii="Calibri" w:hAnsi="Calibri"/>
                <w:noProof/>
                <w:color w:val="000000"/>
                <w:sz w:val="16"/>
              </w:rPr>
              <w:t>[Article 8.3, point d) (aucune modification proposée)]</w:t>
            </w:r>
          </w:p>
        </w:tc>
        <w:tc>
          <w:tcPr>
            <w:tcW w:w="1376" w:type="dxa"/>
          </w:tcPr>
          <w:p>
            <w:pPr>
              <w:jc w:val="left"/>
              <w:rPr>
                <w:rFonts w:ascii="Calibri" w:eastAsia="Times New Roman" w:hAnsi="Calibri"/>
                <w:noProof/>
                <w:color w:val="000000"/>
                <w:sz w:val="16"/>
                <w:szCs w:val="16"/>
              </w:rPr>
            </w:pPr>
          </w:p>
        </w:tc>
        <w:tc>
          <w:tcPr>
            <w:tcW w:w="1317" w:type="dxa"/>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p>
        </w:tc>
      </w:tr>
      <w:tr>
        <w:trPr>
          <w:trHeight w:val="883"/>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La dénomination courante de la nature des marchandises et le mode d’emballage et, pour les marchandises dangereuses, leur dénomination généralement reconnue ainsi que le nombre de colis, leurs marques particulières et leurs numéros</w:t>
            </w:r>
          </w:p>
        </w:tc>
        <w:tc>
          <w:tcPr>
            <w:tcW w:w="1223" w:type="dxa"/>
          </w:tcPr>
          <w:p>
            <w:pPr>
              <w:jc w:val="left"/>
              <w:rPr>
                <w:rFonts w:ascii="Calibri" w:eastAsia="Times New Roman" w:hAnsi="Calibri"/>
                <w:noProof/>
                <w:color w:val="000000"/>
                <w:sz w:val="16"/>
                <w:szCs w:val="16"/>
              </w:rPr>
            </w:pPr>
          </w:p>
        </w:tc>
        <w:tc>
          <w:tcPr>
            <w:tcW w:w="1161" w:type="dxa"/>
          </w:tcPr>
          <w:p>
            <w:pPr>
              <w:jc w:val="left"/>
              <w:rPr>
                <w:rFonts w:ascii="Calibri" w:eastAsia="Times New Roman" w:hAnsi="Calibri"/>
                <w:noProof/>
                <w:color w:val="000000"/>
                <w:sz w:val="16"/>
                <w:szCs w:val="16"/>
              </w:rPr>
            </w:pPr>
          </w:p>
        </w:tc>
        <w:tc>
          <w:tcPr>
            <w:tcW w:w="1244" w:type="dxa"/>
          </w:tcPr>
          <w:p>
            <w:pPr>
              <w:jc w:val="left"/>
              <w:rPr>
                <w:rFonts w:ascii="Calibri" w:eastAsia="Times New Roman" w:hAnsi="Calibri"/>
                <w:noProof/>
                <w:color w:val="000000"/>
                <w:sz w:val="16"/>
                <w:szCs w:val="16"/>
              </w:rPr>
            </w:pPr>
          </w:p>
        </w:tc>
        <w:tc>
          <w:tcPr>
            <w:tcW w:w="1084" w:type="dxa"/>
          </w:tcPr>
          <w:p>
            <w:pPr>
              <w:jc w:val="left"/>
              <w:rPr>
                <w:rFonts w:ascii="Calibri" w:eastAsia="Times New Roman" w:hAnsi="Calibri"/>
                <w:noProof/>
                <w:color w:val="000000"/>
                <w:sz w:val="16"/>
                <w:szCs w:val="16"/>
              </w:rPr>
            </w:pPr>
            <w:r>
              <w:rPr>
                <w:rFonts w:ascii="Calibri" w:hAnsi="Calibri"/>
                <w:noProof/>
                <w:color w:val="000000"/>
                <w:sz w:val="16"/>
              </w:rPr>
              <w:t>Article 8.3, point e)</w:t>
            </w:r>
          </w:p>
        </w:tc>
        <w:tc>
          <w:tcPr>
            <w:tcW w:w="1225" w:type="dxa"/>
          </w:tcPr>
          <w:p>
            <w:pPr>
              <w:jc w:val="left"/>
              <w:rPr>
                <w:rFonts w:ascii="Calibri" w:eastAsia="Times New Roman" w:hAnsi="Calibri"/>
                <w:noProof/>
                <w:color w:val="000000"/>
                <w:sz w:val="16"/>
                <w:szCs w:val="16"/>
              </w:rPr>
            </w:pPr>
            <w:r>
              <w:rPr>
                <w:rFonts w:ascii="Calibri" w:hAnsi="Calibri"/>
                <w:noProof/>
                <w:color w:val="000000"/>
                <w:sz w:val="16"/>
              </w:rPr>
              <w:t>[Article 8.3, point e) (aucune modification proposée)]</w:t>
            </w:r>
          </w:p>
        </w:tc>
        <w:tc>
          <w:tcPr>
            <w:tcW w:w="137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317" w:type="dxa"/>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p>
        </w:tc>
      </w:tr>
      <w:tr>
        <w:trPr>
          <w:trHeight w:val="663"/>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La masse brute des marchandises ou leur quantité exprimée d’une autre manière</w:t>
            </w:r>
          </w:p>
        </w:tc>
        <w:tc>
          <w:tcPr>
            <w:tcW w:w="1223" w:type="dxa"/>
          </w:tcPr>
          <w:p>
            <w:pPr>
              <w:jc w:val="left"/>
              <w:rPr>
                <w:rFonts w:ascii="Calibri" w:eastAsia="Times New Roman" w:hAnsi="Calibri"/>
                <w:noProof/>
                <w:color w:val="000000"/>
                <w:sz w:val="16"/>
                <w:szCs w:val="16"/>
              </w:rPr>
            </w:pPr>
          </w:p>
        </w:tc>
        <w:tc>
          <w:tcPr>
            <w:tcW w:w="1161" w:type="dxa"/>
          </w:tcPr>
          <w:p>
            <w:pPr>
              <w:jc w:val="left"/>
              <w:rPr>
                <w:rFonts w:ascii="Calibri" w:eastAsia="Times New Roman" w:hAnsi="Calibri"/>
                <w:noProof/>
                <w:color w:val="000000"/>
                <w:sz w:val="16"/>
                <w:szCs w:val="16"/>
              </w:rPr>
            </w:pPr>
          </w:p>
        </w:tc>
        <w:tc>
          <w:tcPr>
            <w:tcW w:w="1244" w:type="dxa"/>
          </w:tcPr>
          <w:p>
            <w:pPr>
              <w:jc w:val="left"/>
              <w:rPr>
                <w:rFonts w:ascii="Calibri" w:eastAsia="Times New Roman" w:hAnsi="Calibri"/>
                <w:noProof/>
                <w:color w:val="000000"/>
                <w:sz w:val="16"/>
                <w:szCs w:val="16"/>
              </w:rPr>
            </w:pPr>
          </w:p>
        </w:tc>
        <w:tc>
          <w:tcPr>
            <w:tcW w:w="1084" w:type="dxa"/>
          </w:tcPr>
          <w:p>
            <w:pPr>
              <w:jc w:val="left"/>
              <w:rPr>
                <w:rFonts w:ascii="Calibri" w:eastAsia="Times New Roman" w:hAnsi="Calibri"/>
                <w:noProof/>
                <w:color w:val="000000"/>
                <w:sz w:val="16"/>
                <w:szCs w:val="16"/>
              </w:rPr>
            </w:pPr>
            <w:r>
              <w:rPr>
                <w:rFonts w:ascii="Calibri" w:hAnsi="Calibri"/>
                <w:noProof/>
                <w:color w:val="000000"/>
                <w:sz w:val="16"/>
              </w:rPr>
              <w:t>Article 8.3, point f)</w:t>
            </w:r>
          </w:p>
        </w:tc>
        <w:tc>
          <w:tcPr>
            <w:tcW w:w="1225" w:type="dxa"/>
          </w:tcPr>
          <w:p>
            <w:pPr>
              <w:jc w:val="left"/>
              <w:rPr>
                <w:rFonts w:ascii="Calibri" w:eastAsia="Times New Roman" w:hAnsi="Calibri"/>
                <w:noProof/>
                <w:color w:val="000000"/>
                <w:sz w:val="16"/>
                <w:szCs w:val="16"/>
              </w:rPr>
            </w:pPr>
            <w:r>
              <w:rPr>
                <w:rFonts w:ascii="Calibri" w:hAnsi="Calibri"/>
                <w:noProof/>
                <w:color w:val="000000"/>
                <w:sz w:val="16"/>
              </w:rPr>
              <w:t>[Article 8.3, point f) (aucune modification proposée)]</w:t>
            </w:r>
          </w:p>
        </w:tc>
        <w:tc>
          <w:tcPr>
            <w:tcW w:w="137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317" w:type="dxa"/>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p>
        </w:tc>
      </w:tr>
      <w:tr>
        <w:trPr>
          <w:trHeight w:val="687"/>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Les plaques d’immatriculation du véhicule à moteur et de la remorque</w:t>
            </w:r>
          </w:p>
        </w:tc>
        <w:tc>
          <w:tcPr>
            <w:tcW w:w="1223" w:type="dxa"/>
          </w:tcPr>
          <w:p>
            <w:pPr>
              <w:jc w:val="left"/>
              <w:rPr>
                <w:rFonts w:ascii="Calibri" w:eastAsia="Times New Roman" w:hAnsi="Calibri"/>
                <w:noProof/>
                <w:color w:val="000000"/>
                <w:sz w:val="16"/>
                <w:szCs w:val="16"/>
              </w:rPr>
            </w:pPr>
          </w:p>
        </w:tc>
        <w:tc>
          <w:tcPr>
            <w:tcW w:w="1161" w:type="dxa"/>
          </w:tcPr>
          <w:p>
            <w:pPr>
              <w:jc w:val="left"/>
              <w:rPr>
                <w:rFonts w:ascii="Calibri" w:eastAsia="Times New Roman" w:hAnsi="Calibri"/>
                <w:noProof/>
                <w:color w:val="000000"/>
                <w:sz w:val="16"/>
                <w:szCs w:val="16"/>
              </w:rPr>
            </w:pPr>
          </w:p>
        </w:tc>
        <w:tc>
          <w:tcPr>
            <w:tcW w:w="1244" w:type="dxa"/>
          </w:tcPr>
          <w:p>
            <w:pPr>
              <w:jc w:val="left"/>
              <w:rPr>
                <w:rFonts w:ascii="Calibri" w:eastAsia="Times New Roman" w:hAnsi="Calibri"/>
                <w:noProof/>
                <w:color w:val="000000"/>
                <w:sz w:val="16"/>
                <w:szCs w:val="16"/>
              </w:rPr>
            </w:pPr>
          </w:p>
        </w:tc>
        <w:tc>
          <w:tcPr>
            <w:tcW w:w="1084" w:type="dxa"/>
          </w:tcPr>
          <w:p>
            <w:pPr>
              <w:jc w:val="left"/>
              <w:rPr>
                <w:rFonts w:ascii="Calibri" w:eastAsia="Times New Roman" w:hAnsi="Calibri"/>
                <w:noProof/>
                <w:color w:val="000000"/>
                <w:sz w:val="16"/>
                <w:szCs w:val="16"/>
              </w:rPr>
            </w:pPr>
            <w:r>
              <w:rPr>
                <w:rFonts w:ascii="Calibri" w:hAnsi="Calibri"/>
                <w:noProof/>
                <w:color w:val="000000"/>
                <w:sz w:val="16"/>
              </w:rPr>
              <w:t>Article 8.3, point g)</w:t>
            </w:r>
          </w:p>
        </w:tc>
        <w:tc>
          <w:tcPr>
            <w:tcW w:w="1225" w:type="dxa"/>
          </w:tcPr>
          <w:p>
            <w:pPr>
              <w:jc w:val="left"/>
              <w:rPr>
                <w:rFonts w:ascii="Calibri" w:eastAsia="Times New Roman" w:hAnsi="Calibri"/>
                <w:noProof/>
                <w:color w:val="000000"/>
                <w:sz w:val="16"/>
                <w:szCs w:val="16"/>
              </w:rPr>
            </w:pPr>
            <w:r>
              <w:rPr>
                <w:rFonts w:ascii="Calibri" w:hAnsi="Calibri"/>
                <w:noProof/>
                <w:color w:val="000000"/>
                <w:sz w:val="16"/>
              </w:rPr>
              <w:t>[Article 8.3, point g) (aucune modification proposée)]</w:t>
            </w:r>
          </w:p>
        </w:tc>
        <w:tc>
          <w:tcPr>
            <w:tcW w:w="137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317" w:type="dxa"/>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p>
        </w:tc>
      </w:tr>
      <w:tr>
        <w:trPr>
          <w:trHeight w:val="687"/>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L’identifiant alphanumérique unique de l’agent habilité tel qu’obtenu auprès de l’autorité compétente</w:t>
            </w:r>
          </w:p>
        </w:tc>
        <w:tc>
          <w:tcPr>
            <w:tcW w:w="1223" w:type="dxa"/>
          </w:tcPr>
          <w:p>
            <w:pPr>
              <w:jc w:val="left"/>
              <w:rPr>
                <w:rFonts w:ascii="Calibri" w:eastAsia="Times New Roman" w:hAnsi="Calibri"/>
                <w:noProof/>
                <w:color w:val="000000"/>
                <w:sz w:val="16"/>
                <w:szCs w:val="16"/>
              </w:rPr>
            </w:pPr>
          </w:p>
        </w:tc>
        <w:tc>
          <w:tcPr>
            <w:tcW w:w="1161" w:type="dxa"/>
          </w:tcPr>
          <w:p>
            <w:pPr>
              <w:jc w:val="left"/>
              <w:rPr>
                <w:rFonts w:ascii="Calibri" w:eastAsia="Times New Roman" w:hAnsi="Calibri"/>
                <w:noProof/>
                <w:color w:val="000000"/>
                <w:sz w:val="16"/>
                <w:szCs w:val="16"/>
              </w:rPr>
            </w:pPr>
          </w:p>
        </w:tc>
        <w:tc>
          <w:tcPr>
            <w:tcW w:w="1244" w:type="dxa"/>
          </w:tcPr>
          <w:p>
            <w:pPr>
              <w:jc w:val="left"/>
              <w:rPr>
                <w:rFonts w:ascii="Calibri" w:eastAsia="Times New Roman" w:hAnsi="Calibri"/>
                <w:noProof/>
                <w:color w:val="000000"/>
                <w:sz w:val="16"/>
                <w:szCs w:val="16"/>
              </w:rPr>
            </w:pPr>
          </w:p>
        </w:tc>
        <w:tc>
          <w:tcPr>
            <w:tcW w:w="1084" w:type="dxa"/>
          </w:tcPr>
          <w:p>
            <w:pPr>
              <w:jc w:val="left"/>
              <w:rPr>
                <w:rFonts w:ascii="Calibri" w:eastAsia="Times New Roman" w:hAnsi="Calibri"/>
                <w:noProof/>
                <w:color w:val="000000"/>
                <w:sz w:val="16"/>
                <w:szCs w:val="16"/>
              </w:rPr>
            </w:pPr>
          </w:p>
        </w:tc>
        <w:tc>
          <w:tcPr>
            <w:tcW w:w="1225" w:type="dxa"/>
          </w:tcPr>
          <w:p>
            <w:pPr>
              <w:jc w:val="left"/>
              <w:rPr>
                <w:rFonts w:ascii="Calibri" w:eastAsia="Times New Roman" w:hAnsi="Calibri"/>
                <w:noProof/>
                <w:color w:val="000000"/>
                <w:sz w:val="16"/>
                <w:szCs w:val="16"/>
              </w:rPr>
            </w:pPr>
          </w:p>
        </w:tc>
        <w:tc>
          <w:tcPr>
            <w:tcW w:w="1376" w:type="dxa"/>
          </w:tcPr>
          <w:p>
            <w:pPr>
              <w:jc w:val="left"/>
              <w:rPr>
                <w:rFonts w:ascii="Calibri" w:eastAsia="Times New Roman" w:hAnsi="Calibri"/>
                <w:noProof/>
                <w:color w:val="000000"/>
                <w:sz w:val="16"/>
                <w:szCs w:val="16"/>
              </w:rPr>
            </w:pPr>
            <w:r>
              <w:rPr>
                <w:rFonts w:ascii="Calibri" w:hAnsi="Calibri"/>
                <w:noProof/>
                <w:color w:val="000000"/>
                <w:sz w:val="16"/>
              </w:rPr>
              <w:t>Annexe 6.3.2.6, point a)</w:t>
            </w:r>
          </w:p>
        </w:tc>
        <w:tc>
          <w:tcPr>
            <w:tcW w:w="1317" w:type="dxa"/>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p>
        </w:tc>
      </w:tr>
      <w:tr>
        <w:trPr>
          <w:trHeight w:val="458"/>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Un identifiant unique pour l'envoi, tel que le numéro de la lettre de transport aérien (mère ou fille — house ou Master airway bill);</w:t>
            </w:r>
          </w:p>
        </w:tc>
        <w:tc>
          <w:tcPr>
            <w:tcW w:w="1223"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161"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244"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084"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225"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376" w:type="dxa"/>
          </w:tcPr>
          <w:p>
            <w:pPr>
              <w:jc w:val="left"/>
              <w:rPr>
                <w:rFonts w:ascii="Calibri" w:eastAsia="Times New Roman" w:hAnsi="Calibri"/>
                <w:noProof/>
                <w:color w:val="000000"/>
                <w:sz w:val="16"/>
                <w:szCs w:val="16"/>
              </w:rPr>
            </w:pPr>
            <w:r>
              <w:rPr>
                <w:rFonts w:ascii="Calibri" w:hAnsi="Calibri"/>
                <w:noProof/>
                <w:color w:val="000000"/>
                <w:sz w:val="16"/>
              </w:rPr>
              <w:t>Annexe 6.3.2.6, point b)</w:t>
            </w:r>
          </w:p>
        </w:tc>
        <w:tc>
          <w:tcPr>
            <w:tcW w:w="1317" w:type="dxa"/>
          </w:tcPr>
          <w:p>
            <w:pPr>
              <w:jc w:val="left"/>
              <w:rPr>
                <w:rFonts w:ascii="Calibri" w:eastAsia="Times New Roman" w:hAnsi="Calibri"/>
                <w:b/>
                <w:bCs/>
                <w:noProof/>
                <w:color w:val="000000"/>
                <w:sz w:val="16"/>
                <w:szCs w:val="16"/>
              </w:rPr>
            </w:pPr>
          </w:p>
        </w:tc>
        <w:tc>
          <w:tcPr>
            <w:tcW w:w="1289" w:type="dxa"/>
          </w:tcPr>
          <w:p>
            <w:pPr>
              <w:jc w:val="left"/>
              <w:rPr>
                <w:rFonts w:ascii="Calibri" w:eastAsia="Times New Roman" w:hAnsi="Calibri"/>
                <w:b/>
                <w:bCs/>
                <w:noProof/>
                <w:color w:val="000000"/>
                <w:sz w:val="16"/>
                <w:szCs w:val="16"/>
              </w:rPr>
            </w:pPr>
          </w:p>
        </w:tc>
      </w:tr>
      <w:tr>
        <w:trPr>
          <w:trHeight w:val="280"/>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 xml:space="preserve">Le contenu de l’envoi (**) </w:t>
            </w:r>
          </w:p>
        </w:tc>
        <w:tc>
          <w:tcPr>
            <w:tcW w:w="1223"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161"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244"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084"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225"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1376" w:type="dxa"/>
          </w:tcPr>
          <w:p>
            <w:pPr>
              <w:jc w:val="left"/>
              <w:rPr>
                <w:rFonts w:ascii="Calibri" w:eastAsia="Times New Roman" w:hAnsi="Calibri"/>
                <w:noProof/>
                <w:color w:val="000000"/>
                <w:sz w:val="16"/>
                <w:szCs w:val="16"/>
              </w:rPr>
            </w:pPr>
            <w:r>
              <w:rPr>
                <w:rFonts w:ascii="Calibri" w:hAnsi="Calibri"/>
                <w:noProof/>
                <w:color w:val="000000"/>
                <w:sz w:val="16"/>
              </w:rPr>
              <w:t>Annexe 6.3.2.6, point c)</w:t>
            </w:r>
          </w:p>
        </w:tc>
        <w:tc>
          <w:tcPr>
            <w:tcW w:w="1317" w:type="dxa"/>
          </w:tcPr>
          <w:p>
            <w:pPr>
              <w:jc w:val="left"/>
              <w:rPr>
                <w:rFonts w:ascii="Calibri" w:eastAsia="Times New Roman" w:hAnsi="Calibri"/>
                <w:b/>
                <w:bCs/>
                <w:noProof/>
                <w:color w:val="000000"/>
                <w:sz w:val="16"/>
                <w:szCs w:val="16"/>
              </w:rPr>
            </w:pPr>
          </w:p>
        </w:tc>
        <w:tc>
          <w:tcPr>
            <w:tcW w:w="1289" w:type="dxa"/>
          </w:tcPr>
          <w:p>
            <w:pPr>
              <w:jc w:val="left"/>
              <w:rPr>
                <w:rFonts w:ascii="Calibri" w:eastAsia="Times New Roman" w:hAnsi="Calibri"/>
                <w:b/>
                <w:bCs/>
                <w:noProof/>
                <w:color w:val="000000"/>
                <w:sz w:val="16"/>
                <w:szCs w:val="16"/>
              </w:rPr>
            </w:pPr>
          </w:p>
        </w:tc>
      </w:tr>
      <w:tr>
        <w:trPr>
          <w:trHeight w:val="280"/>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 xml:space="preserve">Le statut de sûreté attribué à l'envoi, au moyen d'un des sigles suivants: </w:t>
            </w:r>
            <w:r>
              <w:rPr>
                <w:rFonts w:ascii="Calibri" w:eastAsia="Times New Roman" w:hAnsi="Calibri"/>
                <w:b/>
                <w:bCs/>
                <w:noProof/>
                <w:color w:val="000000"/>
                <w:sz w:val="16"/>
                <w:szCs w:val="16"/>
              </w:rPr>
              <w:br/>
            </w:r>
            <w:r>
              <w:rPr>
                <w:rFonts w:ascii="Calibri" w:hAnsi="Calibri"/>
                <w:b/>
                <w:noProof/>
                <w:color w:val="000000"/>
                <w:sz w:val="16"/>
              </w:rPr>
              <w:t>- «SPX», signifiant que l'envoi est sécurisé pour être transporté par des aéronefs affectés au transport de passagers, des aéronefs tout-cargo et des aéronefs tout-courrier, ou</w:t>
            </w:r>
            <w:r>
              <w:rPr>
                <w:rFonts w:ascii="Calibri" w:eastAsia="Times New Roman" w:hAnsi="Calibri"/>
                <w:b/>
                <w:bCs/>
                <w:noProof/>
                <w:color w:val="000000"/>
                <w:sz w:val="16"/>
                <w:szCs w:val="16"/>
              </w:rPr>
              <w:br/>
            </w:r>
            <w:r>
              <w:rPr>
                <w:rFonts w:ascii="Calibri" w:hAnsi="Calibri"/>
                <w:b/>
                <w:noProof/>
                <w:color w:val="000000"/>
                <w:sz w:val="16"/>
              </w:rPr>
              <w:t>- «SCO», signifiant que l'envoi est sécurisé pour être transporté par des aéronefs tout-cargo et des aéronefs tout-courrier seulement, ou</w:t>
            </w:r>
            <w:r>
              <w:rPr>
                <w:rFonts w:ascii="Calibri" w:eastAsia="Times New Roman" w:hAnsi="Calibri"/>
                <w:b/>
                <w:bCs/>
                <w:noProof/>
                <w:color w:val="000000"/>
                <w:sz w:val="16"/>
                <w:szCs w:val="16"/>
              </w:rPr>
              <w:br/>
            </w:r>
            <w:r>
              <w:rPr>
                <w:rFonts w:ascii="Calibri" w:hAnsi="Calibri"/>
                <w:b/>
                <w:noProof/>
                <w:color w:val="000000"/>
                <w:sz w:val="16"/>
              </w:rPr>
              <w:t>- «SHR», signifiant que l'envoi est sécurisé pour être transporté par des aéronefs affectés au transport de passagers, des aéronefs tout-cargo et des aéronefs tout-courrier dans le respect des exigences relatives au fret ou au courrier à haut risque)</w:t>
            </w:r>
          </w:p>
        </w:tc>
        <w:tc>
          <w:tcPr>
            <w:tcW w:w="1223" w:type="dxa"/>
          </w:tcPr>
          <w:p>
            <w:pPr>
              <w:jc w:val="left"/>
              <w:rPr>
                <w:rFonts w:ascii="Calibri" w:eastAsia="Times New Roman" w:hAnsi="Calibri"/>
                <w:noProof/>
                <w:color w:val="000000"/>
                <w:sz w:val="16"/>
                <w:szCs w:val="16"/>
              </w:rPr>
            </w:pPr>
          </w:p>
        </w:tc>
        <w:tc>
          <w:tcPr>
            <w:tcW w:w="1161" w:type="dxa"/>
          </w:tcPr>
          <w:p>
            <w:pPr>
              <w:jc w:val="left"/>
              <w:rPr>
                <w:rFonts w:ascii="Calibri" w:eastAsia="Times New Roman" w:hAnsi="Calibri"/>
                <w:noProof/>
                <w:color w:val="000000"/>
                <w:sz w:val="16"/>
                <w:szCs w:val="16"/>
              </w:rPr>
            </w:pPr>
          </w:p>
        </w:tc>
        <w:tc>
          <w:tcPr>
            <w:tcW w:w="1244" w:type="dxa"/>
          </w:tcPr>
          <w:p>
            <w:pPr>
              <w:jc w:val="left"/>
              <w:rPr>
                <w:rFonts w:ascii="Calibri" w:eastAsia="Times New Roman" w:hAnsi="Calibri"/>
                <w:noProof/>
                <w:color w:val="000000"/>
                <w:sz w:val="16"/>
                <w:szCs w:val="16"/>
              </w:rPr>
            </w:pPr>
          </w:p>
        </w:tc>
        <w:tc>
          <w:tcPr>
            <w:tcW w:w="1084" w:type="dxa"/>
          </w:tcPr>
          <w:p>
            <w:pPr>
              <w:jc w:val="left"/>
              <w:rPr>
                <w:rFonts w:ascii="Calibri" w:eastAsia="Times New Roman" w:hAnsi="Calibri"/>
                <w:noProof/>
                <w:color w:val="000000"/>
                <w:sz w:val="16"/>
                <w:szCs w:val="16"/>
              </w:rPr>
            </w:pPr>
          </w:p>
        </w:tc>
        <w:tc>
          <w:tcPr>
            <w:tcW w:w="1225" w:type="dxa"/>
          </w:tcPr>
          <w:p>
            <w:pPr>
              <w:jc w:val="left"/>
              <w:rPr>
                <w:rFonts w:ascii="Calibri" w:eastAsia="Times New Roman" w:hAnsi="Calibri"/>
                <w:noProof/>
                <w:color w:val="000000"/>
                <w:sz w:val="16"/>
                <w:szCs w:val="16"/>
              </w:rPr>
            </w:pPr>
          </w:p>
        </w:tc>
        <w:tc>
          <w:tcPr>
            <w:tcW w:w="1376" w:type="dxa"/>
          </w:tcPr>
          <w:p>
            <w:pPr>
              <w:jc w:val="left"/>
              <w:rPr>
                <w:rFonts w:ascii="Calibri" w:eastAsia="Times New Roman" w:hAnsi="Calibri"/>
                <w:noProof/>
                <w:color w:val="000000"/>
                <w:sz w:val="16"/>
                <w:szCs w:val="16"/>
              </w:rPr>
            </w:pPr>
            <w:r>
              <w:rPr>
                <w:rFonts w:ascii="Calibri" w:hAnsi="Calibri"/>
                <w:noProof/>
                <w:color w:val="000000"/>
                <w:sz w:val="16"/>
              </w:rPr>
              <w:t>Annexe 6.3.2.6, point d)</w:t>
            </w:r>
          </w:p>
        </w:tc>
        <w:tc>
          <w:tcPr>
            <w:tcW w:w="1317" w:type="dxa"/>
          </w:tcPr>
          <w:p>
            <w:pPr>
              <w:jc w:val="left"/>
              <w:rPr>
                <w:rFonts w:ascii="Calibri" w:eastAsia="Times New Roman" w:hAnsi="Calibri"/>
                <w:b/>
                <w:bCs/>
                <w:noProof/>
                <w:color w:val="000000"/>
                <w:sz w:val="16"/>
                <w:szCs w:val="16"/>
              </w:rPr>
            </w:pPr>
          </w:p>
        </w:tc>
        <w:tc>
          <w:tcPr>
            <w:tcW w:w="1289" w:type="dxa"/>
          </w:tcPr>
          <w:p>
            <w:pPr>
              <w:jc w:val="left"/>
              <w:rPr>
                <w:rFonts w:ascii="Calibri" w:eastAsia="Times New Roman" w:hAnsi="Calibri"/>
                <w:b/>
                <w:bCs/>
                <w:noProof/>
                <w:color w:val="000000"/>
                <w:sz w:val="16"/>
                <w:szCs w:val="16"/>
              </w:rPr>
            </w:pPr>
          </w:p>
        </w:tc>
      </w:tr>
      <w:tr>
        <w:trPr>
          <w:trHeight w:val="280"/>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 xml:space="preserve">La raison pour laquelle le statut de sûreté a été délivré, au moyen du sigle: </w:t>
            </w:r>
            <w:r>
              <w:rPr>
                <w:rFonts w:ascii="Calibri" w:eastAsia="Times New Roman" w:hAnsi="Calibri"/>
                <w:b/>
                <w:bCs/>
                <w:noProof/>
                <w:color w:val="000000"/>
                <w:sz w:val="16"/>
                <w:szCs w:val="16"/>
              </w:rPr>
              <w:br/>
            </w:r>
            <w:r>
              <w:rPr>
                <w:rFonts w:ascii="Calibri" w:hAnsi="Calibri"/>
                <w:b/>
                <w:noProof/>
                <w:color w:val="000000"/>
                <w:sz w:val="16"/>
              </w:rPr>
              <w:t xml:space="preserve">- «KC» («reçu d'un chargeur connu»); ou </w:t>
            </w:r>
            <w:r>
              <w:rPr>
                <w:rFonts w:ascii="Calibri" w:eastAsia="Times New Roman" w:hAnsi="Calibri"/>
                <w:b/>
                <w:bCs/>
                <w:noProof/>
                <w:color w:val="000000"/>
                <w:sz w:val="16"/>
                <w:szCs w:val="16"/>
              </w:rPr>
              <w:br/>
            </w:r>
            <w:r>
              <w:rPr>
                <w:rFonts w:ascii="Calibri" w:hAnsi="Calibri"/>
                <w:b/>
                <w:noProof/>
                <w:color w:val="000000"/>
                <w:sz w:val="16"/>
              </w:rPr>
              <w:t xml:space="preserve">- «AC» («reçu d'un client en compte»); ou </w:t>
            </w:r>
            <w:r>
              <w:rPr>
                <w:rFonts w:ascii="Calibri" w:eastAsia="Times New Roman" w:hAnsi="Calibri"/>
                <w:b/>
                <w:bCs/>
                <w:noProof/>
                <w:color w:val="000000"/>
                <w:sz w:val="16"/>
                <w:szCs w:val="16"/>
              </w:rPr>
              <w:br/>
            </w:r>
            <w:r>
              <w:rPr>
                <w:rFonts w:ascii="Calibri" w:hAnsi="Calibri"/>
                <w:b/>
                <w:noProof/>
                <w:color w:val="000000"/>
                <w:sz w:val="16"/>
              </w:rPr>
              <w:t xml:space="preserve">- «RA» («sélectionné par un agent habilité»); ou </w:t>
            </w:r>
            <w:r>
              <w:rPr>
                <w:rFonts w:ascii="Calibri" w:eastAsia="Times New Roman" w:hAnsi="Calibri"/>
                <w:b/>
                <w:bCs/>
                <w:noProof/>
                <w:color w:val="000000"/>
                <w:sz w:val="16"/>
                <w:szCs w:val="16"/>
              </w:rPr>
              <w:br/>
            </w:r>
            <w:r>
              <w:rPr>
                <w:rFonts w:ascii="Calibri" w:hAnsi="Calibri"/>
                <w:b/>
                <w:noProof/>
                <w:color w:val="000000"/>
                <w:sz w:val="16"/>
              </w:rPr>
              <w:t>- les moyens ou la méthode d’inspection/filtrage utilisés, ou</w:t>
            </w:r>
            <w:r>
              <w:rPr>
                <w:rFonts w:ascii="Calibri" w:eastAsia="Times New Roman" w:hAnsi="Calibri"/>
                <w:b/>
                <w:bCs/>
                <w:noProof/>
                <w:color w:val="000000"/>
                <w:sz w:val="16"/>
                <w:szCs w:val="16"/>
              </w:rPr>
              <w:br/>
            </w:r>
            <w:r>
              <w:rPr>
                <w:rFonts w:ascii="Calibri" w:hAnsi="Calibri"/>
                <w:b/>
                <w:noProof/>
                <w:color w:val="000000"/>
                <w:sz w:val="16"/>
              </w:rPr>
              <w:t>- les motifs d'exemption d'inspection/filtrage de l'envoi</w:t>
            </w:r>
          </w:p>
        </w:tc>
        <w:tc>
          <w:tcPr>
            <w:tcW w:w="1223" w:type="dxa"/>
          </w:tcPr>
          <w:p>
            <w:pPr>
              <w:jc w:val="left"/>
              <w:rPr>
                <w:rFonts w:ascii="Calibri" w:eastAsia="Times New Roman" w:hAnsi="Calibri"/>
                <w:noProof/>
                <w:color w:val="000000"/>
                <w:sz w:val="16"/>
                <w:szCs w:val="16"/>
              </w:rPr>
            </w:pPr>
          </w:p>
        </w:tc>
        <w:tc>
          <w:tcPr>
            <w:tcW w:w="1161" w:type="dxa"/>
          </w:tcPr>
          <w:p>
            <w:pPr>
              <w:jc w:val="left"/>
              <w:rPr>
                <w:rFonts w:ascii="Calibri" w:eastAsia="Times New Roman" w:hAnsi="Calibri"/>
                <w:noProof/>
                <w:color w:val="000000"/>
                <w:sz w:val="16"/>
                <w:szCs w:val="16"/>
              </w:rPr>
            </w:pPr>
          </w:p>
        </w:tc>
        <w:tc>
          <w:tcPr>
            <w:tcW w:w="1244" w:type="dxa"/>
          </w:tcPr>
          <w:p>
            <w:pPr>
              <w:jc w:val="left"/>
              <w:rPr>
                <w:rFonts w:ascii="Calibri" w:eastAsia="Times New Roman" w:hAnsi="Calibri"/>
                <w:noProof/>
                <w:color w:val="000000"/>
                <w:sz w:val="16"/>
                <w:szCs w:val="16"/>
              </w:rPr>
            </w:pPr>
          </w:p>
        </w:tc>
        <w:tc>
          <w:tcPr>
            <w:tcW w:w="1084" w:type="dxa"/>
          </w:tcPr>
          <w:p>
            <w:pPr>
              <w:jc w:val="left"/>
              <w:rPr>
                <w:rFonts w:ascii="Calibri" w:eastAsia="Times New Roman" w:hAnsi="Calibri"/>
                <w:noProof/>
                <w:color w:val="000000"/>
                <w:sz w:val="16"/>
                <w:szCs w:val="16"/>
              </w:rPr>
            </w:pPr>
          </w:p>
        </w:tc>
        <w:tc>
          <w:tcPr>
            <w:tcW w:w="1225" w:type="dxa"/>
          </w:tcPr>
          <w:p>
            <w:pPr>
              <w:jc w:val="left"/>
              <w:rPr>
                <w:rFonts w:ascii="Calibri" w:eastAsia="Times New Roman" w:hAnsi="Calibri"/>
                <w:noProof/>
                <w:color w:val="000000"/>
                <w:sz w:val="16"/>
                <w:szCs w:val="16"/>
              </w:rPr>
            </w:pPr>
          </w:p>
        </w:tc>
        <w:tc>
          <w:tcPr>
            <w:tcW w:w="1376" w:type="dxa"/>
          </w:tcPr>
          <w:p>
            <w:pPr>
              <w:jc w:val="left"/>
              <w:rPr>
                <w:rFonts w:ascii="Calibri" w:eastAsia="Times New Roman" w:hAnsi="Calibri"/>
                <w:noProof/>
                <w:color w:val="000000"/>
                <w:sz w:val="16"/>
                <w:szCs w:val="16"/>
              </w:rPr>
            </w:pPr>
            <w:r>
              <w:rPr>
                <w:rFonts w:ascii="Calibri" w:hAnsi="Calibri"/>
                <w:noProof/>
                <w:color w:val="000000"/>
                <w:sz w:val="16"/>
              </w:rPr>
              <w:t>Annexe 6.3.2.6, point e)</w:t>
            </w:r>
          </w:p>
        </w:tc>
        <w:tc>
          <w:tcPr>
            <w:tcW w:w="1317" w:type="dxa"/>
          </w:tcPr>
          <w:p>
            <w:pPr>
              <w:jc w:val="left"/>
              <w:rPr>
                <w:rFonts w:ascii="Calibri" w:eastAsia="Times New Roman" w:hAnsi="Calibri"/>
                <w:b/>
                <w:bCs/>
                <w:noProof/>
                <w:color w:val="000000"/>
                <w:sz w:val="16"/>
                <w:szCs w:val="16"/>
              </w:rPr>
            </w:pPr>
          </w:p>
        </w:tc>
        <w:tc>
          <w:tcPr>
            <w:tcW w:w="1289" w:type="dxa"/>
          </w:tcPr>
          <w:p>
            <w:pPr>
              <w:jc w:val="left"/>
              <w:rPr>
                <w:rFonts w:ascii="Calibri" w:eastAsia="Times New Roman" w:hAnsi="Calibri"/>
                <w:b/>
                <w:bCs/>
                <w:noProof/>
                <w:color w:val="000000"/>
                <w:sz w:val="16"/>
                <w:szCs w:val="16"/>
              </w:rPr>
            </w:pPr>
          </w:p>
        </w:tc>
      </w:tr>
      <w:tr>
        <w:trPr>
          <w:trHeight w:val="280"/>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Le nom de la personne qui a délivré le statut de sûreté, ou une identification équivalente, ainsi que la date et l'heure de la délivrance</w:t>
            </w:r>
          </w:p>
        </w:tc>
        <w:tc>
          <w:tcPr>
            <w:tcW w:w="1223" w:type="dxa"/>
          </w:tcPr>
          <w:p>
            <w:pPr>
              <w:jc w:val="left"/>
              <w:rPr>
                <w:rFonts w:ascii="Calibri" w:eastAsia="Times New Roman" w:hAnsi="Calibri"/>
                <w:noProof/>
                <w:color w:val="000000"/>
                <w:sz w:val="16"/>
                <w:szCs w:val="16"/>
              </w:rPr>
            </w:pPr>
          </w:p>
        </w:tc>
        <w:tc>
          <w:tcPr>
            <w:tcW w:w="1161" w:type="dxa"/>
          </w:tcPr>
          <w:p>
            <w:pPr>
              <w:jc w:val="left"/>
              <w:rPr>
                <w:rFonts w:ascii="Calibri" w:eastAsia="Times New Roman" w:hAnsi="Calibri"/>
                <w:noProof/>
                <w:color w:val="000000"/>
                <w:sz w:val="16"/>
                <w:szCs w:val="16"/>
              </w:rPr>
            </w:pPr>
          </w:p>
        </w:tc>
        <w:tc>
          <w:tcPr>
            <w:tcW w:w="1244" w:type="dxa"/>
          </w:tcPr>
          <w:p>
            <w:pPr>
              <w:jc w:val="left"/>
              <w:rPr>
                <w:rFonts w:ascii="Calibri" w:eastAsia="Times New Roman" w:hAnsi="Calibri"/>
                <w:noProof/>
                <w:color w:val="000000"/>
                <w:sz w:val="16"/>
                <w:szCs w:val="16"/>
              </w:rPr>
            </w:pPr>
          </w:p>
        </w:tc>
        <w:tc>
          <w:tcPr>
            <w:tcW w:w="1084" w:type="dxa"/>
          </w:tcPr>
          <w:p>
            <w:pPr>
              <w:jc w:val="left"/>
              <w:rPr>
                <w:rFonts w:ascii="Calibri" w:eastAsia="Times New Roman" w:hAnsi="Calibri"/>
                <w:noProof/>
                <w:color w:val="000000"/>
                <w:sz w:val="16"/>
                <w:szCs w:val="16"/>
              </w:rPr>
            </w:pPr>
          </w:p>
        </w:tc>
        <w:tc>
          <w:tcPr>
            <w:tcW w:w="1225" w:type="dxa"/>
          </w:tcPr>
          <w:p>
            <w:pPr>
              <w:jc w:val="left"/>
              <w:rPr>
                <w:rFonts w:ascii="Calibri" w:eastAsia="Times New Roman" w:hAnsi="Calibri"/>
                <w:noProof/>
                <w:color w:val="000000"/>
                <w:sz w:val="16"/>
                <w:szCs w:val="16"/>
              </w:rPr>
            </w:pPr>
          </w:p>
        </w:tc>
        <w:tc>
          <w:tcPr>
            <w:tcW w:w="1376" w:type="dxa"/>
          </w:tcPr>
          <w:p>
            <w:pPr>
              <w:jc w:val="left"/>
              <w:rPr>
                <w:rFonts w:ascii="Calibri" w:eastAsia="Times New Roman" w:hAnsi="Calibri"/>
                <w:noProof/>
                <w:color w:val="000000"/>
                <w:sz w:val="16"/>
                <w:szCs w:val="16"/>
              </w:rPr>
            </w:pPr>
            <w:r>
              <w:rPr>
                <w:rFonts w:ascii="Calibri" w:hAnsi="Calibri"/>
                <w:noProof/>
                <w:color w:val="000000"/>
                <w:sz w:val="16"/>
              </w:rPr>
              <w:t>Annexe 6.3.2.6, point f)</w:t>
            </w:r>
          </w:p>
        </w:tc>
        <w:tc>
          <w:tcPr>
            <w:tcW w:w="1317" w:type="dxa"/>
          </w:tcPr>
          <w:p>
            <w:pPr>
              <w:jc w:val="left"/>
              <w:rPr>
                <w:rFonts w:ascii="Calibri" w:eastAsia="Times New Roman" w:hAnsi="Calibri"/>
                <w:b/>
                <w:bCs/>
                <w:noProof/>
                <w:color w:val="000000"/>
                <w:sz w:val="16"/>
                <w:szCs w:val="16"/>
              </w:rPr>
            </w:pPr>
          </w:p>
        </w:tc>
        <w:tc>
          <w:tcPr>
            <w:tcW w:w="1289" w:type="dxa"/>
          </w:tcPr>
          <w:p>
            <w:pPr>
              <w:jc w:val="left"/>
              <w:rPr>
                <w:rFonts w:ascii="Calibri" w:eastAsia="Times New Roman" w:hAnsi="Calibri"/>
                <w:b/>
                <w:bCs/>
                <w:noProof/>
                <w:color w:val="000000"/>
                <w:sz w:val="16"/>
                <w:szCs w:val="16"/>
              </w:rPr>
            </w:pPr>
          </w:p>
        </w:tc>
      </w:tr>
      <w:tr>
        <w:trPr>
          <w:trHeight w:val="280"/>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L'identifiant unique reçu de l'autorité compétente, ou de tout agent habilité qui a accepté le statut de sûreté attribué à un envoi par un autre agent habilité</w:t>
            </w:r>
          </w:p>
        </w:tc>
        <w:tc>
          <w:tcPr>
            <w:tcW w:w="1223" w:type="dxa"/>
          </w:tcPr>
          <w:p>
            <w:pPr>
              <w:jc w:val="left"/>
              <w:rPr>
                <w:rFonts w:ascii="Calibri" w:eastAsia="Times New Roman" w:hAnsi="Calibri"/>
                <w:noProof/>
                <w:color w:val="000000"/>
                <w:sz w:val="16"/>
                <w:szCs w:val="16"/>
              </w:rPr>
            </w:pPr>
          </w:p>
        </w:tc>
        <w:tc>
          <w:tcPr>
            <w:tcW w:w="1161" w:type="dxa"/>
          </w:tcPr>
          <w:p>
            <w:pPr>
              <w:jc w:val="left"/>
              <w:rPr>
                <w:rFonts w:ascii="Calibri" w:eastAsia="Times New Roman" w:hAnsi="Calibri"/>
                <w:noProof/>
                <w:color w:val="000000"/>
                <w:sz w:val="16"/>
                <w:szCs w:val="16"/>
              </w:rPr>
            </w:pPr>
          </w:p>
        </w:tc>
        <w:tc>
          <w:tcPr>
            <w:tcW w:w="1244" w:type="dxa"/>
          </w:tcPr>
          <w:p>
            <w:pPr>
              <w:jc w:val="left"/>
              <w:rPr>
                <w:rFonts w:ascii="Calibri" w:eastAsia="Times New Roman" w:hAnsi="Calibri"/>
                <w:noProof/>
                <w:color w:val="000000"/>
                <w:sz w:val="16"/>
                <w:szCs w:val="16"/>
              </w:rPr>
            </w:pPr>
          </w:p>
        </w:tc>
        <w:tc>
          <w:tcPr>
            <w:tcW w:w="1084" w:type="dxa"/>
          </w:tcPr>
          <w:p>
            <w:pPr>
              <w:jc w:val="left"/>
              <w:rPr>
                <w:rFonts w:ascii="Calibri" w:eastAsia="Times New Roman" w:hAnsi="Calibri"/>
                <w:noProof/>
                <w:color w:val="000000"/>
                <w:sz w:val="16"/>
                <w:szCs w:val="16"/>
              </w:rPr>
            </w:pPr>
          </w:p>
        </w:tc>
        <w:tc>
          <w:tcPr>
            <w:tcW w:w="1225" w:type="dxa"/>
          </w:tcPr>
          <w:p>
            <w:pPr>
              <w:jc w:val="left"/>
              <w:rPr>
                <w:rFonts w:ascii="Calibri" w:eastAsia="Times New Roman" w:hAnsi="Calibri"/>
                <w:noProof/>
                <w:color w:val="000000"/>
                <w:sz w:val="16"/>
                <w:szCs w:val="16"/>
              </w:rPr>
            </w:pPr>
          </w:p>
        </w:tc>
        <w:tc>
          <w:tcPr>
            <w:tcW w:w="1376" w:type="dxa"/>
          </w:tcPr>
          <w:p>
            <w:pPr>
              <w:jc w:val="left"/>
              <w:rPr>
                <w:rFonts w:ascii="Calibri" w:eastAsia="Times New Roman" w:hAnsi="Calibri"/>
                <w:noProof/>
                <w:color w:val="000000"/>
                <w:sz w:val="16"/>
                <w:szCs w:val="16"/>
              </w:rPr>
            </w:pPr>
            <w:r>
              <w:rPr>
                <w:rFonts w:ascii="Calibri" w:hAnsi="Calibri"/>
                <w:noProof/>
                <w:color w:val="000000"/>
                <w:sz w:val="16"/>
              </w:rPr>
              <w:t>Annexe 6.3.2.6, point g)</w:t>
            </w:r>
          </w:p>
        </w:tc>
        <w:tc>
          <w:tcPr>
            <w:tcW w:w="1317" w:type="dxa"/>
          </w:tcPr>
          <w:p>
            <w:pPr>
              <w:jc w:val="left"/>
              <w:rPr>
                <w:rFonts w:ascii="Calibri" w:eastAsia="Times New Roman" w:hAnsi="Calibri"/>
                <w:b/>
                <w:bCs/>
                <w:noProof/>
                <w:color w:val="000000"/>
                <w:sz w:val="16"/>
                <w:szCs w:val="16"/>
              </w:rPr>
            </w:pPr>
          </w:p>
        </w:tc>
        <w:tc>
          <w:tcPr>
            <w:tcW w:w="1289" w:type="dxa"/>
          </w:tcPr>
          <w:p>
            <w:pPr>
              <w:jc w:val="left"/>
              <w:rPr>
                <w:rFonts w:ascii="Calibri" w:eastAsia="Times New Roman" w:hAnsi="Calibri"/>
                <w:b/>
                <w:bCs/>
                <w:noProof/>
                <w:color w:val="000000"/>
                <w:sz w:val="16"/>
                <w:szCs w:val="16"/>
              </w:rPr>
            </w:pPr>
          </w:p>
        </w:tc>
      </w:tr>
      <w:tr>
        <w:trPr>
          <w:trHeight w:val="280"/>
        </w:trPr>
        <w:tc>
          <w:tcPr>
            <w:tcW w:w="5070" w:type="dxa"/>
          </w:tcPr>
          <w:p>
            <w:pPr>
              <w:jc w:val="left"/>
              <w:rPr>
                <w:rFonts w:asciiTheme="minorHAnsi" w:eastAsia="Times New Roman" w:hAnsiTheme="minorHAnsi" w:cstheme="minorHAnsi"/>
                <w:b/>
                <w:bCs/>
                <w:noProof/>
                <w:color w:val="000000"/>
                <w:sz w:val="16"/>
                <w:szCs w:val="16"/>
              </w:rPr>
            </w:pPr>
            <w:r>
              <w:rPr>
                <w:rFonts w:asciiTheme="minorHAnsi" w:hAnsiTheme="minorHAnsi" w:cstheme="minorHAnsi"/>
                <w:b/>
                <w:noProof/>
                <w:sz w:val="16"/>
              </w:rPr>
              <w:t>Renseignements généraux devant figurer dans le document de transport</w:t>
            </w:r>
          </w:p>
        </w:tc>
        <w:tc>
          <w:tcPr>
            <w:tcW w:w="1223" w:type="dxa"/>
          </w:tcPr>
          <w:p>
            <w:pPr>
              <w:jc w:val="left"/>
              <w:rPr>
                <w:rFonts w:ascii="Calibri" w:eastAsia="Times New Roman" w:hAnsi="Calibri"/>
                <w:noProof/>
                <w:color w:val="000000"/>
                <w:sz w:val="16"/>
                <w:szCs w:val="16"/>
              </w:rPr>
            </w:pPr>
          </w:p>
        </w:tc>
        <w:tc>
          <w:tcPr>
            <w:tcW w:w="1161" w:type="dxa"/>
          </w:tcPr>
          <w:p>
            <w:pPr>
              <w:jc w:val="left"/>
              <w:rPr>
                <w:rFonts w:ascii="Calibri" w:eastAsia="Times New Roman" w:hAnsi="Calibri"/>
                <w:noProof/>
                <w:color w:val="000000"/>
                <w:sz w:val="16"/>
                <w:szCs w:val="16"/>
              </w:rPr>
            </w:pPr>
          </w:p>
        </w:tc>
        <w:tc>
          <w:tcPr>
            <w:tcW w:w="1244" w:type="dxa"/>
          </w:tcPr>
          <w:p>
            <w:pPr>
              <w:jc w:val="left"/>
              <w:rPr>
                <w:rFonts w:ascii="Calibri" w:eastAsia="Times New Roman" w:hAnsi="Calibri"/>
                <w:noProof/>
                <w:color w:val="000000"/>
                <w:sz w:val="16"/>
                <w:szCs w:val="16"/>
              </w:rPr>
            </w:pPr>
          </w:p>
        </w:tc>
        <w:tc>
          <w:tcPr>
            <w:tcW w:w="1084" w:type="dxa"/>
          </w:tcPr>
          <w:p>
            <w:pPr>
              <w:jc w:val="left"/>
              <w:rPr>
                <w:rFonts w:ascii="Calibri" w:eastAsia="Times New Roman" w:hAnsi="Calibri"/>
                <w:noProof/>
                <w:color w:val="000000"/>
                <w:sz w:val="16"/>
                <w:szCs w:val="16"/>
              </w:rPr>
            </w:pPr>
          </w:p>
        </w:tc>
        <w:tc>
          <w:tcPr>
            <w:tcW w:w="1225" w:type="dxa"/>
          </w:tcPr>
          <w:p>
            <w:pPr>
              <w:jc w:val="left"/>
              <w:rPr>
                <w:rFonts w:ascii="Calibri" w:eastAsia="Times New Roman" w:hAnsi="Calibri"/>
                <w:noProof/>
                <w:color w:val="000000"/>
                <w:sz w:val="16"/>
                <w:szCs w:val="16"/>
              </w:rPr>
            </w:pPr>
          </w:p>
        </w:tc>
        <w:tc>
          <w:tcPr>
            <w:tcW w:w="1376" w:type="dxa"/>
          </w:tcPr>
          <w:p>
            <w:pPr>
              <w:jc w:val="left"/>
              <w:rPr>
                <w:rFonts w:ascii="Calibri" w:eastAsia="Times New Roman" w:hAnsi="Calibri"/>
                <w:noProof/>
                <w:color w:val="000000"/>
                <w:sz w:val="16"/>
                <w:szCs w:val="16"/>
              </w:rPr>
            </w:pPr>
          </w:p>
        </w:tc>
        <w:tc>
          <w:tcPr>
            <w:tcW w:w="1317" w:type="dxa"/>
          </w:tcPr>
          <w:p>
            <w:pPr>
              <w:jc w:val="left"/>
              <w:rPr>
                <w:rFonts w:ascii="Calibri" w:eastAsia="Times New Roman" w:hAnsi="Calibri"/>
                <w:b/>
                <w:bCs/>
                <w:noProof/>
                <w:color w:val="000000"/>
                <w:sz w:val="16"/>
                <w:szCs w:val="16"/>
              </w:rPr>
            </w:pPr>
            <w:r>
              <w:rPr>
                <w:noProof/>
                <w:sz w:val="16"/>
              </w:rPr>
              <w:t>5.4.1.1.1</w:t>
            </w:r>
          </w:p>
        </w:tc>
        <w:tc>
          <w:tcPr>
            <w:tcW w:w="1289" w:type="dxa"/>
          </w:tcPr>
          <w:p>
            <w:pPr>
              <w:jc w:val="left"/>
              <w:rPr>
                <w:noProof/>
                <w:sz w:val="16"/>
                <w:szCs w:val="16"/>
              </w:rPr>
            </w:pPr>
          </w:p>
        </w:tc>
      </w:tr>
      <w:tr>
        <w:trPr>
          <w:trHeight w:val="425"/>
        </w:trPr>
        <w:tc>
          <w:tcPr>
            <w:tcW w:w="5070" w:type="dxa"/>
          </w:tcPr>
          <w:p>
            <w:pPr>
              <w:jc w:val="left"/>
              <w:rPr>
                <w:rFonts w:ascii="Calibri" w:eastAsia="Times New Roman" w:hAnsi="Calibri"/>
                <w:b/>
                <w:bCs/>
                <w:noProof/>
                <w:sz w:val="16"/>
                <w:szCs w:val="16"/>
              </w:rPr>
            </w:pPr>
            <w:r>
              <w:rPr>
                <w:rFonts w:ascii="Calibri" w:hAnsi="Calibri"/>
                <w:b/>
                <w:noProof/>
                <w:sz w:val="16"/>
              </w:rPr>
              <w:t>Informations générales requises pour le transport en navires-citernes</w:t>
            </w:r>
          </w:p>
        </w:tc>
        <w:tc>
          <w:tcPr>
            <w:tcW w:w="1223" w:type="dxa"/>
          </w:tcPr>
          <w:p>
            <w:pPr>
              <w:jc w:val="left"/>
              <w:rPr>
                <w:rFonts w:ascii="Calibri" w:eastAsia="Times New Roman" w:hAnsi="Calibri"/>
                <w:noProof/>
                <w:color w:val="000000"/>
                <w:sz w:val="16"/>
                <w:szCs w:val="16"/>
              </w:rPr>
            </w:pPr>
          </w:p>
        </w:tc>
        <w:tc>
          <w:tcPr>
            <w:tcW w:w="1161" w:type="dxa"/>
          </w:tcPr>
          <w:p>
            <w:pPr>
              <w:jc w:val="left"/>
              <w:rPr>
                <w:rFonts w:ascii="Calibri" w:eastAsia="Times New Roman" w:hAnsi="Calibri"/>
                <w:noProof/>
                <w:color w:val="000000"/>
                <w:sz w:val="16"/>
                <w:szCs w:val="16"/>
              </w:rPr>
            </w:pPr>
          </w:p>
        </w:tc>
        <w:tc>
          <w:tcPr>
            <w:tcW w:w="1244" w:type="dxa"/>
          </w:tcPr>
          <w:p>
            <w:pPr>
              <w:jc w:val="left"/>
              <w:rPr>
                <w:rFonts w:ascii="Calibri" w:eastAsia="Times New Roman" w:hAnsi="Calibri"/>
                <w:noProof/>
                <w:color w:val="000000"/>
                <w:sz w:val="16"/>
                <w:szCs w:val="16"/>
              </w:rPr>
            </w:pPr>
          </w:p>
        </w:tc>
        <w:tc>
          <w:tcPr>
            <w:tcW w:w="1084" w:type="dxa"/>
          </w:tcPr>
          <w:p>
            <w:pPr>
              <w:jc w:val="left"/>
              <w:rPr>
                <w:rFonts w:ascii="Calibri" w:eastAsia="Times New Roman" w:hAnsi="Calibri"/>
                <w:noProof/>
                <w:color w:val="000000"/>
                <w:sz w:val="16"/>
                <w:szCs w:val="16"/>
              </w:rPr>
            </w:pPr>
          </w:p>
        </w:tc>
        <w:tc>
          <w:tcPr>
            <w:tcW w:w="1225" w:type="dxa"/>
          </w:tcPr>
          <w:p>
            <w:pPr>
              <w:jc w:val="left"/>
              <w:rPr>
                <w:rFonts w:ascii="Calibri" w:eastAsia="Times New Roman" w:hAnsi="Calibri"/>
                <w:noProof/>
                <w:color w:val="000000"/>
                <w:sz w:val="16"/>
                <w:szCs w:val="16"/>
              </w:rPr>
            </w:pPr>
          </w:p>
        </w:tc>
        <w:tc>
          <w:tcPr>
            <w:tcW w:w="1376" w:type="dxa"/>
          </w:tcPr>
          <w:p>
            <w:pPr>
              <w:jc w:val="left"/>
              <w:rPr>
                <w:rFonts w:ascii="Calibri" w:eastAsia="Times New Roman" w:hAnsi="Calibri"/>
                <w:noProof/>
                <w:color w:val="000000"/>
                <w:sz w:val="16"/>
                <w:szCs w:val="16"/>
              </w:rPr>
            </w:pPr>
          </w:p>
        </w:tc>
        <w:tc>
          <w:tcPr>
            <w:tcW w:w="1317" w:type="dxa"/>
          </w:tcPr>
          <w:p>
            <w:pPr>
              <w:jc w:val="left"/>
              <w:rPr>
                <w:rFonts w:ascii="Calibri" w:eastAsia="Times New Roman" w:hAnsi="Calibri"/>
                <w:noProof/>
                <w:color w:val="000000"/>
                <w:sz w:val="16"/>
                <w:szCs w:val="16"/>
              </w:rPr>
            </w:pPr>
            <w:r>
              <w:rPr>
                <w:rFonts w:ascii="Calibri" w:hAnsi="Calibri"/>
                <w:noProof/>
                <w:color w:val="000000"/>
                <w:sz w:val="16"/>
              </w:rPr>
              <w:t>5.4.1.1.2 — ADN uniquement</w:t>
            </w:r>
          </w:p>
        </w:tc>
        <w:tc>
          <w:tcPr>
            <w:tcW w:w="1289" w:type="dxa"/>
          </w:tcPr>
          <w:p>
            <w:pPr>
              <w:jc w:val="left"/>
              <w:rPr>
                <w:rFonts w:ascii="Calibri" w:eastAsia="Times New Roman" w:hAnsi="Calibri"/>
                <w:noProof/>
                <w:color w:val="000000"/>
                <w:sz w:val="16"/>
                <w:szCs w:val="16"/>
              </w:rPr>
            </w:pPr>
          </w:p>
        </w:tc>
      </w:tr>
      <w:tr>
        <w:trPr>
          <w:trHeight w:val="425"/>
        </w:trPr>
        <w:tc>
          <w:tcPr>
            <w:tcW w:w="5070" w:type="dxa"/>
          </w:tcPr>
          <w:p>
            <w:pPr>
              <w:jc w:val="left"/>
              <w:rPr>
                <w:rFonts w:ascii="Calibri" w:eastAsia="Times New Roman" w:hAnsi="Calibri"/>
                <w:b/>
                <w:bCs/>
                <w:noProof/>
                <w:sz w:val="16"/>
                <w:szCs w:val="16"/>
              </w:rPr>
            </w:pPr>
            <w:r>
              <w:rPr>
                <w:rFonts w:ascii="Calibri" w:hAnsi="Calibri"/>
                <w:b/>
                <w:noProof/>
                <w:sz w:val="16"/>
              </w:rPr>
              <w:t>Informations spécifiques à inclure pour certains types de marchandises dangereuses ou certains moyens de confinement, ou dans le cas d’une chaîne de transport comprenant différents modes de transport, conformément aux dispositions particulières du chapitre 5.4 des annexes de l’ADR, du RID et de l’ADN, respectivement</w:t>
            </w:r>
          </w:p>
        </w:tc>
        <w:tc>
          <w:tcPr>
            <w:tcW w:w="1223" w:type="dxa"/>
          </w:tcPr>
          <w:p>
            <w:pPr>
              <w:jc w:val="left"/>
              <w:rPr>
                <w:rFonts w:ascii="Calibri" w:eastAsia="Times New Roman" w:hAnsi="Calibri"/>
                <w:noProof/>
                <w:color w:val="000000"/>
                <w:sz w:val="16"/>
                <w:szCs w:val="16"/>
              </w:rPr>
            </w:pPr>
          </w:p>
        </w:tc>
        <w:tc>
          <w:tcPr>
            <w:tcW w:w="1161" w:type="dxa"/>
          </w:tcPr>
          <w:p>
            <w:pPr>
              <w:jc w:val="left"/>
              <w:rPr>
                <w:rFonts w:ascii="Calibri" w:eastAsia="Times New Roman" w:hAnsi="Calibri"/>
                <w:noProof/>
                <w:color w:val="000000"/>
                <w:sz w:val="16"/>
                <w:szCs w:val="16"/>
              </w:rPr>
            </w:pPr>
          </w:p>
        </w:tc>
        <w:tc>
          <w:tcPr>
            <w:tcW w:w="1244" w:type="dxa"/>
          </w:tcPr>
          <w:p>
            <w:pPr>
              <w:jc w:val="left"/>
              <w:rPr>
                <w:rFonts w:ascii="Calibri" w:eastAsia="Times New Roman" w:hAnsi="Calibri"/>
                <w:noProof/>
                <w:color w:val="000000"/>
                <w:sz w:val="16"/>
                <w:szCs w:val="16"/>
              </w:rPr>
            </w:pPr>
          </w:p>
        </w:tc>
        <w:tc>
          <w:tcPr>
            <w:tcW w:w="1084" w:type="dxa"/>
          </w:tcPr>
          <w:p>
            <w:pPr>
              <w:jc w:val="left"/>
              <w:rPr>
                <w:rFonts w:ascii="Calibri" w:eastAsia="Times New Roman" w:hAnsi="Calibri"/>
                <w:noProof/>
                <w:color w:val="000000"/>
                <w:sz w:val="16"/>
                <w:szCs w:val="16"/>
              </w:rPr>
            </w:pPr>
          </w:p>
        </w:tc>
        <w:tc>
          <w:tcPr>
            <w:tcW w:w="1225" w:type="dxa"/>
          </w:tcPr>
          <w:p>
            <w:pPr>
              <w:jc w:val="left"/>
              <w:rPr>
                <w:rFonts w:ascii="Calibri" w:eastAsia="Times New Roman" w:hAnsi="Calibri"/>
                <w:noProof/>
                <w:color w:val="000000"/>
                <w:sz w:val="16"/>
                <w:szCs w:val="16"/>
              </w:rPr>
            </w:pPr>
          </w:p>
        </w:tc>
        <w:tc>
          <w:tcPr>
            <w:tcW w:w="1376" w:type="dxa"/>
          </w:tcPr>
          <w:p>
            <w:pPr>
              <w:jc w:val="left"/>
              <w:rPr>
                <w:rFonts w:ascii="Calibri" w:eastAsia="Times New Roman" w:hAnsi="Calibri"/>
                <w:noProof/>
                <w:color w:val="000000"/>
                <w:sz w:val="16"/>
                <w:szCs w:val="16"/>
              </w:rPr>
            </w:pPr>
          </w:p>
        </w:tc>
        <w:tc>
          <w:tcPr>
            <w:tcW w:w="1317" w:type="dxa"/>
          </w:tcPr>
          <w:p>
            <w:pPr>
              <w:jc w:val="left"/>
              <w:rPr>
                <w:rFonts w:ascii="Calibri" w:eastAsia="Times New Roman" w:hAnsi="Calibri"/>
                <w:noProof/>
                <w:color w:val="000000"/>
                <w:sz w:val="16"/>
                <w:szCs w:val="16"/>
              </w:rPr>
            </w:pPr>
            <w:r>
              <w:rPr>
                <w:rFonts w:ascii="Calibri" w:hAnsi="Calibri"/>
                <w:noProof/>
                <w:color w:val="000000"/>
                <w:sz w:val="16"/>
              </w:rPr>
              <w:t>5.4.1.1.3 à 5.4.1.1.21 — ADR et RID</w:t>
            </w:r>
          </w:p>
          <w:p>
            <w:pPr>
              <w:jc w:val="left"/>
              <w:rPr>
                <w:rFonts w:ascii="Calibri" w:eastAsia="Times New Roman" w:hAnsi="Calibri"/>
                <w:noProof/>
                <w:color w:val="000000"/>
                <w:sz w:val="16"/>
                <w:szCs w:val="16"/>
              </w:rPr>
            </w:pPr>
            <w:r>
              <w:rPr>
                <w:rFonts w:ascii="Calibri" w:hAnsi="Calibri"/>
                <w:noProof/>
                <w:color w:val="000000"/>
                <w:sz w:val="16"/>
              </w:rPr>
              <w:t>5.4.1.1.3 à 5.4.1.1.22 — ADN</w:t>
            </w:r>
          </w:p>
        </w:tc>
        <w:tc>
          <w:tcPr>
            <w:tcW w:w="1289" w:type="dxa"/>
          </w:tcPr>
          <w:p>
            <w:pPr>
              <w:jc w:val="left"/>
              <w:rPr>
                <w:rFonts w:ascii="Calibri" w:eastAsia="Times New Roman" w:hAnsi="Calibri"/>
                <w:noProof/>
                <w:color w:val="000000"/>
                <w:sz w:val="16"/>
                <w:szCs w:val="16"/>
              </w:rPr>
            </w:pPr>
          </w:p>
        </w:tc>
      </w:tr>
      <w:tr>
        <w:trPr>
          <w:trHeight w:val="286"/>
        </w:trPr>
        <w:tc>
          <w:tcPr>
            <w:tcW w:w="5070" w:type="dxa"/>
          </w:tcPr>
          <w:p>
            <w:pPr>
              <w:jc w:val="left"/>
              <w:rPr>
                <w:rFonts w:ascii="Calibri" w:eastAsia="Times New Roman" w:hAnsi="Calibri"/>
                <w:b/>
                <w:bCs/>
                <w:noProof/>
                <w:sz w:val="16"/>
                <w:szCs w:val="16"/>
              </w:rPr>
            </w:pPr>
            <w:r>
              <w:rPr>
                <w:rFonts w:ascii="Calibri" w:hAnsi="Calibri"/>
                <w:b/>
                <w:noProof/>
                <w:sz w:val="16"/>
              </w:rPr>
              <w:t>Informations supplémentaires et spécifiques requises pour certaines classes de marchandises dangereuses</w:t>
            </w:r>
          </w:p>
        </w:tc>
        <w:tc>
          <w:tcPr>
            <w:tcW w:w="1223" w:type="dxa"/>
          </w:tcPr>
          <w:p>
            <w:pPr>
              <w:jc w:val="left"/>
              <w:rPr>
                <w:rFonts w:ascii="Calibri" w:eastAsia="Times New Roman" w:hAnsi="Calibri"/>
                <w:noProof/>
                <w:color w:val="000000"/>
                <w:sz w:val="16"/>
                <w:szCs w:val="16"/>
              </w:rPr>
            </w:pPr>
          </w:p>
        </w:tc>
        <w:tc>
          <w:tcPr>
            <w:tcW w:w="1161" w:type="dxa"/>
          </w:tcPr>
          <w:p>
            <w:pPr>
              <w:jc w:val="left"/>
              <w:rPr>
                <w:rFonts w:ascii="Calibri" w:eastAsia="Times New Roman" w:hAnsi="Calibri"/>
                <w:noProof/>
                <w:color w:val="000000"/>
                <w:sz w:val="16"/>
                <w:szCs w:val="16"/>
              </w:rPr>
            </w:pPr>
          </w:p>
        </w:tc>
        <w:tc>
          <w:tcPr>
            <w:tcW w:w="1244" w:type="dxa"/>
          </w:tcPr>
          <w:p>
            <w:pPr>
              <w:jc w:val="left"/>
              <w:rPr>
                <w:rFonts w:ascii="Calibri" w:eastAsia="Times New Roman" w:hAnsi="Calibri"/>
                <w:noProof/>
                <w:color w:val="000000"/>
                <w:sz w:val="16"/>
                <w:szCs w:val="16"/>
              </w:rPr>
            </w:pPr>
          </w:p>
        </w:tc>
        <w:tc>
          <w:tcPr>
            <w:tcW w:w="1084" w:type="dxa"/>
          </w:tcPr>
          <w:p>
            <w:pPr>
              <w:jc w:val="left"/>
              <w:rPr>
                <w:rFonts w:ascii="Calibri" w:eastAsia="Times New Roman" w:hAnsi="Calibri"/>
                <w:noProof/>
                <w:color w:val="000000"/>
                <w:sz w:val="16"/>
                <w:szCs w:val="16"/>
              </w:rPr>
            </w:pPr>
          </w:p>
        </w:tc>
        <w:tc>
          <w:tcPr>
            <w:tcW w:w="1225" w:type="dxa"/>
          </w:tcPr>
          <w:p>
            <w:pPr>
              <w:jc w:val="left"/>
              <w:rPr>
                <w:rFonts w:ascii="Calibri" w:eastAsia="Times New Roman" w:hAnsi="Calibri"/>
                <w:noProof/>
                <w:color w:val="000000"/>
                <w:sz w:val="16"/>
                <w:szCs w:val="16"/>
              </w:rPr>
            </w:pPr>
          </w:p>
        </w:tc>
        <w:tc>
          <w:tcPr>
            <w:tcW w:w="1376" w:type="dxa"/>
          </w:tcPr>
          <w:p>
            <w:pPr>
              <w:jc w:val="left"/>
              <w:rPr>
                <w:rFonts w:ascii="Calibri" w:eastAsia="Times New Roman" w:hAnsi="Calibri"/>
                <w:noProof/>
                <w:color w:val="000000"/>
                <w:sz w:val="16"/>
                <w:szCs w:val="16"/>
              </w:rPr>
            </w:pPr>
          </w:p>
        </w:tc>
        <w:tc>
          <w:tcPr>
            <w:tcW w:w="1317" w:type="dxa"/>
          </w:tcPr>
          <w:p>
            <w:pPr>
              <w:jc w:val="left"/>
              <w:rPr>
                <w:rFonts w:ascii="Calibri" w:eastAsia="Times New Roman" w:hAnsi="Calibri"/>
                <w:noProof/>
                <w:color w:val="000000"/>
                <w:sz w:val="16"/>
                <w:szCs w:val="16"/>
              </w:rPr>
            </w:pPr>
            <w:r>
              <w:rPr>
                <w:rFonts w:ascii="Calibri" w:hAnsi="Calibri"/>
                <w:noProof/>
                <w:color w:val="000000"/>
                <w:sz w:val="16"/>
              </w:rPr>
              <w:t>5.4.1.2</w:t>
            </w:r>
          </w:p>
        </w:tc>
        <w:tc>
          <w:tcPr>
            <w:tcW w:w="1289" w:type="dxa"/>
          </w:tcPr>
          <w:p>
            <w:pPr>
              <w:jc w:val="left"/>
              <w:rPr>
                <w:rFonts w:ascii="Calibri" w:eastAsia="Times New Roman" w:hAnsi="Calibri"/>
                <w:noProof/>
                <w:color w:val="000000"/>
                <w:sz w:val="16"/>
                <w:szCs w:val="16"/>
              </w:rPr>
            </w:pPr>
          </w:p>
        </w:tc>
      </w:tr>
      <w:tr>
        <w:trPr>
          <w:trHeight w:val="141"/>
        </w:trPr>
        <w:tc>
          <w:tcPr>
            <w:tcW w:w="5070" w:type="dxa"/>
          </w:tcPr>
          <w:p>
            <w:pPr>
              <w:jc w:val="left"/>
              <w:rPr>
                <w:rFonts w:ascii="Calibri" w:eastAsia="Times New Roman" w:hAnsi="Calibri"/>
                <w:b/>
                <w:bCs/>
                <w:noProof/>
                <w:sz w:val="16"/>
                <w:szCs w:val="16"/>
              </w:rPr>
            </w:pPr>
            <w:r>
              <w:rPr>
                <w:rFonts w:ascii="Calibri" w:hAnsi="Calibri"/>
                <w:b/>
                <w:noProof/>
                <w:sz w:val="16"/>
              </w:rPr>
              <w:t>Marchandises non dangereuses</w:t>
            </w:r>
          </w:p>
        </w:tc>
        <w:tc>
          <w:tcPr>
            <w:tcW w:w="1223" w:type="dxa"/>
          </w:tcPr>
          <w:p>
            <w:pPr>
              <w:jc w:val="left"/>
              <w:rPr>
                <w:rFonts w:ascii="Calibri" w:eastAsia="Times New Roman" w:hAnsi="Calibri"/>
                <w:noProof/>
                <w:color w:val="000000"/>
                <w:sz w:val="16"/>
                <w:szCs w:val="16"/>
              </w:rPr>
            </w:pPr>
          </w:p>
        </w:tc>
        <w:tc>
          <w:tcPr>
            <w:tcW w:w="1161" w:type="dxa"/>
          </w:tcPr>
          <w:p>
            <w:pPr>
              <w:jc w:val="left"/>
              <w:rPr>
                <w:rFonts w:ascii="Calibri" w:eastAsia="Times New Roman" w:hAnsi="Calibri"/>
                <w:noProof/>
                <w:color w:val="000000"/>
                <w:sz w:val="16"/>
                <w:szCs w:val="16"/>
              </w:rPr>
            </w:pPr>
          </w:p>
        </w:tc>
        <w:tc>
          <w:tcPr>
            <w:tcW w:w="1244" w:type="dxa"/>
          </w:tcPr>
          <w:p>
            <w:pPr>
              <w:jc w:val="left"/>
              <w:rPr>
                <w:rFonts w:ascii="Calibri" w:eastAsia="Times New Roman" w:hAnsi="Calibri"/>
                <w:noProof/>
                <w:color w:val="000000"/>
                <w:sz w:val="16"/>
                <w:szCs w:val="16"/>
              </w:rPr>
            </w:pPr>
          </w:p>
        </w:tc>
        <w:tc>
          <w:tcPr>
            <w:tcW w:w="1084" w:type="dxa"/>
          </w:tcPr>
          <w:p>
            <w:pPr>
              <w:jc w:val="left"/>
              <w:rPr>
                <w:rFonts w:ascii="Calibri" w:eastAsia="Times New Roman" w:hAnsi="Calibri"/>
                <w:noProof/>
                <w:color w:val="000000"/>
                <w:sz w:val="16"/>
                <w:szCs w:val="16"/>
              </w:rPr>
            </w:pPr>
          </w:p>
        </w:tc>
        <w:tc>
          <w:tcPr>
            <w:tcW w:w="1225" w:type="dxa"/>
          </w:tcPr>
          <w:p>
            <w:pPr>
              <w:jc w:val="left"/>
              <w:rPr>
                <w:rFonts w:ascii="Calibri" w:eastAsia="Times New Roman" w:hAnsi="Calibri"/>
                <w:noProof/>
                <w:color w:val="000000"/>
                <w:sz w:val="16"/>
                <w:szCs w:val="16"/>
              </w:rPr>
            </w:pPr>
          </w:p>
        </w:tc>
        <w:tc>
          <w:tcPr>
            <w:tcW w:w="1376" w:type="dxa"/>
          </w:tcPr>
          <w:p>
            <w:pPr>
              <w:jc w:val="left"/>
              <w:rPr>
                <w:rFonts w:ascii="Calibri" w:eastAsia="Times New Roman" w:hAnsi="Calibri"/>
                <w:noProof/>
                <w:color w:val="000000"/>
                <w:sz w:val="16"/>
                <w:szCs w:val="16"/>
              </w:rPr>
            </w:pPr>
          </w:p>
        </w:tc>
        <w:tc>
          <w:tcPr>
            <w:tcW w:w="1317" w:type="dxa"/>
          </w:tcPr>
          <w:p>
            <w:pPr>
              <w:jc w:val="left"/>
              <w:rPr>
                <w:rFonts w:ascii="Calibri" w:eastAsia="Times New Roman" w:hAnsi="Calibri"/>
                <w:noProof/>
                <w:color w:val="000000"/>
                <w:sz w:val="16"/>
                <w:szCs w:val="16"/>
              </w:rPr>
            </w:pPr>
            <w:r>
              <w:rPr>
                <w:rFonts w:ascii="Calibri" w:hAnsi="Calibri"/>
                <w:noProof/>
                <w:color w:val="000000"/>
                <w:sz w:val="16"/>
              </w:rPr>
              <w:t>5.4.1.5</w:t>
            </w:r>
          </w:p>
        </w:tc>
        <w:tc>
          <w:tcPr>
            <w:tcW w:w="1289" w:type="dxa"/>
          </w:tcPr>
          <w:p>
            <w:pPr>
              <w:jc w:val="left"/>
              <w:rPr>
                <w:rFonts w:ascii="Calibri" w:eastAsia="Times New Roman" w:hAnsi="Calibri"/>
                <w:noProof/>
                <w:color w:val="000000"/>
                <w:sz w:val="16"/>
                <w:szCs w:val="16"/>
              </w:rPr>
            </w:pPr>
          </w:p>
        </w:tc>
      </w:tr>
      <w:tr>
        <w:trPr>
          <w:trHeight w:val="141"/>
        </w:trPr>
        <w:tc>
          <w:tcPr>
            <w:tcW w:w="5070" w:type="dxa"/>
          </w:tcPr>
          <w:p>
            <w:pPr>
              <w:jc w:val="left"/>
              <w:rPr>
                <w:rFonts w:ascii="Calibri" w:eastAsia="Times New Roman" w:hAnsi="Calibri"/>
                <w:b/>
                <w:bCs/>
                <w:noProof/>
                <w:sz w:val="16"/>
                <w:szCs w:val="16"/>
              </w:rPr>
            </w:pPr>
            <w:r>
              <w:rPr>
                <w:rFonts w:ascii="Calibri" w:hAnsi="Calibri"/>
                <w:b/>
                <w:noProof/>
                <w:sz w:val="16"/>
              </w:rPr>
              <w:t>Certificat d’empotage de conteneur</w:t>
            </w:r>
          </w:p>
        </w:tc>
        <w:tc>
          <w:tcPr>
            <w:tcW w:w="1223" w:type="dxa"/>
          </w:tcPr>
          <w:p>
            <w:pPr>
              <w:jc w:val="left"/>
              <w:rPr>
                <w:rFonts w:ascii="Calibri" w:eastAsia="Times New Roman" w:hAnsi="Calibri"/>
                <w:noProof/>
                <w:color w:val="000000"/>
                <w:sz w:val="16"/>
                <w:szCs w:val="16"/>
              </w:rPr>
            </w:pPr>
          </w:p>
        </w:tc>
        <w:tc>
          <w:tcPr>
            <w:tcW w:w="1161" w:type="dxa"/>
          </w:tcPr>
          <w:p>
            <w:pPr>
              <w:jc w:val="left"/>
              <w:rPr>
                <w:rFonts w:ascii="Calibri" w:eastAsia="Times New Roman" w:hAnsi="Calibri"/>
                <w:noProof/>
                <w:color w:val="000000"/>
                <w:sz w:val="16"/>
                <w:szCs w:val="16"/>
              </w:rPr>
            </w:pPr>
          </w:p>
        </w:tc>
        <w:tc>
          <w:tcPr>
            <w:tcW w:w="1244" w:type="dxa"/>
          </w:tcPr>
          <w:p>
            <w:pPr>
              <w:jc w:val="left"/>
              <w:rPr>
                <w:rFonts w:ascii="Calibri" w:eastAsia="Times New Roman" w:hAnsi="Calibri"/>
                <w:noProof/>
                <w:color w:val="000000"/>
                <w:sz w:val="16"/>
                <w:szCs w:val="16"/>
              </w:rPr>
            </w:pPr>
          </w:p>
        </w:tc>
        <w:tc>
          <w:tcPr>
            <w:tcW w:w="1084" w:type="dxa"/>
          </w:tcPr>
          <w:p>
            <w:pPr>
              <w:jc w:val="left"/>
              <w:rPr>
                <w:rFonts w:ascii="Calibri" w:eastAsia="Times New Roman" w:hAnsi="Calibri"/>
                <w:noProof/>
                <w:color w:val="000000"/>
                <w:sz w:val="16"/>
                <w:szCs w:val="16"/>
              </w:rPr>
            </w:pPr>
          </w:p>
        </w:tc>
        <w:tc>
          <w:tcPr>
            <w:tcW w:w="1225" w:type="dxa"/>
          </w:tcPr>
          <w:p>
            <w:pPr>
              <w:jc w:val="left"/>
              <w:rPr>
                <w:rFonts w:ascii="Calibri" w:eastAsia="Times New Roman" w:hAnsi="Calibri"/>
                <w:noProof/>
                <w:color w:val="000000"/>
                <w:sz w:val="16"/>
                <w:szCs w:val="16"/>
              </w:rPr>
            </w:pPr>
          </w:p>
        </w:tc>
        <w:tc>
          <w:tcPr>
            <w:tcW w:w="1376" w:type="dxa"/>
          </w:tcPr>
          <w:p>
            <w:pPr>
              <w:jc w:val="left"/>
              <w:rPr>
                <w:rFonts w:ascii="Calibri" w:eastAsia="Times New Roman" w:hAnsi="Calibri"/>
                <w:noProof/>
                <w:color w:val="000000"/>
                <w:sz w:val="16"/>
                <w:szCs w:val="16"/>
              </w:rPr>
            </w:pPr>
          </w:p>
        </w:tc>
        <w:tc>
          <w:tcPr>
            <w:tcW w:w="1317" w:type="dxa"/>
          </w:tcPr>
          <w:p>
            <w:pPr>
              <w:jc w:val="left"/>
              <w:rPr>
                <w:rFonts w:ascii="Calibri" w:eastAsia="Times New Roman" w:hAnsi="Calibri"/>
                <w:noProof/>
                <w:color w:val="000000"/>
                <w:sz w:val="16"/>
                <w:szCs w:val="16"/>
              </w:rPr>
            </w:pPr>
            <w:r>
              <w:rPr>
                <w:rFonts w:ascii="Calibri" w:hAnsi="Calibri"/>
                <w:noProof/>
                <w:color w:val="000000"/>
                <w:sz w:val="16"/>
              </w:rPr>
              <w:t>5.4.2</w:t>
            </w:r>
          </w:p>
        </w:tc>
        <w:tc>
          <w:tcPr>
            <w:tcW w:w="1289" w:type="dxa"/>
          </w:tcPr>
          <w:p>
            <w:pPr>
              <w:jc w:val="left"/>
              <w:rPr>
                <w:rFonts w:ascii="Calibri" w:eastAsia="Times New Roman" w:hAnsi="Calibri"/>
                <w:noProof/>
                <w:color w:val="000000"/>
                <w:sz w:val="16"/>
                <w:szCs w:val="16"/>
              </w:rPr>
            </w:pPr>
          </w:p>
        </w:tc>
      </w:tr>
      <w:tr>
        <w:trPr>
          <w:trHeight w:val="73"/>
        </w:trPr>
        <w:tc>
          <w:tcPr>
            <w:tcW w:w="5070" w:type="dxa"/>
          </w:tcPr>
          <w:p>
            <w:pPr>
              <w:jc w:val="left"/>
              <w:rPr>
                <w:rFonts w:ascii="Calibri" w:eastAsia="Times New Roman" w:hAnsi="Calibri"/>
                <w:b/>
                <w:bCs/>
                <w:noProof/>
                <w:sz w:val="16"/>
                <w:szCs w:val="16"/>
              </w:rPr>
            </w:pPr>
            <w:r>
              <w:rPr>
                <w:rFonts w:ascii="Calibri" w:hAnsi="Calibri"/>
                <w:b/>
                <w:noProof/>
                <w:sz w:val="16"/>
              </w:rPr>
              <w:t>Consignes écrites</w:t>
            </w:r>
          </w:p>
        </w:tc>
        <w:tc>
          <w:tcPr>
            <w:tcW w:w="1223" w:type="dxa"/>
          </w:tcPr>
          <w:p>
            <w:pPr>
              <w:jc w:val="left"/>
              <w:rPr>
                <w:rFonts w:ascii="Calibri" w:eastAsia="Times New Roman" w:hAnsi="Calibri"/>
                <w:noProof/>
                <w:color w:val="000000"/>
                <w:sz w:val="16"/>
                <w:szCs w:val="16"/>
              </w:rPr>
            </w:pPr>
          </w:p>
        </w:tc>
        <w:tc>
          <w:tcPr>
            <w:tcW w:w="1161" w:type="dxa"/>
          </w:tcPr>
          <w:p>
            <w:pPr>
              <w:jc w:val="left"/>
              <w:rPr>
                <w:rFonts w:ascii="Calibri" w:eastAsia="Times New Roman" w:hAnsi="Calibri"/>
                <w:noProof/>
                <w:color w:val="000000"/>
                <w:sz w:val="16"/>
                <w:szCs w:val="16"/>
              </w:rPr>
            </w:pPr>
          </w:p>
        </w:tc>
        <w:tc>
          <w:tcPr>
            <w:tcW w:w="1244" w:type="dxa"/>
          </w:tcPr>
          <w:p>
            <w:pPr>
              <w:jc w:val="left"/>
              <w:rPr>
                <w:rFonts w:ascii="Calibri" w:eastAsia="Times New Roman" w:hAnsi="Calibri"/>
                <w:noProof/>
                <w:color w:val="000000"/>
                <w:sz w:val="16"/>
                <w:szCs w:val="16"/>
              </w:rPr>
            </w:pPr>
          </w:p>
        </w:tc>
        <w:tc>
          <w:tcPr>
            <w:tcW w:w="1084" w:type="dxa"/>
          </w:tcPr>
          <w:p>
            <w:pPr>
              <w:jc w:val="left"/>
              <w:rPr>
                <w:rFonts w:ascii="Calibri" w:eastAsia="Times New Roman" w:hAnsi="Calibri"/>
                <w:noProof/>
                <w:color w:val="000000"/>
                <w:sz w:val="16"/>
                <w:szCs w:val="16"/>
              </w:rPr>
            </w:pPr>
          </w:p>
        </w:tc>
        <w:tc>
          <w:tcPr>
            <w:tcW w:w="1225" w:type="dxa"/>
          </w:tcPr>
          <w:p>
            <w:pPr>
              <w:jc w:val="left"/>
              <w:rPr>
                <w:rFonts w:ascii="Calibri" w:eastAsia="Times New Roman" w:hAnsi="Calibri"/>
                <w:noProof/>
                <w:color w:val="000000"/>
                <w:sz w:val="16"/>
                <w:szCs w:val="16"/>
              </w:rPr>
            </w:pPr>
          </w:p>
        </w:tc>
        <w:tc>
          <w:tcPr>
            <w:tcW w:w="1376" w:type="dxa"/>
          </w:tcPr>
          <w:p>
            <w:pPr>
              <w:jc w:val="left"/>
              <w:rPr>
                <w:rFonts w:ascii="Calibri" w:eastAsia="Times New Roman" w:hAnsi="Calibri"/>
                <w:noProof/>
                <w:color w:val="000000"/>
                <w:sz w:val="16"/>
                <w:szCs w:val="16"/>
              </w:rPr>
            </w:pPr>
          </w:p>
        </w:tc>
        <w:tc>
          <w:tcPr>
            <w:tcW w:w="1317" w:type="dxa"/>
          </w:tcPr>
          <w:p>
            <w:pPr>
              <w:jc w:val="left"/>
              <w:rPr>
                <w:rFonts w:ascii="Calibri" w:eastAsia="Times New Roman" w:hAnsi="Calibri"/>
                <w:noProof/>
                <w:color w:val="000000"/>
                <w:sz w:val="16"/>
                <w:szCs w:val="16"/>
              </w:rPr>
            </w:pPr>
            <w:r>
              <w:rPr>
                <w:rFonts w:ascii="Calibri" w:hAnsi="Calibri"/>
                <w:noProof/>
                <w:color w:val="000000"/>
                <w:sz w:val="16"/>
              </w:rPr>
              <w:t>5.4.3</w:t>
            </w:r>
          </w:p>
        </w:tc>
        <w:tc>
          <w:tcPr>
            <w:tcW w:w="1289" w:type="dxa"/>
          </w:tcPr>
          <w:p>
            <w:pPr>
              <w:jc w:val="left"/>
              <w:rPr>
                <w:rFonts w:ascii="Calibri" w:eastAsia="Times New Roman" w:hAnsi="Calibri"/>
                <w:noProof/>
                <w:color w:val="000000"/>
                <w:sz w:val="16"/>
                <w:szCs w:val="16"/>
              </w:rPr>
            </w:pPr>
          </w:p>
        </w:tc>
      </w:tr>
      <w:tr>
        <w:trPr>
          <w:trHeight w:val="73"/>
        </w:trPr>
        <w:tc>
          <w:tcPr>
            <w:tcW w:w="5070" w:type="dxa"/>
          </w:tcPr>
          <w:p>
            <w:pPr>
              <w:jc w:val="left"/>
              <w:rPr>
                <w:rFonts w:ascii="Calibri" w:eastAsia="Times New Roman" w:hAnsi="Calibri"/>
                <w:b/>
                <w:bCs/>
                <w:noProof/>
                <w:sz w:val="16"/>
                <w:szCs w:val="16"/>
              </w:rPr>
            </w:pPr>
            <w:r>
              <w:rPr>
                <w:rFonts w:ascii="Calibri" w:hAnsi="Calibri"/>
                <w:b/>
                <w:noProof/>
                <w:sz w:val="16"/>
              </w:rPr>
              <w:t>Informations contenues dans le document de notification pour les transferts de déchets soumis à la procédure de la notification et du consentement écrits préalables en application de l’article 4 du règlement (CE) n° 1013/2006</w:t>
            </w:r>
          </w:p>
        </w:tc>
        <w:tc>
          <w:tcPr>
            <w:tcW w:w="1223" w:type="dxa"/>
          </w:tcPr>
          <w:p>
            <w:pPr>
              <w:jc w:val="left"/>
              <w:rPr>
                <w:rFonts w:ascii="Calibri" w:eastAsia="Times New Roman" w:hAnsi="Calibri"/>
                <w:noProof/>
                <w:color w:val="000000"/>
                <w:sz w:val="16"/>
                <w:szCs w:val="16"/>
              </w:rPr>
            </w:pPr>
          </w:p>
        </w:tc>
        <w:tc>
          <w:tcPr>
            <w:tcW w:w="1161" w:type="dxa"/>
          </w:tcPr>
          <w:p>
            <w:pPr>
              <w:jc w:val="left"/>
              <w:rPr>
                <w:rFonts w:ascii="Calibri" w:eastAsia="Times New Roman" w:hAnsi="Calibri"/>
                <w:noProof/>
                <w:color w:val="000000"/>
                <w:sz w:val="16"/>
                <w:szCs w:val="16"/>
              </w:rPr>
            </w:pPr>
          </w:p>
        </w:tc>
        <w:tc>
          <w:tcPr>
            <w:tcW w:w="1244" w:type="dxa"/>
          </w:tcPr>
          <w:p>
            <w:pPr>
              <w:jc w:val="left"/>
              <w:rPr>
                <w:rFonts w:ascii="Calibri" w:eastAsia="Times New Roman" w:hAnsi="Calibri"/>
                <w:noProof/>
                <w:color w:val="000000"/>
                <w:sz w:val="16"/>
                <w:szCs w:val="16"/>
              </w:rPr>
            </w:pPr>
          </w:p>
        </w:tc>
        <w:tc>
          <w:tcPr>
            <w:tcW w:w="1084" w:type="dxa"/>
          </w:tcPr>
          <w:p>
            <w:pPr>
              <w:jc w:val="left"/>
              <w:rPr>
                <w:rFonts w:ascii="Calibri" w:eastAsia="Times New Roman" w:hAnsi="Calibri"/>
                <w:noProof/>
                <w:color w:val="000000"/>
                <w:sz w:val="16"/>
                <w:szCs w:val="16"/>
              </w:rPr>
            </w:pPr>
          </w:p>
        </w:tc>
        <w:tc>
          <w:tcPr>
            <w:tcW w:w="1225" w:type="dxa"/>
          </w:tcPr>
          <w:p>
            <w:pPr>
              <w:jc w:val="left"/>
              <w:rPr>
                <w:rFonts w:ascii="Calibri" w:eastAsia="Times New Roman" w:hAnsi="Calibri"/>
                <w:noProof/>
                <w:color w:val="000000"/>
                <w:sz w:val="16"/>
                <w:szCs w:val="16"/>
              </w:rPr>
            </w:pPr>
          </w:p>
        </w:tc>
        <w:tc>
          <w:tcPr>
            <w:tcW w:w="1376" w:type="dxa"/>
          </w:tcPr>
          <w:p>
            <w:pPr>
              <w:jc w:val="left"/>
              <w:rPr>
                <w:rFonts w:ascii="Calibri" w:eastAsia="Times New Roman" w:hAnsi="Calibri"/>
                <w:noProof/>
                <w:color w:val="000000"/>
                <w:sz w:val="16"/>
                <w:szCs w:val="16"/>
              </w:rPr>
            </w:pPr>
          </w:p>
        </w:tc>
        <w:tc>
          <w:tcPr>
            <w:tcW w:w="1317" w:type="dxa"/>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r>
              <w:rPr>
                <w:rFonts w:ascii="Calibri" w:hAnsi="Calibri"/>
                <w:noProof/>
                <w:color w:val="000000"/>
                <w:sz w:val="16"/>
              </w:rPr>
              <w:t>Annexe I A</w:t>
            </w:r>
          </w:p>
        </w:tc>
      </w:tr>
      <w:tr>
        <w:trPr>
          <w:trHeight w:val="73"/>
        </w:trPr>
        <w:tc>
          <w:tcPr>
            <w:tcW w:w="5070" w:type="dxa"/>
          </w:tcPr>
          <w:p>
            <w:pPr>
              <w:jc w:val="left"/>
              <w:rPr>
                <w:rFonts w:ascii="Calibri" w:eastAsia="Times New Roman" w:hAnsi="Calibri"/>
                <w:b/>
                <w:bCs/>
                <w:noProof/>
                <w:sz w:val="16"/>
                <w:szCs w:val="16"/>
              </w:rPr>
            </w:pPr>
            <w:r>
              <w:rPr>
                <w:rFonts w:ascii="Calibri" w:hAnsi="Calibri"/>
                <w:b/>
                <w:noProof/>
                <w:sz w:val="16"/>
              </w:rPr>
              <w:t>Informations contenues dans le document de mouvement pour les transferts de déchets soumis à la procédure de la notification et du consentement écrits préalables en application de l’article 4 du règlement (CE) n° 1013/2006</w:t>
            </w:r>
          </w:p>
        </w:tc>
        <w:tc>
          <w:tcPr>
            <w:tcW w:w="1223" w:type="dxa"/>
          </w:tcPr>
          <w:p>
            <w:pPr>
              <w:jc w:val="left"/>
              <w:rPr>
                <w:rFonts w:ascii="Calibri" w:eastAsia="Times New Roman" w:hAnsi="Calibri"/>
                <w:noProof/>
                <w:color w:val="000000"/>
                <w:sz w:val="16"/>
                <w:szCs w:val="16"/>
              </w:rPr>
            </w:pPr>
          </w:p>
        </w:tc>
        <w:tc>
          <w:tcPr>
            <w:tcW w:w="1161" w:type="dxa"/>
          </w:tcPr>
          <w:p>
            <w:pPr>
              <w:jc w:val="left"/>
              <w:rPr>
                <w:rFonts w:ascii="Calibri" w:eastAsia="Times New Roman" w:hAnsi="Calibri"/>
                <w:noProof/>
                <w:color w:val="000000"/>
                <w:sz w:val="16"/>
                <w:szCs w:val="16"/>
              </w:rPr>
            </w:pPr>
          </w:p>
        </w:tc>
        <w:tc>
          <w:tcPr>
            <w:tcW w:w="1244" w:type="dxa"/>
          </w:tcPr>
          <w:p>
            <w:pPr>
              <w:jc w:val="left"/>
              <w:rPr>
                <w:rFonts w:ascii="Calibri" w:eastAsia="Times New Roman" w:hAnsi="Calibri"/>
                <w:noProof/>
                <w:color w:val="000000"/>
                <w:sz w:val="16"/>
                <w:szCs w:val="16"/>
              </w:rPr>
            </w:pPr>
          </w:p>
        </w:tc>
        <w:tc>
          <w:tcPr>
            <w:tcW w:w="1084" w:type="dxa"/>
          </w:tcPr>
          <w:p>
            <w:pPr>
              <w:jc w:val="left"/>
              <w:rPr>
                <w:rFonts w:ascii="Calibri" w:eastAsia="Times New Roman" w:hAnsi="Calibri"/>
                <w:noProof/>
                <w:color w:val="000000"/>
                <w:sz w:val="16"/>
                <w:szCs w:val="16"/>
              </w:rPr>
            </w:pPr>
          </w:p>
        </w:tc>
        <w:tc>
          <w:tcPr>
            <w:tcW w:w="1225" w:type="dxa"/>
          </w:tcPr>
          <w:p>
            <w:pPr>
              <w:jc w:val="left"/>
              <w:rPr>
                <w:rFonts w:ascii="Calibri" w:eastAsia="Times New Roman" w:hAnsi="Calibri"/>
                <w:noProof/>
                <w:color w:val="000000"/>
                <w:sz w:val="16"/>
                <w:szCs w:val="16"/>
              </w:rPr>
            </w:pPr>
          </w:p>
        </w:tc>
        <w:tc>
          <w:tcPr>
            <w:tcW w:w="1376" w:type="dxa"/>
          </w:tcPr>
          <w:p>
            <w:pPr>
              <w:jc w:val="left"/>
              <w:rPr>
                <w:rFonts w:ascii="Calibri" w:eastAsia="Times New Roman" w:hAnsi="Calibri"/>
                <w:noProof/>
                <w:color w:val="000000"/>
                <w:sz w:val="16"/>
                <w:szCs w:val="16"/>
              </w:rPr>
            </w:pPr>
          </w:p>
        </w:tc>
        <w:tc>
          <w:tcPr>
            <w:tcW w:w="1317" w:type="dxa"/>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r>
              <w:rPr>
                <w:rFonts w:ascii="Calibri" w:hAnsi="Calibri"/>
                <w:noProof/>
                <w:color w:val="000000"/>
                <w:sz w:val="16"/>
              </w:rPr>
              <w:t>Annexe I B</w:t>
            </w:r>
          </w:p>
        </w:tc>
      </w:tr>
      <w:tr>
        <w:trPr>
          <w:trHeight w:val="73"/>
        </w:trPr>
        <w:tc>
          <w:tcPr>
            <w:tcW w:w="5070" w:type="dxa"/>
          </w:tcPr>
          <w:p>
            <w:pPr>
              <w:jc w:val="left"/>
              <w:rPr>
                <w:rFonts w:ascii="Calibri" w:eastAsia="Times New Roman" w:hAnsi="Calibri"/>
                <w:b/>
                <w:bCs/>
                <w:noProof/>
                <w:sz w:val="16"/>
                <w:szCs w:val="16"/>
              </w:rPr>
            </w:pPr>
            <w:r>
              <w:rPr>
                <w:rFonts w:ascii="Calibri" w:hAnsi="Calibri"/>
                <w:b/>
                <w:noProof/>
                <w:sz w:val="16"/>
              </w:rPr>
              <w:t>Informations contenues dans le document accompagnant les transferts de déchets soumis aux exigences générales en matière d'informations en application de l’article 18 du règlement (CE) n° 1013/2006</w:t>
            </w:r>
          </w:p>
        </w:tc>
        <w:tc>
          <w:tcPr>
            <w:tcW w:w="1223" w:type="dxa"/>
          </w:tcPr>
          <w:p>
            <w:pPr>
              <w:jc w:val="left"/>
              <w:rPr>
                <w:rFonts w:ascii="Calibri" w:eastAsia="Times New Roman" w:hAnsi="Calibri"/>
                <w:noProof/>
                <w:color w:val="000000"/>
                <w:sz w:val="16"/>
                <w:szCs w:val="16"/>
              </w:rPr>
            </w:pPr>
          </w:p>
        </w:tc>
        <w:tc>
          <w:tcPr>
            <w:tcW w:w="1161" w:type="dxa"/>
          </w:tcPr>
          <w:p>
            <w:pPr>
              <w:jc w:val="left"/>
              <w:rPr>
                <w:rFonts w:ascii="Calibri" w:eastAsia="Times New Roman" w:hAnsi="Calibri"/>
                <w:noProof/>
                <w:color w:val="000000"/>
                <w:sz w:val="16"/>
                <w:szCs w:val="16"/>
              </w:rPr>
            </w:pPr>
          </w:p>
        </w:tc>
        <w:tc>
          <w:tcPr>
            <w:tcW w:w="1244" w:type="dxa"/>
          </w:tcPr>
          <w:p>
            <w:pPr>
              <w:jc w:val="left"/>
              <w:rPr>
                <w:rFonts w:ascii="Calibri" w:eastAsia="Times New Roman" w:hAnsi="Calibri"/>
                <w:noProof/>
                <w:color w:val="000000"/>
                <w:sz w:val="16"/>
                <w:szCs w:val="16"/>
              </w:rPr>
            </w:pPr>
          </w:p>
        </w:tc>
        <w:tc>
          <w:tcPr>
            <w:tcW w:w="1084" w:type="dxa"/>
          </w:tcPr>
          <w:p>
            <w:pPr>
              <w:jc w:val="left"/>
              <w:rPr>
                <w:rFonts w:ascii="Calibri" w:eastAsia="Times New Roman" w:hAnsi="Calibri"/>
                <w:noProof/>
                <w:color w:val="000000"/>
                <w:sz w:val="16"/>
                <w:szCs w:val="16"/>
              </w:rPr>
            </w:pPr>
          </w:p>
        </w:tc>
        <w:tc>
          <w:tcPr>
            <w:tcW w:w="1225" w:type="dxa"/>
          </w:tcPr>
          <w:p>
            <w:pPr>
              <w:jc w:val="left"/>
              <w:rPr>
                <w:rFonts w:ascii="Calibri" w:eastAsia="Times New Roman" w:hAnsi="Calibri"/>
                <w:noProof/>
                <w:color w:val="000000"/>
                <w:sz w:val="16"/>
                <w:szCs w:val="16"/>
              </w:rPr>
            </w:pPr>
          </w:p>
        </w:tc>
        <w:tc>
          <w:tcPr>
            <w:tcW w:w="1376" w:type="dxa"/>
          </w:tcPr>
          <w:p>
            <w:pPr>
              <w:jc w:val="left"/>
              <w:rPr>
                <w:rFonts w:ascii="Calibri" w:eastAsia="Times New Roman" w:hAnsi="Calibri"/>
                <w:noProof/>
                <w:color w:val="000000"/>
                <w:sz w:val="16"/>
                <w:szCs w:val="16"/>
              </w:rPr>
            </w:pPr>
          </w:p>
        </w:tc>
        <w:tc>
          <w:tcPr>
            <w:tcW w:w="1317" w:type="dxa"/>
          </w:tcPr>
          <w:p>
            <w:pPr>
              <w:jc w:val="left"/>
              <w:rPr>
                <w:rFonts w:ascii="Calibri" w:eastAsia="Times New Roman" w:hAnsi="Calibri"/>
                <w:noProof/>
                <w:color w:val="000000"/>
                <w:sz w:val="16"/>
                <w:szCs w:val="16"/>
              </w:rPr>
            </w:pPr>
          </w:p>
        </w:tc>
        <w:tc>
          <w:tcPr>
            <w:tcW w:w="1289" w:type="dxa"/>
          </w:tcPr>
          <w:p>
            <w:pPr>
              <w:jc w:val="left"/>
              <w:rPr>
                <w:rFonts w:ascii="Calibri" w:eastAsia="Times New Roman" w:hAnsi="Calibri"/>
                <w:noProof/>
                <w:color w:val="000000"/>
                <w:sz w:val="16"/>
                <w:szCs w:val="16"/>
              </w:rPr>
            </w:pPr>
            <w:r>
              <w:rPr>
                <w:rFonts w:ascii="Calibri" w:hAnsi="Calibri"/>
                <w:noProof/>
                <w:color w:val="000000"/>
                <w:sz w:val="16"/>
              </w:rPr>
              <w:t>Annexe VII</w:t>
            </w:r>
          </w:p>
        </w:tc>
      </w:tr>
    </w:tbl>
    <w:p>
      <w:pPr>
        <w:rPr>
          <w:noProof/>
        </w:rPr>
      </w:pPr>
    </w:p>
    <w:p>
      <w:pPr>
        <w:spacing w:before="0" w:after="200" w:line="276" w:lineRule="auto"/>
        <w:jc w:val="left"/>
        <w:rPr>
          <w:b/>
          <w:noProof/>
        </w:rPr>
      </w:pPr>
      <w:r>
        <w:rPr>
          <w:b/>
          <w:noProof/>
        </w:rPr>
        <w:t>Législation des États membres</w:t>
      </w:r>
    </w:p>
    <w:p>
      <w:pPr>
        <w:rPr>
          <w:noProof/>
        </w:rPr>
      </w:pPr>
      <w:r>
        <w:rPr>
          <w:noProof/>
        </w:rPr>
        <w:t>Le tableau ci-dessous répertorie les législations nationales pertinentes des États membres traitant de questions régies par le titre VI de la troisième partie du traité et exigeant la fourniture d’informations identiques, en tout ou en partie, aux informations visées au point A de la présente annexe.</w:t>
      </w:r>
    </w:p>
    <w:p>
      <w:pPr>
        <w:rPr>
          <w:noProof/>
        </w:rPr>
      </w:pPr>
      <w:r>
        <w:rPr>
          <w:noProof/>
        </w:rPr>
        <w:t>[</w:t>
      </w:r>
      <w:r>
        <w:rPr>
          <w:b/>
          <w:noProof/>
        </w:rPr>
        <w:t>État membre</w:t>
      </w:r>
      <w:r>
        <w:rPr>
          <w:noProof/>
        </w:rPr>
        <w:t>]</w:t>
      </w:r>
    </w:p>
    <w:tbl>
      <w:tblPr>
        <w:tblStyle w:val="TableGrid"/>
        <w:tblW w:w="9939" w:type="dxa"/>
        <w:tblLook w:val="04A0" w:firstRow="1" w:lastRow="0" w:firstColumn="1" w:lastColumn="0" w:noHBand="0" w:noVBand="1"/>
      </w:tblPr>
      <w:tblGrid>
        <w:gridCol w:w="5070"/>
        <w:gridCol w:w="1289"/>
        <w:gridCol w:w="1161"/>
        <w:gridCol w:w="1335"/>
        <w:gridCol w:w="1084"/>
      </w:tblGrid>
      <w:tr>
        <w:trPr>
          <w:trHeight w:val="1216"/>
        </w:trPr>
        <w:tc>
          <w:tcPr>
            <w:tcW w:w="5070" w:type="dxa"/>
            <w:noWrap/>
            <w:hideMark/>
          </w:tcPr>
          <w:p>
            <w:pPr>
              <w:jc w:val="left"/>
              <w:rPr>
                <w:rFonts w:ascii="Calibri" w:eastAsia="Times New Roman" w:hAnsi="Calibri"/>
                <w:b/>
                <w:bCs/>
                <w:noProof/>
                <w:color w:val="000000"/>
                <w:szCs w:val="24"/>
              </w:rPr>
            </w:pPr>
            <w:r>
              <w:rPr>
                <w:rFonts w:ascii="Calibri" w:hAnsi="Calibri"/>
                <w:b/>
                <w:noProof/>
                <w:color w:val="000000"/>
              </w:rPr>
              <w:t>Législation</w:t>
            </w:r>
          </w:p>
          <w:p>
            <w:pPr>
              <w:jc w:val="left"/>
              <w:rPr>
                <w:rFonts w:ascii="Calibri" w:eastAsia="Times New Roman" w:hAnsi="Calibri"/>
                <w:b/>
                <w:bCs/>
                <w:noProof/>
                <w:color w:val="000000"/>
                <w:szCs w:val="24"/>
              </w:rPr>
            </w:pPr>
          </w:p>
          <w:p>
            <w:pPr>
              <w:jc w:val="left"/>
              <w:rPr>
                <w:rFonts w:ascii="Calibri" w:eastAsia="Times New Roman" w:hAnsi="Calibri"/>
                <w:b/>
                <w:bCs/>
                <w:noProof/>
                <w:color w:val="000000"/>
                <w:szCs w:val="24"/>
              </w:rPr>
            </w:pPr>
          </w:p>
          <w:p>
            <w:pPr>
              <w:jc w:val="left"/>
              <w:rPr>
                <w:rFonts w:ascii="Calibri" w:eastAsia="Times New Roman" w:hAnsi="Calibri"/>
                <w:b/>
                <w:bCs/>
                <w:noProof/>
                <w:color w:val="000000"/>
                <w:sz w:val="28"/>
                <w:szCs w:val="28"/>
              </w:rPr>
            </w:pPr>
            <w:r>
              <w:rPr>
                <w:rFonts w:ascii="Calibri" w:hAnsi="Calibri"/>
                <w:b/>
                <w:noProof/>
                <w:color w:val="000000"/>
              </w:rPr>
              <w:t>Élément d’information</w:t>
            </w:r>
          </w:p>
        </w:tc>
        <w:tc>
          <w:tcPr>
            <w:tcW w:w="1289" w:type="dxa"/>
            <w:hideMark/>
          </w:tcPr>
          <w:p>
            <w:pPr>
              <w:jc w:val="left"/>
              <w:rPr>
                <w:rFonts w:ascii="Calibri" w:eastAsia="Times New Roman" w:hAnsi="Calibri"/>
                <w:b/>
                <w:bCs/>
                <w:noProof/>
                <w:color w:val="000000"/>
                <w:sz w:val="16"/>
                <w:szCs w:val="16"/>
              </w:rPr>
            </w:pPr>
            <w:r>
              <w:rPr>
                <w:rFonts w:ascii="Calibri" w:hAnsi="Calibri"/>
                <w:b/>
                <w:noProof/>
                <w:color w:val="000000"/>
                <w:sz w:val="16"/>
              </w:rPr>
              <w:t>[Référence législative]</w:t>
            </w:r>
          </w:p>
        </w:tc>
        <w:tc>
          <w:tcPr>
            <w:tcW w:w="1161" w:type="dxa"/>
            <w:hideMark/>
          </w:tcPr>
          <w:p>
            <w:pPr>
              <w:jc w:val="left"/>
              <w:rPr>
                <w:rFonts w:ascii="Calibri" w:eastAsia="Times New Roman" w:hAnsi="Calibri"/>
                <w:b/>
                <w:bCs/>
                <w:noProof/>
                <w:color w:val="000000"/>
                <w:sz w:val="16"/>
                <w:szCs w:val="16"/>
              </w:rPr>
            </w:pPr>
            <w:r>
              <w:rPr>
                <w:rFonts w:ascii="Calibri" w:hAnsi="Calibri"/>
                <w:b/>
                <w:noProof/>
                <w:color w:val="000000"/>
                <w:sz w:val="16"/>
              </w:rPr>
              <w:t>[Référence législative]</w:t>
            </w:r>
          </w:p>
        </w:tc>
        <w:tc>
          <w:tcPr>
            <w:tcW w:w="1335" w:type="dxa"/>
            <w:hideMark/>
          </w:tcPr>
          <w:p>
            <w:pPr>
              <w:jc w:val="left"/>
              <w:rPr>
                <w:rFonts w:ascii="Calibri" w:eastAsia="Times New Roman" w:hAnsi="Calibri"/>
                <w:b/>
                <w:bCs/>
                <w:noProof/>
                <w:color w:val="000000"/>
                <w:sz w:val="16"/>
                <w:szCs w:val="16"/>
              </w:rPr>
            </w:pPr>
            <w:r>
              <w:rPr>
                <w:rFonts w:ascii="Calibri" w:hAnsi="Calibri"/>
                <w:b/>
                <w:noProof/>
                <w:color w:val="000000"/>
                <w:sz w:val="16"/>
              </w:rPr>
              <w:t>[…]</w:t>
            </w:r>
          </w:p>
        </w:tc>
        <w:tc>
          <w:tcPr>
            <w:tcW w:w="1084" w:type="dxa"/>
            <w:hideMark/>
          </w:tcPr>
          <w:p>
            <w:pPr>
              <w:jc w:val="left"/>
              <w:rPr>
                <w:rFonts w:ascii="Calibri" w:eastAsia="Times New Roman" w:hAnsi="Calibri"/>
                <w:b/>
                <w:bCs/>
                <w:noProof/>
                <w:color w:val="000000"/>
                <w:sz w:val="16"/>
                <w:szCs w:val="16"/>
              </w:rPr>
            </w:pPr>
            <w:r>
              <w:rPr>
                <w:rFonts w:ascii="Calibri" w:hAnsi="Calibri"/>
                <w:b/>
                <w:noProof/>
                <w:color w:val="000000"/>
                <w:sz w:val="16"/>
              </w:rPr>
              <w:t>[Référence législative]</w:t>
            </w:r>
          </w:p>
        </w:tc>
      </w:tr>
      <w:tr>
        <w:trPr>
          <w:trHeight w:val="412"/>
        </w:trPr>
        <w:tc>
          <w:tcPr>
            <w:tcW w:w="5070" w:type="dxa"/>
            <w:hideMark/>
          </w:tcPr>
          <w:p>
            <w:pPr>
              <w:jc w:val="left"/>
              <w:rPr>
                <w:rFonts w:ascii="Calibri" w:eastAsia="Times New Roman" w:hAnsi="Calibri"/>
                <w:b/>
                <w:bCs/>
                <w:noProof/>
                <w:color w:val="000000"/>
                <w:sz w:val="16"/>
                <w:szCs w:val="16"/>
              </w:rPr>
            </w:pPr>
            <w:r>
              <w:rPr>
                <w:rFonts w:ascii="Calibri" w:hAnsi="Calibri"/>
                <w:b/>
                <w:noProof/>
                <w:color w:val="000000"/>
                <w:sz w:val="16"/>
              </w:rPr>
              <w:t>[Élément d’information tel que spécifié dans l’article correspondant de l’acte juridique]</w:t>
            </w:r>
          </w:p>
        </w:tc>
        <w:tc>
          <w:tcPr>
            <w:tcW w:w="1289" w:type="dxa"/>
            <w:hideMark/>
          </w:tcPr>
          <w:p>
            <w:pPr>
              <w:jc w:val="left"/>
              <w:rPr>
                <w:rFonts w:ascii="Calibri" w:eastAsia="Times New Roman" w:hAnsi="Calibri"/>
                <w:noProof/>
                <w:color w:val="000000"/>
                <w:sz w:val="16"/>
                <w:szCs w:val="16"/>
              </w:rPr>
            </w:pPr>
            <w:r>
              <w:rPr>
                <w:rFonts w:ascii="Calibri" w:hAnsi="Calibri"/>
                <w:noProof/>
                <w:color w:val="000000"/>
                <w:sz w:val="16"/>
              </w:rPr>
              <w:t>[Référence de l’article]</w:t>
            </w:r>
          </w:p>
        </w:tc>
        <w:tc>
          <w:tcPr>
            <w:tcW w:w="1161" w:type="dxa"/>
            <w:hideMark/>
          </w:tcPr>
          <w:p>
            <w:pPr>
              <w:jc w:val="left"/>
              <w:rPr>
                <w:rFonts w:ascii="Calibri" w:eastAsia="Times New Roman" w:hAnsi="Calibri"/>
                <w:noProof/>
                <w:color w:val="000000"/>
                <w:sz w:val="16"/>
                <w:szCs w:val="16"/>
              </w:rPr>
            </w:pPr>
            <w:r>
              <w:rPr>
                <w:rFonts w:ascii="Calibri" w:hAnsi="Calibri"/>
                <w:noProof/>
                <w:color w:val="000000"/>
                <w:sz w:val="16"/>
              </w:rPr>
              <w:t>[Référence de l’article]</w:t>
            </w:r>
          </w:p>
        </w:tc>
        <w:tc>
          <w:tcPr>
            <w:tcW w:w="1335" w:type="dxa"/>
            <w:hideMark/>
          </w:tcPr>
          <w:p>
            <w:pPr>
              <w:jc w:val="left"/>
              <w:rPr>
                <w:rFonts w:ascii="Calibri" w:eastAsia="Times New Roman" w:hAnsi="Calibri"/>
                <w:noProof/>
                <w:color w:val="000000"/>
                <w:sz w:val="16"/>
                <w:szCs w:val="16"/>
              </w:rPr>
            </w:pPr>
          </w:p>
        </w:tc>
        <w:tc>
          <w:tcPr>
            <w:tcW w:w="1084" w:type="dxa"/>
            <w:hideMark/>
          </w:tcPr>
          <w:p>
            <w:pPr>
              <w:jc w:val="left"/>
              <w:rPr>
                <w:rFonts w:ascii="Calibri" w:eastAsia="Times New Roman" w:hAnsi="Calibri"/>
                <w:noProof/>
                <w:color w:val="000000"/>
                <w:sz w:val="16"/>
                <w:szCs w:val="16"/>
              </w:rPr>
            </w:pPr>
            <w:r>
              <w:rPr>
                <w:rFonts w:ascii="Calibri" w:hAnsi="Calibri"/>
                <w:noProof/>
                <w:color w:val="000000"/>
                <w:sz w:val="16"/>
              </w:rPr>
              <w:t> [Référence de l’article]</w:t>
            </w:r>
          </w:p>
        </w:tc>
      </w:tr>
      <w:tr>
        <w:trPr>
          <w:trHeight w:val="412"/>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w:t>
            </w:r>
          </w:p>
        </w:tc>
        <w:tc>
          <w:tcPr>
            <w:tcW w:w="1289" w:type="dxa"/>
          </w:tcPr>
          <w:p>
            <w:pPr>
              <w:jc w:val="left"/>
              <w:rPr>
                <w:rFonts w:ascii="Calibri" w:eastAsia="Times New Roman" w:hAnsi="Calibri"/>
                <w:noProof/>
                <w:color w:val="000000"/>
                <w:sz w:val="16"/>
                <w:szCs w:val="16"/>
              </w:rPr>
            </w:pPr>
            <w:r>
              <w:rPr>
                <w:rFonts w:ascii="Calibri" w:hAnsi="Calibri"/>
                <w:b/>
                <w:noProof/>
                <w:color w:val="000000"/>
                <w:sz w:val="16"/>
              </w:rPr>
              <w:t>[…]</w:t>
            </w:r>
          </w:p>
        </w:tc>
        <w:tc>
          <w:tcPr>
            <w:tcW w:w="1161" w:type="dxa"/>
          </w:tcPr>
          <w:p>
            <w:pPr>
              <w:jc w:val="left"/>
              <w:rPr>
                <w:rFonts w:ascii="Calibri" w:eastAsia="Times New Roman" w:hAnsi="Calibri"/>
                <w:noProof/>
                <w:color w:val="000000"/>
                <w:sz w:val="16"/>
                <w:szCs w:val="16"/>
              </w:rPr>
            </w:pPr>
            <w:r>
              <w:rPr>
                <w:rFonts w:ascii="Calibri" w:hAnsi="Calibri"/>
                <w:b/>
                <w:noProof/>
                <w:color w:val="000000"/>
                <w:sz w:val="16"/>
              </w:rPr>
              <w:t>[…]</w:t>
            </w:r>
          </w:p>
        </w:tc>
        <w:tc>
          <w:tcPr>
            <w:tcW w:w="1335" w:type="dxa"/>
          </w:tcPr>
          <w:p>
            <w:pPr>
              <w:jc w:val="left"/>
              <w:rPr>
                <w:rFonts w:ascii="Calibri" w:eastAsia="Times New Roman" w:hAnsi="Calibri"/>
                <w:noProof/>
                <w:color w:val="000000"/>
                <w:sz w:val="16"/>
                <w:szCs w:val="16"/>
              </w:rPr>
            </w:pPr>
            <w:r>
              <w:rPr>
                <w:rFonts w:ascii="Calibri" w:hAnsi="Calibri"/>
                <w:b/>
                <w:noProof/>
                <w:color w:val="000000"/>
                <w:sz w:val="16"/>
              </w:rPr>
              <w:t>[…]</w:t>
            </w:r>
          </w:p>
        </w:tc>
        <w:tc>
          <w:tcPr>
            <w:tcW w:w="1084" w:type="dxa"/>
          </w:tcPr>
          <w:p>
            <w:pPr>
              <w:jc w:val="left"/>
              <w:rPr>
                <w:rFonts w:ascii="Calibri" w:eastAsia="Times New Roman" w:hAnsi="Calibri"/>
                <w:noProof/>
                <w:color w:val="000000"/>
                <w:sz w:val="16"/>
                <w:szCs w:val="16"/>
              </w:rPr>
            </w:pPr>
            <w:r>
              <w:rPr>
                <w:rFonts w:ascii="Calibri" w:hAnsi="Calibri"/>
                <w:b/>
                <w:noProof/>
                <w:color w:val="000000"/>
                <w:sz w:val="16"/>
              </w:rPr>
              <w:t>[…]</w:t>
            </w:r>
          </w:p>
        </w:tc>
      </w:tr>
      <w:tr>
        <w:trPr>
          <w:trHeight w:val="412"/>
        </w:trPr>
        <w:tc>
          <w:tcPr>
            <w:tcW w:w="5070" w:type="dxa"/>
            <w:hideMark/>
          </w:tcPr>
          <w:p>
            <w:pPr>
              <w:jc w:val="left"/>
              <w:rPr>
                <w:rFonts w:ascii="Calibri" w:eastAsia="Times New Roman" w:hAnsi="Calibri"/>
                <w:b/>
                <w:bCs/>
                <w:noProof/>
                <w:color w:val="000000"/>
                <w:sz w:val="16"/>
                <w:szCs w:val="16"/>
              </w:rPr>
            </w:pPr>
            <w:r>
              <w:rPr>
                <w:rFonts w:ascii="Calibri" w:hAnsi="Calibri"/>
                <w:b/>
                <w:noProof/>
                <w:color w:val="000000"/>
                <w:sz w:val="16"/>
              </w:rPr>
              <w:t>[Élément d’information tel que spécifié dans l’article correspondant de l’acte juridique]</w:t>
            </w:r>
          </w:p>
        </w:tc>
        <w:tc>
          <w:tcPr>
            <w:tcW w:w="1289" w:type="dxa"/>
            <w:hideMark/>
          </w:tcPr>
          <w:p>
            <w:pPr>
              <w:jc w:val="left"/>
              <w:rPr>
                <w:rFonts w:ascii="Calibri" w:eastAsia="Times New Roman" w:hAnsi="Calibri"/>
                <w:noProof/>
                <w:color w:val="000000"/>
                <w:sz w:val="16"/>
                <w:szCs w:val="16"/>
              </w:rPr>
            </w:pPr>
            <w:r>
              <w:rPr>
                <w:rFonts w:ascii="Calibri" w:hAnsi="Calibri"/>
                <w:noProof/>
                <w:color w:val="000000"/>
                <w:sz w:val="16"/>
              </w:rPr>
              <w:t>[Référence de l’article]</w:t>
            </w:r>
          </w:p>
        </w:tc>
        <w:tc>
          <w:tcPr>
            <w:tcW w:w="1161" w:type="dxa"/>
            <w:hideMark/>
          </w:tcPr>
          <w:p>
            <w:pPr>
              <w:jc w:val="left"/>
              <w:rPr>
                <w:rFonts w:ascii="Calibri" w:eastAsia="Times New Roman" w:hAnsi="Calibri"/>
                <w:noProof/>
                <w:color w:val="000000"/>
                <w:sz w:val="16"/>
                <w:szCs w:val="16"/>
              </w:rPr>
            </w:pPr>
            <w:r>
              <w:rPr>
                <w:rFonts w:ascii="Calibri" w:hAnsi="Calibri"/>
                <w:noProof/>
                <w:color w:val="000000"/>
                <w:sz w:val="16"/>
              </w:rPr>
              <w:t>[Référence de l’article]</w:t>
            </w:r>
          </w:p>
        </w:tc>
        <w:tc>
          <w:tcPr>
            <w:tcW w:w="1335" w:type="dxa"/>
            <w:hideMark/>
          </w:tcPr>
          <w:p>
            <w:pPr>
              <w:jc w:val="left"/>
              <w:rPr>
                <w:rFonts w:ascii="Calibri" w:eastAsia="Times New Roman" w:hAnsi="Calibri"/>
                <w:noProof/>
                <w:color w:val="000000"/>
                <w:sz w:val="16"/>
                <w:szCs w:val="16"/>
              </w:rPr>
            </w:pPr>
            <w:r>
              <w:rPr>
                <w:rFonts w:ascii="Calibri" w:hAnsi="Calibri"/>
                <w:b/>
                <w:noProof/>
                <w:color w:val="000000"/>
                <w:sz w:val="16"/>
              </w:rPr>
              <w:t>[…]</w:t>
            </w:r>
          </w:p>
        </w:tc>
        <w:tc>
          <w:tcPr>
            <w:tcW w:w="1084" w:type="dxa"/>
            <w:hideMark/>
          </w:tcPr>
          <w:p>
            <w:pPr>
              <w:jc w:val="left"/>
              <w:rPr>
                <w:rFonts w:ascii="Calibri" w:eastAsia="Times New Roman" w:hAnsi="Calibri"/>
                <w:noProof/>
                <w:color w:val="000000"/>
                <w:sz w:val="16"/>
                <w:szCs w:val="16"/>
              </w:rPr>
            </w:pPr>
            <w:r>
              <w:rPr>
                <w:rFonts w:ascii="Calibri" w:hAnsi="Calibri"/>
                <w:noProof/>
                <w:color w:val="000000"/>
                <w:sz w:val="16"/>
              </w:rPr>
              <w:t> [Référence de l’article]</w:t>
            </w:r>
          </w:p>
        </w:tc>
      </w:tr>
    </w:tbl>
    <w:p>
      <w:pPr>
        <w:rPr>
          <w:noProof/>
        </w:rPr>
      </w:pPr>
    </w:p>
    <w:p>
      <w:pPr>
        <w:rPr>
          <w:noProof/>
        </w:rPr>
      </w:pPr>
      <w:r>
        <w:rPr>
          <w:noProof/>
        </w:rPr>
        <w:t>[</w:t>
      </w:r>
      <w:r>
        <w:rPr>
          <w:b/>
          <w:noProof/>
        </w:rPr>
        <w:t>État membre</w:t>
      </w:r>
      <w:r>
        <w:rPr>
          <w:noProof/>
        </w:rPr>
        <w:t>]</w:t>
      </w:r>
    </w:p>
    <w:tbl>
      <w:tblPr>
        <w:tblStyle w:val="TableGrid"/>
        <w:tblW w:w="9939" w:type="dxa"/>
        <w:tblLook w:val="04A0" w:firstRow="1" w:lastRow="0" w:firstColumn="1" w:lastColumn="0" w:noHBand="0" w:noVBand="1"/>
      </w:tblPr>
      <w:tblGrid>
        <w:gridCol w:w="5070"/>
        <w:gridCol w:w="1289"/>
        <w:gridCol w:w="1161"/>
        <w:gridCol w:w="1335"/>
        <w:gridCol w:w="1084"/>
      </w:tblGrid>
      <w:tr>
        <w:trPr>
          <w:trHeight w:val="1216"/>
        </w:trPr>
        <w:tc>
          <w:tcPr>
            <w:tcW w:w="5070" w:type="dxa"/>
            <w:noWrap/>
            <w:hideMark/>
          </w:tcPr>
          <w:p>
            <w:pPr>
              <w:jc w:val="left"/>
              <w:rPr>
                <w:rFonts w:ascii="Calibri" w:eastAsia="Times New Roman" w:hAnsi="Calibri"/>
                <w:b/>
                <w:bCs/>
                <w:noProof/>
                <w:color w:val="000000"/>
                <w:szCs w:val="24"/>
              </w:rPr>
            </w:pPr>
            <w:r>
              <w:rPr>
                <w:rFonts w:ascii="Calibri" w:hAnsi="Calibri"/>
                <w:b/>
                <w:noProof/>
                <w:color w:val="000000"/>
              </w:rPr>
              <w:t>Législation</w:t>
            </w:r>
          </w:p>
          <w:p>
            <w:pPr>
              <w:jc w:val="left"/>
              <w:rPr>
                <w:rFonts w:ascii="Calibri" w:eastAsia="Times New Roman" w:hAnsi="Calibri"/>
                <w:b/>
                <w:bCs/>
                <w:noProof/>
                <w:color w:val="000000"/>
                <w:szCs w:val="24"/>
              </w:rPr>
            </w:pPr>
          </w:p>
          <w:p>
            <w:pPr>
              <w:jc w:val="left"/>
              <w:rPr>
                <w:rFonts w:ascii="Calibri" w:eastAsia="Times New Roman" w:hAnsi="Calibri"/>
                <w:b/>
                <w:bCs/>
                <w:noProof/>
                <w:color w:val="000000"/>
                <w:szCs w:val="24"/>
              </w:rPr>
            </w:pPr>
          </w:p>
          <w:p>
            <w:pPr>
              <w:jc w:val="left"/>
              <w:rPr>
                <w:rFonts w:ascii="Calibri" w:eastAsia="Times New Roman" w:hAnsi="Calibri"/>
                <w:b/>
                <w:bCs/>
                <w:noProof/>
                <w:color w:val="000000"/>
                <w:sz w:val="28"/>
                <w:szCs w:val="28"/>
              </w:rPr>
            </w:pPr>
            <w:r>
              <w:rPr>
                <w:rFonts w:ascii="Calibri" w:hAnsi="Calibri"/>
                <w:b/>
                <w:noProof/>
                <w:color w:val="000000"/>
              </w:rPr>
              <w:t>Élément d’information</w:t>
            </w:r>
          </w:p>
        </w:tc>
        <w:tc>
          <w:tcPr>
            <w:tcW w:w="1289" w:type="dxa"/>
            <w:hideMark/>
          </w:tcPr>
          <w:p>
            <w:pPr>
              <w:jc w:val="left"/>
              <w:rPr>
                <w:rFonts w:ascii="Calibri" w:eastAsia="Times New Roman" w:hAnsi="Calibri"/>
                <w:b/>
                <w:bCs/>
                <w:noProof/>
                <w:color w:val="000000"/>
                <w:sz w:val="16"/>
                <w:szCs w:val="16"/>
              </w:rPr>
            </w:pPr>
            <w:r>
              <w:rPr>
                <w:rFonts w:ascii="Calibri" w:hAnsi="Calibri"/>
                <w:b/>
                <w:noProof/>
                <w:color w:val="000000"/>
                <w:sz w:val="16"/>
              </w:rPr>
              <w:t>[Référence législative]</w:t>
            </w:r>
          </w:p>
        </w:tc>
        <w:tc>
          <w:tcPr>
            <w:tcW w:w="1161" w:type="dxa"/>
            <w:hideMark/>
          </w:tcPr>
          <w:p>
            <w:pPr>
              <w:jc w:val="left"/>
              <w:rPr>
                <w:rFonts w:ascii="Calibri" w:eastAsia="Times New Roman" w:hAnsi="Calibri"/>
                <w:b/>
                <w:bCs/>
                <w:noProof/>
                <w:color w:val="000000"/>
                <w:sz w:val="16"/>
                <w:szCs w:val="16"/>
              </w:rPr>
            </w:pPr>
            <w:r>
              <w:rPr>
                <w:rFonts w:ascii="Calibri" w:hAnsi="Calibri"/>
                <w:b/>
                <w:noProof/>
                <w:color w:val="000000"/>
                <w:sz w:val="16"/>
              </w:rPr>
              <w:t>[Référence législative]</w:t>
            </w:r>
          </w:p>
        </w:tc>
        <w:tc>
          <w:tcPr>
            <w:tcW w:w="1335" w:type="dxa"/>
            <w:hideMark/>
          </w:tcPr>
          <w:p>
            <w:pPr>
              <w:jc w:val="left"/>
              <w:rPr>
                <w:rFonts w:ascii="Calibri" w:eastAsia="Times New Roman" w:hAnsi="Calibri"/>
                <w:b/>
                <w:bCs/>
                <w:noProof/>
                <w:color w:val="000000"/>
                <w:sz w:val="16"/>
                <w:szCs w:val="16"/>
              </w:rPr>
            </w:pPr>
            <w:r>
              <w:rPr>
                <w:rFonts w:ascii="Calibri" w:hAnsi="Calibri"/>
                <w:b/>
                <w:noProof/>
                <w:color w:val="000000"/>
                <w:sz w:val="16"/>
              </w:rPr>
              <w:t>[…]</w:t>
            </w:r>
          </w:p>
        </w:tc>
        <w:tc>
          <w:tcPr>
            <w:tcW w:w="1084" w:type="dxa"/>
            <w:hideMark/>
          </w:tcPr>
          <w:p>
            <w:pPr>
              <w:jc w:val="left"/>
              <w:rPr>
                <w:rFonts w:ascii="Calibri" w:eastAsia="Times New Roman" w:hAnsi="Calibri"/>
                <w:b/>
                <w:bCs/>
                <w:noProof/>
                <w:color w:val="000000"/>
                <w:sz w:val="16"/>
                <w:szCs w:val="16"/>
              </w:rPr>
            </w:pPr>
            <w:r>
              <w:rPr>
                <w:rFonts w:ascii="Calibri" w:hAnsi="Calibri"/>
                <w:b/>
                <w:noProof/>
                <w:color w:val="000000"/>
                <w:sz w:val="16"/>
              </w:rPr>
              <w:t>[Référence législative]</w:t>
            </w:r>
          </w:p>
        </w:tc>
      </w:tr>
      <w:tr>
        <w:trPr>
          <w:trHeight w:val="412"/>
        </w:trPr>
        <w:tc>
          <w:tcPr>
            <w:tcW w:w="5070" w:type="dxa"/>
            <w:hideMark/>
          </w:tcPr>
          <w:p>
            <w:pPr>
              <w:jc w:val="left"/>
              <w:rPr>
                <w:rFonts w:ascii="Calibri" w:eastAsia="Times New Roman" w:hAnsi="Calibri"/>
                <w:b/>
                <w:bCs/>
                <w:noProof/>
                <w:color w:val="000000"/>
                <w:sz w:val="16"/>
                <w:szCs w:val="16"/>
              </w:rPr>
            </w:pPr>
            <w:r>
              <w:rPr>
                <w:rFonts w:ascii="Calibri" w:hAnsi="Calibri"/>
                <w:b/>
                <w:noProof/>
                <w:color w:val="000000"/>
                <w:sz w:val="16"/>
              </w:rPr>
              <w:t>[Élément d’information tel que spécifié dans l’article correspondant de l’acte juridique]</w:t>
            </w:r>
          </w:p>
        </w:tc>
        <w:tc>
          <w:tcPr>
            <w:tcW w:w="1289" w:type="dxa"/>
            <w:hideMark/>
          </w:tcPr>
          <w:p>
            <w:pPr>
              <w:jc w:val="left"/>
              <w:rPr>
                <w:rFonts w:ascii="Calibri" w:eastAsia="Times New Roman" w:hAnsi="Calibri"/>
                <w:noProof/>
                <w:color w:val="000000"/>
                <w:sz w:val="16"/>
                <w:szCs w:val="16"/>
              </w:rPr>
            </w:pPr>
            <w:r>
              <w:rPr>
                <w:rFonts w:ascii="Calibri" w:hAnsi="Calibri"/>
                <w:noProof/>
                <w:color w:val="000000"/>
                <w:sz w:val="16"/>
              </w:rPr>
              <w:t>[Référence de l’article]</w:t>
            </w:r>
          </w:p>
        </w:tc>
        <w:tc>
          <w:tcPr>
            <w:tcW w:w="1161" w:type="dxa"/>
            <w:hideMark/>
          </w:tcPr>
          <w:p>
            <w:pPr>
              <w:jc w:val="left"/>
              <w:rPr>
                <w:rFonts w:ascii="Calibri" w:eastAsia="Times New Roman" w:hAnsi="Calibri"/>
                <w:noProof/>
                <w:color w:val="000000"/>
                <w:sz w:val="16"/>
                <w:szCs w:val="16"/>
              </w:rPr>
            </w:pPr>
            <w:r>
              <w:rPr>
                <w:rFonts w:ascii="Calibri" w:hAnsi="Calibri"/>
                <w:noProof/>
                <w:color w:val="000000"/>
                <w:sz w:val="16"/>
              </w:rPr>
              <w:t>[Référence de l’article]</w:t>
            </w:r>
          </w:p>
        </w:tc>
        <w:tc>
          <w:tcPr>
            <w:tcW w:w="1335" w:type="dxa"/>
            <w:hideMark/>
          </w:tcPr>
          <w:p>
            <w:pPr>
              <w:jc w:val="left"/>
              <w:rPr>
                <w:rFonts w:ascii="Calibri" w:eastAsia="Times New Roman" w:hAnsi="Calibri"/>
                <w:noProof/>
                <w:color w:val="000000"/>
                <w:sz w:val="16"/>
                <w:szCs w:val="16"/>
              </w:rPr>
            </w:pPr>
          </w:p>
        </w:tc>
        <w:tc>
          <w:tcPr>
            <w:tcW w:w="1084" w:type="dxa"/>
            <w:hideMark/>
          </w:tcPr>
          <w:p>
            <w:pPr>
              <w:jc w:val="left"/>
              <w:rPr>
                <w:rFonts w:ascii="Calibri" w:eastAsia="Times New Roman" w:hAnsi="Calibri"/>
                <w:noProof/>
                <w:color w:val="000000"/>
                <w:sz w:val="16"/>
                <w:szCs w:val="16"/>
              </w:rPr>
            </w:pPr>
            <w:r>
              <w:rPr>
                <w:rFonts w:ascii="Calibri" w:hAnsi="Calibri"/>
                <w:noProof/>
                <w:color w:val="000000"/>
                <w:sz w:val="16"/>
              </w:rPr>
              <w:t> [Référence de l’article]</w:t>
            </w:r>
          </w:p>
        </w:tc>
      </w:tr>
      <w:tr>
        <w:trPr>
          <w:trHeight w:val="412"/>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w:t>
            </w:r>
          </w:p>
        </w:tc>
        <w:tc>
          <w:tcPr>
            <w:tcW w:w="1289" w:type="dxa"/>
          </w:tcPr>
          <w:p>
            <w:pPr>
              <w:jc w:val="left"/>
              <w:rPr>
                <w:rFonts w:ascii="Calibri" w:eastAsia="Times New Roman" w:hAnsi="Calibri"/>
                <w:noProof/>
                <w:color w:val="000000"/>
                <w:sz w:val="16"/>
                <w:szCs w:val="16"/>
              </w:rPr>
            </w:pPr>
            <w:r>
              <w:rPr>
                <w:rFonts w:ascii="Calibri" w:hAnsi="Calibri"/>
                <w:b/>
                <w:noProof/>
                <w:color w:val="000000"/>
                <w:sz w:val="16"/>
              </w:rPr>
              <w:t>[…]</w:t>
            </w:r>
          </w:p>
        </w:tc>
        <w:tc>
          <w:tcPr>
            <w:tcW w:w="1161" w:type="dxa"/>
          </w:tcPr>
          <w:p>
            <w:pPr>
              <w:jc w:val="left"/>
              <w:rPr>
                <w:rFonts w:ascii="Calibri" w:eastAsia="Times New Roman" w:hAnsi="Calibri"/>
                <w:noProof/>
                <w:color w:val="000000"/>
                <w:sz w:val="16"/>
                <w:szCs w:val="16"/>
              </w:rPr>
            </w:pPr>
            <w:r>
              <w:rPr>
                <w:rFonts w:ascii="Calibri" w:hAnsi="Calibri"/>
                <w:b/>
                <w:noProof/>
                <w:color w:val="000000"/>
                <w:sz w:val="16"/>
              </w:rPr>
              <w:t>[…]</w:t>
            </w:r>
          </w:p>
        </w:tc>
        <w:tc>
          <w:tcPr>
            <w:tcW w:w="1335" w:type="dxa"/>
          </w:tcPr>
          <w:p>
            <w:pPr>
              <w:jc w:val="left"/>
              <w:rPr>
                <w:rFonts w:ascii="Calibri" w:eastAsia="Times New Roman" w:hAnsi="Calibri"/>
                <w:noProof/>
                <w:color w:val="000000"/>
                <w:sz w:val="16"/>
                <w:szCs w:val="16"/>
              </w:rPr>
            </w:pPr>
            <w:r>
              <w:rPr>
                <w:rFonts w:ascii="Calibri" w:hAnsi="Calibri"/>
                <w:b/>
                <w:noProof/>
                <w:color w:val="000000"/>
                <w:sz w:val="16"/>
              </w:rPr>
              <w:t>[…]</w:t>
            </w:r>
          </w:p>
        </w:tc>
        <w:tc>
          <w:tcPr>
            <w:tcW w:w="1084" w:type="dxa"/>
          </w:tcPr>
          <w:p>
            <w:pPr>
              <w:jc w:val="left"/>
              <w:rPr>
                <w:rFonts w:ascii="Calibri" w:eastAsia="Times New Roman" w:hAnsi="Calibri"/>
                <w:noProof/>
                <w:color w:val="000000"/>
                <w:sz w:val="16"/>
                <w:szCs w:val="16"/>
              </w:rPr>
            </w:pPr>
            <w:r>
              <w:rPr>
                <w:rFonts w:ascii="Calibri" w:hAnsi="Calibri"/>
                <w:b/>
                <w:noProof/>
                <w:color w:val="000000"/>
                <w:sz w:val="16"/>
              </w:rPr>
              <w:t>[…]</w:t>
            </w:r>
          </w:p>
        </w:tc>
      </w:tr>
      <w:tr>
        <w:trPr>
          <w:trHeight w:val="412"/>
        </w:trPr>
        <w:tc>
          <w:tcPr>
            <w:tcW w:w="5070" w:type="dxa"/>
            <w:hideMark/>
          </w:tcPr>
          <w:p>
            <w:pPr>
              <w:jc w:val="left"/>
              <w:rPr>
                <w:rFonts w:ascii="Calibri" w:eastAsia="Times New Roman" w:hAnsi="Calibri"/>
                <w:b/>
                <w:bCs/>
                <w:noProof/>
                <w:color w:val="000000"/>
                <w:sz w:val="16"/>
                <w:szCs w:val="16"/>
              </w:rPr>
            </w:pPr>
            <w:r>
              <w:rPr>
                <w:rFonts w:ascii="Calibri" w:hAnsi="Calibri"/>
                <w:b/>
                <w:noProof/>
                <w:color w:val="000000"/>
                <w:sz w:val="16"/>
              </w:rPr>
              <w:t>[Élément d’information tel que spécifié dans l’article correspondant de l’acte juridique]</w:t>
            </w:r>
          </w:p>
        </w:tc>
        <w:tc>
          <w:tcPr>
            <w:tcW w:w="1289" w:type="dxa"/>
            <w:hideMark/>
          </w:tcPr>
          <w:p>
            <w:pPr>
              <w:jc w:val="left"/>
              <w:rPr>
                <w:rFonts w:ascii="Calibri" w:eastAsia="Times New Roman" w:hAnsi="Calibri"/>
                <w:noProof/>
                <w:color w:val="000000"/>
                <w:sz w:val="16"/>
                <w:szCs w:val="16"/>
              </w:rPr>
            </w:pPr>
            <w:r>
              <w:rPr>
                <w:rFonts w:ascii="Calibri" w:hAnsi="Calibri"/>
                <w:noProof/>
                <w:color w:val="000000"/>
                <w:sz w:val="16"/>
              </w:rPr>
              <w:t>[Référence de l’article]</w:t>
            </w:r>
          </w:p>
        </w:tc>
        <w:tc>
          <w:tcPr>
            <w:tcW w:w="1161" w:type="dxa"/>
            <w:hideMark/>
          </w:tcPr>
          <w:p>
            <w:pPr>
              <w:jc w:val="left"/>
              <w:rPr>
                <w:rFonts w:ascii="Calibri" w:eastAsia="Times New Roman" w:hAnsi="Calibri"/>
                <w:noProof/>
                <w:color w:val="000000"/>
                <w:sz w:val="16"/>
                <w:szCs w:val="16"/>
              </w:rPr>
            </w:pPr>
            <w:r>
              <w:rPr>
                <w:rFonts w:ascii="Calibri" w:hAnsi="Calibri"/>
                <w:noProof/>
                <w:color w:val="000000"/>
                <w:sz w:val="16"/>
              </w:rPr>
              <w:t>[Référence de l’article]</w:t>
            </w:r>
          </w:p>
        </w:tc>
        <w:tc>
          <w:tcPr>
            <w:tcW w:w="1335" w:type="dxa"/>
            <w:hideMark/>
          </w:tcPr>
          <w:p>
            <w:pPr>
              <w:jc w:val="left"/>
              <w:rPr>
                <w:rFonts w:ascii="Calibri" w:eastAsia="Times New Roman" w:hAnsi="Calibri"/>
                <w:noProof/>
                <w:color w:val="000000"/>
                <w:sz w:val="16"/>
                <w:szCs w:val="16"/>
              </w:rPr>
            </w:pPr>
            <w:r>
              <w:rPr>
                <w:rFonts w:ascii="Calibri" w:hAnsi="Calibri"/>
                <w:b/>
                <w:noProof/>
                <w:color w:val="000000"/>
                <w:sz w:val="16"/>
              </w:rPr>
              <w:t>[…]</w:t>
            </w:r>
          </w:p>
        </w:tc>
        <w:tc>
          <w:tcPr>
            <w:tcW w:w="1084" w:type="dxa"/>
            <w:hideMark/>
          </w:tcPr>
          <w:p>
            <w:pPr>
              <w:jc w:val="left"/>
              <w:rPr>
                <w:rFonts w:ascii="Calibri" w:eastAsia="Times New Roman" w:hAnsi="Calibri"/>
                <w:noProof/>
                <w:color w:val="000000"/>
                <w:sz w:val="16"/>
                <w:szCs w:val="16"/>
              </w:rPr>
            </w:pPr>
            <w:r>
              <w:rPr>
                <w:rFonts w:ascii="Calibri" w:hAnsi="Calibri"/>
                <w:noProof/>
                <w:color w:val="000000"/>
                <w:sz w:val="16"/>
              </w:rPr>
              <w:t> [Référence de l’article]</w:t>
            </w:r>
          </w:p>
        </w:tc>
      </w:tr>
    </w:tbl>
    <w:p>
      <w:pPr>
        <w:rPr>
          <w:noProof/>
        </w:rPr>
      </w:pPr>
    </w:p>
    <w:p>
      <w:pPr>
        <w:spacing w:before="0" w:after="200" w:line="276" w:lineRule="auto"/>
        <w:jc w:val="left"/>
        <w:rPr>
          <w:noProof/>
        </w:rPr>
      </w:pPr>
      <w:r>
        <w:rPr>
          <w:noProof/>
        </w:rPr>
        <w:br w:type="page"/>
      </w:r>
    </w:p>
    <w:p>
      <w:pPr>
        <w:pStyle w:val="Annexetitre"/>
        <w:rPr>
          <w:noProof/>
        </w:rPr>
      </w:pPr>
      <w:r>
        <w:rPr>
          <w:noProof/>
        </w:rPr>
        <w:t>ANNEXE II</w:t>
      </w:r>
      <w:r>
        <w:rPr>
          <w:noProof/>
        </w:rPr>
        <w:br/>
      </w:r>
      <w:r>
        <w:rPr>
          <w:noProof/>
        </w:rPr>
        <w:br/>
        <w:t>EXIGENCES APPLICABLES AUX ORGANISMES D'ÉVALUATION DE LA CONFORMITÉ</w:t>
      </w:r>
    </w:p>
    <w:p>
      <w:pPr>
        <w:pStyle w:val="Text1"/>
        <w:rPr>
          <w:noProof/>
        </w:rPr>
      </w:pPr>
      <w:r>
        <w:rPr>
          <w:noProof/>
        </w:rPr>
        <w:t>1. Aux fins de l'accréditation, un organisme d’évaluation de la conformité satisfait aux exigences énoncées aux paragraphes 2 à 11.</w:t>
      </w:r>
    </w:p>
    <w:p>
      <w:pPr>
        <w:pStyle w:val="Text1"/>
        <w:rPr>
          <w:noProof/>
        </w:rPr>
      </w:pPr>
      <w:r>
        <w:rPr>
          <w:noProof/>
        </w:rPr>
        <w:t>2. Un organisme d’évaluation de la conformité est constitué en vertu du droit national d’un État membre et possède la personnalité juridique.</w:t>
      </w:r>
    </w:p>
    <w:p>
      <w:pPr>
        <w:pStyle w:val="Text1"/>
        <w:rPr>
          <w:noProof/>
        </w:rPr>
      </w:pPr>
      <w:r>
        <w:rPr>
          <w:noProof/>
        </w:rPr>
        <w:t>3. Un organisme d’évaluation de la conformité est un organisme tiers indépendant de l’organisation ou de la plateforme eFTI ou du prestataire de services de plateforme qu’il évalue.</w:t>
      </w:r>
    </w:p>
    <w:p>
      <w:pPr>
        <w:pStyle w:val="Text1"/>
        <w:rPr>
          <w:noProof/>
        </w:rPr>
      </w:pPr>
      <w:r>
        <w:rPr>
          <w:noProof/>
        </w:rPr>
        <w:t>Un organisme appartenant à une association d’entreprises ou à une fédération professionnelle qui représente des entreprises participant à la conception, à la fabrication, à la fourniture, à l’assemblage, à l’utilisation ou à l’entretien de la plateforme eFTI ou du prestataire de services de plateforme qu’il évalue peut, pour autant que son indépendance et que l’absence de tout conflit d’intérêts soient démontrées, être considéré comme satisfaisant à cette condition.</w:t>
      </w:r>
    </w:p>
    <w:p>
      <w:pPr>
        <w:pStyle w:val="Text1"/>
        <w:rPr>
          <w:noProof/>
        </w:rPr>
      </w:pPr>
      <w:r>
        <w:rPr>
          <w:noProof/>
        </w:rPr>
        <w:t>4. Un organisme d’évaluation de la conformité, ses cadres supérieurs et le personnel chargé d’exécuter les tâches d’évaluation de la conformité ne peuvent être le concepteur, le fabricant, le fournisseur, l’installateur, l’acheteur, le propriétaire, l’utilisateur ou le responsable de la plateforme eFTI ou du prestataire de services de plateforme qu’ils évaluent, ni le mandataire d’aucune de ces parties.</w:t>
      </w:r>
    </w:p>
    <w:p>
      <w:pPr>
        <w:pStyle w:val="Text1"/>
        <w:rPr>
          <w:noProof/>
        </w:rPr>
      </w:pPr>
      <w:r>
        <w:rPr>
          <w:noProof/>
        </w:rPr>
        <w:t>Un organisme d’évaluation de la conformité, ses cadres supérieurs et le personnel chargé d’exécuter les tâches d’évaluation de la conformité ne peuvent intervenir ni directement ni comme mandataires dans la conception, la fabrication ou la construction, la commercialisation, l’installation, l’utilisation ou l’entretien de cette plateforme eFTI ou de ce prestataire de services de plateforme. Ils ne peuvent participer à aucune activité qui peut entrer en conflit avec l’indépendance de leur jugement et l’intégrité des activités d’évaluation de la conformité pour lesquelles ils sont notifiés. Cela vaut en particulier pour les services de conseil.</w:t>
      </w:r>
    </w:p>
    <w:p>
      <w:pPr>
        <w:pStyle w:val="Text1"/>
        <w:rPr>
          <w:noProof/>
        </w:rPr>
      </w:pPr>
      <w:r>
        <w:rPr>
          <w:noProof/>
        </w:rPr>
        <w:t>Les organismes d’évaluation de la conformité veillent à ce que les activités de leurs filiales ou sous-traitants n’aient pas d’incidence sur la confidentialité, l’objectivité ou l’impartialité de leurs activités d’évaluation de la conformité.</w:t>
      </w:r>
    </w:p>
    <w:p>
      <w:pPr>
        <w:pStyle w:val="Text1"/>
        <w:rPr>
          <w:noProof/>
        </w:rPr>
      </w:pPr>
      <w:r>
        <w:rPr>
          <w:noProof/>
        </w:rPr>
        <w:t>5. Les organismes d’évaluation de la conformité et leur personnel accomplissent les activités d’évaluation de la conformité avec la plus haute intégrité professionnelle et la compétence technique requise dans le domaine spécifique et sont à l’abri de toute pression ou incitation, notamment d’ordre financier, susceptibles d’influencer leur jugement ou les résultats de leurs travaux d’évaluation de la conformité, en particulier de la part de personnes ou de groupes de personnes intéressés par ces résultats.</w:t>
      </w:r>
    </w:p>
    <w:p>
      <w:pPr>
        <w:pStyle w:val="Text1"/>
        <w:rPr>
          <w:noProof/>
        </w:rPr>
      </w:pPr>
      <w:r>
        <w:rPr>
          <w:noProof/>
        </w:rPr>
        <w:t>6. Un organisme d’évaluation de la conformité est capable d’exécuter toutes les tâches d’évaluation de la conformité qui lui ont été assignées conformément aux articles 12 et 13 et pour lesquelles il a été notifié, que ces tâches soient exécutées par lui-même ou en son nom et sous sa responsabilité.</w:t>
      </w:r>
    </w:p>
    <w:p>
      <w:pPr>
        <w:pStyle w:val="Text1"/>
        <w:rPr>
          <w:noProof/>
        </w:rPr>
      </w:pPr>
      <w:r>
        <w:rPr>
          <w:noProof/>
        </w:rPr>
        <w:t>En toutes circonstances et pour chaque procédure de certification pour laquelle il a été notifié, l’organisme d’évaluation de la conformité dispose à suffisance:</w:t>
      </w:r>
    </w:p>
    <w:p>
      <w:pPr>
        <w:pStyle w:val="Text1"/>
        <w:rPr>
          <w:noProof/>
        </w:rPr>
      </w:pPr>
      <w:r>
        <w:rPr>
          <w:noProof/>
        </w:rPr>
        <w:t>a) du personnel requis ayant les connaissances techniques et l’expérience suffisante et appropriée pour exécuter les tâches d’évaluation de la conformité;</w:t>
      </w:r>
    </w:p>
    <w:p>
      <w:pPr>
        <w:pStyle w:val="Text1"/>
        <w:rPr>
          <w:noProof/>
        </w:rPr>
      </w:pPr>
      <w:r>
        <w:rPr>
          <w:noProof/>
        </w:rPr>
        <w:t>b) de descriptions des procédures utilisées pour évaluer la conformité, de façon à en garantir la transparence et la reproductibilité. L’organisme dispose de politiques et de procédures appropriées faisant la distinction entre les tâches qu’il exécute en tant qu’organisme notifié et d’autres activités;</w:t>
      </w:r>
    </w:p>
    <w:p>
      <w:pPr>
        <w:pStyle w:val="Text1"/>
        <w:rPr>
          <w:noProof/>
        </w:rPr>
      </w:pPr>
      <w:r>
        <w:rPr>
          <w:noProof/>
        </w:rPr>
        <w:t>c) de procédures pour accomplir ses activités qui tiennent dûment compte de la taille des entreprises, du secteur dans lequel elles exercent leurs activités, de leur structure et du degré de complexité de la technologie en question.</w:t>
      </w:r>
    </w:p>
    <w:p>
      <w:pPr>
        <w:pStyle w:val="Text1"/>
        <w:rPr>
          <w:noProof/>
        </w:rPr>
      </w:pPr>
      <w:r>
        <w:rPr>
          <w:noProof/>
        </w:rPr>
        <w:t>Un organisme d'évaluation de la conformité se dote des moyens nécessaires à la bonne exécution des tâches techniques et administratives liées aux activités d'évaluation de la conformité.</w:t>
      </w:r>
    </w:p>
    <w:p>
      <w:pPr>
        <w:pStyle w:val="Text1"/>
        <w:rPr>
          <w:noProof/>
        </w:rPr>
      </w:pPr>
      <w:r>
        <w:rPr>
          <w:noProof/>
        </w:rPr>
        <w:t>7. Le personnel chargé des tâches d'évaluation de la conformité possède:</w:t>
      </w:r>
    </w:p>
    <w:p>
      <w:pPr>
        <w:pStyle w:val="Text1"/>
        <w:rPr>
          <w:noProof/>
        </w:rPr>
      </w:pPr>
      <w:r>
        <w:rPr>
          <w:noProof/>
        </w:rPr>
        <w:t>a) une solide formation technique et professionnelle correspondant à l’ensemble des activités d’évaluation de la conformité pour lesquelles l’organisme a été notifié;</w:t>
      </w:r>
    </w:p>
    <w:p>
      <w:pPr>
        <w:pStyle w:val="Text1"/>
        <w:rPr>
          <w:noProof/>
        </w:rPr>
      </w:pPr>
      <w:r>
        <w:rPr>
          <w:noProof/>
        </w:rPr>
        <w:t>b) une connaissance satisfaisante des exigences applicables aux évaluations qu'il effectue et l'autorité nécessaire pour effectuer ces évaluations;</w:t>
      </w:r>
    </w:p>
    <w:p>
      <w:pPr>
        <w:pStyle w:val="Text1"/>
        <w:rPr>
          <w:noProof/>
        </w:rPr>
      </w:pPr>
      <w:r>
        <w:rPr>
          <w:noProof/>
        </w:rPr>
        <w:t>c) une connaissance et une compréhension adéquates des exigences énoncées à l’article 9;</w:t>
      </w:r>
    </w:p>
    <w:p>
      <w:pPr>
        <w:pStyle w:val="Text1"/>
        <w:rPr>
          <w:noProof/>
        </w:rPr>
      </w:pPr>
      <w:r>
        <w:rPr>
          <w:noProof/>
        </w:rPr>
        <w:t>d) l’aptitude à rédiger les attestations de conformité, procès-verbaux et rapports qui constituent la matérialisation des évaluations effectuées.</w:t>
      </w:r>
    </w:p>
    <w:p>
      <w:pPr>
        <w:pStyle w:val="Text1"/>
        <w:rPr>
          <w:noProof/>
        </w:rPr>
      </w:pPr>
      <w:r>
        <w:rPr>
          <w:noProof/>
        </w:rPr>
        <w:t>8. L’impartialité des organismes d’évaluation de la conformité, de leurs cadres supérieurs et de leur personnel chargé d’exécuter les tâches d’évaluation de la conformité est garantie.</w:t>
      </w:r>
    </w:p>
    <w:p>
      <w:pPr>
        <w:pStyle w:val="Text1"/>
        <w:rPr>
          <w:noProof/>
        </w:rPr>
      </w:pPr>
      <w:r>
        <w:rPr>
          <w:noProof/>
        </w:rPr>
        <w:t>La rémunération des cadres supérieurs et du personnel chargé d’exécuter les tâches d’évaluation de la conformité au sein d’un organisme d’évaluation de la conformité ne peut dépendre du nombre d’évaluations effectuées ni de leurs résultats.</w:t>
      </w:r>
    </w:p>
    <w:p>
      <w:pPr>
        <w:pStyle w:val="Text1"/>
        <w:rPr>
          <w:noProof/>
        </w:rPr>
      </w:pPr>
      <w:r>
        <w:rPr>
          <w:noProof/>
        </w:rPr>
        <w:t>9. Les organismes d’évaluation de la conformité souscrivent une assurance couvrant leur responsabilité civile, à moins que cette responsabilité ne soit assumée par l’État en vertu du droit national ou que l’évaluation de la conformité ne soit effectuée sous la responsabilité directe de l’État membre.</w:t>
      </w:r>
    </w:p>
    <w:p>
      <w:pPr>
        <w:pStyle w:val="Text1"/>
        <w:rPr>
          <w:noProof/>
        </w:rPr>
      </w:pPr>
      <w:r>
        <w:rPr>
          <w:noProof/>
        </w:rPr>
        <w:t>10. Le personnel d’un organisme d’évaluation de la conformité est lié par le secret professionnel à l’égard de l’ensemble des informations qu’il obtient dans l’exercice de ses fonctions en vertu des articles 12 et 13 ou de toute disposition de droit national leur donnant effet, sauf à l’égard des autorités compétentes de l’État membre dans lequel il exerce ses activités. Les droits de propriété sont protégés.</w:t>
      </w:r>
    </w:p>
    <w:p>
      <w:pPr>
        <w:pStyle w:val="Text1"/>
        <w:rPr>
          <w:noProof/>
        </w:rPr>
      </w:pPr>
      <w:r>
        <w:rPr>
          <w:noProof/>
        </w:rPr>
        <w:t>11. Les organismes d’évaluation de la conformité participent aux activités de normalisation pertinentes ainsi qu’aux activités pertinentes de réglementation, ou veillent à ce que leur personnel chargé d’exécuter les tâches d’évaluation de la conformité en soit informé.</w:t>
      </w: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Les référence à l’ADR, au RID et à l’ADN doivent être entendues au sens de l’article 2, paragraphes 1, 2 et 3, de la directive 2008/68/CE. Les chiffres indiqués correspondent aux annexes respectives de l’ADR, du RID et de l’ADN.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D67E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70C7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BEB8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8F82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02E7E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C166B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32670D2"/>
    <w:lvl w:ilvl="0">
      <w:start w:val="1"/>
      <w:numFmt w:val="decimal"/>
      <w:pStyle w:val="ListNumber"/>
      <w:lvlText w:val="%1."/>
      <w:lvlJc w:val="left"/>
      <w:pPr>
        <w:tabs>
          <w:tab w:val="num" w:pos="360"/>
        </w:tabs>
        <w:ind w:left="360" w:hanging="360"/>
      </w:pPr>
    </w:lvl>
  </w:abstractNum>
  <w:abstractNum w:abstractNumId="7">
    <w:nsid w:val="FFFFFF89"/>
    <w:multiLevelType w:val="singleLevel"/>
    <w:tmpl w:val="AF2227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4 09:39: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D9083659-D946-4D93-9CEF-1B7B46D31D16"/>
    <w:docVar w:name="LW_COVERPAGE_TYPE" w:val="1"/>
    <w:docVar w:name="LW_CROSSREFERENCE" w:val="{SEC(2018) 231 final}_x000b_{SWD(2018) 183 final}_x000b_{SWD(2018) 184 final}"/>
    <w:docVar w:name="LW_DocType" w:val="ANNEX"/>
    <w:docVar w:name="LW_EMISSION" w:val="17.5.2018"/>
    <w:docVar w:name="LW_EMISSION_ISODATE" w:val="2018-05-17"/>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concernant les informations électroniques relatives au transport de marchandises"/>
    <w:docVar w:name="LW_OBJETACTEPRINCIPAL.CP" w:val="concernant les informations électroniques relatives au transport de marchandises"/>
    <w:docVar w:name="LW_PART_NBR" w:val="&lt;UNUSED&gt;"/>
    <w:docVar w:name="LW_PART_NBR_TOTAL" w:val="&lt;UNUSED&gt;"/>
    <w:docVar w:name="LW_REF.INST.NEW" w:val="COM"/>
    <w:docVar w:name="LW_REF.INST.NEW_ADOPTED" w:val="final"/>
    <w:docVar w:name="LW_REF.INST.NEW_TEXT" w:val="(2018) 2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règlement du Parlement européen et du Conseil"/>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st">
    <w:name w:val="st"/>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st">
    <w:name w:val="st"/>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D791A2-B068-47CD-B88A-2E9B3839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12</Pages>
  <Words>2761</Words>
  <Characters>15743</Characters>
  <Application>Microsoft Office Word</Application>
  <DocSecurity>0</DocSecurity>
  <Lines>874</Lines>
  <Paragraphs>228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10</cp:revision>
  <cp:lastPrinted>2018-05-15T17:22:00Z</cp:lastPrinted>
  <dcterms:created xsi:type="dcterms:W3CDTF">2018-05-22T14:40:00Z</dcterms:created>
  <dcterms:modified xsi:type="dcterms:W3CDTF">2018-06-04T07:39:00Z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