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60B" w:rsidRDefault="006C2027">
      <w:pPr>
        <w:pStyle w:val="Pagedecouverture"/>
        <w:rPr>
          <w:noProof/>
        </w:rPr>
      </w:pPr>
      <w:bookmarkStart w:id="0" w:name="LW_BM_COVERPAGE"/>
      <w:bookmarkStart w:id="1" w:name="_Toc255391643"/>
      <w:bookmarkStart w:id="2" w:name="_Toc286070785"/>
      <w:bookmarkStart w:id="3" w:name="_Toc286411786"/>
      <w:bookmarkStart w:id="4" w:name="_Toc286992067"/>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4F7715A7-34FE-4AAB-ABF1-A73DC57B4BD2" style="width:450.75pt;height:375pt">
            <v:imagedata r:id="rId9" o:title=""/>
          </v:shape>
        </w:pict>
      </w:r>
    </w:p>
    <w:bookmarkEnd w:id="0"/>
    <w:p w:rsidR="003A660B" w:rsidRDefault="003A660B">
      <w:pPr>
        <w:pStyle w:val="Pagedecouverture"/>
        <w:rPr>
          <w:noProof/>
        </w:rPr>
        <w:sectPr w:rsidR="003A660B">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rsidR="003A660B" w:rsidRDefault="003A660B">
      <w:pPr>
        <w:spacing w:after="60"/>
        <w:rPr>
          <w:rFonts w:ascii="Verdana" w:hAnsi="Verdana"/>
          <w:b/>
          <w:noProof/>
          <w:color w:val="000080"/>
        </w:rPr>
      </w:pPr>
    </w:p>
    <w:p w:rsidR="003A660B" w:rsidRDefault="006C2027">
      <w:pPr>
        <w:spacing w:after="200" w:line="276" w:lineRule="auto"/>
        <w:rPr>
          <w:rFonts w:ascii="Verdana" w:hAnsi="Verdana"/>
          <w:b/>
          <w:noProof/>
          <w:color w:val="000080"/>
        </w:rPr>
      </w:pPr>
      <w:r>
        <w:rPr>
          <w:noProof/>
        </w:rPr>
        <w:br w:type="page"/>
      </w:r>
    </w:p>
    <w:p w:rsidR="003A660B" w:rsidRDefault="003A660B">
      <w:pPr>
        <w:spacing w:after="60"/>
        <w:rPr>
          <w:rFonts w:ascii="Verdana" w:hAnsi="Verdana"/>
          <w:b/>
          <w:noProof/>
          <w:color w:val="000080"/>
        </w:rPr>
      </w:pPr>
    </w:p>
    <w:sdt>
      <w:sdtPr>
        <w:rPr>
          <w:rFonts w:ascii="Times New Roman" w:eastAsia="Times New Roman" w:hAnsi="Times New Roman"/>
          <w:b w:val="0"/>
          <w:bCs/>
          <w:i w:val="0"/>
          <w:noProof/>
          <w:color w:val="auto"/>
          <w:sz w:val="24"/>
          <w:szCs w:val="24"/>
        </w:rPr>
        <w:id w:val="-796521479"/>
        <w:docPartObj>
          <w:docPartGallery w:val="Table of Contents"/>
          <w:docPartUnique/>
        </w:docPartObj>
      </w:sdtPr>
      <w:sdtEndPr/>
      <w:sdtContent>
        <w:p w:rsidR="003A660B" w:rsidRDefault="006C2027">
          <w:pPr>
            <w:pStyle w:val="TOCHeading"/>
            <w:rPr>
              <w:noProof/>
            </w:rPr>
          </w:pPr>
          <w:r>
            <w:rPr>
              <w:noProof/>
            </w:rPr>
            <w:t>Съдържание</w:t>
          </w:r>
        </w:p>
        <w:p w:rsidR="003A660B" w:rsidRDefault="006C2027">
          <w:pPr>
            <w:pStyle w:val="TOC1"/>
            <w:rPr>
              <w:rFonts w:asciiTheme="minorHAnsi" w:eastAsiaTheme="minorEastAsia" w:hAnsiTheme="minorHAnsi" w:cstheme="minorBidi"/>
              <w:b w:val="0"/>
              <w:bCs w:val="0"/>
              <w:sz w:val="22"/>
              <w:szCs w:val="22"/>
              <w:lang w:val="en-GB" w:eastAsia="en-GB" w:bidi="ar-SA"/>
            </w:rPr>
          </w:pPr>
          <w:r>
            <w:fldChar w:fldCharType="begin"/>
          </w:r>
          <w:r>
            <w:instrText xml:space="preserve"> TOC \o "1-3" \h \z \u </w:instrText>
          </w:r>
          <w:r>
            <w:fldChar w:fldCharType="separate"/>
          </w:r>
          <w:hyperlink w:anchor="_Toc513453980" w:history="1">
            <w:r>
              <w:rPr>
                <w:rStyle w:val="Hyperlink"/>
              </w:rPr>
              <w:t>1. Въведение</w:t>
            </w:r>
            <w:r>
              <w:rPr>
                <w:webHidden/>
              </w:rPr>
              <w:tab/>
            </w:r>
            <w:r>
              <w:rPr>
                <w:webHidden/>
              </w:rPr>
              <w:fldChar w:fldCharType="begin"/>
            </w:r>
            <w:r>
              <w:rPr>
                <w:webHidden/>
              </w:rPr>
              <w:instrText xml:space="preserve"> PAGEREF _Toc513453980 \h </w:instrText>
            </w:r>
            <w:r>
              <w:rPr>
                <w:webHidden/>
              </w:rPr>
            </w:r>
            <w:r>
              <w:rPr>
                <w:webHidden/>
              </w:rPr>
              <w:fldChar w:fldCharType="separate"/>
            </w:r>
            <w:r>
              <w:rPr>
                <w:webHidden/>
              </w:rPr>
              <w:t>2</w:t>
            </w:r>
            <w:r>
              <w:rPr>
                <w:webHidden/>
              </w:rPr>
              <w:fldChar w:fldCharType="end"/>
            </w:r>
          </w:hyperlink>
        </w:p>
        <w:p w:rsidR="003A660B" w:rsidRDefault="006C2027">
          <w:pPr>
            <w:pStyle w:val="TOC1"/>
            <w:rPr>
              <w:rFonts w:asciiTheme="minorHAnsi" w:eastAsiaTheme="minorEastAsia" w:hAnsiTheme="minorHAnsi" w:cstheme="minorBidi"/>
              <w:b w:val="0"/>
              <w:bCs w:val="0"/>
              <w:sz w:val="22"/>
              <w:szCs w:val="22"/>
              <w:lang w:val="en-GB" w:eastAsia="en-GB" w:bidi="ar-SA"/>
            </w:rPr>
          </w:pPr>
          <w:hyperlink w:anchor="_Toc513453981" w:history="1">
            <w:r>
              <w:rPr>
                <w:rStyle w:val="Hyperlink"/>
              </w:rPr>
              <w:t>2. Дейности и резултати през 2015 г.</w:t>
            </w:r>
            <w:r>
              <w:rPr>
                <w:webHidden/>
              </w:rPr>
              <w:tab/>
            </w:r>
            <w:r>
              <w:rPr>
                <w:webHidden/>
              </w:rPr>
              <w:fldChar w:fldCharType="begin"/>
            </w:r>
            <w:r>
              <w:rPr>
                <w:webHidden/>
              </w:rPr>
              <w:instrText xml:space="preserve"> PAGEREF _Toc513453981 \h </w:instrText>
            </w:r>
            <w:r>
              <w:rPr>
                <w:webHidden/>
              </w:rPr>
            </w:r>
            <w:r>
              <w:rPr>
                <w:webHidden/>
              </w:rPr>
              <w:fldChar w:fldCharType="separate"/>
            </w:r>
            <w:r>
              <w:rPr>
                <w:webHidden/>
              </w:rPr>
              <w:t>4</w:t>
            </w:r>
            <w:r>
              <w:rPr>
                <w:webHidden/>
              </w:rPr>
              <w:fldChar w:fldCharType="end"/>
            </w:r>
          </w:hyperlink>
        </w:p>
        <w:p w:rsidR="003A660B" w:rsidRDefault="006C2027">
          <w:pPr>
            <w:pStyle w:val="TOC1"/>
            <w:rPr>
              <w:rFonts w:asciiTheme="minorHAnsi" w:eastAsiaTheme="minorEastAsia" w:hAnsiTheme="minorHAnsi" w:cstheme="minorBidi"/>
              <w:b w:val="0"/>
              <w:bCs w:val="0"/>
              <w:sz w:val="22"/>
              <w:szCs w:val="22"/>
              <w:lang w:val="en-GB" w:eastAsia="en-GB" w:bidi="ar-SA"/>
            </w:rPr>
          </w:pPr>
          <w:hyperlink w:anchor="_Toc513453982" w:history="1">
            <w:r>
              <w:rPr>
                <w:rStyle w:val="Hyperlink"/>
              </w:rPr>
              <w:t>2.1 Достъп до финансиране</w:t>
            </w:r>
            <w:r>
              <w:rPr>
                <w:webHidden/>
              </w:rPr>
              <w:tab/>
            </w:r>
            <w:r>
              <w:rPr>
                <w:webHidden/>
              </w:rPr>
              <w:fldChar w:fldCharType="begin"/>
            </w:r>
            <w:r>
              <w:rPr>
                <w:webHidden/>
              </w:rPr>
              <w:instrText xml:space="preserve"> PAGEREF _Toc513453982 \h </w:instrText>
            </w:r>
            <w:r>
              <w:rPr>
                <w:webHidden/>
              </w:rPr>
            </w:r>
            <w:r>
              <w:rPr>
                <w:webHidden/>
              </w:rPr>
              <w:fldChar w:fldCharType="separate"/>
            </w:r>
            <w:r>
              <w:rPr>
                <w:webHidden/>
              </w:rPr>
              <w:t>5</w:t>
            </w:r>
            <w:r>
              <w:rPr>
                <w:webHidden/>
              </w:rPr>
              <w:fldChar w:fldCharType="end"/>
            </w:r>
          </w:hyperlink>
        </w:p>
        <w:p w:rsidR="003A660B" w:rsidRDefault="006C2027">
          <w:pPr>
            <w:pStyle w:val="TOC1"/>
            <w:rPr>
              <w:rFonts w:asciiTheme="minorHAnsi" w:eastAsiaTheme="minorEastAsia" w:hAnsiTheme="minorHAnsi" w:cstheme="minorBidi"/>
              <w:b w:val="0"/>
              <w:bCs w:val="0"/>
              <w:sz w:val="22"/>
              <w:szCs w:val="22"/>
              <w:lang w:val="en-GB" w:eastAsia="en-GB" w:bidi="ar-SA"/>
            </w:rPr>
          </w:pPr>
          <w:hyperlink w:anchor="_Toc513453983" w:history="1">
            <w:r>
              <w:rPr>
                <w:rStyle w:val="Hyperlink"/>
              </w:rPr>
              <w:t>2.2 Достъп до пазари</w:t>
            </w:r>
            <w:r>
              <w:rPr>
                <w:webHidden/>
              </w:rPr>
              <w:tab/>
            </w:r>
            <w:r>
              <w:rPr>
                <w:webHidden/>
              </w:rPr>
              <w:fldChar w:fldCharType="begin"/>
            </w:r>
            <w:r>
              <w:rPr>
                <w:webHidden/>
              </w:rPr>
              <w:instrText xml:space="preserve"> PAGEREF _Toc513453983 \h </w:instrText>
            </w:r>
            <w:r>
              <w:rPr>
                <w:webHidden/>
              </w:rPr>
            </w:r>
            <w:r>
              <w:rPr>
                <w:webHidden/>
              </w:rPr>
              <w:fldChar w:fldCharType="separate"/>
            </w:r>
            <w:r>
              <w:rPr>
                <w:webHidden/>
              </w:rPr>
              <w:t>6</w:t>
            </w:r>
            <w:r>
              <w:rPr>
                <w:webHidden/>
              </w:rPr>
              <w:fldChar w:fldCharType="end"/>
            </w:r>
          </w:hyperlink>
        </w:p>
        <w:p w:rsidR="003A660B" w:rsidRDefault="006C2027">
          <w:pPr>
            <w:pStyle w:val="TOC1"/>
            <w:rPr>
              <w:rFonts w:asciiTheme="minorHAnsi" w:eastAsiaTheme="minorEastAsia" w:hAnsiTheme="minorHAnsi" w:cstheme="minorBidi"/>
              <w:b w:val="0"/>
              <w:bCs w:val="0"/>
              <w:sz w:val="22"/>
              <w:szCs w:val="22"/>
              <w:lang w:val="en-GB" w:eastAsia="en-GB" w:bidi="ar-SA"/>
            </w:rPr>
          </w:pPr>
          <w:hyperlink w:anchor="_Toc513453984" w:history="1">
            <w:r>
              <w:rPr>
                <w:rStyle w:val="Hyperlink"/>
              </w:rPr>
              <w:t>2.3 Подобряване на рамковите условия и конкурентоспособността</w:t>
            </w:r>
            <w:r>
              <w:rPr>
                <w:webHidden/>
              </w:rPr>
              <w:tab/>
            </w:r>
            <w:r>
              <w:rPr>
                <w:webHidden/>
              </w:rPr>
              <w:fldChar w:fldCharType="begin"/>
            </w:r>
            <w:r>
              <w:rPr>
                <w:webHidden/>
              </w:rPr>
              <w:instrText xml:space="preserve"> PAGEREF _Toc513453984 \h </w:instrText>
            </w:r>
            <w:r>
              <w:rPr>
                <w:webHidden/>
              </w:rPr>
            </w:r>
            <w:r>
              <w:rPr>
                <w:webHidden/>
              </w:rPr>
              <w:fldChar w:fldCharType="separate"/>
            </w:r>
            <w:r>
              <w:rPr>
                <w:webHidden/>
              </w:rPr>
              <w:t>8</w:t>
            </w:r>
            <w:r>
              <w:rPr>
                <w:webHidden/>
              </w:rPr>
              <w:fldChar w:fldCharType="end"/>
            </w:r>
          </w:hyperlink>
        </w:p>
        <w:p w:rsidR="003A660B" w:rsidRDefault="006C2027">
          <w:pPr>
            <w:pStyle w:val="TOC1"/>
            <w:rPr>
              <w:rFonts w:asciiTheme="minorHAnsi" w:eastAsiaTheme="minorEastAsia" w:hAnsiTheme="minorHAnsi" w:cstheme="minorBidi"/>
              <w:b w:val="0"/>
              <w:bCs w:val="0"/>
              <w:sz w:val="22"/>
              <w:szCs w:val="22"/>
              <w:lang w:val="en-GB" w:eastAsia="en-GB" w:bidi="ar-SA"/>
            </w:rPr>
          </w:pPr>
          <w:hyperlink w:anchor="_Toc513453985" w:history="1">
            <w:r>
              <w:rPr>
                <w:rStyle w:val="Hyperlink"/>
              </w:rPr>
              <w:t>2.4 Насърчаване на предприемачеството и предприемаческата култура</w:t>
            </w:r>
            <w:r>
              <w:rPr>
                <w:webHidden/>
              </w:rPr>
              <w:tab/>
            </w:r>
            <w:r>
              <w:rPr>
                <w:webHidden/>
              </w:rPr>
              <w:fldChar w:fldCharType="begin"/>
            </w:r>
            <w:r>
              <w:rPr>
                <w:webHidden/>
              </w:rPr>
              <w:instrText xml:space="preserve"> PAGEREF _Toc513453985 \h </w:instrText>
            </w:r>
            <w:r>
              <w:rPr>
                <w:webHidden/>
              </w:rPr>
            </w:r>
            <w:r>
              <w:rPr>
                <w:webHidden/>
              </w:rPr>
              <w:fldChar w:fldCharType="separate"/>
            </w:r>
            <w:r>
              <w:rPr>
                <w:webHidden/>
              </w:rPr>
              <w:t>10</w:t>
            </w:r>
            <w:r>
              <w:rPr>
                <w:webHidden/>
              </w:rPr>
              <w:fldChar w:fldCharType="end"/>
            </w:r>
          </w:hyperlink>
        </w:p>
        <w:p w:rsidR="003A660B" w:rsidRDefault="006C2027">
          <w:pPr>
            <w:pStyle w:val="TOC1"/>
            <w:rPr>
              <w:rFonts w:asciiTheme="minorHAnsi" w:eastAsiaTheme="minorEastAsia" w:hAnsiTheme="minorHAnsi" w:cstheme="minorBidi"/>
              <w:b w:val="0"/>
              <w:bCs w:val="0"/>
              <w:sz w:val="22"/>
              <w:szCs w:val="22"/>
              <w:lang w:val="en-GB" w:eastAsia="en-GB" w:bidi="ar-SA"/>
            </w:rPr>
          </w:pPr>
          <w:hyperlink w:anchor="_Toc513453986" w:history="1">
            <w:r>
              <w:rPr>
                <w:rStyle w:val="Hyperlink"/>
              </w:rPr>
              <w:t xml:space="preserve">3. Мерки за подкрепа и </w:t>
            </w:r>
            <w:r>
              <w:rPr>
                <w:rStyle w:val="Hyperlink"/>
              </w:rPr>
              <w:t>административни разходи</w:t>
            </w:r>
            <w:r>
              <w:rPr>
                <w:webHidden/>
              </w:rPr>
              <w:tab/>
            </w:r>
            <w:r>
              <w:rPr>
                <w:webHidden/>
              </w:rPr>
              <w:fldChar w:fldCharType="begin"/>
            </w:r>
            <w:r>
              <w:rPr>
                <w:webHidden/>
              </w:rPr>
              <w:instrText xml:space="preserve"> PAGEREF _Toc513453986 \h </w:instrText>
            </w:r>
            <w:r>
              <w:rPr>
                <w:webHidden/>
              </w:rPr>
            </w:r>
            <w:r>
              <w:rPr>
                <w:webHidden/>
              </w:rPr>
              <w:fldChar w:fldCharType="separate"/>
            </w:r>
            <w:r>
              <w:rPr>
                <w:webHidden/>
              </w:rPr>
              <w:t>11</w:t>
            </w:r>
            <w:r>
              <w:rPr>
                <w:webHidden/>
              </w:rPr>
              <w:fldChar w:fldCharType="end"/>
            </w:r>
          </w:hyperlink>
        </w:p>
        <w:p w:rsidR="003A660B" w:rsidRDefault="006C2027">
          <w:pPr>
            <w:pStyle w:val="TOC1"/>
            <w:rPr>
              <w:rFonts w:asciiTheme="minorHAnsi" w:eastAsiaTheme="minorEastAsia" w:hAnsiTheme="minorHAnsi" w:cstheme="minorBidi"/>
              <w:b w:val="0"/>
              <w:bCs w:val="0"/>
              <w:sz w:val="22"/>
              <w:szCs w:val="22"/>
              <w:lang w:val="en-GB" w:eastAsia="en-GB" w:bidi="ar-SA"/>
            </w:rPr>
          </w:pPr>
          <w:hyperlink w:anchor="_Toc513453987" w:history="1">
            <w:r>
              <w:rPr>
                <w:rStyle w:val="Hyperlink"/>
              </w:rPr>
              <w:t>4. Принос към целта за интегриране на въпросите относно климата</w:t>
            </w:r>
            <w:r>
              <w:rPr>
                <w:webHidden/>
              </w:rPr>
              <w:tab/>
            </w:r>
            <w:r>
              <w:rPr>
                <w:webHidden/>
              </w:rPr>
              <w:fldChar w:fldCharType="begin"/>
            </w:r>
            <w:r>
              <w:rPr>
                <w:webHidden/>
              </w:rPr>
              <w:instrText xml:space="preserve"> PAGEREF _Toc513453987 \h </w:instrText>
            </w:r>
            <w:r>
              <w:rPr>
                <w:webHidden/>
              </w:rPr>
            </w:r>
            <w:r>
              <w:rPr>
                <w:webHidden/>
              </w:rPr>
              <w:fldChar w:fldCharType="separate"/>
            </w:r>
            <w:r>
              <w:rPr>
                <w:webHidden/>
              </w:rPr>
              <w:t>12</w:t>
            </w:r>
            <w:r>
              <w:rPr>
                <w:webHidden/>
              </w:rPr>
              <w:fldChar w:fldCharType="end"/>
            </w:r>
          </w:hyperlink>
        </w:p>
        <w:p w:rsidR="003A660B" w:rsidRDefault="006C2027">
          <w:pPr>
            <w:pStyle w:val="TOC1"/>
            <w:rPr>
              <w:rFonts w:asciiTheme="minorHAnsi" w:eastAsiaTheme="minorEastAsia" w:hAnsiTheme="minorHAnsi" w:cstheme="minorBidi"/>
              <w:b w:val="0"/>
              <w:bCs w:val="0"/>
              <w:sz w:val="22"/>
              <w:szCs w:val="22"/>
              <w:lang w:val="en-GB" w:eastAsia="en-GB" w:bidi="ar-SA"/>
            </w:rPr>
          </w:pPr>
          <w:hyperlink w:anchor="_Toc513453988" w:history="1">
            <w:r>
              <w:rPr>
                <w:rStyle w:val="Hyperlink"/>
              </w:rPr>
              <w:t>5. Заключение</w:t>
            </w:r>
            <w:r>
              <w:rPr>
                <w:webHidden/>
              </w:rPr>
              <w:tab/>
            </w:r>
            <w:r>
              <w:rPr>
                <w:webHidden/>
              </w:rPr>
              <w:fldChar w:fldCharType="begin"/>
            </w:r>
            <w:r>
              <w:rPr>
                <w:webHidden/>
              </w:rPr>
              <w:instrText xml:space="preserve"> PAGEREF _Toc513453988 \h </w:instrText>
            </w:r>
            <w:r>
              <w:rPr>
                <w:webHidden/>
              </w:rPr>
            </w:r>
            <w:r>
              <w:rPr>
                <w:webHidden/>
              </w:rPr>
              <w:fldChar w:fldCharType="separate"/>
            </w:r>
            <w:r>
              <w:rPr>
                <w:webHidden/>
              </w:rPr>
              <w:t>12</w:t>
            </w:r>
            <w:r>
              <w:rPr>
                <w:webHidden/>
              </w:rPr>
              <w:fldChar w:fldCharType="end"/>
            </w:r>
          </w:hyperlink>
        </w:p>
        <w:p w:rsidR="003A660B" w:rsidRDefault="006C2027">
          <w:pPr>
            <w:pStyle w:val="TOC1"/>
            <w:rPr>
              <w:rFonts w:asciiTheme="minorHAnsi" w:eastAsiaTheme="minorEastAsia" w:hAnsiTheme="minorHAnsi" w:cstheme="minorBidi"/>
              <w:b w:val="0"/>
              <w:bCs w:val="0"/>
              <w:sz w:val="22"/>
              <w:szCs w:val="22"/>
              <w:lang w:val="en-GB" w:eastAsia="en-GB" w:bidi="ar-SA"/>
            </w:rPr>
          </w:pPr>
          <w:hyperlink w:anchor="_Toc513453989" w:history="1">
            <w:r>
              <w:rPr>
                <w:rStyle w:val="Hyperlink"/>
              </w:rPr>
              <w:t>ПРИЛОЖЕНИЕ</w:t>
            </w:r>
            <w:r>
              <w:rPr>
                <w:webHidden/>
              </w:rPr>
              <w:tab/>
            </w:r>
            <w:r>
              <w:rPr>
                <w:webHidden/>
              </w:rPr>
              <w:fldChar w:fldCharType="begin"/>
            </w:r>
            <w:r>
              <w:rPr>
                <w:webHidden/>
              </w:rPr>
              <w:instrText xml:space="preserve"> PAGEREF </w:instrText>
            </w:r>
            <w:r>
              <w:rPr>
                <w:webHidden/>
              </w:rPr>
              <w:instrText xml:space="preserve">_Toc513453989 \h </w:instrText>
            </w:r>
            <w:r>
              <w:rPr>
                <w:webHidden/>
              </w:rPr>
            </w:r>
            <w:r>
              <w:rPr>
                <w:webHidden/>
              </w:rPr>
              <w:fldChar w:fldCharType="separate"/>
            </w:r>
            <w:r>
              <w:rPr>
                <w:webHidden/>
              </w:rPr>
              <w:t>14</w:t>
            </w:r>
            <w:r>
              <w:rPr>
                <w:webHidden/>
              </w:rPr>
              <w:fldChar w:fldCharType="end"/>
            </w:r>
          </w:hyperlink>
        </w:p>
        <w:p w:rsidR="003A660B" w:rsidRDefault="006C2027">
          <w:pPr>
            <w:pStyle w:val="TOC1"/>
            <w:rPr>
              <w:rFonts w:asciiTheme="minorHAnsi" w:eastAsiaTheme="minorEastAsia" w:hAnsiTheme="minorHAnsi" w:cstheme="minorBidi"/>
              <w:b w:val="0"/>
              <w:bCs w:val="0"/>
              <w:sz w:val="22"/>
              <w:szCs w:val="22"/>
            </w:rPr>
          </w:pPr>
          <w:r>
            <w:fldChar w:fldCharType="end"/>
          </w:r>
        </w:p>
      </w:sdtContent>
    </w:sdt>
    <w:p w:rsidR="003A660B" w:rsidRDefault="006C2027">
      <w:pPr>
        <w:spacing w:after="200" w:line="276" w:lineRule="auto"/>
        <w:rPr>
          <w:b/>
          <w:bCs/>
          <w:noProof/>
        </w:rPr>
      </w:pPr>
      <w:r>
        <w:rPr>
          <w:noProof/>
        </w:rPr>
        <w:br w:type="page"/>
      </w:r>
    </w:p>
    <w:p w:rsidR="003A660B" w:rsidRDefault="006C2027">
      <w:pPr>
        <w:pStyle w:val="Heading1"/>
        <w:rPr>
          <w:noProof/>
          <w:sz w:val="32"/>
          <w:szCs w:val="32"/>
        </w:rPr>
      </w:pPr>
      <w:bookmarkStart w:id="5" w:name="_Toc504659413"/>
      <w:bookmarkStart w:id="6" w:name="_Toc513453980"/>
      <w:r>
        <w:rPr>
          <w:noProof/>
          <w:sz w:val="32"/>
        </w:rPr>
        <w:lastRenderedPageBreak/>
        <w:t>1. Въведение</w:t>
      </w:r>
      <w:bookmarkEnd w:id="5"/>
      <w:bookmarkEnd w:id="6"/>
    </w:p>
    <w:p w:rsidR="003A660B" w:rsidRDefault="006C2027">
      <w:pPr>
        <w:spacing w:before="100" w:beforeAutospacing="1" w:after="100" w:afterAutospacing="1"/>
        <w:jc w:val="both"/>
        <w:rPr>
          <w:bCs/>
          <w:noProof/>
        </w:rPr>
      </w:pPr>
      <w:r>
        <w:rPr>
          <w:noProof/>
        </w:rPr>
        <w:t xml:space="preserve">COSME е програмата за действия на ЕС за подобряване на конкурентоспособността на предприятията със специална насоченост към малките и средните </w:t>
      </w:r>
      <w:r>
        <w:rPr>
          <w:noProof/>
        </w:rPr>
        <w:t>предприятия (МСП).</w:t>
      </w:r>
      <w:r>
        <w:rPr>
          <w:b/>
          <w:noProof/>
        </w:rPr>
        <w:t xml:space="preserve"> </w:t>
      </w:r>
      <w:r>
        <w:rPr>
          <w:noProof/>
        </w:rPr>
        <w:t>Тя се основава на Програмата за предприемачество и иновации (EIP) за периода 2007—2013 г., която беше част от Рамковата програма за конкурентоспособност и иновации (ПКИ). Действията по линия на COSME целят да оптимизират полезните взаимо</w:t>
      </w:r>
      <w:r>
        <w:rPr>
          <w:noProof/>
        </w:rPr>
        <w:t xml:space="preserve">действия с други разходни програми на ЕС, и по-специално с европейските структурни и инвестиционни фондове (ЕСИ фондове) и програмата „Хоризонт 2020“, в рамките на която се осъществяват дейности за иновации, които преди това бяха част от EIP. </w:t>
      </w:r>
    </w:p>
    <w:p w:rsidR="003A660B" w:rsidRDefault="006C2027">
      <w:pPr>
        <w:autoSpaceDE w:val="0"/>
        <w:autoSpaceDN w:val="0"/>
        <w:adjustRightInd w:val="0"/>
        <w:jc w:val="both"/>
        <w:rPr>
          <w:rFonts w:eastAsia="Calibri" w:cs="Arial"/>
          <w:noProof/>
          <w:szCs w:val="22"/>
        </w:rPr>
      </w:pPr>
      <w:r>
        <w:rPr>
          <w:noProof/>
        </w:rPr>
        <w:t>COSME генери</w:t>
      </w:r>
      <w:r>
        <w:rPr>
          <w:noProof/>
        </w:rPr>
        <w:t>ра добавена стойност чрез разглеждане на транснационални въпроси и въпроси, свързани с неефективността на пазара, в четири основни области, определени в правното основание</w:t>
      </w:r>
      <w:r>
        <w:rPr>
          <w:rStyle w:val="FootnoteReference"/>
          <w:noProof/>
        </w:rPr>
        <w:footnoteReference w:id="1"/>
      </w:r>
      <w:r>
        <w:rPr>
          <w:noProof/>
        </w:rPr>
        <w:t>:</w:t>
      </w:r>
    </w:p>
    <w:p w:rsidR="003A660B" w:rsidRDefault="003A660B">
      <w:pPr>
        <w:autoSpaceDE w:val="0"/>
        <w:autoSpaceDN w:val="0"/>
        <w:adjustRightInd w:val="0"/>
        <w:jc w:val="both"/>
        <w:rPr>
          <w:rFonts w:eastAsia="Calibri" w:cs="Arial"/>
          <w:noProof/>
          <w:szCs w:val="22"/>
        </w:rPr>
      </w:pPr>
    </w:p>
    <w:p w:rsidR="003A660B" w:rsidRDefault="006C2027">
      <w:pPr>
        <w:pStyle w:val="ListParagraph"/>
        <w:numPr>
          <w:ilvl w:val="0"/>
          <w:numId w:val="45"/>
        </w:numPr>
        <w:autoSpaceDE w:val="0"/>
        <w:autoSpaceDN w:val="0"/>
        <w:adjustRightInd w:val="0"/>
        <w:jc w:val="both"/>
        <w:rPr>
          <w:rFonts w:eastAsia="Calibri" w:cs="Arial"/>
          <w:noProof/>
          <w:szCs w:val="22"/>
        </w:rPr>
      </w:pPr>
      <w:r>
        <w:rPr>
          <w:noProof/>
        </w:rPr>
        <w:t xml:space="preserve">подобряване на </w:t>
      </w:r>
      <w:r>
        <w:rPr>
          <w:b/>
          <w:noProof/>
        </w:rPr>
        <w:t>достъпа до финансиране</w:t>
      </w:r>
      <w:r>
        <w:rPr>
          <w:noProof/>
        </w:rPr>
        <w:t xml:space="preserve"> за МСП под формата на капиталови и дългови </w:t>
      </w:r>
      <w:r>
        <w:rPr>
          <w:noProof/>
        </w:rPr>
        <w:t>инструменти (поне 60 % от общия бюджетен пакет);</w:t>
      </w:r>
    </w:p>
    <w:p w:rsidR="003A660B" w:rsidRDefault="003A660B">
      <w:pPr>
        <w:autoSpaceDE w:val="0"/>
        <w:autoSpaceDN w:val="0"/>
        <w:adjustRightInd w:val="0"/>
        <w:jc w:val="both"/>
        <w:rPr>
          <w:rFonts w:eastAsia="Calibri" w:cs="Arial"/>
          <w:noProof/>
          <w:szCs w:val="22"/>
        </w:rPr>
      </w:pPr>
    </w:p>
    <w:p w:rsidR="003A660B" w:rsidRDefault="006C2027">
      <w:pPr>
        <w:pStyle w:val="ListParagraph"/>
        <w:numPr>
          <w:ilvl w:val="0"/>
          <w:numId w:val="45"/>
        </w:numPr>
        <w:autoSpaceDE w:val="0"/>
        <w:autoSpaceDN w:val="0"/>
        <w:adjustRightInd w:val="0"/>
        <w:jc w:val="both"/>
        <w:rPr>
          <w:rFonts w:eastAsia="Calibri" w:cs="Arial"/>
          <w:noProof/>
          <w:szCs w:val="22"/>
        </w:rPr>
      </w:pPr>
      <w:r>
        <w:rPr>
          <w:noProof/>
        </w:rPr>
        <w:t xml:space="preserve">подобряване на </w:t>
      </w:r>
      <w:r>
        <w:rPr>
          <w:b/>
          <w:noProof/>
        </w:rPr>
        <w:t>достъпа до пазарите</w:t>
      </w:r>
      <w:r>
        <w:rPr>
          <w:noProof/>
        </w:rPr>
        <w:t xml:space="preserve"> в рамките на Съюза и извън него (21,5 %);</w:t>
      </w:r>
    </w:p>
    <w:p w:rsidR="003A660B" w:rsidRDefault="003A660B">
      <w:pPr>
        <w:autoSpaceDE w:val="0"/>
        <w:autoSpaceDN w:val="0"/>
        <w:adjustRightInd w:val="0"/>
        <w:jc w:val="both"/>
        <w:rPr>
          <w:rFonts w:eastAsia="Calibri" w:cs="Arial"/>
          <w:noProof/>
          <w:szCs w:val="22"/>
        </w:rPr>
      </w:pPr>
    </w:p>
    <w:p w:rsidR="003A660B" w:rsidRDefault="006C2027">
      <w:pPr>
        <w:pStyle w:val="ListParagraph"/>
        <w:numPr>
          <w:ilvl w:val="0"/>
          <w:numId w:val="45"/>
        </w:numPr>
        <w:autoSpaceDE w:val="0"/>
        <w:autoSpaceDN w:val="0"/>
        <w:adjustRightInd w:val="0"/>
        <w:jc w:val="both"/>
        <w:rPr>
          <w:rFonts w:eastAsia="Calibri" w:cs="Arial"/>
          <w:noProof/>
          <w:szCs w:val="22"/>
        </w:rPr>
      </w:pPr>
      <w:r>
        <w:rPr>
          <w:noProof/>
        </w:rPr>
        <w:t xml:space="preserve">подобряване на </w:t>
      </w:r>
      <w:r>
        <w:rPr>
          <w:b/>
          <w:noProof/>
        </w:rPr>
        <w:t>рамковите условия</w:t>
      </w:r>
      <w:r>
        <w:rPr>
          <w:noProof/>
        </w:rPr>
        <w:t xml:space="preserve"> за дружествата</w:t>
      </w:r>
      <w:r>
        <w:rPr>
          <w:b/>
          <w:noProof/>
        </w:rPr>
        <w:t xml:space="preserve"> и конкурентоспособността на предприятията</w:t>
      </w:r>
      <w:r>
        <w:rPr>
          <w:noProof/>
        </w:rPr>
        <w:t>, включително МСП (11 %);</w:t>
      </w:r>
    </w:p>
    <w:p w:rsidR="003A660B" w:rsidRDefault="003A660B">
      <w:pPr>
        <w:autoSpaceDE w:val="0"/>
        <w:autoSpaceDN w:val="0"/>
        <w:adjustRightInd w:val="0"/>
        <w:jc w:val="both"/>
        <w:rPr>
          <w:rFonts w:eastAsia="Calibri" w:cs="Arial"/>
          <w:noProof/>
          <w:szCs w:val="22"/>
        </w:rPr>
      </w:pPr>
    </w:p>
    <w:p w:rsidR="003A660B" w:rsidRDefault="006C2027">
      <w:pPr>
        <w:pStyle w:val="ListParagraph"/>
        <w:numPr>
          <w:ilvl w:val="0"/>
          <w:numId w:val="45"/>
        </w:numPr>
        <w:autoSpaceDE w:val="0"/>
        <w:autoSpaceDN w:val="0"/>
        <w:adjustRightInd w:val="0"/>
        <w:jc w:val="both"/>
        <w:rPr>
          <w:rFonts w:eastAsia="Calibri" w:cs="Arial"/>
          <w:noProof/>
          <w:szCs w:val="22"/>
        </w:rPr>
      </w:pPr>
      <w:r>
        <w:rPr>
          <w:b/>
          <w:noProof/>
        </w:rPr>
        <w:t xml:space="preserve">насърчаване </w:t>
      </w:r>
      <w:r>
        <w:rPr>
          <w:b/>
          <w:noProof/>
        </w:rPr>
        <w:t>на предприемачеството</w:t>
      </w:r>
      <w:r>
        <w:rPr>
          <w:noProof/>
        </w:rPr>
        <w:t xml:space="preserve"> и на културата на предприемачество (2,5 %).</w:t>
      </w:r>
    </w:p>
    <w:p w:rsidR="003A660B" w:rsidRDefault="003A660B">
      <w:pPr>
        <w:autoSpaceDE w:val="0"/>
        <w:autoSpaceDN w:val="0"/>
        <w:adjustRightInd w:val="0"/>
        <w:jc w:val="both"/>
        <w:rPr>
          <w:rFonts w:eastAsia="Calibri" w:cs="Arial"/>
          <w:noProof/>
          <w:szCs w:val="22"/>
        </w:rPr>
      </w:pPr>
    </w:p>
    <w:p w:rsidR="003A660B" w:rsidRDefault="006C2027">
      <w:pPr>
        <w:spacing w:before="100" w:beforeAutospacing="1" w:after="100" w:afterAutospacing="1"/>
        <w:jc w:val="both"/>
        <w:rPr>
          <w:bCs/>
          <w:noProof/>
        </w:rPr>
      </w:pPr>
      <w:r>
        <w:rPr>
          <w:noProof/>
        </w:rPr>
        <w:t>Освен 28-те държави — членки на ЕС, през 2015 г. в COSME участваха следните държави: Албания, Сърбия, Армения,Турция, Черна гора, бивша югославска република Македония и Молдова.</w:t>
      </w:r>
    </w:p>
    <w:p w:rsidR="003A660B" w:rsidRDefault="006C2027">
      <w:pPr>
        <w:spacing w:before="100" w:beforeAutospacing="1" w:after="100" w:afterAutospacing="1"/>
        <w:jc w:val="both"/>
        <w:rPr>
          <w:bCs/>
          <w:noProof/>
        </w:rPr>
      </w:pPr>
      <w:r>
        <w:rPr>
          <w:noProof/>
        </w:rPr>
        <w:t>Комисията е</w:t>
      </w:r>
      <w:r>
        <w:rPr>
          <w:noProof/>
        </w:rPr>
        <w:t xml:space="preserve"> отговорна за цялостното изпълнение на COSME. Първата цел се изпълнява чрез финансовите инструменти, поверени на Европейския инвестиционен фонд (ЕИФ). Изпълнението на действията по цели 2, 3 и 4 като цяло е делегирано на Изпълнителната агенция за малките и</w:t>
      </w:r>
      <w:r>
        <w:rPr>
          <w:noProof/>
        </w:rPr>
        <w:t xml:space="preserve"> средните предприятия (EASME). За някои аналитични дейности и дейности по сравнителен анализ е предвидено и непряко управление от международни организации. </w:t>
      </w:r>
    </w:p>
    <w:p w:rsidR="003A660B" w:rsidRDefault="006C2027">
      <w:pPr>
        <w:spacing w:before="100" w:beforeAutospacing="1" w:after="100" w:afterAutospacing="1"/>
        <w:jc w:val="both"/>
        <w:rPr>
          <w:noProof/>
        </w:rPr>
      </w:pPr>
      <w:r>
        <w:rPr>
          <w:rStyle w:val="ListDashChar"/>
          <w:noProof/>
        </w:rPr>
        <w:t xml:space="preserve">В настоящия доклад се представя преглед на изпълнението на бюджета на COSME през 2015 г. в съответствие с член 15 от Регламента за COSME, включително </w:t>
      </w:r>
      <w:r>
        <w:rPr>
          <w:noProof/>
        </w:rPr>
        <w:t>мерките за подкрепа и разходите от административно естество</w:t>
      </w:r>
      <w:r>
        <w:rPr>
          <w:rStyle w:val="ListDashChar"/>
          <w:noProof/>
        </w:rPr>
        <w:t>. Подробностите относно изпълнението на всяка ц</w:t>
      </w:r>
      <w:r>
        <w:rPr>
          <w:rStyle w:val="ListDashChar"/>
          <w:noProof/>
        </w:rPr>
        <w:t>ел са посочени в приложение 1. Приложение 2 съдържа списък на бенефициерите по поканите за представяне на предложения.</w:t>
      </w:r>
    </w:p>
    <w:p w:rsidR="003A660B" w:rsidRDefault="006C2027">
      <w:pPr>
        <w:spacing w:after="200" w:line="276" w:lineRule="auto"/>
        <w:rPr>
          <w:bCs/>
          <w:noProof/>
          <w:highlight w:val="lightGray"/>
        </w:rPr>
      </w:pPr>
      <w:r>
        <w:rPr>
          <w:noProof/>
        </w:rPr>
        <w:br w:type="page"/>
      </w:r>
    </w:p>
    <w:p w:rsidR="003A660B" w:rsidRDefault="006C2027">
      <w:pPr>
        <w:pStyle w:val="Heading1"/>
        <w:rPr>
          <w:noProof/>
          <w:sz w:val="32"/>
          <w:szCs w:val="32"/>
        </w:rPr>
      </w:pPr>
      <w:bookmarkStart w:id="7" w:name="_Toc444193149"/>
      <w:bookmarkStart w:id="8" w:name="_Toc504659414"/>
      <w:bookmarkStart w:id="9" w:name="_Toc513453981"/>
      <w:r>
        <w:rPr>
          <w:noProof/>
          <w:sz w:val="32"/>
        </w:rPr>
        <w:lastRenderedPageBreak/>
        <w:t>2. Дейности и резултати през 2015 г.</w:t>
      </w:r>
      <w:bookmarkEnd w:id="7"/>
      <w:r>
        <w:rPr>
          <w:rStyle w:val="FootnoteReference"/>
          <w:noProof/>
          <w:sz w:val="32"/>
        </w:rPr>
        <w:footnoteReference w:id="2"/>
      </w:r>
      <w:bookmarkEnd w:id="8"/>
      <w:bookmarkEnd w:id="9"/>
    </w:p>
    <w:p w:rsidR="003A660B" w:rsidRDefault="006C2027">
      <w:pPr>
        <w:spacing w:before="100" w:beforeAutospacing="1" w:after="100" w:afterAutospacing="1"/>
        <w:jc w:val="both"/>
        <w:rPr>
          <w:bCs/>
          <w:noProof/>
        </w:rPr>
      </w:pPr>
      <w:r>
        <w:rPr>
          <w:noProof/>
        </w:rPr>
        <w:t>В правното основание за COSME се посочва общ примерен бюджет в размер на 2,3 милиарда евро за сед</w:t>
      </w:r>
      <w:r>
        <w:rPr>
          <w:noProof/>
        </w:rPr>
        <w:t xml:space="preserve">емгодишния период на COSME (2014—2020 г.). Бюджетът следва определен разходен цикъл, като се планира поетите задължения да се увеличават постепенно до последната година на програмата, т.е. 2020 г. Очаква се бюджетните кредити за плащания да следват същата </w:t>
      </w:r>
      <w:r>
        <w:rPr>
          <w:noProof/>
        </w:rPr>
        <w:t>тенденция, но при по-ниско ниво през 2015 г., тъй като по програмата все още не са създадени необходимите правни задължения за генериране на плащания. В правното основание за COSME се посочва, че програмата се изпълнява чрез годишна работна програма и чрез</w:t>
      </w:r>
      <w:r>
        <w:rPr>
          <w:noProof/>
        </w:rPr>
        <w:t xml:space="preserve"> мерки за подкрепа. Бюджетът също така включва бюджетни кредити за административни разходи за управление на програмата.</w:t>
      </w:r>
    </w:p>
    <w:p w:rsidR="003A660B" w:rsidRDefault="006C2027">
      <w:pPr>
        <w:autoSpaceDE w:val="0"/>
        <w:autoSpaceDN w:val="0"/>
        <w:adjustRightInd w:val="0"/>
        <w:spacing w:before="100" w:beforeAutospacing="1" w:after="100" w:afterAutospacing="1"/>
        <w:jc w:val="both"/>
        <w:rPr>
          <w:bCs/>
          <w:noProof/>
        </w:rPr>
      </w:pPr>
      <w:r>
        <w:rPr>
          <w:noProof/>
        </w:rPr>
        <w:t xml:space="preserve">Бюджетът на COSME се изпълнява чрез четири бюджетни реда, като бюджетните кредити са посочени в съответното преразгледано решение за </w:t>
      </w:r>
      <w:r>
        <w:rPr>
          <w:noProof/>
        </w:rPr>
        <w:t>финансиране за 2015 г</w:t>
      </w:r>
      <w:r>
        <w:rPr>
          <w:rStyle w:val="FootnoteReference"/>
          <w:noProof/>
        </w:rPr>
        <w:footnoteReference w:id="3"/>
      </w:r>
      <w:r>
        <w:rPr>
          <w:noProof/>
        </w:rPr>
        <w:t>. След добавяне на вноските на трети държави, неизползваните бюджетни кредити от предходния програмен период и разни трансфери наличният бюджет за 2015 г. беше:</w:t>
      </w:r>
    </w:p>
    <w:p w:rsidR="003A660B" w:rsidRDefault="006C2027">
      <w:pPr>
        <w:autoSpaceDE w:val="0"/>
        <w:autoSpaceDN w:val="0"/>
        <w:adjustRightInd w:val="0"/>
        <w:spacing w:before="100" w:beforeAutospacing="1" w:after="100" w:afterAutospacing="1"/>
        <w:jc w:val="both"/>
        <w:rPr>
          <w:rFonts w:eastAsiaTheme="minorHAnsi"/>
          <w:noProof/>
        </w:rPr>
      </w:pPr>
      <w:r>
        <w:rPr>
          <w:noProof/>
        </w:rPr>
        <w:t>а) бюджетен ред 02 01 04 01 за административни разходи: 4 199 483 EUR</w:t>
      </w:r>
    </w:p>
    <w:p w:rsidR="003A660B" w:rsidRDefault="006C2027">
      <w:pPr>
        <w:autoSpaceDE w:val="0"/>
        <w:autoSpaceDN w:val="0"/>
        <w:adjustRightInd w:val="0"/>
        <w:spacing w:before="100" w:beforeAutospacing="1" w:after="100" w:afterAutospacing="1"/>
        <w:jc w:val="both"/>
        <w:rPr>
          <w:rFonts w:eastAsiaTheme="minorHAnsi"/>
          <w:noProof/>
        </w:rPr>
      </w:pPr>
      <w:r>
        <w:rPr>
          <w:noProof/>
        </w:rPr>
        <w:t xml:space="preserve">б) </w:t>
      </w:r>
      <w:r>
        <w:rPr>
          <w:noProof/>
        </w:rPr>
        <w:t>бюджетен ред 02 01 06 01 за функционирането на агенция EASME: 8 112 465 EUR;</w:t>
      </w:r>
    </w:p>
    <w:p w:rsidR="003A660B" w:rsidRDefault="006C2027">
      <w:pPr>
        <w:autoSpaceDE w:val="0"/>
        <w:autoSpaceDN w:val="0"/>
        <w:adjustRightInd w:val="0"/>
        <w:spacing w:before="100" w:beforeAutospacing="1" w:after="100" w:afterAutospacing="1"/>
        <w:jc w:val="both"/>
        <w:rPr>
          <w:rFonts w:eastAsiaTheme="minorHAnsi"/>
          <w:noProof/>
        </w:rPr>
      </w:pPr>
      <w:r>
        <w:rPr>
          <w:noProof/>
        </w:rPr>
        <w:t>в) бюджетен ред 02 02 01 за всички други оперативни разходи: 117 350 819 EUR</w:t>
      </w:r>
    </w:p>
    <w:p w:rsidR="003A660B" w:rsidRDefault="006C2027">
      <w:pPr>
        <w:spacing w:before="100" w:beforeAutospacing="1" w:after="100" w:afterAutospacing="1"/>
        <w:jc w:val="both"/>
        <w:rPr>
          <w:rFonts w:eastAsiaTheme="minorHAnsi"/>
          <w:noProof/>
        </w:rPr>
      </w:pPr>
      <w:r>
        <w:rPr>
          <w:noProof/>
        </w:rPr>
        <w:t>г) бюджетен ред 02 02 02 за достъп до финансиране на оперативни разходи: 200 036 997 EUR.</w:t>
      </w:r>
    </w:p>
    <w:p w:rsidR="003A660B" w:rsidRDefault="006C2027">
      <w:pPr>
        <w:spacing w:before="100" w:beforeAutospacing="1" w:after="100" w:afterAutospacing="1"/>
        <w:jc w:val="both"/>
        <w:rPr>
          <w:rFonts w:eastAsiaTheme="minorHAnsi"/>
          <w:noProof/>
        </w:rPr>
      </w:pPr>
      <w:r>
        <w:rPr>
          <w:noProof/>
        </w:rPr>
        <w:t xml:space="preserve">В решението </w:t>
      </w:r>
      <w:r>
        <w:rPr>
          <w:noProof/>
        </w:rPr>
        <w:t>за финансиране на мерки за подкрепа</w:t>
      </w:r>
      <w:r>
        <w:rPr>
          <w:rStyle w:val="FootnoteReference"/>
          <w:rFonts w:eastAsiaTheme="minorHAnsi"/>
          <w:noProof/>
        </w:rPr>
        <w:footnoteReference w:id="4"/>
      </w:r>
      <w:r>
        <w:rPr>
          <w:noProof/>
        </w:rPr>
        <w:t xml:space="preserve"> се предвижда принос в размер на 8 342 000 EUR, включен в бюджетен ред 02 02 01 от общия бюджет на Европейския съюз за 2015 г.</w:t>
      </w:r>
    </w:p>
    <w:p w:rsidR="003A660B" w:rsidRDefault="006C2027">
      <w:pPr>
        <w:spacing w:before="100" w:beforeAutospacing="1" w:after="100" w:afterAutospacing="1"/>
        <w:jc w:val="both"/>
        <w:rPr>
          <w:noProof/>
        </w:rPr>
      </w:pPr>
      <w:r>
        <w:rPr>
          <w:noProof/>
        </w:rPr>
        <w:t>Средно 92 % от дейностите по линия на COSME, с изключение на достъпа до финансиране, бяха дел</w:t>
      </w:r>
      <w:r>
        <w:rPr>
          <w:noProof/>
        </w:rPr>
        <w:t>егирани на EASME</w:t>
      </w:r>
      <w:r>
        <w:rPr>
          <w:noProof/>
          <w:vertAlign w:val="superscript"/>
        </w:rPr>
        <w:footnoteReference w:id="5"/>
      </w:r>
      <w:r>
        <w:rPr>
          <w:noProof/>
        </w:rPr>
        <w:t>.</w:t>
      </w:r>
    </w:p>
    <w:p w:rsidR="003A660B" w:rsidRDefault="006C2027">
      <w:pPr>
        <w:spacing w:before="100" w:beforeAutospacing="1" w:after="100" w:afterAutospacing="1"/>
        <w:jc w:val="both"/>
        <w:rPr>
          <w:noProof/>
        </w:rPr>
      </w:pPr>
      <w:r>
        <w:rPr>
          <w:noProof/>
        </w:rPr>
        <w:t xml:space="preserve">Общо </w:t>
      </w:r>
      <w:r>
        <w:rPr>
          <w:b/>
          <w:noProof/>
        </w:rPr>
        <w:t>бяха поети задължения за 99 % от наличните 329 милиона евро.</w:t>
      </w:r>
      <w:r>
        <w:rPr>
          <w:noProof/>
        </w:rPr>
        <w:t xml:space="preserve"> По отношение на плащанията степента на изпълнение беше средно 89 %.  </w:t>
      </w:r>
    </w:p>
    <w:p w:rsidR="003A660B" w:rsidRDefault="006C2027">
      <w:pPr>
        <w:spacing w:after="200" w:line="276" w:lineRule="auto"/>
        <w:rPr>
          <w:noProof/>
        </w:rPr>
      </w:pPr>
      <w:r>
        <w:rPr>
          <w:noProof/>
        </w:rPr>
        <w:br w:type="page"/>
      </w:r>
    </w:p>
    <w:p w:rsidR="003A660B" w:rsidRDefault="006C2027">
      <w:pPr>
        <w:pStyle w:val="Heading1"/>
        <w:rPr>
          <w:bCs w:val="0"/>
          <w:noProof/>
          <w:sz w:val="32"/>
          <w:szCs w:val="32"/>
        </w:rPr>
      </w:pPr>
      <w:bookmarkStart w:id="10" w:name="_Toc504659415"/>
      <w:bookmarkStart w:id="11" w:name="_Toc513453982"/>
      <w:r>
        <w:rPr>
          <w:noProof/>
          <w:sz w:val="32"/>
        </w:rPr>
        <w:t>2.1 Достъп до финансиране</w:t>
      </w:r>
      <w:bookmarkEnd w:id="10"/>
      <w:bookmarkEnd w:id="11"/>
      <w:r>
        <w:rPr>
          <w:noProof/>
          <w:sz w:val="32"/>
        </w:rPr>
        <w:t xml:space="preserve"> </w:t>
      </w:r>
    </w:p>
    <w:p w:rsidR="003A660B" w:rsidRDefault="006C2027">
      <w:pPr>
        <w:spacing w:before="100" w:beforeAutospacing="1" w:after="100" w:afterAutospacing="1"/>
        <w:jc w:val="both"/>
        <w:rPr>
          <w:b/>
          <w:bCs/>
          <w:noProof/>
        </w:rPr>
      </w:pPr>
      <w:r>
        <w:rPr>
          <w:b/>
          <w:noProof/>
        </w:rPr>
        <w:t>В Регламента за COSME се посочва, че поне 60 % от общия бюджет (1,4 мили</w:t>
      </w:r>
      <w:r>
        <w:rPr>
          <w:b/>
          <w:noProof/>
        </w:rPr>
        <w:t>арда евро) трябва да бъдат разпределени към финансовите инструменти за периода 2014—2020 г.</w:t>
      </w:r>
    </w:p>
    <w:p w:rsidR="003A660B" w:rsidRDefault="006C2027">
      <w:pPr>
        <w:spacing w:before="100" w:beforeAutospacing="1" w:after="100" w:afterAutospacing="1"/>
        <w:jc w:val="both"/>
        <w:rPr>
          <w:bCs/>
          <w:noProof/>
        </w:rPr>
      </w:pPr>
      <w:r>
        <w:rPr>
          <w:noProof/>
        </w:rPr>
        <w:t>През 2015 г. достъпът до финансиране представляваше 59,2 % от наличния за COSME финансов пакет. Окончателният бюджет, наличен за финансовите инструменти и за съпътс</w:t>
      </w:r>
      <w:r>
        <w:rPr>
          <w:noProof/>
        </w:rPr>
        <w:t>тващи мерки, включително участие на държави от ЕАСТ и трети държави в програмата, беше в размер на 200 милиона евро. Общият бюджет за поети задължения за механизма за гарантиране на заеми (МГЗ)</w:t>
      </w:r>
      <w:r>
        <w:rPr>
          <w:noProof/>
          <w:vertAlign w:val="superscript"/>
        </w:rPr>
        <w:t xml:space="preserve"> </w:t>
      </w:r>
      <w:r>
        <w:rPr>
          <w:noProof/>
          <w:vertAlign w:val="superscript"/>
        </w:rPr>
        <w:footnoteReference w:id="6"/>
      </w:r>
      <w:r>
        <w:rPr>
          <w:noProof/>
        </w:rPr>
        <w:t xml:space="preserve"> беше в размер на 148,5 милиона евро, докато общият бюджет за</w:t>
      </w:r>
      <w:r>
        <w:rPr>
          <w:noProof/>
        </w:rPr>
        <w:t xml:space="preserve"> поети задължения за капиталовия механизъм за растеж (КМР) беше в размер на 50,7 милиона евро. Бюджетът за поети задължения през 2015 г. за съпътстващи мерки беше 0,8 милиона евро. Тези мерки включваха популяризиране на финансовите инструменти и събиране н</w:t>
      </w:r>
      <w:r>
        <w:rPr>
          <w:noProof/>
        </w:rPr>
        <w:t>а данни относно достъпа на МСП до финансиране.</w:t>
      </w:r>
    </w:p>
    <w:p w:rsidR="003A660B" w:rsidRDefault="006C2027">
      <w:pPr>
        <w:spacing w:before="100" w:beforeAutospacing="1" w:after="100" w:afterAutospacing="1"/>
        <w:jc w:val="both"/>
        <w:rPr>
          <w:bCs/>
          <w:noProof/>
        </w:rPr>
      </w:pPr>
      <w:r>
        <w:rPr>
          <w:noProof/>
        </w:rPr>
        <w:t>Механизъм за гарантиране на заеми</w:t>
      </w:r>
    </w:p>
    <w:p w:rsidR="003A660B" w:rsidRDefault="006C2027">
      <w:pPr>
        <w:spacing w:before="100" w:beforeAutospacing="1" w:after="100" w:afterAutospacing="1"/>
        <w:jc w:val="both"/>
        <w:rPr>
          <w:bCs/>
          <w:noProof/>
        </w:rPr>
      </w:pPr>
      <w:r>
        <w:rPr>
          <w:noProof/>
        </w:rPr>
        <w:t>През 2015 г. бяха подписани 27 гаранционни споразумения съгласно МГЗ с финансови посредници от 17 държави (16 държави членки и 1 участваща трета държава). Над 51 000 МСП получ</w:t>
      </w:r>
      <w:r>
        <w:rPr>
          <w:noProof/>
        </w:rPr>
        <w:t xml:space="preserve">иха финансиране по линия на МГЗ в размер на близо 1,3 милиарда евро, включително благодарение на разширяването на МГЗ чрез допълнителен капацитет за поемане на рискове, който беше осигурен от Европейския фонд за стратегически инвестиции (ЕФСИ), наличен от </w:t>
      </w:r>
      <w:r>
        <w:rPr>
          <w:noProof/>
        </w:rPr>
        <w:t xml:space="preserve">юли 2015 г. Изпълнението продължи да надхвърля очакванията и потвърди голямото пазарно търсене на финансиране за по-рискови МСП, особено стартиращи и малки предприятия. </w:t>
      </w:r>
    </w:p>
    <w:p w:rsidR="003A660B" w:rsidRDefault="006C2027">
      <w:pPr>
        <w:spacing w:before="100" w:beforeAutospacing="1" w:after="100" w:afterAutospacing="1"/>
        <w:jc w:val="both"/>
        <w:rPr>
          <w:bCs/>
          <w:noProof/>
        </w:rPr>
      </w:pPr>
      <w:r>
        <w:rPr>
          <w:noProof/>
        </w:rPr>
        <w:t>Капиталов механизъм за растеж</w:t>
      </w:r>
    </w:p>
    <w:p w:rsidR="003A660B" w:rsidRDefault="006C2027">
      <w:pPr>
        <w:spacing w:before="100" w:beforeAutospacing="1" w:after="100" w:afterAutospacing="1"/>
        <w:jc w:val="both"/>
        <w:rPr>
          <w:bCs/>
          <w:noProof/>
        </w:rPr>
      </w:pPr>
      <w:r>
        <w:rPr>
          <w:noProof/>
        </w:rPr>
        <w:t xml:space="preserve">През 2015 г. ЕИФ подписа пет споразумения за поемане на </w:t>
      </w:r>
      <w:r>
        <w:rPr>
          <w:noProof/>
        </w:rPr>
        <w:t>задължения по линия на КМР за създаването на фондове, насочени главно към инвестиции в Италия, Франция, Нидерландия, Гърция и Германия, но достъпни и за трансгранични инвестиции. Очакваният обем на инвестициите за допустими крайни бенефициери възлиза на по</w:t>
      </w:r>
      <w:r>
        <w:rPr>
          <w:noProof/>
        </w:rPr>
        <w:t>чти 395 милиона евро и се очаква да осигури рисков капитал на около 53 МСП. От петте операции, подписани през 2015 г., две са свързани с фондове за етапа на растеж и разрастване, а три — с многофазови фондове, в съчетание с капиталовия механизъм по InnovFi</w:t>
      </w:r>
      <w:r>
        <w:rPr>
          <w:noProof/>
        </w:rPr>
        <w:t>n за ранни етапи, създаден в рамките на програма „Хоризонт 2020“. В края на 2015 г. две от тези операции бяха приключени безусловно и съответните споразумения за отпускане на средства бяха подписани с всички инвеститори. Безусловното подписване за трите др</w:t>
      </w:r>
      <w:r>
        <w:rPr>
          <w:noProof/>
        </w:rPr>
        <w:t>уги операции беше извършено през 2016 г. Първите инвестиции в МСП бяха осъществени през 2016 г.</w:t>
      </w:r>
    </w:p>
    <w:p w:rsidR="003A660B" w:rsidRDefault="006C2027">
      <w:pPr>
        <w:spacing w:before="100" w:beforeAutospacing="1" w:after="100" w:afterAutospacing="1"/>
        <w:jc w:val="both"/>
        <w:rPr>
          <w:bCs/>
          <w:noProof/>
        </w:rPr>
      </w:pPr>
      <w:r>
        <w:rPr>
          <w:noProof/>
        </w:rPr>
        <w:t>През 2015 г. инструментът GIF (Механизъм за висок растеж и иновации на МСП) също продължи да осигурява рисков капитал на МСП, като бяха извършени капиталови инв</w:t>
      </w:r>
      <w:r>
        <w:rPr>
          <w:noProof/>
        </w:rPr>
        <w:t>естиции в 68 допълнителни МСП. От началото на своята дейност инструментът GIF е мобилизирал дялово финансиране в размер на над 3,1 милиарда евро за повече от 500 МСП. Този брой ще продължи да се увеличава през следващите години, тъй като инвестиционният пе</w:t>
      </w:r>
      <w:r>
        <w:rPr>
          <w:noProof/>
        </w:rPr>
        <w:t>риод все още продължава за няколко фонда.</w:t>
      </w:r>
    </w:p>
    <w:p w:rsidR="003A660B" w:rsidRDefault="006C2027">
      <w:pPr>
        <w:spacing w:before="100" w:beforeAutospacing="1" w:after="100" w:afterAutospacing="1"/>
        <w:jc w:val="both"/>
        <w:rPr>
          <w:bCs/>
          <w:noProof/>
        </w:rPr>
      </w:pPr>
      <w:r>
        <w:rPr>
          <w:noProof/>
        </w:rPr>
        <w:t>Дейности за повишаване на осведомеността</w:t>
      </w:r>
    </w:p>
    <w:p w:rsidR="003A660B" w:rsidRDefault="006C2027">
      <w:pPr>
        <w:spacing w:before="100" w:beforeAutospacing="1" w:after="100" w:afterAutospacing="1"/>
        <w:jc w:val="both"/>
        <w:rPr>
          <w:bCs/>
          <w:noProof/>
        </w:rPr>
      </w:pPr>
      <w:r>
        <w:rPr>
          <w:noProof/>
        </w:rPr>
        <w:t>През 2015 г. Комисията продължи да актуализира и популяризира единния портал за финансовите инструменти на ЕС</w:t>
      </w:r>
      <w:r>
        <w:rPr>
          <w:rStyle w:val="FootnoteReference"/>
          <w:noProof/>
        </w:rPr>
        <w:footnoteReference w:id="7"/>
      </w:r>
      <w:r>
        <w:rPr>
          <w:noProof/>
        </w:rPr>
        <w:t>. Порталът предоставя информация за начините за достъп на предп</w:t>
      </w:r>
      <w:r>
        <w:rPr>
          <w:noProof/>
        </w:rPr>
        <w:t>риятията до COSME и други финансови инструменти на ЕС, подкрепяни от „Хоризонт 2020“, програмата на Европейския съюз за заетост и социални иновации (EaSI), ЕСИ фондовете, Европейския фонд за стратегически инвестиции (ЕФСИ) и ресурси от групата на Европейск</w:t>
      </w:r>
      <w:r>
        <w:rPr>
          <w:noProof/>
        </w:rPr>
        <w:t>ата инвестиционна банка. Техническите подобрения спомогнаха за адаптирането на портала към потребностите на увеличаващия се брой ползватели на мобилни услуги. Различни дейности за популяризиране, включително оптимизацията на търсачката, спомогнаха за увели</w:t>
      </w:r>
      <w:r>
        <w:rPr>
          <w:noProof/>
        </w:rPr>
        <w:t xml:space="preserve">чаване на месечния брой на разглежданията на страницата от 100 000 в началото на 2015 г. на 150 000 през ноември 2015 г. </w:t>
      </w:r>
    </w:p>
    <w:p w:rsidR="003A660B" w:rsidRDefault="006C2027">
      <w:pPr>
        <w:spacing w:before="100" w:beforeAutospacing="1" w:after="100" w:afterAutospacing="1"/>
        <w:jc w:val="both"/>
        <w:rPr>
          <w:bCs/>
          <w:noProof/>
        </w:rPr>
      </w:pPr>
      <w:r>
        <w:rPr>
          <w:noProof/>
        </w:rPr>
        <w:t>В сътрудничество с национални заинтересовани страни и партньорски организации през 2015 г. Комисията организира и осем събития във връ</w:t>
      </w:r>
      <w:r>
        <w:rPr>
          <w:noProof/>
        </w:rPr>
        <w:t>зка с достъпа до финансиране, като общият брой на тези събития достигна 29 (обхващащи 28 държави членки и бивша югославска република Македония). Общо над 3000 участници посетиха събитията.</w:t>
      </w:r>
    </w:p>
    <w:p w:rsidR="003A660B" w:rsidRDefault="006C2027">
      <w:pPr>
        <w:spacing w:before="100" w:beforeAutospacing="1" w:after="100" w:afterAutospacing="1"/>
        <w:jc w:val="both"/>
        <w:rPr>
          <w:noProof/>
        </w:rPr>
      </w:pPr>
      <w:r>
        <w:rPr>
          <w:noProof/>
        </w:rPr>
        <w:t xml:space="preserve">Комисията, заедно с Европейската централна банка, извършва редовни </w:t>
      </w:r>
      <w:r>
        <w:rPr>
          <w:noProof/>
        </w:rPr>
        <w:t>проучвания по отношение на достъпа на предприятията до финансиране (SAFE). Тези проучвания осигуряват информация за финансовото положение, нуждите от финансиране, достъпа до финансиране и очакванията на МСП. Резултатите от 2015 г.</w:t>
      </w:r>
      <w:r>
        <w:rPr>
          <w:rStyle w:val="FootnoteReference"/>
          <w:noProof/>
        </w:rPr>
        <w:footnoteReference w:id="8"/>
      </w:r>
      <w:r>
        <w:rPr>
          <w:noProof/>
        </w:rPr>
        <w:t xml:space="preserve"> показаха, че въпросът от</w:t>
      </w:r>
      <w:r>
        <w:rPr>
          <w:noProof/>
        </w:rPr>
        <w:t>носно достъпа до финансиране е бил от най-голямо значение за 10 % от МСП в ЕС през 2015 г. (намаляване от над 15 % през 2013 г.), като банковите заеми са продължили да бъдат най-разпространената форма на външно финансиране за 50 % от МСП.</w:t>
      </w:r>
    </w:p>
    <w:p w:rsidR="003A660B" w:rsidRDefault="003A660B">
      <w:pPr>
        <w:spacing w:before="100" w:beforeAutospacing="1" w:after="100" w:afterAutospacing="1"/>
        <w:jc w:val="both"/>
        <w:rPr>
          <w:noProof/>
        </w:rPr>
      </w:pPr>
    </w:p>
    <w:p w:rsidR="003A660B" w:rsidRDefault="006C2027">
      <w:pPr>
        <w:pStyle w:val="Heading1"/>
        <w:rPr>
          <w:bCs w:val="0"/>
          <w:noProof/>
          <w:sz w:val="32"/>
          <w:szCs w:val="32"/>
        </w:rPr>
      </w:pPr>
      <w:bookmarkStart w:id="12" w:name="_Toc504659416"/>
      <w:bookmarkStart w:id="13" w:name="_Toc513453983"/>
      <w:r>
        <w:rPr>
          <w:noProof/>
          <w:sz w:val="32"/>
        </w:rPr>
        <w:t>2.2 Достъп до па</w:t>
      </w:r>
      <w:r>
        <w:rPr>
          <w:noProof/>
          <w:sz w:val="32"/>
        </w:rPr>
        <w:t>зари</w:t>
      </w:r>
      <w:bookmarkEnd w:id="12"/>
      <w:bookmarkEnd w:id="13"/>
      <w:r>
        <w:rPr>
          <w:noProof/>
          <w:sz w:val="32"/>
        </w:rPr>
        <w:t xml:space="preserve">  </w:t>
      </w:r>
    </w:p>
    <w:p w:rsidR="003A660B" w:rsidRDefault="006C2027">
      <w:pPr>
        <w:spacing w:after="120"/>
        <w:jc w:val="both"/>
        <w:rPr>
          <w:b/>
          <w:bCs/>
          <w:noProof/>
        </w:rPr>
      </w:pPr>
      <w:r>
        <w:rPr>
          <w:b/>
          <w:noProof/>
        </w:rPr>
        <w:t>В Регламента за COSME се посочва, че ориентировъчно 21,5 % от общия бюджет трябва да бъдат насочени към улесняване на достъпа до пазари.</w:t>
      </w:r>
    </w:p>
    <w:p w:rsidR="003A660B" w:rsidRDefault="006C2027">
      <w:pPr>
        <w:spacing w:before="100" w:beforeAutospacing="1" w:after="100" w:afterAutospacing="1"/>
        <w:jc w:val="both"/>
        <w:rPr>
          <w:bCs/>
          <w:noProof/>
        </w:rPr>
      </w:pPr>
      <w:r>
        <w:rPr>
          <w:noProof/>
        </w:rPr>
        <w:t>През 2015 г. бяха предвидени 61,5 милиона евро за интернационализация на МСП.</w:t>
      </w:r>
    </w:p>
    <w:p w:rsidR="003A660B" w:rsidRDefault="006C2027">
      <w:pPr>
        <w:spacing w:before="100" w:beforeAutospacing="1" w:after="100" w:afterAutospacing="1"/>
        <w:jc w:val="both"/>
        <w:rPr>
          <w:bCs/>
          <w:noProof/>
        </w:rPr>
      </w:pPr>
      <w:r>
        <w:rPr>
          <w:noProof/>
        </w:rPr>
        <w:t xml:space="preserve">COSME осигурява подкрепа на </w:t>
      </w:r>
      <w:r>
        <w:rPr>
          <w:noProof/>
        </w:rPr>
        <w:t>европейски предприятия, и по-специално на МСП, като целта е да се възползват от единния пазар чрез създаване на стопански връзки извън тяхната държава и също така чрез износ извън Европа.</w:t>
      </w:r>
    </w:p>
    <w:p w:rsidR="003A660B" w:rsidRDefault="006C2027">
      <w:pPr>
        <w:spacing w:before="100" w:beforeAutospacing="1" w:after="100" w:afterAutospacing="1"/>
        <w:jc w:val="both"/>
        <w:rPr>
          <w:bCs/>
          <w:noProof/>
        </w:rPr>
      </w:pPr>
      <w:r>
        <w:rPr>
          <w:noProof/>
        </w:rPr>
        <w:t>Мрежа „Enterprise Europe“</w:t>
      </w:r>
    </w:p>
    <w:p w:rsidR="003A660B" w:rsidRDefault="006C2027">
      <w:pPr>
        <w:spacing w:before="100" w:beforeAutospacing="1" w:after="100" w:afterAutospacing="1"/>
        <w:jc w:val="both"/>
        <w:rPr>
          <w:bCs/>
          <w:noProof/>
        </w:rPr>
      </w:pPr>
      <w:r>
        <w:rPr>
          <w:b/>
          <w:noProof/>
        </w:rPr>
        <w:t xml:space="preserve">Мрежата „Enterprise Europe“ </w:t>
      </w:r>
      <w:r>
        <w:rPr>
          <w:noProof/>
        </w:rPr>
        <w:t>(EEN) предоста</w:t>
      </w:r>
      <w:r>
        <w:rPr>
          <w:noProof/>
        </w:rPr>
        <w:t>вя интегрирани спомагателни услуги за бизнеса на дружества, които се стремят към иновации, растеж и проучване на възможности в единния пазар и трети държави. Ежегодно мрежата предлага услуги на около 250 000 МСП, включително специализирани консултантски ус</w:t>
      </w:r>
      <w:r>
        <w:rPr>
          <w:noProof/>
        </w:rPr>
        <w:t>луги на около 70 000 МСП. Оценка на мрежата показва, че при МСП, които използват EEN, е налице с 3,1 % по-голямо увеличаване на работните места и оборота в сравнение с тези, които не използват мрежата.</w:t>
      </w:r>
    </w:p>
    <w:p w:rsidR="003A660B" w:rsidRDefault="006C2027">
      <w:pPr>
        <w:spacing w:before="100" w:beforeAutospacing="1" w:after="100" w:afterAutospacing="1"/>
        <w:jc w:val="both"/>
        <w:rPr>
          <w:bCs/>
          <w:noProof/>
        </w:rPr>
      </w:pPr>
      <w:r>
        <w:rPr>
          <w:noProof/>
        </w:rPr>
        <w:t>През 2015 г. в мрежата имаше 527 участващи организации</w:t>
      </w:r>
      <w:r>
        <w:rPr>
          <w:noProof/>
        </w:rPr>
        <w:t xml:space="preserve"> от 90 консорциума, обхващащи всички региони в ЕС, и 8 държави, участващи в COSME, включително Сърбия и Армения. Бяха сключени рамкови споразумения за партньорство и бяха подписани специални споразумения за отпускане на безвъзмездни средства за първия опер</w:t>
      </w:r>
      <w:r>
        <w:rPr>
          <w:noProof/>
        </w:rPr>
        <w:t>ативен период 2015—2016 г. Средно участието на ЕС в допустимите разходи на партньорите на мрежата възлиза на около 53 %. Освен това бяха подписани 30 споразумения за сътрудничество за Центрове за бизнес сътрудничество в 29 трети държави. Те насочват своите</w:t>
      </w:r>
      <w:r>
        <w:rPr>
          <w:noProof/>
        </w:rPr>
        <w:t xml:space="preserve"> дейности към услуги за партньорство и трябва да финансират дейностите си със собствени ресурси (за настоящия списък на партньорите вж. </w:t>
      </w:r>
      <w:hyperlink r:id="rId16">
        <w:r>
          <w:rPr>
            <w:rStyle w:val="Hyperlink"/>
            <w:noProof/>
          </w:rPr>
          <w:t>https://een.ec.europa.eu/</w:t>
        </w:r>
      </w:hyperlink>
      <w:r>
        <w:rPr>
          <w:noProof/>
        </w:rPr>
        <w:t>). Освен това бяха подписани условия за асоциирано</w:t>
      </w:r>
      <w:r>
        <w:rPr>
          <w:noProof/>
        </w:rPr>
        <w:t xml:space="preserve"> членство с 13 организации.</w:t>
      </w:r>
    </w:p>
    <w:p w:rsidR="003A660B" w:rsidRDefault="006C2027">
      <w:pPr>
        <w:spacing w:before="100" w:beforeAutospacing="1" w:after="100" w:afterAutospacing="1"/>
        <w:jc w:val="both"/>
        <w:rPr>
          <w:bCs/>
          <w:noProof/>
        </w:rPr>
      </w:pPr>
      <w:r>
        <w:rPr>
          <w:noProof/>
        </w:rPr>
        <w:t>През 2015 г. Комисията, EASME и членове на мрежата „Enterprise Europe“ създадоха работна група по въпросите на достъпа до финансиране. Това се оказа ефективна мярка, тъй като тя спомогна както за повишаването на интереса към COS</w:t>
      </w:r>
      <w:r>
        <w:rPr>
          <w:noProof/>
        </w:rPr>
        <w:t xml:space="preserve">ME и другите финансови инструменти на ЕС, като по този начин беше мобилизирано тяхното успешно въвеждане в цяла Европа, така и за укрепване на финансовия консултантски капацитет на мрежата. </w:t>
      </w:r>
    </w:p>
    <w:p w:rsidR="003A660B" w:rsidRDefault="006C2027">
      <w:pPr>
        <w:spacing w:before="100" w:beforeAutospacing="1" w:after="100" w:afterAutospacing="1"/>
        <w:jc w:val="both"/>
        <w:rPr>
          <w:bCs/>
          <w:noProof/>
        </w:rPr>
      </w:pPr>
      <w:r>
        <w:rPr>
          <w:noProof/>
        </w:rPr>
        <w:t>Целта на проекта с работно наименование „Ready2Go“ за увеличаване</w:t>
      </w:r>
      <w:r>
        <w:rPr>
          <w:noProof/>
        </w:rPr>
        <w:t xml:space="preserve"> на готовността на МСП за извършване на дейност в международен мащаб е на предприятията да се предостави възможност за разширяване на техните хоризонти, създаване на международни контакти и налагане на световния пазар. Чрез него ще се предоставят обучение </w:t>
      </w:r>
      <w:r>
        <w:rPr>
          <w:noProof/>
        </w:rPr>
        <w:t>и възможности за работа в мрежа, като изпълнението му започна през септември 2016 г.</w:t>
      </w:r>
    </w:p>
    <w:p w:rsidR="003A660B" w:rsidRDefault="006C2027">
      <w:pPr>
        <w:spacing w:before="100" w:beforeAutospacing="1" w:after="100" w:afterAutospacing="1"/>
        <w:jc w:val="both"/>
        <w:rPr>
          <w:bCs/>
          <w:noProof/>
        </w:rPr>
      </w:pPr>
      <w:r>
        <w:rPr>
          <w:noProof/>
        </w:rPr>
        <w:t>Други дейности</w:t>
      </w:r>
    </w:p>
    <w:p w:rsidR="003A660B" w:rsidRDefault="006C2027">
      <w:pPr>
        <w:spacing w:before="100" w:beforeAutospacing="1" w:after="100" w:afterAutospacing="1"/>
        <w:jc w:val="both"/>
        <w:rPr>
          <w:b/>
          <w:bCs/>
          <w:noProof/>
        </w:rPr>
      </w:pPr>
      <w:r>
        <w:rPr>
          <w:noProof/>
        </w:rPr>
        <w:t>Развитието на сътрудничеството между ЕС и Япония продължава благодарение на годишните безвъзмездни средства в размер на 2,8 милиона евро за центъра „ЕС—Япон</w:t>
      </w:r>
      <w:r>
        <w:rPr>
          <w:noProof/>
        </w:rPr>
        <w:t>ия“ за подобряване на достъпа на европейските предприятия до японския пазар, като им се предоставя необходимата информация за местните условия и се запознават с търговските и промишлените практики, пред които се изправят предприятията от ЕС в Япония. Предо</w:t>
      </w:r>
      <w:r>
        <w:rPr>
          <w:noProof/>
        </w:rPr>
        <w:t>ставя се и обучение относно производствените технологии, управлението на качеството и иновациите с цел да се подобри конкурентоспособността на предприятията от ЕС.</w:t>
      </w:r>
    </w:p>
    <w:p w:rsidR="003A660B" w:rsidRDefault="006C2027">
      <w:pPr>
        <w:spacing w:before="100" w:beforeAutospacing="1" w:after="100" w:afterAutospacing="1"/>
        <w:jc w:val="both"/>
        <w:rPr>
          <w:bCs/>
          <w:noProof/>
        </w:rPr>
      </w:pPr>
      <w:r>
        <w:rPr>
          <w:noProof/>
        </w:rPr>
        <w:t>През 2015 г. порталът „Вашата Европа — предприятия“ привлече 1,6 милиона отделни посетители,</w:t>
      </w:r>
      <w:r>
        <w:rPr>
          <w:noProof/>
        </w:rPr>
        <w:t xml:space="preserve"> което представлява увеличение от 21 % в сравнение с 2014 г. Най-посещаваните раздели</w:t>
      </w:r>
      <w:r>
        <w:rPr>
          <w:rStyle w:val="FootnoteReference"/>
          <w:noProof/>
        </w:rPr>
        <w:footnoteReference w:id="9"/>
      </w:r>
      <w:r>
        <w:rPr>
          <w:noProof/>
        </w:rPr>
        <w:t xml:space="preserve"> са „ДДС и митници“ (44 %), „Финансиране“ (24 %), както и „Създаване и разрастване“ (11 %). Благодарение на нова функция потребителите, които се нуждаят от повече експерт</w:t>
      </w:r>
      <w:r>
        <w:rPr>
          <w:noProof/>
        </w:rPr>
        <w:t>ни съвети, вече могат да изпращат запитвания пряко до член на мрежата „Enterprise Europe“ (EEN). Партньорите в EEN получиха общо 2884 запитвания за информация чрез формуляра, поместен на портала. Финансите бяха най-важната тема, следвана от „Разширяване на</w:t>
      </w:r>
      <w:r>
        <w:rPr>
          <w:noProof/>
        </w:rPr>
        <w:t xml:space="preserve"> дейността зад граница“ и „Право на ЕС и научни изследвания“.</w:t>
      </w:r>
    </w:p>
    <w:p w:rsidR="003A660B" w:rsidRDefault="006C2027">
      <w:pPr>
        <w:spacing w:before="100" w:beforeAutospacing="1" w:after="100" w:afterAutospacing="1"/>
        <w:jc w:val="both"/>
        <w:rPr>
          <w:bCs/>
          <w:noProof/>
        </w:rPr>
      </w:pPr>
      <w:r>
        <w:rPr>
          <w:noProof/>
        </w:rPr>
        <w:t>Според проучване сред посетители на портала над 83 % от потребителите оценяват портала като отличен, добър или задоволителен.</w:t>
      </w:r>
    </w:p>
    <w:p w:rsidR="003A660B" w:rsidRDefault="006C2027">
      <w:pPr>
        <w:pStyle w:val="Heading1"/>
        <w:rPr>
          <w:bCs w:val="0"/>
          <w:noProof/>
          <w:sz w:val="32"/>
          <w:szCs w:val="32"/>
        </w:rPr>
      </w:pPr>
      <w:bookmarkStart w:id="14" w:name="_Toc504659417"/>
      <w:bookmarkStart w:id="15" w:name="_Toc513453984"/>
      <w:r>
        <w:rPr>
          <w:noProof/>
          <w:sz w:val="32"/>
        </w:rPr>
        <w:t>2.3 Подобряване на рамковите условия и конкурентоспособността</w:t>
      </w:r>
      <w:bookmarkEnd w:id="14"/>
      <w:bookmarkEnd w:id="15"/>
    </w:p>
    <w:p w:rsidR="003A660B" w:rsidRDefault="006C2027">
      <w:pPr>
        <w:spacing w:after="120"/>
        <w:jc w:val="both"/>
        <w:rPr>
          <w:bCs/>
          <w:noProof/>
        </w:rPr>
      </w:pPr>
      <w:r>
        <w:rPr>
          <w:b/>
          <w:noProof/>
        </w:rPr>
        <w:t>В Регл</w:t>
      </w:r>
      <w:r>
        <w:rPr>
          <w:b/>
          <w:noProof/>
        </w:rPr>
        <w:t>амента за COSME се посочва, че ориентировъчно 11 % от общия бюджет трябва да бъдат насочени към подобряване на рамковите условия и конкурентоспособността.</w:t>
      </w:r>
    </w:p>
    <w:p w:rsidR="003A660B" w:rsidRDefault="006C2027">
      <w:pPr>
        <w:spacing w:before="100" w:beforeAutospacing="1" w:after="100" w:afterAutospacing="1"/>
        <w:jc w:val="both"/>
        <w:rPr>
          <w:bCs/>
          <w:noProof/>
        </w:rPr>
      </w:pPr>
      <w:r>
        <w:rPr>
          <w:noProof/>
        </w:rPr>
        <w:t>През 2015 г. към тази цел бяха насочени 24,3 милиона евро от работната програма и 5,8 милиона евро от</w:t>
      </w:r>
      <w:r>
        <w:rPr>
          <w:noProof/>
        </w:rPr>
        <w:t xml:space="preserve"> мерките за подкрепа, което представлява 11,7 % от финансовия пакет.</w:t>
      </w:r>
    </w:p>
    <w:p w:rsidR="003A660B" w:rsidRDefault="006C2027">
      <w:pPr>
        <w:spacing w:before="100" w:beforeAutospacing="1" w:after="100" w:afterAutospacing="1"/>
        <w:jc w:val="both"/>
        <w:rPr>
          <w:bCs/>
          <w:noProof/>
        </w:rPr>
      </w:pPr>
      <w:r>
        <w:rPr>
          <w:noProof/>
        </w:rPr>
        <w:t>По линия на COSME бяха финансирани дейности, насочени към намаляване на административната тежест, укрепване на координацията между индустриалните политики на държавите членки и по-активно</w:t>
      </w:r>
      <w:r>
        <w:rPr>
          <w:noProof/>
        </w:rPr>
        <w:t xml:space="preserve"> използване на принципа „Мисли първо за малките предприятия!“. Също така по линия на COSME бяха насърчени ефективното използване на ресурсите, устойчивостта и корпоративната социална отговорност. Бяха осъществени и действия за подобряване на конкурентоспос</w:t>
      </w:r>
      <w:r>
        <w:rPr>
          <w:noProof/>
        </w:rPr>
        <w:t>обността на стратегически важни сектори в европейската икономика, както и редица проучвания, които бяха обединени в „Доклада относно интеграцията на единния пазар и конкурентоспособността в ЕС и неговите държави членки“</w:t>
      </w:r>
      <w:r>
        <w:rPr>
          <w:rStyle w:val="FootnoteReference"/>
          <w:noProof/>
        </w:rPr>
        <w:footnoteReference w:id="10"/>
      </w:r>
      <w:r>
        <w:rPr>
          <w:noProof/>
        </w:rPr>
        <w:t xml:space="preserve">. </w:t>
      </w:r>
    </w:p>
    <w:p w:rsidR="003A660B" w:rsidRDefault="006C2027">
      <w:pPr>
        <w:spacing w:before="100" w:beforeAutospacing="1" w:after="100" w:afterAutospacing="1"/>
        <w:jc w:val="both"/>
        <w:rPr>
          <w:noProof/>
        </w:rPr>
      </w:pPr>
      <w:r>
        <w:rPr>
          <w:noProof/>
        </w:rPr>
        <w:t>КЛЪСТЕРИ</w:t>
      </w:r>
    </w:p>
    <w:p w:rsidR="003A660B" w:rsidRDefault="006C2027">
      <w:pPr>
        <w:spacing w:before="100" w:beforeAutospacing="1" w:after="100" w:afterAutospacing="1"/>
        <w:jc w:val="both"/>
        <w:rPr>
          <w:noProof/>
        </w:rPr>
      </w:pPr>
      <w:r>
        <w:rPr>
          <w:noProof/>
        </w:rPr>
        <w:t>„Програмата за интернаци</w:t>
      </w:r>
      <w:r>
        <w:rPr>
          <w:noProof/>
        </w:rPr>
        <w:t>онализация на клъстерите за МСП“ е насочена към популяризиране на интернационализацията на клъстерите, като заинтересованите консорциуми имат възможността да разработят съвместна международна стратегия и да подпомогнат интернационализацията на МСП извън Ев</w:t>
      </w:r>
      <w:r>
        <w:rPr>
          <w:noProof/>
        </w:rPr>
        <w:t>ропа, особено в нововъзникващи тематични области. Тя спомага и за улесняване на международното сътрудничество между клъстери чрез допълнително разработване на Европейската платформа за сътрудничество между клъстери.</w:t>
      </w:r>
    </w:p>
    <w:p w:rsidR="003A660B" w:rsidRDefault="006C2027">
      <w:pPr>
        <w:spacing w:before="100" w:beforeAutospacing="1" w:after="100" w:afterAutospacing="1"/>
        <w:jc w:val="both"/>
        <w:rPr>
          <w:bCs/>
          <w:noProof/>
        </w:rPr>
      </w:pPr>
      <w:r>
        <w:rPr>
          <w:noProof/>
        </w:rPr>
        <w:t>Клъстерните инициативи са насочени към г</w:t>
      </w:r>
      <w:r>
        <w:rPr>
          <w:noProof/>
        </w:rPr>
        <w:t>рупи от специализирани дружества и подпомагат стратегическото междурегионално и международно сътрудничество.</w:t>
      </w:r>
    </w:p>
    <w:p w:rsidR="003A660B" w:rsidRDefault="006C2027">
      <w:pPr>
        <w:spacing w:before="100" w:beforeAutospacing="1" w:after="100" w:afterAutospacing="1"/>
        <w:jc w:val="both"/>
        <w:rPr>
          <w:bCs/>
          <w:noProof/>
        </w:rPr>
      </w:pPr>
      <w:r>
        <w:rPr>
          <w:noProof/>
        </w:rPr>
        <w:t>ПОТРЕБИТЕЛСКИ СТОКИ С ИНОВАТИВЕН ДИЗАЙН</w:t>
      </w:r>
    </w:p>
    <w:p w:rsidR="003A660B" w:rsidRDefault="006C2027">
      <w:pPr>
        <w:spacing w:before="100" w:beforeAutospacing="1" w:after="100" w:afterAutospacing="1"/>
        <w:jc w:val="both"/>
        <w:rPr>
          <w:bCs/>
          <w:noProof/>
        </w:rPr>
      </w:pPr>
      <w:r>
        <w:rPr>
          <w:noProof/>
        </w:rPr>
        <w:t>Целта на действието е да се засили конкурентоспособността на МСП, осъществяващи дейност в областта на потре</w:t>
      </w:r>
      <w:r>
        <w:rPr>
          <w:noProof/>
        </w:rPr>
        <w:t xml:space="preserve">бителските стоки с иновативен дизайн, чрез насърчаване на навлизането на пазара на нови и творчески решения в областта на потребителските стоки с иновативен дизайн. Съответно целта на мярката е да се преодолее несъответствието между научните изследвания и </w:t>
      </w:r>
      <w:r>
        <w:rPr>
          <w:noProof/>
        </w:rPr>
        <w:t xml:space="preserve">иновациите от една страна и пазара от друга страна, като се подкрепят разрастването, пазарното възпроизвеждане и/или първото прилагане на проекти, свързани с нови продукти, услуги, техники или процеси. </w:t>
      </w:r>
    </w:p>
    <w:p w:rsidR="003A660B" w:rsidRDefault="006C2027">
      <w:pPr>
        <w:spacing w:before="100" w:beforeAutospacing="1" w:after="100" w:afterAutospacing="1"/>
        <w:jc w:val="both"/>
        <w:rPr>
          <w:bCs/>
          <w:noProof/>
        </w:rPr>
      </w:pPr>
      <w:r>
        <w:rPr>
          <w:noProof/>
        </w:rPr>
        <w:t xml:space="preserve">В рамките на това действие бяха възложени 10 проекта </w:t>
      </w:r>
      <w:r>
        <w:rPr>
          <w:noProof/>
        </w:rPr>
        <w:t>на МСП: техният обхват се простираше от иновативни цифрови решения за подобряване на процесите на проектиране и комуникацията във веригата за създаване на стойност в областта на текстилните продукти и облеклото, иновативни продукти, в които се включват циф</w:t>
      </w:r>
      <w:r>
        <w:rPr>
          <w:noProof/>
        </w:rPr>
        <w:t>рови технологии, до продукти и нови бизнес модели за преодоляване на екологичните и обществените предизвикателства. Според участниците такива действия са необходими, тъй като вече съществуват редица иновативни технологични решения, но дружествата се нуждая</w:t>
      </w:r>
      <w:r>
        <w:rPr>
          <w:noProof/>
        </w:rPr>
        <w:t>т от помощ за преодоляването на някои пречки, които ги затрудняват да навлязат на пазара.</w:t>
      </w:r>
    </w:p>
    <w:p w:rsidR="003A660B" w:rsidRDefault="006C2027">
      <w:pPr>
        <w:spacing w:before="100" w:beforeAutospacing="1" w:after="100" w:afterAutospacing="1"/>
        <w:jc w:val="both"/>
        <w:rPr>
          <w:bCs/>
          <w:noProof/>
        </w:rPr>
      </w:pPr>
      <w:r>
        <w:rPr>
          <w:noProof/>
        </w:rPr>
        <w:t xml:space="preserve">ТУРИЗЪМ </w:t>
      </w:r>
    </w:p>
    <w:p w:rsidR="003A660B" w:rsidRDefault="006C2027">
      <w:pPr>
        <w:spacing w:before="100" w:beforeAutospacing="1" w:after="100" w:afterAutospacing="1"/>
        <w:jc w:val="both"/>
        <w:rPr>
          <w:bCs/>
          <w:noProof/>
        </w:rPr>
      </w:pPr>
      <w:r>
        <w:rPr>
          <w:noProof/>
        </w:rPr>
        <w:t>Инициативите в туризма, финансирани от COSME през 2015 г., допринесоха за укрепване на конкурентоспособността на европейския туристически сектор. Инициативит</w:t>
      </w:r>
      <w:r>
        <w:rPr>
          <w:noProof/>
        </w:rPr>
        <w:t>е, посветени на увеличаването на потока от възрастни и млади туристи, допринесоха за удължаване на туристическия сезон, което е от решаващо значение, за да може отрасълът да постига конкурентоспособност и да предлага целогодишни работни места. За 11 проект</w:t>
      </w:r>
      <w:r>
        <w:rPr>
          <w:noProof/>
        </w:rPr>
        <w:t xml:space="preserve">а се предоставя съвместно финансиране (9 с насоченост към възрастните туристи и 2 към младите туристи) за срок от 12/18 месеца. </w:t>
      </w:r>
    </w:p>
    <w:p w:rsidR="003A660B" w:rsidRDefault="006C2027">
      <w:pPr>
        <w:spacing w:before="100" w:beforeAutospacing="1" w:after="100" w:afterAutospacing="1"/>
        <w:jc w:val="both"/>
        <w:rPr>
          <w:bCs/>
          <w:noProof/>
        </w:rPr>
      </w:pPr>
      <w:r>
        <w:rPr>
          <w:noProof/>
        </w:rPr>
        <w:t>Транснационалното тематично туристическо предлагане на ЕС беше разширено и диверсифицирано, а новите публично-частни партньорст</w:t>
      </w:r>
      <w:r>
        <w:rPr>
          <w:noProof/>
        </w:rPr>
        <w:t xml:space="preserve">ва бяха подпомогнати и укрепени. Участието на малки и микропредприятия в туристически партньорства беше насърчено и увеличено в значителна степен. За 10 проекта се предоставя съвместно финансиране за срок от 15/18 месеца. </w:t>
      </w:r>
    </w:p>
    <w:p w:rsidR="003A660B" w:rsidRDefault="006C2027">
      <w:pPr>
        <w:spacing w:before="100" w:beforeAutospacing="1" w:after="100" w:afterAutospacing="1"/>
        <w:jc w:val="both"/>
        <w:rPr>
          <w:bCs/>
          <w:noProof/>
        </w:rPr>
      </w:pPr>
      <w:r>
        <w:rPr>
          <w:noProof/>
        </w:rPr>
        <w:t>Действията за увеличаване на дост</w:t>
      </w:r>
      <w:r>
        <w:rPr>
          <w:noProof/>
        </w:rPr>
        <w:t xml:space="preserve">ъпността в туризма допринесоха за подобряване на съоръженията и услугите за туристи със специални потребности за достъп. За 8 проекта за достъпни туристически маршрути се предоставя съвместно финансиране за срок от 18/24 месеца. </w:t>
      </w:r>
    </w:p>
    <w:p w:rsidR="003A660B" w:rsidRDefault="006C2027">
      <w:pPr>
        <w:spacing w:before="100" w:beforeAutospacing="1" w:after="100" w:afterAutospacing="1"/>
        <w:jc w:val="both"/>
        <w:rPr>
          <w:bCs/>
          <w:noProof/>
        </w:rPr>
      </w:pPr>
      <w:r>
        <w:rPr>
          <w:noProof/>
        </w:rPr>
        <w:t>Видимостта на „Най-добри е</w:t>
      </w:r>
      <w:r>
        <w:rPr>
          <w:noProof/>
        </w:rPr>
        <w:t>вропейски дестинации“ беше подобрена, което ще стимулира по-голям брой потенциални туристически посещения и разпространение на въздействието по отношение на приходите на местно равнище за дестинациите и туристическите оператори. За 13 проекта се предоставя</w:t>
      </w:r>
      <w:r>
        <w:rPr>
          <w:noProof/>
        </w:rPr>
        <w:t xml:space="preserve"> съвместно финансиране за срок от 15/18 месеца. </w:t>
      </w:r>
    </w:p>
    <w:p w:rsidR="003A660B" w:rsidRDefault="006C2027">
      <w:pPr>
        <w:spacing w:before="100" w:beforeAutospacing="1" w:after="100" w:afterAutospacing="1"/>
        <w:jc w:val="both"/>
        <w:rPr>
          <w:bCs/>
          <w:noProof/>
        </w:rPr>
      </w:pPr>
      <w:r>
        <w:rPr>
          <w:noProof/>
        </w:rPr>
        <w:t>Дейностите и събитията за повишаване на осведомеността допринесоха за по-добра видимост и възприемане на туристическите инициативи. Ежегодният Европейски туристически форум и ежегодният Европейски ден на тур</w:t>
      </w:r>
      <w:r>
        <w:rPr>
          <w:noProof/>
        </w:rPr>
        <w:t>изма — конференции, на които присъстваха съответно 200 и 400 участници, допринесоха в голяма степен за обмена на становища по основни теми от интерес за туристическия отрасъл и държавите членки. Обратната информация от проучвания сред участниците показва п</w:t>
      </w:r>
      <w:r>
        <w:rPr>
          <w:noProof/>
        </w:rPr>
        <w:t xml:space="preserve">реобладаващо удовлетворение от избора на теми и от формата и съдържанието на обсъжданията на тези събития. </w:t>
      </w:r>
    </w:p>
    <w:p w:rsidR="003A660B" w:rsidRDefault="006C2027">
      <w:pPr>
        <w:spacing w:before="100" w:beforeAutospacing="1" w:after="100" w:afterAutospacing="1"/>
        <w:jc w:val="both"/>
        <w:rPr>
          <w:bCs/>
          <w:noProof/>
        </w:rPr>
      </w:pPr>
      <w:r>
        <w:rPr>
          <w:noProof/>
        </w:rPr>
        <w:t>Чрез успешно сътрудничество с Европейската комисия по туризма (ЕКТ) се увеличи видимостта на Европа като дестинация както за пътуващите в рамките на ЕС, така и от трети държави. Това беше постигнато чрез различни действия за маркетинг на марки и дестинации</w:t>
      </w:r>
      <w:r>
        <w:rPr>
          <w:noProof/>
        </w:rPr>
        <w:t xml:space="preserve"> на портала www.visiteurope.com, където ЕКТ публикува 100 нови материала с общоевропейско съдържание на шест различни езика и въведе нови технически функции. </w:t>
      </w:r>
    </w:p>
    <w:p w:rsidR="003A660B" w:rsidRDefault="003A660B">
      <w:pPr>
        <w:spacing w:after="120" w:line="276" w:lineRule="auto"/>
        <w:rPr>
          <w:noProof/>
        </w:rPr>
      </w:pPr>
    </w:p>
    <w:p w:rsidR="003A660B" w:rsidRDefault="006C2027">
      <w:pPr>
        <w:pStyle w:val="Heading1"/>
        <w:rPr>
          <w:bCs w:val="0"/>
          <w:noProof/>
          <w:sz w:val="32"/>
          <w:szCs w:val="32"/>
        </w:rPr>
      </w:pPr>
      <w:bookmarkStart w:id="16" w:name="_Toc504659418"/>
      <w:bookmarkStart w:id="17" w:name="_Toc513453985"/>
      <w:r>
        <w:rPr>
          <w:noProof/>
          <w:sz w:val="32"/>
        </w:rPr>
        <w:t>2.4 Насърчаване на предприемачеството и предприемаческата култура</w:t>
      </w:r>
      <w:bookmarkEnd w:id="16"/>
      <w:bookmarkEnd w:id="17"/>
    </w:p>
    <w:p w:rsidR="003A660B" w:rsidRDefault="006C2027">
      <w:pPr>
        <w:spacing w:after="120"/>
        <w:jc w:val="both"/>
        <w:rPr>
          <w:bCs/>
          <w:noProof/>
        </w:rPr>
      </w:pPr>
      <w:r>
        <w:rPr>
          <w:b/>
          <w:noProof/>
        </w:rPr>
        <w:t>В Регламента за COSME се посоч</w:t>
      </w:r>
      <w:r>
        <w:rPr>
          <w:b/>
          <w:noProof/>
        </w:rPr>
        <w:t>ва, че ориентировъчно 2,5 % от финансовия пакет трябва да бъдат насочени към насърчаване на предприемачеството и предприемаческата култура.</w:t>
      </w:r>
    </w:p>
    <w:p w:rsidR="003A660B" w:rsidRDefault="006C2027">
      <w:pPr>
        <w:spacing w:before="100" w:beforeAutospacing="1" w:after="100" w:afterAutospacing="1"/>
        <w:jc w:val="both"/>
        <w:rPr>
          <w:bCs/>
          <w:noProof/>
        </w:rPr>
      </w:pPr>
      <w:r>
        <w:rPr>
          <w:noProof/>
        </w:rPr>
        <w:t>През 2015 г. бюджет в размер на 12,9 милиона евро</w:t>
      </w:r>
      <w:r>
        <w:rPr>
          <w:rStyle w:val="FootnoteReference"/>
          <w:noProof/>
        </w:rPr>
        <w:footnoteReference w:id="11"/>
      </w:r>
      <w:r>
        <w:rPr>
          <w:noProof/>
        </w:rPr>
        <w:t xml:space="preserve"> беше използван за </w:t>
      </w:r>
      <w:r>
        <w:rPr>
          <w:b/>
          <w:noProof/>
        </w:rPr>
        <w:t>насърчаване на предприемачеството</w:t>
      </w:r>
      <w:r>
        <w:rPr>
          <w:noProof/>
        </w:rPr>
        <w:t>, и по-специал</w:t>
      </w:r>
      <w:r>
        <w:rPr>
          <w:noProof/>
        </w:rPr>
        <w:t>но за схемата за мобилност по програмата „Еразъм за млади предприемачи“, което представлява 4 % от общия размер на поетите задължения за COSME. Интересът във връзка с поканата за представяне на предложения по програмата „Еразъм за млади предприемачи“ надхв</w:t>
      </w:r>
      <w:r>
        <w:rPr>
          <w:noProof/>
        </w:rPr>
        <w:t>ърли предвидените средства и бяха отпуснати допълнителни 1 милион евро от бюджетен излишък, останал от други дейности.</w:t>
      </w:r>
    </w:p>
    <w:p w:rsidR="003A660B" w:rsidRDefault="006C2027">
      <w:pPr>
        <w:spacing w:before="100" w:beforeAutospacing="1" w:after="100" w:afterAutospacing="1"/>
        <w:jc w:val="both"/>
        <w:rPr>
          <w:bCs/>
          <w:noProof/>
        </w:rPr>
      </w:pPr>
      <w:r>
        <w:rPr>
          <w:noProof/>
        </w:rPr>
        <w:t>ЕРАЗЪМ ЗА МЛАДИ ПРЕДПРИЕМАЧИ</w:t>
      </w:r>
    </w:p>
    <w:p w:rsidR="003A660B" w:rsidRDefault="006C2027">
      <w:pPr>
        <w:spacing w:before="100" w:beforeAutospacing="1" w:after="100" w:afterAutospacing="1"/>
        <w:jc w:val="both"/>
        <w:rPr>
          <w:b/>
          <w:bCs/>
          <w:noProof/>
        </w:rPr>
      </w:pPr>
      <w:r>
        <w:rPr>
          <w:noProof/>
        </w:rPr>
        <w:t>Към настоящия момент</w:t>
      </w:r>
      <w:r>
        <w:rPr>
          <w:noProof/>
          <w:vertAlign w:val="superscript"/>
        </w:rPr>
        <w:footnoteReference w:id="12"/>
      </w:r>
      <w:r>
        <w:rPr>
          <w:noProof/>
        </w:rPr>
        <w:t xml:space="preserve"> са регистрирани около 12 000 профила на предприемачи и са установени 3900 връзки с уча</w:t>
      </w:r>
      <w:r>
        <w:rPr>
          <w:noProof/>
        </w:rPr>
        <w:t>стието на 7700 предприемачи. Проведено проучване показва, че над една трета от потенциалните предприемачи, които са участвали в програмата, реално са започнали предприемаческа дейност.</w:t>
      </w:r>
    </w:p>
    <w:p w:rsidR="003A660B" w:rsidRDefault="006C2027">
      <w:pPr>
        <w:tabs>
          <w:tab w:val="num" w:pos="720"/>
        </w:tabs>
        <w:spacing w:before="100" w:beforeAutospacing="1" w:after="100" w:afterAutospacing="1"/>
        <w:jc w:val="both"/>
        <w:rPr>
          <w:bCs/>
          <w:noProof/>
        </w:rPr>
      </w:pPr>
      <w:r>
        <w:rPr>
          <w:noProof/>
        </w:rPr>
        <w:t>Освен това по линия на Програма COSME беше подкрепен обмен на най-добри</w:t>
      </w:r>
      <w:r>
        <w:rPr>
          <w:noProof/>
        </w:rPr>
        <w:t xml:space="preserve"> практики за насърчаване на образованието в областта на предприемачеството в ЕС. Беше осигурена специфична подкрепа за интернет предприемачи. Някои от действията бяха насочени към конкретни групи, например млади хора, жени или възрастни предприемачи, като </w:t>
      </w:r>
      <w:r>
        <w:rPr>
          <w:noProof/>
        </w:rPr>
        <w:t xml:space="preserve">бяха осигурени наставничество и други специално съобразени мерки за улесняване на предприемачеството сред тези групи. </w:t>
      </w:r>
    </w:p>
    <w:p w:rsidR="003A660B" w:rsidRDefault="006C2027">
      <w:pPr>
        <w:spacing w:before="100" w:beforeAutospacing="1" w:after="100" w:afterAutospacing="1"/>
        <w:rPr>
          <w:bCs/>
          <w:noProof/>
        </w:rPr>
      </w:pPr>
      <w:r>
        <w:rPr>
          <w:noProof/>
        </w:rPr>
        <w:t xml:space="preserve">НАБЛЮДАТЕЛ НА ПРЕДПРИЕМАЧЕСТВОТО В ОБЛАСТТА НА ЦИФРОВИТЕ ТЕХНОЛОГИИ  </w:t>
      </w:r>
    </w:p>
    <w:p w:rsidR="003A660B" w:rsidRDefault="006C2027">
      <w:pPr>
        <w:tabs>
          <w:tab w:val="num" w:pos="720"/>
        </w:tabs>
        <w:spacing w:before="100" w:beforeAutospacing="1" w:after="100" w:afterAutospacing="1"/>
        <w:jc w:val="both"/>
        <w:rPr>
          <w:bCs/>
          <w:noProof/>
        </w:rPr>
      </w:pPr>
      <w:r>
        <w:rPr>
          <w:noProof/>
        </w:rPr>
        <w:t xml:space="preserve">Цифровите технологии и цифровизацията могат да окажат все по-важен </w:t>
      </w:r>
      <w:r>
        <w:rPr>
          <w:noProof/>
        </w:rPr>
        <w:t>принос за справянето с най-неотложните предизвикателства пред обществото (включително целите, свързани с изменението на климата) и подпомагането на икономическия растеж чрез осигуряване на нови знания, продукти и услуги. Пълното оползотворяване на новите т</w:t>
      </w:r>
      <w:r>
        <w:rPr>
          <w:noProof/>
        </w:rPr>
        <w:t>ехнологии, по-специално ИКТ, ще бъде от основно значение за постигането на бъдеще с по-висока степен на устойчивост и енергийна ефективност с цел борба с изменението на климата. Цифровите технологии засягат пълния жизнен цикъл на продуктите. Те създават зн</w:t>
      </w:r>
      <w:r>
        <w:rPr>
          <w:noProof/>
        </w:rPr>
        <w:t>ачителни ползи по отношение на въглеродната и енергийната ефективност. Също така те способстват за управлението на излезли от употреба продукти по интелигентен и енергийно ефективен начин.</w:t>
      </w:r>
    </w:p>
    <w:p w:rsidR="003A660B" w:rsidRDefault="006C2027">
      <w:pPr>
        <w:tabs>
          <w:tab w:val="num" w:pos="720"/>
        </w:tabs>
        <w:spacing w:before="100" w:beforeAutospacing="1" w:after="100" w:afterAutospacing="1"/>
        <w:jc w:val="both"/>
        <w:rPr>
          <w:bCs/>
          <w:noProof/>
        </w:rPr>
      </w:pPr>
      <w:r>
        <w:rPr>
          <w:noProof/>
        </w:rPr>
        <w:t>От март 2015 г. насам бяха организирани четири заседания на Стратег</w:t>
      </w:r>
      <w:r>
        <w:rPr>
          <w:noProof/>
        </w:rPr>
        <w:t xml:space="preserve">ическия политически форум относно цифровото предприемачество и две заседания на Съвета на държавите членки относно цифровото предприемачество. Първи проект на препоръките на Стратегическия политически форум беше представен на 10 март 2016 г. </w:t>
      </w:r>
    </w:p>
    <w:p w:rsidR="003A660B" w:rsidRDefault="006C2027">
      <w:pPr>
        <w:pStyle w:val="Heading1"/>
        <w:rPr>
          <w:noProof/>
          <w:sz w:val="32"/>
          <w:szCs w:val="32"/>
        </w:rPr>
      </w:pPr>
      <w:bookmarkStart w:id="18" w:name="_Toc504659419"/>
      <w:bookmarkStart w:id="19" w:name="_Toc513453986"/>
      <w:r>
        <w:rPr>
          <w:noProof/>
          <w:sz w:val="32"/>
        </w:rPr>
        <w:t xml:space="preserve">3. </w:t>
      </w:r>
      <w:bookmarkStart w:id="20" w:name="_Toc380072583"/>
      <w:bookmarkStart w:id="21" w:name="_Toc379805329"/>
      <w:bookmarkStart w:id="22" w:name="_Toc379367415"/>
      <w:bookmarkStart w:id="23" w:name="_Toc318290894"/>
      <w:bookmarkStart w:id="24" w:name="_Toc318206457"/>
      <w:bookmarkStart w:id="25" w:name="_Toc315442450"/>
      <w:r>
        <w:rPr>
          <w:noProof/>
          <w:sz w:val="32"/>
        </w:rPr>
        <w:t>Мерки за п</w:t>
      </w:r>
      <w:r>
        <w:rPr>
          <w:noProof/>
          <w:sz w:val="32"/>
        </w:rPr>
        <w:t>одкрепа</w:t>
      </w:r>
      <w:bookmarkEnd w:id="20"/>
      <w:bookmarkEnd w:id="21"/>
      <w:bookmarkEnd w:id="22"/>
      <w:bookmarkEnd w:id="23"/>
      <w:bookmarkEnd w:id="24"/>
      <w:bookmarkEnd w:id="25"/>
      <w:r>
        <w:rPr>
          <w:noProof/>
          <w:sz w:val="32"/>
        </w:rPr>
        <w:t xml:space="preserve"> и административни разходи</w:t>
      </w:r>
      <w:bookmarkEnd w:id="18"/>
      <w:bookmarkEnd w:id="19"/>
    </w:p>
    <w:p w:rsidR="003A660B" w:rsidRDefault="006C2027">
      <w:pPr>
        <w:spacing w:before="100" w:beforeAutospacing="1" w:after="100" w:afterAutospacing="1"/>
        <w:jc w:val="both"/>
        <w:rPr>
          <w:noProof/>
        </w:rPr>
      </w:pPr>
      <w:r>
        <w:rPr>
          <w:noProof/>
        </w:rPr>
        <w:t xml:space="preserve">Мерките за подкрепа по линия на COSME се финансират по оперативен бюджетен ред 02 02 01. През 2015 г. общата стойност на разпределените средства за мерки за подкрепа възлизаше на 8,3 милиона евро.  </w:t>
      </w:r>
    </w:p>
    <w:p w:rsidR="003A660B" w:rsidRDefault="006C2027">
      <w:pPr>
        <w:spacing w:before="100" w:beforeAutospacing="1" w:after="100" w:afterAutospacing="1"/>
        <w:jc w:val="both"/>
        <w:rPr>
          <w:noProof/>
        </w:rPr>
      </w:pPr>
      <w:r>
        <w:rPr>
          <w:noProof/>
        </w:rPr>
        <w:t>Бяха организирани конфе</w:t>
      </w:r>
      <w:r>
        <w:rPr>
          <w:noProof/>
        </w:rPr>
        <w:t>ренции, семинари и срещи на експерти с участието на различни заинтересовани страни (включително национални органи, отраслови и потребителски организации, представители на МСП, неправителствени организации) за обсъждане на предизвикателствата, пред които са</w:t>
      </w:r>
      <w:r>
        <w:rPr>
          <w:noProof/>
        </w:rPr>
        <w:t xml:space="preserve"> изправени различните промишлени сектори. Особено внимание беше отделено на препоръките как да се отговори по-добре на потребностите на МСП и как да се стимулира допълнително конкурентоспособността. </w:t>
      </w:r>
    </w:p>
    <w:p w:rsidR="003A660B" w:rsidRDefault="006C2027">
      <w:pPr>
        <w:spacing w:before="100" w:beforeAutospacing="1" w:after="100" w:afterAutospacing="1"/>
        <w:jc w:val="both"/>
        <w:rPr>
          <w:noProof/>
          <w:highlight w:val="yellow"/>
        </w:rPr>
      </w:pPr>
      <w:r>
        <w:rPr>
          <w:noProof/>
        </w:rPr>
        <w:t>Административните разходи за ГД „Вътрешен пазар, промишл</w:t>
      </w:r>
      <w:r>
        <w:rPr>
          <w:noProof/>
        </w:rPr>
        <w:t>еност, предприемачество и МСП“ бяха в размер на 5 017 946 EUR, което е по-малко от 2 % от общия размер на средствата за поети задължения. Използваният бюджет за функционирането на Изпълнителната агенция за МСП беше в размер на 6 626 000 EUR, което представ</w:t>
      </w:r>
      <w:r>
        <w:rPr>
          <w:noProof/>
        </w:rPr>
        <w:t>лява 2,6 % от общия бюджет за поети задължения. Общо административните разходи през 2015 г. бяха в размер на 4,6 % от финансовия пакет.</w:t>
      </w:r>
    </w:p>
    <w:p w:rsidR="003A660B" w:rsidRDefault="006C2027">
      <w:pPr>
        <w:spacing w:before="100" w:beforeAutospacing="1" w:after="100" w:afterAutospacing="1"/>
        <w:jc w:val="both"/>
        <w:rPr>
          <w:noProof/>
        </w:rPr>
      </w:pPr>
      <w:r>
        <w:rPr>
          <w:noProof/>
        </w:rPr>
        <w:t>Кампанията за насочената към предприятията комуникация относно ползите от COSME за МСП беше предназначена за 9 милиона с</w:t>
      </w:r>
      <w:r>
        <w:rPr>
          <w:noProof/>
        </w:rPr>
        <w:t>обственици на МСП в Кипър, Франция, Гърция, Италия и Испания. Тя беше проведена на два етапа: през пролетта на 2015 г. (по радиото) и през есента на 2015 г. (онлайн и чрез печатна реклама). Целите на комуникационната стратегия по отношение на МСП бяха: пре</w:t>
      </w:r>
      <w:r>
        <w:rPr>
          <w:noProof/>
        </w:rPr>
        <w:t>одоляване на несъответствието между потребностите на МСП и наличните възможности; обединяване на корпоративната и политическата комуникация; определяне на посланието с подход за действия на местно равнище; и непрекъснато оценяване на въздействието на нашит</w:t>
      </w:r>
      <w:r>
        <w:rPr>
          <w:noProof/>
        </w:rPr>
        <w:t>е действия.</w:t>
      </w:r>
    </w:p>
    <w:p w:rsidR="003A660B" w:rsidRDefault="006C2027">
      <w:pPr>
        <w:spacing w:before="100" w:beforeAutospacing="1" w:after="100" w:afterAutospacing="1"/>
        <w:jc w:val="both"/>
        <w:rPr>
          <w:noProof/>
        </w:rPr>
      </w:pPr>
      <w:r>
        <w:rPr>
          <w:noProof/>
        </w:rPr>
        <w:t>Освен това мрежата „Enterprise Europe“ в целевите държави отчете увеличение на запитванията по време на кампанията (по-специално беше доказано, че най-малко 1000 допълнителни запитвания от предприемачи са били пряко свързани с кампанията).</w:t>
      </w:r>
    </w:p>
    <w:p w:rsidR="003A660B" w:rsidRDefault="006C2027">
      <w:pPr>
        <w:spacing w:before="100" w:beforeAutospacing="1" w:after="100" w:afterAutospacing="1"/>
        <w:jc w:val="both"/>
        <w:rPr>
          <w:noProof/>
        </w:rPr>
      </w:pPr>
      <w:r>
        <w:rPr>
          <w:noProof/>
        </w:rPr>
        <w:t>Адми</w:t>
      </w:r>
      <w:r>
        <w:rPr>
          <w:noProof/>
        </w:rPr>
        <w:t>нистративните разходи покриваха проучвания, срещи на експерти, информационни и комуникационни дейности, включително институционална комуникация на политическите приоритети на Съюза, доколкото те са свързани с общите цели на Програма COSME. Бяха покрити раз</w:t>
      </w:r>
      <w:r>
        <w:rPr>
          <w:noProof/>
        </w:rPr>
        <w:t xml:space="preserve">ходите, свързани с информационно-технологичните мрежи и всякакви други разходи за техническа и административна помощ, направени от Комисията във връзка с управлението на Програма COSME. </w:t>
      </w:r>
    </w:p>
    <w:p w:rsidR="003A660B" w:rsidRDefault="003A660B">
      <w:pPr>
        <w:jc w:val="both"/>
        <w:rPr>
          <w:noProof/>
        </w:rPr>
      </w:pPr>
    </w:p>
    <w:p w:rsidR="003A660B" w:rsidRDefault="006C2027">
      <w:pPr>
        <w:pStyle w:val="Heading1"/>
        <w:rPr>
          <w:noProof/>
          <w:sz w:val="32"/>
          <w:szCs w:val="32"/>
        </w:rPr>
      </w:pPr>
      <w:bookmarkStart w:id="26" w:name="_Toc504659420"/>
      <w:bookmarkStart w:id="27" w:name="_Toc513453987"/>
      <w:r>
        <w:rPr>
          <w:noProof/>
          <w:sz w:val="32"/>
        </w:rPr>
        <w:t>4. Принос към целта за интегриране на въпросите относно климата</w:t>
      </w:r>
      <w:bookmarkEnd w:id="26"/>
      <w:bookmarkEnd w:id="27"/>
    </w:p>
    <w:p w:rsidR="003A660B" w:rsidRDefault="006C2027">
      <w:pPr>
        <w:spacing w:before="100" w:beforeAutospacing="1" w:after="100" w:afterAutospacing="1"/>
        <w:jc w:val="both"/>
        <w:rPr>
          <w:noProof/>
        </w:rPr>
      </w:pPr>
      <w:r>
        <w:rPr>
          <w:noProof/>
        </w:rPr>
        <w:t>Прин</w:t>
      </w:r>
      <w:r>
        <w:rPr>
          <w:noProof/>
        </w:rPr>
        <w:t xml:space="preserve">осът на Програма COSME към целта за интегриране на въпросите относно климата, определена за всички програми на Комисията, беше изчислен на 21,6 милиона евро, което представлява 6,4 % от предвидените финансови средства за 2015 г.  </w:t>
      </w:r>
    </w:p>
    <w:tbl>
      <w:tblPr>
        <w:tblW w:w="89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1E0" w:firstRow="1" w:lastRow="1" w:firstColumn="1" w:lastColumn="1" w:noHBand="0" w:noVBand="0"/>
      </w:tblPr>
      <w:tblGrid>
        <w:gridCol w:w="6175"/>
        <w:gridCol w:w="2795"/>
      </w:tblGrid>
      <w:tr w:rsidR="003A660B">
        <w:trPr>
          <w:trHeight w:val="468"/>
        </w:trPr>
        <w:tc>
          <w:tcPr>
            <w:tcW w:w="6178"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3A660B" w:rsidRDefault="006C2027">
            <w:pPr>
              <w:spacing w:line="276" w:lineRule="auto"/>
              <w:jc w:val="center"/>
              <w:rPr>
                <w:noProof/>
                <w:sz w:val="20"/>
                <w:szCs w:val="20"/>
              </w:rPr>
            </w:pPr>
            <w:r>
              <w:rPr>
                <w:noProof/>
                <w:sz w:val="20"/>
              </w:rPr>
              <w:t>Съответна цел/резултат</w:t>
            </w:r>
          </w:p>
        </w:tc>
        <w:tc>
          <w:tcPr>
            <w:tcW w:w="2796" w:type="dxa"/>
            <w:tcBorders>
              <w:top w:val="single" w:sz="4" w:space="0" w:color="auto"/>
              <w:left w:val="single" w:sz="4" w:space="0" w:color="auto"/>
              <w:bottom w:val="single" w:sz="4" w:space="0" w:color="auto"/>
              <w:right w:val="single" w:sz="4" w:space="0" w:color="auto"/>
            </w:tcBorders>
            <w:shd w:val="pct10" w:color="auto" w:fill="auto"/>
            <w:hideMark/>
          </w:tcPr>
          <w:p w:rsidR="003A660B" w:rsidRDefault="006C2027">
            <w:pPr>
              <w:spacing w:line="276" w:lineRule="auto"/>
              <w:jc w:val="center"/>
              <w:rPr>
                <w:noProof/>
                <w:sz w:val="20"/>
                <w:szCs w:val="20"/>
              </w:rPr>
            </w:pPr>
            <w:r>
              <w:rPr>
                <w:noProof/>
                <w:sz w:val="20"/>
              </w:rPr>
              <w:t>Бюджет за 2015 г.</w:t>
            </w:r>
          </w:p>
          <w:p w:rsidR="003A660B" w:rsidRDefault="006C2027">
            <w:pPr>
              <w:spacing w:line="276" w:lineRule="auto"/>
              <w:jc w:val="center"/>
              <w:rPr>
                <w:noProof/>
                <w:sz w:val="20"/>
                <w:szCs w:val="20"/>
              </w:rPr>
            </w:pPr>
            <w:r>
              <w:rPr>
                <w:noProof/>
                <w:sz w:val="20"/>
              </w:rPr>
              <w:t>(милиони евро)</w:t>
            </w:r>
          </w:p>
        </w:tc>
      </w:tr>
      <w:tr w:rsidR="003A660B">
        <w:trPr>
          <w:trHeight w:val="371"/>
        </w:trPr>
        <w:tc>
          <w:tcPr>
            <w:tcW w:w="6178" w:type="dxa"/>
            <w:tcBorders>
              <w:top w:val="single" w:sz="4" w:space="0" w:color="auto"/>
              <w:left w:val="single" w:sz="4" w:space="0" w:color="auto"/>
              <w:bottom w:val="single" w:sz="4" w:space="0" w:color="auto"/>
              <w:right w:val="single" w:sz="4" w:space="0" w:color="auto"/>
            </w:tcBorders>
            <w:vAlign w:val="center"/>
            <w:hideMark/>
          </w:tcPr>
          <w:p w:rsidR="003A660B" w:rsidRDefault="006C2027">
            <w:pPr>
              <w:spacing w:line="276" w:lineRule="auto"/>
              <w:rPr>
                <w:noProof/>
                <w:sz w:val="20"/>
                <w:szCs w:val="20"/>
              </w:rPr>
            </w:pPr>
            <w:r>
              <w:rPr>
                <w:noProof/>
                <w:sz w:val="20"/>
              </w:rPr>
              <w:t>Мрежа „Enterprise Europe“</w:t>
            </w:r>
          </w:p>
        </w:tc>
        <w:tc>
          <w:tcPr>
            <w:tcW w:w="2796" w:type="dxa"/>
            <w:tcBorders>
              <w:top w:val="single" w:sz="4" w:space="0" w:color="auto"/>
              <w:left w:val="single" w:sz="4" w:space="0" w:color="auto"/>
              <w:bottom w:val="single" w:sz="4" w:space="0" w:color="auto"/>
              <w:right w:val="single" w:sz="4" w:space="0" w:color="auto"/>
            </w:tcBorders>
            <w:hideMark/>
          </w:tcPr>
          <w:p w:rsidR="003A660B" w:rsidRDefault="006C2027">
            <w:pPr>
              <w:spacing w:line="276" w:lineRule="auto"/>
              <w:jc w:val="right"/>
              <w:rPr>
                <w:noProof/>
                <w:sz w:val="20"/>
                <w:szCs w:val="20"/>
              </w:rPr>
            </w:pPr>
            <w:r>
              <w:rPr>
                <w:noProof/>
                <w:sz w:val="20"/>
              </w:rPr>
              <w:t>13,3</w:t>
            </w:r>
          </w:p>
        </w:tc>
      </w:tr>
      <w:tr w:rsidR="003A660B">
        <w:trPr>
          <w:trHeight w:val="420"/>
        </w:trPr>
        <w:tc>
          <w:tcPr>
            <w:tcW w:w="6178" w:type="dxa"/>
            <w:tcBorders>
              <w:top w:val="single" w:sz="4" w:space="0" w:color="auto"/>
              <w:left w:val="single" w:sz="4" w:space="0" w:color="auto"/>
              <w:bottom w:val="single" w:sz="4" w:space="0" w:color="auto"/>
              <w:right w:val="single" w:sz="4" w:space="0" w:color="auto"/>
            </w:tcBorders>
            <w:vAlign w:val="center"/>
            <w:hideMark/>
          </w:tcPr>
          <w:p w:rsidR="003A660B" w:rsidRDefault="006C2027">
            <w:pPr>
              <w:spacing w:line="276" w:lineRule="auto"/>
              <w:rPr>
                <w:noProof/>
                <w:sz w:val="20"/>
                <w:szCs w:val="20"/>
              </w:rPr>
            </w:pPr>
            <w:r>
              <w:rPr>
                <w:noProof/>
                <w:sz w:val="20"/>
              </w:rPr>
              <w:t>Финансови инструменти: Капиталов механизъм за растеж</w:t>
            </w:r>
          </w:p>
        </w:tc>
        <w:tc>
          <w:tcPr>
            <w:tcW w:w="2796" w:type="dxa"/>
            <w:tcBorders>
              <w:top w:val="single" w:sz="4" w:space="0" w:color="auto"/>
              <w:left w:val="single" w:sz="4" w:space="0" w:color="auto"/>
              <w:bottom w:val="single" w:sz="4" w:space="0" w:color="auto"/>
              <w:right w:val="single" w:sz="4" w:space="0" w:color="auto"/>
            </w:tcBorders>
            <w:hideMark/>
          </w:tcPr>
          <w:p w:rsidR="003A660B" w:rsidRDefault="006C2027">
            <w:pPr>
              <w:spacing w:line="276" w:lineRule="auto"/>
              <w:jc w:val="right"/>
              <w:rPr>
                <w:noProof/>
                <w:sz w:val="20"/>
                <w:szCs w:val="20"/>
              </w:rPr>
            </w:pPr>
            <w:r>
              <w:rPr>
                <w:noProof/>
                <w:sz w:val="20"/>
              </w:rPr>
              <w:t>8,3</w:t>
            </w:r>
          </w:p>
        </w:tc>
      </w:tr>
      <w:tr w:rsidR="003A660B">
        <w:trPr>
          <w:trHeight w:val="357"/>
        </w:trPr>
        <w:tc>
          <w:tcPr>
            <w:tcW w:w="6178" w:type="dxa"/>
            <w:tcBorders>
              <w:top w:val="single" w:sz="4" w:space="0" w:color="auto"/>
              <w:left w:val="single" w:sz="4" w:space="0" w:color="auto"/>
              <w:bottom w:val="single" w:sz="4" w:space="0" w:color="auto"/>
              <w:right w:val="single" w:sz="4" w:space="0" w:color="auto"/>
            </w:tcBorders>
            <w:vAlign w:val="center"/>
            <w:hideMark/>
          </w:tcPr>
          <w:p w:rsidR="003A660B" w:rsidRDefault="006C2027">
            <w:pPr>
              <w:spacing w:line="276" w:lineRule="auto"/>
              <w:jc w:val="right"/>
              <w:rPr>
                <w:b/>
                <w:noProof/>
                <w:sz w:val="20"/>
                <w:szCs w:val="20"/>
              </w:rPr>
            </w:pPr>
            <w:r>
              <w:rPr>
                <w:b/>
                <w:noProof/>
                <w:sz w:val="20"/>
              </w:rPr>
              <w:t>Общо</w:t>
            </w:r>
          </w:p>
        </w:tc>
        <w:tc>
          <w:tcPr>
            <w:tcW w:w="2796" w:type="dxa"/>
            <w:tcBorders>
              <w:top w:val="single" w:sz="4" w:space="0" w:color="auto"/>
              <w:left w:val="single" w:sz="4" w:space="0" w:color="auto"/>
              <w:bottom w:val="single" w:sz="4" w:space="0" w:color="auto"/>
              <w:right w:val="single" w:sz="4" w:space="0" w:color="auto"/>
            </w:tcBorders>
            <w:hideMark/>
          </w:tcPr>
          <w:p w:rsidR="003A660B" w:rsidRDefault="006C2027">
            <w:pPr>
              <w:spacing w:line="276" w:lineRule="auto"/>
              <w:jc w:val="right"/>
              <w:rPr>
                <w:b/>
                <w:noProof/>
                <w:sz w:val="20"/>
                <w:szCs w:val="20"/>
              </w:rPr>
            </w:pPr>
            <w:r>
              <w:rPr>
                <w:b/>
                <w:noProof/>
                <w:sz w:val="20"/>
              </w:rPr>
              <w:t>21,6</w:t>
            </w:r>
          </w:p>
          <w:p w:rsidR="003A660B" w:rsidRDefault="003A660B">
            <w:pPr>
              <w:spacing w:line="276" w:lineRule="auto"/>
              <w:jc w:val="right"/>
              <w:rPr>
                <w:b/>
                <w:noProof/>
                <w:sz w:val="20"/>
                <w:szCs w:val="20"/>
              </w:rPr>
            </w:pPr>
          </w:p>
        </w:tc>
      </w:tr>
    </w:tbl>
    <w:p w:rsidR="003A660B" w:rsidRDefault="006C2027">
      <w:pPr>
        <w:spacing w:before="100" w:beforeAutospacing="1" w:after="100" w:afterAutospacing="1"/>
        <w:jc w:val="both"/>
        <w:rPr>
          <w:noProof/>
        </w:rPr>
      </w:pPr>
      <w:r>
        <w:rPr>
          <w:noProof/>
        </w:rPr>
        <w:t xml:space="preserve">По отношение на няколко действия по Програма COSME, като например механизма за гарантиране на заеми, е трудно да се проследи приносът към включването на въпросите относно климата, без това да доведе до допълнителна административна тежест върху финансовите </w:t>
      </w:r>
      <w:r>
        <w:rPr>
          <w:noProof/>
        </w:rPr>
        <w:t xml:space="preserve">посредници и в крайна сметка върху стотиците хиляди участващи МСП, които представляват крайните бенефициери. </w:t>
      </w:r>
    </w:p>
    <w:p w:rsidR="003A660B" w:rsidRDefault="003A660B">
      <w:pPr>
        <w:pStyle w:val="Heading1"/>
        <w:rPr>
          <w:noProof/>
          <w:sz w:val="32"/>
          <w:szCs w:val="32"/>
        </w:rPr>
      </w:pPr>
      <w:bookmarkStart w:id="28" w:name="_Toc504659421"/>
      <w:bookmarkEnd w:id="1"/>
      <w:bookmarkEnd w:id="2"/>
      <w:bookmarkEnd w:id="3"/>
      <w:bookmarkEnd w:id="4"/>
    </w:p>
    <w:p w:rsidR="003A660B" w:rsidRDefault="006C2027">
      <w:pPr>
        <w:pStyle w:val="Heading1"/>
        <w:rPr>
          <w:noProof/>
          <w:sz w:val="32"/>
          <w:szCs w:val="32"/>
        </w:rPr>
      </w:pPr>
      <w:bookmarkStart w:id="29" w:name="_Toc513453988"/>
      <w:r>
        <w:rPr>
          <w:noProof/>
          <w:sz w:val="32"/>
        </w:rPr>
        <w:t>5. Заключение</w:t>
      </w:r>
      <w:bookmarkEnd w:id="28"/>
      <w:bookmarkEnd w:id="29"/>
    </w:p>
    <w:p w:rsidR="003A660B" w:rsidRDefault="006C2027">
      <w:pPr>
        <w:spacing w:before="100" w:beforeAutospacing="1" w:after="100" w:afterAutospacing="1"/>
        <w:jc w:val="both"/>
        <w:rPr>
          <w:noProof/>
        </w:rPr>
      </w:pPr>
      <w:r>
        <w:rPr>
          <w:noProof/>
        </w:rPr>
        <w:t>Програмата започна да функционира през 2015 г., след като бяха предприети първите стъпки по изпълнението на проектите, стартирани п</w:t>
      </w:r>
      <w:r>
        <w:rPr>
          <w:noProof/>
        </w:rPr>
        <w:t xml:space="preserve">рез 2014 г.  </w:t>
      </w:r>
    </w:p>
    <w:p w:rsidR="003A660B" w:rsidRDefault="006C2027">
      <w:pPr>
        <w:spacing w:before="100" w:beforeAutospacing="1" w:after="100" w:afterAutospacing="1"/>
        <w:jc w:val="both"/>
        <w:rPr>
          <w:noProof/>
        </w:rPr>
      </w:pPr>
      <w:r>
        <w:rPr>
          <w:noProof/>
        </w:rPr>
        <w:t>Достъпът до финансиране продължи да бъде основна област за действие. Над 51 000 МСП получиха финансиране по линия на механизма за гарантиране на заеми в размер на почти 1,3 милиарда евро, а гаранционни споразумения бяха подписани в 17 държави</w:t>
      </w:r>
      <w:r>
        <w:rPr>
          <w:noProof/>
        </w:rPr>
        <w:t xml:space="preserve">. В информационните събития относно достъпа до финансиране се включиха над 3000 участници, посетили събития през 2015 г. А на портала „Вашата Европа — предприятия“ с неговите 1,6 милиона отделни посетители вторият най-посещаван раздел е „Финансиране“.   </w:t>
      </w:r>
    </w:p>
    <w:p w:rsidR="003A660B" w:rsidRDefault="006C2027">
      <w:pPr>
        <w:spacing w:before="100" w:beforeAutospacing="1" w:after="100" w:afterAutospacing="1"/>
        <w:jc w:val="both"/>
        <w:rPr>
          <w:noProof/>
        </w:rPr>
      </w:pPr>
      <w:r>
        <w:rPr>
          <w:noProof/>
        </w:rPr>
        <w:t>C</w:t>
      </w:r>
      <w:r>
        <w:rPr>
          <w:noProof/>
        </w:rPr>
        <w:t>OSME, включително интегрираните спомагателни услуги за бизнеса на мрежата „Enterprise Europe“, допринесоха за улесняване на достъпа на МСП до финансиране и пазари, за намаляване на непропорционалната административна тежест и за насърчаване на предприемачес</w:t>
      </w:r>
      <w:r>
        <w:rPr>
          <w:noProof/>
        </w:rPr>
        <w:t xml:space="preserve">твото в целия ЕС. Като програма, ориентирана към МСП, действията по Програма COSME допълват другите програми на ЕС и се основават на значителния опит от предшестващите програми. </w:t>
      </w:r>
    </w:p>
    <w:p w:rsidR="003A660B" w:rsidRDefault="006C2027">
      <w:pPr>
        <w:rPr>
          <w:noProof/>
          <w:highlight w:val="yellow"/>
        </w:rPr>
      </w:pPr>
      <w:r>
        <w:rPr>
          <w:noProof/>
        </w:rPr>
        <w:br w:type="page"/>
      </w:r>
    </w:p>
    <w:p w:rsidR="003A660B" w:rsidRDefault="006C2027">
      <w:pPr>
        <w:pStyle w:val="Heading1"/>
        <w:rPr>
          <w:noProof/>
          <w:sz w:val="32"/>
          <w:szCs w:val="32"/>
        </w:rPr>
      </w:pPr>
      <w:bookmarkStart w:id="30" w:name="_Toc504659422"/>
      <w:bookmarkStart w:id="31" w:name="_Toc513453989"/>
      <w:r>
        <w:rPr>
          <w:noProof/>
          <w:sz w:val="32"/>
        </w:rPr>
        <w:t>ПРИЛОЖЕНИЕ</w:t>
      </w:r>
      <w:bookmarkEnd w:id="30"/>
      <w:bookmarkEnd w:id="31"/>
    </w:p>
    <w:p w:rsidR="003A660B" w:rsidRDefault="006C2027">
      <w:pPr>
        <w:spacing w:after="60"/>
        <w:rPr>
          <w:i/>
          <w:noProof/>
        </w:rPr>
      </w:pPr>
      <w:r>
        <w:rPr>
          <w:i/>
          <w:noProof/>
        </w:rPr>
        <w:t>Таблица: Общ бюджет, наличен за COSME през 2015 г. за поети задъ</w:t>
      </w:r>
      <w:r>
        <w:rPr>
          <w:i/>
          <w:noProof/>
        </w:rPr>
        <w:t>лжения</w:t>
      </w:r>
    </w:p>
    <w:p w:rsidR="003A660B" w:rsidRDefault="003A660B">
      <w:pPr>
        <w:rPr>
          <w:noProof/>
        </w:rPr>
      </w:pPr>
    </w:p>
    <w:p w:rsidR="003A660B" w:rsidRDefault="006C2027">
      <w:pPr>
        <w:rPr>
          <w:b/>
          <w:noProof/>
          <w:u w:val="single"/>
        </w:rPr>
      </w:pPr>
      <w:r>
        <w:rPr>
          <w:rFonts w:eastAsiaTheme="minorHAnsi"/>
          <w:b/>
          <w:noProof/>
          <w:u w:val="single"/>
        </w:rPr>
        <w:t xml:space="preserve">Бюджетен ред 02 01 04 01 за административни разходи </w:t>
      </w:r>
    </w:p>
    <w:p w:rsidR="003A660B" w:rsidRDefault="003A660B">
      <w:pPr>
        <w:rPr>
          <w:noProof/>
          <w:u w:val="single"/>
        </w:rPr>
      </w:pPr>
    </w:p>
    <w:p w:rsidR="003A660B" w:rsidRDefault="006C2027">
      <w:pPr>
        <w:rPr>
          <w:noProof/>
          <w:u w:val="single"/>
        </w:rPr>
      </w:pPr>
      <w:r>
        <w:rPr>
          <w:noProof/>
          <w:u w:val="single"/>
        </w:rPr>
        <w:t xml:space="preserve">Гласуван бюджет, наличен след трансфери:  </w:t>
      </w:r>
      <w:r>
        <w:rPr>
          <w:noProof/>
        </w:rPr>
        <w:tab/>
      </w:r>
      <w:r>
        <w:rPr>
          <w:noProof/>
        </w:rPr>
        <w:tab/>
      </w:r>
      <w:r>
        <w:rPr>
          <w:noProof/>
          <w:u w:val="single"/>
        </w:rPr>
        <w:t xml:space="preserve"> </w:t>
      </w:r>
      <w:r>
        <w:rPr>
          <w:noProof/>
        </w:rPr>
        <w:tab/>
      </w:r>
      <w:r>
        <w:rPr>
          <w:noProof/>
        </w:rPr>
        <w:tab/>
      </w:r>
      <w:r>
        <w:rPr>
          <w:noProof/>
          <w:u w:val="single"/>
        </w:rPr>
        <w:t>3 864 722</w:t>
      </w:r>
    </w:p>
    <w:p w:rsidR="003A660B" w:rsidRDefault="006C2027">
      <w:pPr>
        <w:rPr>
          <w:noProof/>
          <w:u w:val="single"/>
        </w:rPr>
      </w:pPr>
      <w:r>
        <w:rPr>
          <w:noProof/>
          <w:u w:val="single"/>
        </w:rPr>
        <w:t>Други външни целеви приходи:</w:t>
      </w:r>
      <w:r>
        <w:rPr>
          <w:noProof/>
        </w:rPr>
        <w:tab/>
      </w:r>
      <w:r>
        <w:rPr>
          <w:noProof/>
        </w:rPr>
        <w:tab/>
      </w:r>
      <w:r>
        <w:rPr>
          <w:noProof/>
        </w:rPr>
        <w:tab/>
      </w:r>
      <w:r>
        <w:rPr>
          <w:noProof/>
          <w:u w:val="single"/>
        </w:rPr>
        <w:t xml:space="preserve">   </w:t>
      </w:r>
      <w:r>
        <w:rPr>
          <w:noProof/>
          <w:u w:val="single"/>
        </w:rPr>
        <w:tab/>
      </w:r>
      <w:r>
        <w:rPr>
          <w:noProof/>
        </w:rPr>
        <w:tab/>
      </w:r>
      <w:r>
        <w:rPr>
          <w:noProof/>
          <w:u w:val="single"/>
        </w:rPr>
        <w:t xml:space="preserve">               154 176</w:t>
      </w:r>
    </w:p>
    <w:p w:rsidR="003A660B" w:rsidRDefault="006C2027">
      <w:pPr>
        <w:rPr>
          <w:noProof/>
          <w:u w:val="single"/>
        </w:rPr>
      </w:pPr>
      <w:r>
        <w:rPr>
          <w:noProof/>
          <w:u w:val="single"/>
        </w:rPr>
        <w:t>Вноски от трети държави:</w:t>
      </w:r>
      <w:r>
        <w:rPr>
          <w:noProof/>
        </w:rPr>
        <w:tab/>
      </w:r>
      <w:r>
        <w:rPr>
          <w:noProof/>
        </w:rPr>
        <w:tab/>
      </w:r>
      <w:r>
        <w:rPr>
          <w:noProof/>
          <w:u w:val="single"/>
        </w:rPr>
        <w:t xml:space="preserve">    </w:t>
      </w:r>
      <w:r>
        <w:rPr>
          <w:noProof/>
        </w:rPr>
        <w:tab/>
      </w:r>
      <w:r>
        <w:rPr>
          <w:noProof/>
        </w:rPr>
        <w:tab/>
      </w:r>
      <w:r>
        <w:rPr>
          <w:noProof/>
        </w:rPr>
        <w:tab/>
      </w:r>
      <w:r>
        <w:rPr>
          <w:noProof/>
        </w:rPr>
        <w:tab/>
      </w:r>
      <w:r>
        <w:rPr>
          <w:noProof/>
        </w:rPr>
        <w:tab/>
      </w:r>
      <w:r>
        <w:rPr>
          <w:noProof/>
          <w:u w:val="single"/>
        </w:rPr>
        <w:t xml:space="preserve">   180 585</w:t>
      </w:r>
    </w:p>
    <w:p w:rsidR="003A660B" w:rsidRDefault="003A660B">
      <w:pPr>
        <w:rPr>
          <w:noProof/>
          <w:u w:val="single"/>
        </w:rPr>
      </w:pPr>
    </w:p>
    <w:p w:rsidR="003A660B" w:rsidRDefault="006C2027">
      <w:pPr>
        <w:rPr>
          <w:noProof/>
          <w:u w:val="single"/>
        </w:rPr>
      </w:pPr>
      <w:r>
        <w:rPr>
          <w:noProof/>
          <w:u w:val="single"/>
        </w:rPr>
        <w:t xml:space="preserve">Общ бюджет, наличен за поети </w:t>
      </w:r>
      <w:r>
        <w:rPr>
          <w:noProof/>
          <w:u w:val="single"/>
        </w:rPr>
        <w:t>задължения:</w:t>
      </w:r>
      <w:r>
        <w:rPr>
          <w:noProof/>
        </w:rPr>
        <w:tab/>
      </w:r>
      <w:r>
        <w:rPr>
          <w:noProof/>
        </w:rPr>
        <w:tab/>
      </w:r>
      <w:r>
        <w:rPr>
          <w:noProof/>
        </w:rPr>
        <w:tab/>
      </w:r>
      <w:r>
        <w:rPr>
          <w:noProof/>
        </w:rPr>
        <w:tab/>
      </w:r>
      <w:r>
        <w:rPr>
          <w:noProof/>
          <w:u w:val="single"/>
        </w:rPr>
        <w:t>4 199 483</w:t>
      </w:r>
    </w:p>
    <w:p w:rsidR="003A660B" w:rsidRDefault="003A660B">
      <w:pPr>
        <w:rPr>
          <w:noProof/>
          <w:u w:val="single"/>
        </w:rPr>
      </w:pPr>
    </w:p>
    <w:p w:rsidR="003A660B" w:rsidRDefault="003A660B">
      <w:pPr>
        <w:rPr>
          <w:noProof/>
          <w:u w:val="single"/>
        </w:rPr>
      </w:pPr>
    </w:p>
    <w:p w:rsidR="003A660B" w:rsidRDefault="006C2027">
      <w:pPr>
        <w:rPr>
          <w:rFonts w:eastAsiaTheme="minorHAnsi"/>
          <w:b/>
          <w:noProof/>
          <w:u w:val="single"/>
        </w:rPr>
      </w:pPr>
      <w:r>
        <w:rPr>
          <w:rFonts w:eastAsiaTheme="minorHAnsi"/>
          <w:b/>
          <w:noProof/>
          <w:u w:val="single"/>
        </w:rPr>
        <w:t xml:space="preserve">Бюджетен ред 02 01 06 01 за функционирането на агенция EASME </w:t>
      </w:r>
    </w:p>
    <w:p w:rsidR="003A660B" w:rsidRDefault="003A660B">
      <w:pPr>
        <w:rPr>
          <w:rFonts w:eastAsiaTheme="minorHAnsi"/>
          <w:noProof/>
        </w:rPr>
      </w:pPr>
    </w:p>
    <w:p w:rsidR="003A660B" w:rsidRDefault="006C2027">
      <w:pPr>
        <w:rPr>
          <w:noProof/>
          <w:u w:val="single"/>
        </w:rPr>
      </w:pPr>
      <w:r>
        <w:rPr>
          <w:noProof/>
          <w:u w:val="single"/>
        </w:rPr>
        <w:t>Гласуван бюджет, наличен след трансфери:</w:t>
      </w:r>
      <w:r>
        <w:rPr>
          <w:noProof/>
        </w:rPr>
        <w:tab/>
      </w:r>
      <w:r>
        <w:rPr>
          <w:noProof/>
        </w:rPr>
        <w:tab/>
      </w:r>
      <w:r>
        <w:rPr>
          <w:noProof/>
        </w:rPr>
        <w:tab/>
      </w:r>
      <w:r>
        <w:rPr>
          <w:noProof/>
        </w:rPr>
        <w:tab/>
      </w:r>
      <w:r>
        <w:rPr>
          <w:noProof/>
          <w:u w:val="single"/>
        </w:rPr>
        <w:t xml:space="preserve"> 8 047 977</w:t>
      </w:r>
    </w:p>
    <w:p w:rsidR="003A660B" w:rsidRDefault="006C2027">
      <w:pPr>
        <w:rPr>
          <w:noProof/>
          <w:u w:val="single"/>
        </w:rPr>
      </w:pPr>
      <w:r>
        <w:rPr>
          <w:noProof/>
          <w:u w:val="single"/>
        </w:rPr>
        <w:t>Други външни целеви приходи:</w:t>
      </w:r>
      <w:r>
        <w:rPr>
          <w:noProof/>
        </w:rPr>
        <w:tab/>
      </w:r>
      <w:r>
        <w:rPr>
          <w:noProof/>
        </w:rPr>
        <w:tab/>
      </w:r>
      <w:r>
        <w:rPr>
          <w:noProof/>
        </w:rPr>
        <w:tab/>
      </w:r>
      <w:r>
        <w:rPr>
          <w:noProof/>
          <w:u w:val="single"/>
        </w:rPr>
        <w:t xml:space="preserve">    </w:t>
      </w:r>
      <w:r>
        <w:rPr>
          <w:noProof/>
        </w:rPr>
        <w:tab/>
      </w:r>
      <w:r>
        <w:rPr>
          <w:noProof/>
        </w:rPr>
        <w:tab/>
      </w:r>
      <w:r>
        <w:rPr>
          <w:noProof/>
        </w:rPr>
        <w:tab/>
      </w:r>
      <w:r>
        <w:rPr>
          <w:noProof/>
          <w:u w:val="single"/>
        </w:rPr>
        <w:t xml:space="preserve">      37 329</w:t>
      </w:r>
    </w:p>
    <w:p w:rsidR="003A660B" w:rsidRDefault="006C2027">
      <w:pPr>
        <w:rPr>
          <w:noProof/>
          <w:u w:val="single"/>
        </w:rPr>
      </w:pPr>
      <w:r>
        <w:rPr>
          <w:noProof/>
          <w:u w:val="single"/>
        </w:rPr>
        <w:t>Вноски от трети държави:</w:t>
      </w:r>
      <w:r>
        <w:rPr>
          <w:noProof/>
        </w:rPr>
        <w:tab/>
      </w:r>
      <w:r>
        <w:rPr>
          <w:noProof/>
        </w:rPr>
        <w:tab/>
      </w:r>
      <w:r>
        <w:rPr>
          <w:noProof/>
          <w:u w:val="single"/>
        </w:rPr>
        <w:t xml:space="preserve">         </w:t>
      </w:r>
      <w:r>
        <w:rPr>
          <w:noProof/>
        </w:rPr>
        <w:tab/>
      </w:r>
      <w:r>
        <w:rPr>
          <w:noProof/>
        </w:rPr>
        <w:tab/>
      </w:r>
      <w:r>
        <w:rPr>
          <w:noProof/>
        </w:rPr>
        <w:tab/>
      </w:r>
      <w:r>
        <w:rPr>
          <w:noProof/>
        </w:rPr>
        <w:tab/>
      </w:r>
      <w:r>
        <w:rPr>
          <w:noProof/>
        </w:rPr>
        <w:tab/>
      </w:r>
      <w:r>
        <w:rPr>
          <w:noProof/>
          <w:u w:val="single"/>
        </w:rPr>
        <w:t xml:space="preserve">      27 158</w:t>
      </w:r>
    </w:p>
    <w:p w:rsidR="003A660B" w:rsidRDefault="003A660B">
      <w:pPr>
        <w:rPr>
          <w:noProof/>
          <w:u w:val="single"/>
        </w:rPr>
      </w:pPr>
    </w:p>
    <w:p w:rsidR="003A660B" w:rsidRDefault="003A660B">
      <w:pPr>
        <w:rPr>
          <w:noProof/>
          <w:u w:val="single"/>
        </w:rPr>
      </w:pPr>
    </w:p>
    <w:p w:rsidR="003A660B" w:rsidRDefault="006C2027">
      <w:pPr>
        <w:rPr>
          <w:noProof/>
          <w:u w:val="single"/>
        </w:rPr>
      </w:pPr>
      <w:r>
        <w:rPr>
          <w:noProof/>
          <w:u w:val="single"/>
        </w:rPr>
        <w:t>Общ б</w:t>
      </w:r>
      <w:r>
        <w:rPr>
          <w:noProof/>
          <w:u w:val="single"/>
        </w:rPr>
        <w:t>юджет, наличен за поети задължения:</w:t>
      </w:r>
      <w:r>
        <w:rPr>
          <w:noProof/>
        </w:rPr>
        <w:tab/>
      </w:r>
      <w:r>
        <w:rPr>
          <w:noProof/>
        </w:rPr>
        <w:tab/>
      </w:r>
      <w:r>
        <w:rPr>
          <w:noProof/>
        </w:rPr>
        <w:tab/>
      </w:r>
      <w:r>
        <w:rPr>
          <w:noProof/>
        </w:rPr>
        <w:tab/>
      </w:r>
      <w:r>
        <w:rPr>
          <w:noProof/>
          <w:u w:val="single"/>
        </w:rPr>
        <w:t xml:space="preserve"> 8 112 464</w:t>
      </w:r>
    </w:p>
    <w:p w:rsidR="003A660B" w:rsidRDefault="003A660B">
      <w:pPr>
        <w:rPr>
          <w:noProof/>
          <w:u w:val="single"/>
        </w:rPr>
      </w:pPr>
    </w:p>
    <w:p w:rsidR="003A660B" w:rsidRDefault="006C2027">
      <w:pPr>
        <w:rPr>
          <w:b/>
          <w:noProof/>
          <w:u w:val="single"/>
        </w:rPr>
      </w:pPr>
      <w:r>
        <w:rPr>
          <w:rFonts w:eastAsiaTheme="minorHAnsi"/>
          <w:b/>
          <w:noProof/>
          <w:u w:val="single"/>
        </w:rPr>
        <w:t>Бюджетен ред 02 02 01 за всички други оперативни разходи</w:t>
      </w:r>
    </w:p>
    <w:p w:rsidR="003A660B" w:rsidRDefault="003A660B">
      <w:pPr>
        <w:rPr>
          <w:noProof/>
          <w:u w:val="single"/>
        </w:rPr>
      </w:pPr>
    </w:p>
    <w:p w:rsidR="003A660B" w:rsidRDefault="006C2027">
      <w:pPr>
        <w:rPr>
          <w:noProof/>
          <w:u w:val="single"/>
        </w:rPr>
      </w:pPr>
      <w:r>
        <w:rPr>
          <w:noProof/>
          <w:u w:val="single"/>
        </w:rPr>
        <w:t>Гласуван бюджет, наличен след трансфери:</w:t>
      </w:r>
      <w:r>
        <w:rPr>
          <w:noProof/>
        </w:rPr>
        <w:tab/>
      </w:r>
      <w:r>
        <w:rPr>
          <w:noProof/>
        </w:rPr>
        <w:tab/>
      </w:r>
      <w:r>
        <w:rPr>
          <w:noProof/>
        </w:rPr>
        <w:tab/>
      </w:r>
      <w:r>
        <w:rPr>
          <w:noProof/>
        </w:rPr>
        <w:tab/>
      </w:r>
      <w:r>
        <w:rPr>
          <w:noProof/>
          <w:u w:val="single"/>
        </w:rPr>
        <w:t>105 648 672</w:t>
      </w:r>
    </w:p>
    <w:p w:rsidR="003A660B" w:rsidRDefault="006C2027">
      <w:pPr>
        <w:rPr>
          <w:noProof/>
          <w:u w:val="single"/>
        </w:rPr>
      </w:pPr>
      <w:r>
        <w:rPr>
          <w:noProof/>
          <w:u w:val="single"/>
        </w:rPr>
        <w:t>Трансфер/пренос:</w:t>
      </w:r>
      <w:r>
        <w:rPr>
          <w:noProof/>
        </w:rPr>
        <w:tab/>
      </w:r>
      <w:r>
        <w:rPr>
          <w:noProof/>
        </w:rPr>
        <w:tab/>
      </w:r>
      <w:r>
        <w:rPr>
          <w:noProof/>
        </w:rPr>
        <w:tab/>
      </w:r>
      <w:r>
        <w:rPr>
          <w:noProof/>
        </w:rPr>
        <w:tab/>
      </w:r>
      <w:r>
        <w:rPr>
          <w:noProof/>
        </w:rPr>
        <w:tab/>
      </w:r>
      <w:r>
        <w:rPr>
          <w:noProof/>
        </w:rPr>
        <w:tab/>
      </w:r>
      <w:r>
        <w:rPr>
          <w:noProof/>
        </w:rPr>
        <w:tab/>
      </w:r>
      <w:r>
        <w:rPr>
          <w:noProof/>
        </w:rPr>
        <w:tab/>
      </w:r>
      <w:r>
        <w:rPr>
          <w:noProof/>
          <w:u w:val="single"/>
        </w:rPr>
        <w:t xml:space="preserve">    3 447 990</w:t>
      </w:r>
    </w:p>
    <w:p w:rsidR="003A660B" w:rsidRDefault="006C2027">
      <w:pPr>
        <w:rPr>
          <w:noProof/>
          <w:u w:val="single"/>
        </w:rPr>
      </w:pPr>
      <w:r>
        <w:rPr>
          <w:noProof/>
          <w:u w:val="single"/>
        </w:rPr>
        <w:t>Вноски от трети държави:</w:t>
      </w:r>
      <w:r>
        <w:rPr>
          <w:noProof/>
        </w:rPr>
        <w:tab/>
      </w:r>
      <w:r>
        <w:rPr>
          <w:noProof/>
        </w:rPr>
        <w:tab/>
      </w:r>
      <w:r>
        <w:rPr>
          <w:noProof/>
          <w:u w:val="single"/>
        </w:rPr>
        <w:t xml:space="preserve">         </w:t>
      </w:r>
      <w:r>
        <w:rPr>
          <w:noProof/>
        </w:rPr>
        <w:tab/>
      </w:r>
      <w:r>
        <w:rPr>
          <w:noProof/>
        </w:rPr>
        <w:tab/>
      </w:r>
      <w:r>
        <w:rPr>
          <w:noProof/>
        </w:rPr>
        <w:tab/>
      </w:r>
      <w:r>
        <w:rPr>
          <w:noProof/>
        </w:rPr>
        <w:tab/>
      </w:r>
      <w:r>
        <w:rPr>
          <w:noProof/>
        </w:rPr>
        <w:tab/>
      </w:r>
      <w:r>
        <w:rPr>
          <w:noProof/>
          <w:u w:val="single"/>
        </w:rPr>
        <w:t xml:space="preserve">     8 254 15</w:t>
      </w:r>
      <w:r>
        <w:rPr>
          <w:noProof/>
          <w:u w:val="single"/>
        </w:rPr>
        <w:t>7</w:t>
      </w:r>
    </w:p>
    <w:p w:rsidR="003A660B" w:rsidRDefault="003A660B">
      <w:pPr>
        <w:rPr>
          <w:noProof/>
          <w:u w:val="single"/>
        </w:rPr>
      </w:pPr>
    </w:p>
    <w:p w:rsidR="003A660B" w:rsidRDefault="006C2027">
      <w:pPr>
        <w:rPr>
          <w:noProof/>
          <w:u w:val="single"/>
        </w:rPr>
      </w:pPr>
      <w:r>
        <w:rPr>
          <w:noProof/>
          <w:u w:val="single"/>
        </w:rPr>
        <w:t>Общ бюджет, наличен за поети задължения:</w:t>
      </w:r>
      <w:r>
        <w:rPr>
          <w:noProof/>
        </w:rPr>
        <w:tab/>
      </w:r>
      <w:r>
        <w:rPr>
          <w:noProof/>
        </w:rPr>
        <w:tab/>
      </w:r>
      <w:r>
        <w:rPr>
          <w:noProof/>
        </w:rPr>
        <w:tab/>
      </w:r>
      <w:r>
        <w:rPr>
          <w:noProof/>
        </w:rPr>
        <w:tab/>
      </w:r>
      <w:r>
        <w:rPr>
          <w:noProof/>
          <w:u w:val="single"/>
        </w:rPr>
        <w:t>117 350 819</w:t>
      </w:r>
    </w:p>
    <w:p w:rsidR="003A660B" w:rsidRDefault="003A660B">
      <w:pPr>
        <w:rPr>
          <w:noProof/>
          <w:u w:val="single"/>
        </w:rPr>
      </w:pPr>
    </w:p>
    <w:p w:rsidR="003A660B" w:rsidRDefault="003A660B">
      <w:pPr>
        <w:rPr>
          <w:noProof/>
          <w:u w:val="single"/>
        </w:rPr>
      </w:pPr>
    </w:p>
    <w:p w:rsidR="003A660B" w:rsidRDefault="006C2027">
      <w:pPr>
        <w:rPr>
          <w:b/>
          <w:noProof/>
          <w:u w:val="single"/>
        </w:rPr>
      </w:pPr>
      <w:r>
        <w:rPr>
          <w:rFonts w:eastAsiaTheme="minorHAnsi"/>
          <w:b/>
          <w:noProof/>
          <w:u w:val="single"/>
        </w:rPr>
        <w:t xml:space="preserve">Бюджетен ред 02 02 02 за достъп до финансиране на оперативни разходи </w:t>
      </w:r>
    </w:p>
    <w:p w:rsidR="003A660B" w:rsidRDefault="003A660B">
      <w:pPr>
        <w:rPr>
          <w:noProof/>
          <w:u w:val="single"/>
        </w:rPr>
      </w:pPr>
    </w:p>
    <w:p w:rsidR="003A660B" w:rsidRDefault="006C2027">
      <w:pPr>
        <w:rPr>
          <w:noProof/>
          <w:u w:val="single"/>
        </w:rPr>
      </w:pPr>
      <w:r>
        <w:rPr>
          <w:noProof/>
          <w:u w:val="single"/>
        </w:rPr>
        <w:t>Гласуван бюджет:</w:t>
      </w:r>
      <w:r>
        <w:rPr>
          <w:noProof/>
        </w:rPr>
        <w:tab/>
      </w:r>
      <w:r>
        <w:rPr>
          <w:noProof/>
        </w:rPr>
        <w:tab/>
      </w:r>
      <w:r>
        <w:rPr>
          <w:noProof/>
        </w:rPr>
        <w:tab/>
      </w:r>
      <w:r>
        <w:rPr>
          <w:noProof/>
        </w:rPr>
        <w:tab/>
      </w:r>
      <w:r>
        <w:rPr>
          <w:noProof/>
          <w:u w:val="single"/>
        </w:rPr>
        <w:t xml:space="preserve"> </w:t>
      </w:r>
      <w:r>
        <w:rPr>
          <w:noProof/>
        </w:rPr>
        <w:tab/>
      </w:r>
      <w:r>
        <w:rPr>
          <w:noProof/>
        </w:rPr>
        <w:tab/>
      </w:r>
      <w:r>
        <w:rPr>
          <w:noProof/>
        </w:rPr>
        <w:tab/>
      </w:r>
      <w:r>
        <w:rPr>
          <w:noProof/>
        </w:rPr>
        <w:tab/>
      </w:r>
      <w:r>
        <w:rPr>
          <w:noProof/>
          <w:u w:val="single"/>
        </w:rPr>
        <w:t>174 791 725</w:t>
      </w:r>
    </w:p>
    <w:p w:rsidR="003A660B" w:rsidRDefault="006C2027">
      <w:pPr>
        <w:rPr>
          <w:noProof/>
          <w:u w:val="single"/>
        </w:rPr>
      </w:pPr>
      <w:r>
        <w:rPr>
          <w:noProof/>
          <w:u w:val="single"/>
        </w:rPr>
        <w:t>Вноски от трети държави:</w:t>
      </w:r>
      <w:r>
        <w:rPr>
          <w:noProof/>
        </w:rPr>
        <w:tab/>
      </w:r>
      <w:r>
        <w:rPr>
          <w:noProof/>
        </w:rPr>
        <w:tab/>
      </w:r>
      <w:r>
        <w:rPr>
          <w:noProof/>
        </w:rPr>
        <w:tab/>
      </w:r>
      <w:r>
        <w:rPr>
          <w:noProof/>
        </w:rPr>
        <w:tab/>
      </w:r>
      <w:r>
        <w:rPr>
          <w:noProof/>
        </w:rPr>
        <w:tab/>
      </w:r>
      <w:r>
        <w:rPr>
          <w:noProof/>
        </w:rPr>
        <w:tab/>
      </w:r>
      <w:r>
        <w:rPr>
          <w:noProof/>
        </w:rPr>
        <w:tab/>
      </w:r>
      <w:r>
        <w:rPr>
          <w:noProof/>
          <w:u w:val="single"/>
        </w:rPr>
        <w:t xml:space="preserve">  12 141 530</w:t>
      </w:r>
    </w:p>
    <w:p w:rsidR="003A660B" w:rsidRDefault="006C2027">
      <w:pPr>
        <w:rPr>
          <w:noProof/>
          <w:u w:val="single"/>
        </w:rPr>
      </w:pPr>
      <w:r>
        <w:rPr>
          <w:noProof/>
          <w:u w:val="single"/>
        </w:rPr>
        <w:t>Вноска на ЕАСТ:</w:t>
      </w:r>
      <w:r>
        <w:rPr>
          <w:noProof/>
        </w:rPr>
        <w:tab/>
      </w:r>
      <w:r>
        <w:rPr>
          <w:noProof/>
        </w:rPr>
        <w:tab/>
      </w:r>
      <w:r>
        <w:rPr>
          <w:noProof/>
        </w:rPr>
        <w:tab/>
      </w:r>
      <w:r>
        <w:rPr>
          <w:noProof/>
        </w:rPr>
        <w:tab/>
      </w:r>
      <w:r>
        <w:rPr>
          <w:noProof/>
        </w:rPr>
        <w:tab/>
      </w:r>
      <w:r>
        <w:rPr>
          <w:noProof/>
        </w:rPr>
        <w:tab/>
      </w:r>
      <w:r>
        <w:rPr>
          <w:noProof/>
        </w:rPr>
        <w:tab/>
      </w:r>
      <w:r>
        <w:rPr>
          <w:noProof/>
        </w:rPr>
        <w:tab/>
      </w:r>
      <w:r>
        <w:rPr>
          <w:noProof/>
          <w:u w:val="single"/>
        </w:rPr>
        <w:t xml:space="preserve">       139 833</w:t>
      </w:r>
    </w:p>
    <w:p w:rsidR="003A660B" w:rsidRDefault="006C2027">
      <w:pPr>
        <w:rPr>
          <w:noProof/>
          <w:u w:val="single"/>
        </w:rPr>
      </w:pPr>
      <w:r>
        <w:rPr>
          <w:noProof/>
          <w:u w:val="single"/>
        </w:rPr>
        <w:t>Допълнителни вътрешни трансфери:</w:t>
      </w:r>
      <w:r>
        <w:rPr>
          <w:noProof/>
        </w:rPr>
        <w:tab/>
      </w:r>
      <w:r>
        <w:rPr>
          <w:noProof/>
        </w:rPr>
        <w:tab/>
      </w:r>
      <w:r>
        <w:rPr>
          <w:noProof/>
        </w:rPr>
        <w:tab/>
      </w:r>
      <w:r>
        <w:rPr>
          <w:noProof/>
        </w:rPr>
        <w:tab/>
      </w:r>
      <w:r>
        <w:rPr>
          <w:noProof/>
        </w:rPr>
        <w:tab/>
      </w:r>
      <w:r>
        <w:rPr>
          <w:noProof/>
          <w:u w:val="single"/>
        </w:rPr>
        <w:t xml:space="preserve">  12 963 909</w:t>
      </w:r>
    </w:p>
    <w:p w:rsidR="003A660B" w:rsidRDefault="003A660B">
      <w:pPr>
        <w:rPr>
          <w:noProof/>
          <w:u w:val="single"/>
        </w:rPr>
      </w:pPr>
    </w:p>
    <w:p w:rsidR="003A660B" w:rsidRDefault="006C2027">
      <w:pPr>
        <w:rPr>
          <w:noProof/>
          <w:u w:val="single"/>
        </w:rPr>
        <w:sectPr w:rsidR="003A660B">
          <w:headerReference w:type="even" r:id="rId17"/>
          <w:headerReference w:type="default" r:id="rId18"/>
          <w:footerReference w:type="even" r:id="rId19"/>
          <w:footerReference w:type="default" r:id="rId20"/>
          <w:headerReference w:type="first" r:id="rId21"/>
          <w:footerReference w:type="first" r:id="rId22"/>
          <w:type w:val="continuous"/>
          <w:pgSz w:w="11906" w:h="16838"/>
          <w:pgMar w:top="1247" w:right="1418" w:bottom="1134" w:left="1418" w:header="709" w:footer="709" w:gutter="0"/>
          <w:pgNumType w:start="0"/>
          <w:cols w:space="720"/>
        </w:sectPr>
      </w:pPr>
      <w:r>
        <w:rPr>
          <w:noProof/>
          <w:u w:val="single"/>
        </w:rPr>
        <w:t>Общ бюджет, наличен за поети задължения:</w:t>
      </w:r>
      <w:r>
        <w:rPr>
          <w:noProof/>
        </w:rPr>
        <w:tab/>
      </w:r>
      <w:r>
        <w:rPr>
          <w:noProof/>
        </w:rPr>
        <w:tab/>
      </w:r>
      <w:r>
        <w:rPr>
          <w:noProof/>
        </w:rPr>
        <w:tab/>
      </w:r>
      <w:r>
        <w:rPr>
          <w:noProof/>
        </w:rPr>
        <w:tab/>
      </w:r>
      <w:r>
        <w:rPr>
          <w:noProof/>
          <w:u w:val="single"/>
        </w:rPr>
        <w:t>200 036 997</w:t>
      </w:r>
      <w:r>
        <w:rPr>
          <w:noProof/>
        </w:rPr>
        <w:br w:type="page"/>
      </w:r>
    </w:p>
    <w:p w:rsidR="003A660B" w:rsidRDefault="006C2027">
      <w:pPr>
        <w:spacing w:after="60"/>
        <w:rPr>
          <w:b/>
          <w:i/>
          <w:noProof/>
        </w:rPr>
      </w:pPr>
      <w:r>
        <w:rPr>
          <w:b/>
          <w:i/>
          <w:noProof/>
        </w:rPr>
        <w:t>Таблица: изпълнение на бюджета на COSME през 2015 г.</w:t>
      </w:r>
    </w:p>
    <w:tbl>
      <w:tblPr>
        <w:tblW w:w="10200" w:type="dxa"/>
        <w:tblInd w:w="-492" w:type="dxa"/>
        <w:tblLayout w:type="fixed"/>
        <w:tblLook w:val="04A0" w:firstRow="1" w:lastRow="0" w:firstColumn="1" w:lastColumn="0" w:noHBand="0" w:noVBand="1"/>
      </w:tblPr>
      <w:tblGrid>
        <w:gridCol w:w="960"/>
        <w:gridCol w:w="1264"/>
        <w:gridCol w:w="536"/>
        <w:gridCol w:w="1320"/>
        <w:gridCol w:w="1320"/>
        <w:gridCol w:w="1080"/>
        <w:gridCol w:w="1320"/>
        <w:gridCol w:w="1320"/>
        <w:gridCol w:w="1080"/>
      </w:tblGrid>
      <w:tr w:rsidR="003A660B">
        <w:trPr>
          <w:trHeight w:val="240"/>
        </w:trPr>
        <w:tc>
          <w:tcPr>
            <w:tcW w:w="2224" w:type="dxa"/>
            <w:gridSpan w:val="2"/>
            <w:vMerge w:val="restart"/>
            <w:tcBorders>
              <w:top w:val="nil"/>
              <w:left w:val="nil"/>
              <w:bottom w:val="nil"/>
              <w:right w:val="nil"/>
            </w:tcBorders>
            <w:shd w:val="clear" w:color="000000" w:fill="FFFFFF"/>
            <w:vAlign w:val="center"/>
            <w:hideMark/>
          </w:tcPr>
          <w:p w:rsidR="003A660B" w:rsidRDefault="006C2027">
            <w:pPr>
              <w:rPr>
                <w:noProof/>
                <w:color w:val="000000"/>
              </w:rPr>
            </w:pPr>
            <w:r>
              <w:rPr>
                <w:noProof/>
                <w:color w:val="000000"/>
              </w:rPr>
              <w:t> </w:t>
            </w:r>
          </w:p>
        </w:tc>
        <w:tc>
          <w:tcPr>
            <w:tcW w:w="536" w:type="dxa"/>
            <w:vMerge w:val="restart"/>
            <w:tcBorders>
              <w:top w:val="nil"/>
              <w:left w:val="nil"/>
              <w:bottom w:val="nil"/>
              <w:right w:val="single" w:sz="8" w:space="0" w:color="000000"/>
            </w:tcBorders>
            <w:shd w:val="clear" w:color="000000" w:fill="FFFFFF"/>
            <w:vAlign w:val="center"/>
            <w:hideMark/>
          </w:tcPr>
          <w:p w:rsidR="003A660B" w:rsidRDefault="006C2027">
            <w:pPr>
              <w:rPr>
                <w:noProof/>
                <w:color w:val="000000"/>
              </w:rPr>
            </w:pPr>
            <w:r>
              <w:rPr>
                <w:noProof/>
                <w:color w:val="000000"/>
              </w:rPr>
              <w:t> </w:t>
            </w:r>
          </w:p>
        </w:tc>
        <w:tc>
          <w:tcPr>
            <w:tcW w:w="3720" w:type="dxa"/>
            <w:gridSpan w:val="3"/>
            <w:tcBorders>
              <w:top w:val="single" w:sz="8" w:space="0" w:color="000000"/>
              <w:left w:val="nil"/>
              <w:bottom w:val="nil"/>
              <w:right w:val="single" w:sz="8" w:space="0" w:color="000000"/>
            </w:tcBorders>
            <w:shd w:val="clear" w:color="000000" w:fill="C0C0C0"/>
            <w:vAlign w:val="center"/>
            <w:hideMark/>
          </w:tcPr>
          <w:p w:rsidR="003A660B" w:rsidRDefault="006C2027">
            <w:pPr>
              <w:jc w:val="center"/>
              <w:rPr>
                <w:noProof/>
                <w:color w:val="000000"/>
              </w:rPr>
            </w:pPr>
            <w:r>
              <w:rPr>
                <w:noProof/>
                <w:color w:val="000000"/>
              </w:rPr>
              <w:t> </w:t>
            </w:r>
          </w:p>
        </w:tc>
        <w:tc>
          <w:tcPr>
            <w:tcW w:w="3720" w:type="dxa"/>
            <w:gridSpan w:val="3"/>
            <w:tcBorders>
              <w:top w:val="single" w:sz="8" w:space="0" w:color="000000"/>
              <w:left w:val="nil"/>
              <w:bottom w:val="nil"/>
              <w:right w:val="single" w:sz="8" w:space="0" w:color="000000"/>
            </w:tcBorders>
            <w:shd w:val="clear" w:color="000000" w:fill="C0C0C0"/>
            <w:vAlign w:val="center"/>
            <w:hideMark/>
          </w:tcPr>
          <w:p w:rsidR="003A660B" w:rsidRDefault="006C2027">
            <w:pPr>
              <w:jc w:val="right"/>
              <w:rPr>
                <w:noProof/>
                <w:color w:val="000000"/>
              </w:rPr>
            </w:pPr>
            <w:r>
              <w:rPr>
                <w:noProof/>
                <w:color w:val="000000"/>
              </w:rPr>
              <w:t> </w:t>
            </w:r>
          </w:p>
        </w:tc>
      </w:tr>
      <w:tr w:rsidR="003A660B">
        <w:trPr>
          <w:trHeight w:val="510"/>
        </w:trPr>
        <w:tc>
          <w:tcPr>
            <w:tcW w:w="2224" w:type="dxa"/>
            <w:gridSpan w:val="2"/>
            <w:vMerge/>
            <w:tcBorders>
              <w:top w:val="nil"/>
              <w:left w:val="nil"/>
              <w:bottom w:val="nil"/>
              <w:right w:val="nil"/>
            </w:tcBorders>
            <w:vAlign w:val="center"/>
            <w:hideMark/>
          </w:tcPr>
          <w:p w:rsidR="003A660B" w:rsidRDefault="003A660B">
            <w:pPr>
              <w:rPr>
                <w:noProof/>
                <w:color w:val="000000"/>
              </w:rPr>
            </w:pPr>
          </w:p>
        </w:tc>
        <w:tc>
          <w:tcPr>
            <w:tcW w:w="536" w:type="dxa"/>
            <w:vMerge/>
            <w:tcBorders>
              <w:top w:val="nil"/>
              <w:left w:val="nil"/>
              <w:bottom w:val="nil"/>
              <w:right w:val="single" w:sz="8" w:space="0" w:color="000000"/>
            </w:tcBorders>
            <w:vAlign w:val="center"/>
            <w:hideMark/>
          </w:tcPr>
          <w:p w:rsidR="003A660B" w:rsidRDefault="003A660B">
            <w:pPr>
              <w:rPr>
                <w:noProof/>
                <w:color w:val="000000"/>
              </w:rPr>
            </w:pPr>
          </w:p>
        </w:tc>
        <w:tc>
          <w:tcPr>
            <w:tcW w:w="3720" w:type="dxa"/>
            <w:gridSpan w:val="3"/>
            <w:tcBorders>
              <w:top w:val="nil"/>
              <w:left w:val="nil"/>
              <w:bottom w:val="nil"/>
              <w:right w:val="single" w:sz="8" w:space="0" w:color="000000"/>
            </w:tcBorders>
            <w:shd w:val="clear" w:color="000000" w:fill="C0C0C0"/>
            <w:vAlign w:val="center"/>
            <w:hideMark/>
          </w:tcPr>
          <w:p w:rsidR="003A660B" w:rsidRDefault="006C2027">
            <w:pPr>
              <w:jc w:val="center"/>
              <w:rPr>
                <w:noProof/>
              </w:rPr>
            </w:pPr>
            <w:r>
              <w:rPr>
                <w:noProof/>
              </w:rPr>
              <w:t>Поети задължения</w:t>
            </w:r>
            <w:r>
              <w:rPr>
                <w:rStyle w:val="FootnoteReference"/>
                <w:noProof/>
              </w:rPr>
              <w:footnoteReference w:id="13"/>
            </w:r>
          </w:p>
        </w:tc>
        <w:tc>
          <w:tcPr>
            <w:tcW w:w="3720" w:type="dxa"/>
            <w:gridSpan w:val="3"/>
            <w:tcBorders>
              <w:top w:val="nil"/>
              <w:left w:val="nil"/>
              <w:bottom w:val="nil"/>
              <w:right w:val="single" w:sz="8" w:space="0" w:color="000000"/>
            </w:tcBorders>
            <w:shd w:val="clear" w:color="000000" w:fill="C0C0C0"/>
            <w:vAlign w:val="center"/>
            <w:hideMark/>
          </w:tcPr>
          <w:p w:rsidR="003A660B" w:rsidRDefault="006C2027">
            <w:pPr>
              <w:jc w:val="center"/>
              <w:rPr>
                <w:noProof/>
              </w:rPr>
            </w:pPr>
            <w:r>
              <w:rPr>
                <w:noProof/>
              </w:rPr>
              <w:t>Плащания</w:t>
            </w:r>
            <w:r>
              <w:rPr>
                <w:noProof/>
                <w:vertAlign w:val="superscript"/>
              </w:rPr>
              <w:t>11</w:t>
            </w:r>
          </w:p>
        </w:tc>
      </w:tr>
      <w:tr w:rsidR="003A660B">
        <w:trPr>
          <w:trHeight w:val="930"/>
        </w:trPr>
        <w:tc>
          <w:tcPr>
            <w:tcW w:w="960" w:type="dxa"/>
            <w:vMerge w:val="restart"/>
            <w:tcBorders>
              <w:top w:val="nil"/>
              <w:left w:val="single" w:sz="8" w:space="0" w:color="000000"/>
              <w:bottom w:val="single" w:sz="8" w:space="0" w:color="000000"/>
              <w:right w:val="single" w:sz="8" w:space="0" w:color="000000"/>
            </w:tcBorders>
            <w:shd w:val="clear" w:color="000000" w:fill="C0C0C0"/>
            <w:vAlign w:val="center"/>
            <w:hideMark/>
          </w:tcPr>
          <w:p w:rsidR="003A660B" w:rsidRDefault="006C2027">
            <w:pPr>
              <w:rPr>
                <w:noProof/>
                <w:color w:val="000000"/>
                <w:sz w:val="20"/>
                <w:szCs w:val="20"/>
              </w:rPr>
            </w:pPr>
            <w:r>
              <w:rPr>
                <w:noProof/>
                <w:color w:val="000000"/>
                <w:sz w:val="20"/>
              </w:rPr>
              <w:t>Бюджетен ред</w:t>
            </w:r>
          </w:p>
        </w:tc>
        <w:tc>
          <w:tcPr>
            <w:tcW w:w="1800" w:type="dxa"/>
            <w:gridSpan w:val="2"/>
            <w:vMerge w:val="restart"/>
            <w:tcBorders>
              <w:top w:val="nil"/>
              <w:left w:val="single" w:sz="8" w:space="0" w:color="000000"/>
              <w:bottom w:val="single" w:sz="8" w:space="0" w:color="000000"/>
              <w:right w:val="single" w:sz="8" w:space="0" w:color="000000"/>
            </w:tcBorders>
            <w:shd w:val="clear" w:color="000000" w:fill="C0C0C0"/>
            <w:vAlign w:val="center"/>
            <w:hideMark/>
          </w:tcPr>
          <w:p w:rsidR="003A660B" w:rsidRDefault="006C2027">
            <w:pPr>
              <w:rPr>
                <w:noProof/>
                <w:color w:val="000000"/>
                <w:sz w:val="20"/>
                <w:szCs w:val="20"/>
              </w:rPr>
            </w:pPr>
            <w:r>
              <w:rPr>
                <w:noProof/>
                <w:color w:val="000000"/>
                <w:sz w:val="20"/>
              </w:rPr>
              <w:t> </w:t>
            </w:r>
          </w:p>
        </w:tc>
        <w:tc>
          <w:tcPr>
            <w:tcW w:w="1320" w:type="dxa"/>
            <w:vMerge w:val="restart"/>
            <w:tcBorders>
              <w:top w:val="nil"/>
              <w:left w:val="single" w:sz="8" w:space="0" w:color="000000"/>
              <w:bottom w:val="single" w:sz="8" w:space="0" w:color="000000"/>
              <w:right w:val="single" w:sz="8" w:space="0" w:color="000000"/>
            </w:tcBorders>
            <w:shd w:val="clear" w:color="000000" w:fill="C0C0C0"/>
            <w:vAlign w:val="center"/>
            <w:hideMark/>
          </w:tcPr>
          <w:p w:rsidR="003A660B" w:rsidRDefault="006C2027">
            <w:pPr>
              <w:jc w:val="center"/>
              <w:rPr>
                <w:noProof/>
                <w:color w:val="000000"/>
                <w:sz w:val="20"/>
                <w:szCs w:val="20"/>
              </w:rPr>
            </w:pPr>
            <w:r>
              <w:rPr>
                <w:noProof/>
                <w:color w:val="000000"/>
                <w:sz w:val="20"/>
              </w:rPr>
              <w:t>Наличен бюджет</w:t>
            </w:r>
          </w:p>
        </w:tc>
        <w:tc>
          <w:tcPr>
            <w:tcW w:w="1320" w:type="dxa"/>
            <w:vMerge w:val="restart"/>
            <w:tcBorders>
              <w:top w:val="nil"/>
              <w:left w:val="single" w:sz="8" w:space="0" w:color="000000"/>
              <w:bottom w:val="single" w:sz="8" w:space="0" w:color="000000"/>
              <w:right w:val="single" w:sz="8" w:space="0" w:color="000000"/>
            </w:tcBorders>
            <w:shd w:val="clear" w:color="000000" w:fill="C0C0C0"/>
            <w:vAlign w:val="center"/>
            <w:hideMark/>
          </w:tcPr>
          <w:p w:rsidR="003A660B" w:rsidRDefault="006C2027">
            <w:pPr>
              <w:jc w:val="center"/>
              <w:rPr>
                <w:noProof/>
                <w:color w:val="000000"/>
                <w:sz w:val="20"/>
                <w:szCs w:val="20"/>
              </w:rPr>
            </w:pPr>
            <w:r>
              <w:rPr>
                <w:noProof/>
                <w:color w:val="000000"/>
                <w:sz w:val="20"/>
              </w:rPr>
              <w:t>Изпълнен бюджет</w:t>
            </w:r>
          </w:p>
        </w:tc>
        <w:tc>
          <w:tcPr>
            <w:tcW w:w="1080" w:type="dxa"/>
            <w:tcBorders>
              <w:top w:val="nil"/>
              <w:left w:val="nil"/>
              <w:bottom w:val="nil"/>
              <w:right w:val="single" w:sz="8" w:space="0" w:color="000000"/>
            </w:tcBorders>
            <w:shd w:val="clear" w:color="000000" w:fill="C0C0C0"/>
            <w:vAlign w:val="center"/>
            <w:hideMark/>
          </w:tcPr>
          <w:p w:rsidR="003A660B" w:rsidRDefault="006C2027">
            <w:pPr>
              <w:jc w:val="center"/>
              <w:rPr>
                <w:noProof/>
                <w:color w:val="000000"/>
                <w:sz w:val="20"/>
                <w:szCs w:val="20"/>
              </w:rPr>
            </w:pPr>
            <w:r>
              <w:rPr>
                <w:noProof/>
                <w:color w:val="000000"/>
                <w:sz w:val="20"/>
              </w:rPr>
              <w:t>Изпълнение</w:t>
            </w:r>
          </w:p>
        </w:tc>
        <w:tc>
          <w:tcPr>
            <w:tcW w:w="1320" w:type="dxa"/>
            <w:vMerge w:val="restart"/>
            <w:tcBorders>
              <w:top w:val="nil"/>
              <w:left w:val="single" w:sz="8" w:space="0" w:color="000000"/>
              <w:bottom w:val="single" w:sz="8" w:space="0" w:color="000000"/>
              <w:right w:val="single" w:sz="8" w:space="0" w:color="000000"/>
            </w:tcBorders>
            <w:shd w:val="clear" w:color="000000" w:fill="C0C0C0"/>
            <w:vAlign w:val="center"/>
            <w:hideMark/>
          </w:tcPr>
          <w:p w:rsidR="003A660B" w:rsidRDefault="006C2027">
            <w:pPr>
              <w:jc w:val="center"/>
              <w:rPr>
                <w:noProof/>
                <w:color w:val="000000"/>
                <w:sz w:val="20"/>
                <w:szCs w:val="20"/>
              </w:rPr>
            </w:pPr>
            <w:r>
              <w:rPr>
                <w:noProof/>
                <w:color w:val="000000"/>
                <w:sz w:val="20"/>
              </w:rPr>
              <w:t>Налични кредити за плащания</w:t>
            </w:r>
          </w:p>
        </w:tc>
        <w:tc>
          <w:tcPr>
            <w:tcW w:w="1320" w:type="dxa"/>
            <w:vMerge w:val="restart"/>
            <w:tcBorders>
              <w:top w:val="nil"/>
              <w:left w:val="single" w:sz="8" w:space="0" w:color="000000"/>
              <w:bottom w:val="single" w:sz="8" w:space="0" w:color="000000"/>
              <w:right w:val="single" w:sz="8" w:space="0" w:color="000000"/>
            </w:tcBorders>
            <w:shd w:val="clear" w:color="000000" w:fill="C0C0C0"/>
            <w:vAlign w:val="center"/>
            <w:hideMark/>
          </w:tcPr>
          <w:p w:rsidR="003A660B" w:rsidRDefault="006C2027">
            <w:pPr>
              <w:jc w:val="center"/>
              <w:rPr>
                <w:noProof/>
                <w:color w:val="000000"/>
                <w:sz w:val="20"/>
                <w:szCs w:val="20"/>
              </w:rPr>
            </w:pPr>
            <w:r>
              <w:rPr>
                <w:noProof/>
                <w:color w:val="000000"/>
                <w:sz w:val="20"/>
              </w:rPr>
              <w:t>Извършени плащания</w:t>
            </w:r>
          </w:p>
        </w:tc>
        <w:tc>
          <w:tcPr>
            <w:tcW w:w="1080" w:type="dxa"/>
            <w:tcBorders>
              <w:top w:val="nil"/>
              <w:left w:val="nil"/>
              <w:bottom w:val="nil"/>
              <w:right w:val="single" w:sz="8" w:space="0" w:color="000000"/>
            </w:tcBorders>
            <w:shd w:val="clear" w:color="000000" w:fill="C0C0C0"/>
            <w:vAlign w:val="center"/>
            <w:hideMark/>
          </w:tcPr>
          <w:p w:rsidR="003A660B" w:rsidRDefault="006C2027">
            <w:pPr>
              <w:jc w:val="center"/>
              <w:rPr>
                <w:noProof/>
                <w:color w:val="000000"/>
                <w:sz w:val="20"/>
                <w:szCs w:val="20"/>
              </w:rPr>
            </w:pPr>
            <w:r>
              <w:rPr>
                <w:noProof/>
                <w:color w:val="000000"/>
                <w:sz w:val="20"/>
              </w:rPr>
              <w:t>Изпълнение</w:t>
            </w:r>
          </w:p>
        </w:tc>
      </w:tr>
      <w:tr w:rsidR="003A660B">
        <w:trPr>
          <w:trHeight w:val="460"/>
        </w:trPr>
        <w:tc>
          <w:tcPr>
            <w:tcW w:w="960" w:type="dxa"/>
            <w:vMerge/>
            <w:tcBorders>
              <w:top w:val="nil"/>
              <w:left w:val="single" w:sz="8" w:space="0" w:color="000000"/>
              <w:bottom w:val="single" w:sz="8" w:space="0" w:color="000000"/>
              <w:right w:val="single" w:sz="8" w:space="0" w:color="000000"/>
            </w:tcBorders>
            <w:vAlign w:val="center"/>
            <w:hideMark/>
          </w:tcPr>
          <w:p w:rsidR="003A660B" w:rsidRDefault="003A660B">
            <w:pPr>
              <w:rPr>
                <w:noProof/>
                <w:color w:val="000000"/>
                <w:sz w:val="20"/>
                <w:szCs w:val="20"/>
              </w:rPr>
            </w:pPr>
          </w:p>
        </w:tc>
        <w:tc>
          <w:tcPr>
            <w:tcW w:w="1800" w:type="dxa"/>
            <w:gridSpan w:val="2"/>
            <w:vMerge/>
            <w:tcBorders>
              <w:top w:val="nil"/>
              <w:left w:val="single" w:sz="8" w:space="0" w:color="000000"/>
              <w:bottom w:val="single" w:sz="8" w:space="0" w:color="000000"/>
              <w:right w:val="single" w:sz="8" w:space="0" w:color="000000"/>
            </w:tcBorders>
            <w:vAlign w:val="center"/>
            <w:hideMark/>
          </w:tcPr>
          <w:p w:rsidR="003A660B" w:rsidRDefault="003A660B">
            <w:pPr>
              <w:rPr>
                <w:noProof/>
                <w:color w:val="000000"/>
                <w:sz w:val="20"/>
                <w:szCs w:val="20"/>
              </w:rPr>
            </w:pPr>
          </w:p>
        </w:tc>
        <w:tc>
          <w:tcPr>
            <w:tcW w:w="1320" w:type="dxa"/>
            <w:vMerge/>
            <w:tcBorders>
              <w:top w:val="nil"/>
              <w:left w:val="single" w:sz="8" w:space="0" w:color="000000"/>
              <w:bottom w:val="single" w:sz="8" w:space="0" w:color="000000"/>
              <w:right w:val="single" w:sz="8" w:space="0" w:color="000000"/>
            </w:tcBorders>
            <w:vAlign w:val="center"/>
            <w:hideMark/>
          </w:tcPr>
          <w:p w:rsidR="003A660B" w:rsidRDefault="003A660B">
            <w:pPr>
              <w:rPr>
                <w:noProof/>
                <w:color w:val="000000"/>
                <w:sz w:val="20"/>
                <w:szCs w:val="20"/>
              </w:rPr>
            </w:pPr>
          </w:p>
        </w:tc>
        <w:tc>
          <w:tcPr>
            <w:tcW w:w="1320" w:type="dxa"/>
            <w:vMerge/>
            <w:tcBorders>
              <w:top w:val="nil"/>
              <w:left w:val="single" w:sz="8" w:space="0" w:color="000000"/>
              <w:bottom w:val="single" w:sz="8" w:space="0" w:color="000000"/>
              <w:right w:val="single" w:sz="8" w:space="0" w:color="000000"/>
            </w:tcBorders>
            <w:vAlign w:val="center"/>
            <w:hideMark/>
          </w:tcPr>
          <w:p w:rsidR="003A660B" w:rsidRDefault="003A660B">
            <w:pPr>
              <w:rPr>
                <w:noProof/>
                <w:color w:val="000000"/>
                <w:sz w:val="20"/>
                <w:szCs w:val="20"/>
              </w:rPr>
            </w:pPr>
          </w:p>
        </w:tc>
        <w:tc>
          <w:tcPr>
            <w:tcW w:w="1080" w:type="dxa"/>
            <w:tcBorders>
              <w:top w:val="nil"/>
              <w:left w:val="nil"/>
              <w:bottom w:val="nil"/>
              <w:right w:val="single" w:sz="8" w:space="0" w:color="000000"/>
            </w:tcBorders>
            <w:shd w:val="clear" w:color="000000" w:fill="C0C0C0"/>
            <w:vAlign w:val="center"/>
            <w:hideMark/>
          </w:tcPr>
          <w:p w:rsidR="003A660B" w:rsidRDefault="006C2027">
            <w:pPr>
              <w:jc w:val="center"/>
              <w:rPr>
                <w:noProof/>
                <w:color w:val="000000"/>
                <w:sz w:val="20"/>
                <w:szCs w:val="20"/>
              </w:rPr>
            </w:pPr>
            <w:r>
              <w:rPr>
                <w:noProof/>
                <w:color w:val="000000"/>
                <w:sz w:val="20"/>
              </w:rPr>
              <w:t>%</w:t>
            </w:r>
          </w:p>
        </w:tc>
        <w:tc>
          <w:tcPr>
            <w:tcW w:w="1320" w:type="dxa"/>
            <w:vMerge/>
            <w:tcBorders>
              <w:top w:val="nil"/>
              <w:left w:val="single" w:sz="8" w:space="0" w:color="000000"/>
              <w:bottom w:val="single" w:sz="8" w:space="0" w:color="000000"/>
              <w:right w:val="single" w:sz="8" w:space="0" w:color="000000"/>
            </w:tcBorders>
            <w:vAlign w:val="center"/>
            <w:hideMark/>
          </w:tcPr>
          <w:p w:rsidR="003A660B" w:rsidRDefault="003A660B">
            <w:pPr>
              <w:rPr>
                <w:noProof/>
                <w:color w:val="000000"/>
                <w:sz w:val="20"/>
                <w:szCs w:val="20"/>
              </w:rPr>
            </w:pPr>
          </w:p>
        </w:tc>
        <w:tc>
          <w:tcPr>
            <w:tcW w:w="1320" w:type="dxa"/>
            <w:vMerge/>
            <w:tcBorders>
              <w:top w:val="nil"/>
              <w:left w:val="single" w:sz="8" w:space="0" w:color="000000"/>
              <w:bottom w:val="single" w:sz="8" w:space="0" w:color="000000"/>
              <w:right w:val="single" w:sz="8" w:space="0" w:color="000000"/>
            </w:tcBorders>
            <w:vAlign w:val="center"/>
            <w:hideMark/>
          </w:tcPr>
          <w:p w:rsidR="003A660B" w:rsidRDefault="003A660B">
            <w:pPr>
              <w:rPr>
                <w:noProof/>
                <w:color w:val="000000"/>
                <w:sz w:val="20"/>
                <w:szCs w:val="20"/>
              </w:rPr>
            </w:pPr>
          </w:p>
        </w:tc>
        <w:tc>
          <w:tcPr>
            <w:tcW w:w="1080" w:type="dxa"/>
            <w:tcBorders>
              <w:top w:val="nil"/>
              <w:left w:val="nil"/>
              <w:bottom w:val="nil"/>
              <w:right w:val="single" w:sz="8" w:space="0" w:color="000000"/>
            </w:tcBorders>
            <w:shd w:val="clear" w:color="000000" w:fill="C0C0C0"/>
            <w:vAlign w:val="center"/>
            <w:hideMark/>
          </w:tcPr>
          <w:p w:rsidR="003A660B" w:rsidRDefault="006C2027">
            <w:pPr>
              <w:jc w:val="center"/>
              <w:rPr>
                <w:noProof/>
                <w:color w:val="000000"/>
                <w:sz w:val="20"/>
                <w:szCs w:val="20"/>
              </w:rPr>
            </w:pPr>
            <w:r>
              <w:rPr>
                <w:noProof/>
                <w:color w:val="000000"/>
                <w:sz w:val="20"/>
              </w:rPr>
              <w:t>%</w:t>
            </w:r>
          </w:p>
        </w:tc>
      </w:tr>
      <w:tr w:rsidR="003A660B">
        <w:trPr>
          <w:trHeight w:val="837"/>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A660B" w:rsidRDefault="006C2027">
            <w:pPr>
              <w:rPr>
                <w:b/>
                <w:bCs/>
                <w:noProof/>
                <w:color w:val="000000"/>
                <w:sz w:val="20"/>
                <w:szCs w:val="20"/>
              </w:rPr>
            </w:pPr>
            <w:r>
              <w:rPr>
                <w:b/>
                <w:noProof/>
                <w:color w:val="000000"/>
                <w:sz w:val="20"/>
              </w:rPr>
              <w:t>02 02 02</w:t>
            </w:r>
          </w:p>
        </w:tc>
        <w:tc>
          <w:tcPr>
            <w:tcW w:w="1800" w:type="dxa"/>
            <w:gridSpan w:val="2"/>
            <w:tcBorders>
              <w:top w:val="nil"/>
              <w:left w:val="nil"/>
              <w:bottom w:val="single" w:sz="8" w:space="0" w:color="auto"/>
              <w:right w:val="single" w:sz="8" w:space="0" w:color="auto"/>
            </w:tcBorders>
            <w:shd w:val="clear" w:color="auto" w:fill="auto"/>
            <w:vAlign w:val="center"/>
            <w:hideMark/>
          </w:tcPr>
          <w:p w:rsidR="003A660B" w:rsidRDefault="006C2027">
            <w:pPr>
              <w:rPr>
                <w:b/>
                <w:bCs/>
                <w:noProof/>
                <w:color w:val="000000"/>
                <w:sz w:val="20"/>
                <w:szCs w:val="20"/>
              </w:rPr>
            </w:pPr>
            <w:r>
              <w:rPr>
                <w:b/>
                <w:noProof/>
                <w:color w:val="000000"/>
                <w:sz w:val="20"/>
              </w:rPr>
              <w:t>Достъп до финансиране</w:t>
            </w:r>
          </w:p>
        </w:tc>
        <w:tc>
          <w:tcPr>
            <w:tcW w:w="1320" w:type="dxa"/>
            <w:tcBorders>
              <w:top w:val="nil"/>
              <w:left w:val="nil"/>
              <w:bottom w:val="single" w:sz="8" w:space="0" w:color="auto"/>
              <w:right w:val="single" w:sz="8" w:space="0" w:color="auto"/>
            </w:tcBorders>
            <w:shd w:val="clear" w:color="auto" w:fill="auto"/>
            <w:noWrap/>
            <w:vAlign w:val="center"/>
            <w:hideMark/>
          </w:tcPr>
          <w:p w:rsidR="003A660B" w:rsidRDefault="006C2027">
            <w:pPr>
              <w:jc w:val="right"/>
              <w:rPr>
                <w:b/>
                <w:bCs/>
                <w:noProof/>
                <w:color w:val="000000"/>
                <w:sz w:val="20"/>
                <w:szCs w:val="20"/>
              </w:rPr>
            </w:pPr>
            <w:r>
              <w:rPr>
                <w:b/>
                <w:noProof/>
                <w:color w:val="000000"/>
                <w:sz w:val="20"/>
              </w:rPr>
              <w:t>200 036 997</w:t>
            </w:r>
          </w:p>
        </w:tc>
        <w:tc>
          <w:tcPr>
            <w:tcW w:w="1320" w:type="dxa"/>
            <w:tcBorders>
              <w:top w:val="nil"/>
              <w:left w:val="nil"/>
              <w:bottom w:val="single" w:sz="8" w:space="0" w:color="auto"/>
              <w:right w:val="single" w:sz="8" w:space="0" w:color="auto"/>
            </w:tcBorders>
            <w:shd w:val="clear" w:color="auto" w:fill="auto"/>
            <w:noWrap/>
            <w:vAlign w:val="center"/>
            <w:hideMark/>
          </w:tcPr>
          <w:p w:rsidR="003A660B" w:rsidRDefault="006C2027">
            <w:pPr>
              <w:jc w:val="right"/>
              <w:rPr>
                <w:b/>
                <w:bCs/>
                <w:noProof/>
                <w:color w:val="000000"/>
                <w:sz w:val="20"/>
                <w:szCs w:val="20"/>
              </w:rPr>
            </w:pPr>
            <w:r>
              <w:rPr>
                <w:b/>
                <w:noProof/>
                <w:color w:val="000000"/>
                <w:sz w:val="20"/>
              </w:rPr>
              <w:t>200 036 997</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rsidR="003A660B" w:rsidRDefault="006C2027">
            <w:pPr>
              <w:jc w:val="right"/>
              <w:rPr>
                <w:b/>
                <w:bCs/>
                <w:noProof/>
                <w:color w:val="000000"/>
                <w:sz w:val="20"/>
                <w:szCs w:val="20"/>
              </w:rPr>
            </w:pPr>
            <w:r>
              <w:rPr>
                <w:b/>
                <w:noProof/>
                <w:color w:val="000000"/>
                <w:sz w:val="20"/>
              </w:rPr>
              <w:t>100 %</w:t>
            </w:r>
          </w:p>
        </w:tc>
        <w:tc>
          <w:tcPr>
            <w:tcW w:w="1320" w:type="dxa"/>
            <w:tcBorders>
              <w:top w:val="nil"/>
              <w:left w:val="nil"/>
              <w:bottom w:val="single" w:sz="8" w:space="0" w:color="auto"/>
              <w:right w:val="single" w:sz="8" w:space="0" w:color="auto"/>
            </w:tcBorders>
            <w:shd w:val="clear" w:color="auto" w:fill="auto"/>
            <w:noWrap/>
            <w:vAlign w:val="center"/>
            <w:hideMark/>
          </w:tcPr>
          <w:p w:rsidR="003A660B" w:rsidRDefault="006C2027">
            <w:pPr>
              <w:jc w:val="right"/>
              <w:rPr>
                <w:b/>
                <w:bCs/>
                <w:noProof/>
                <w:color w:val="000000"/>
                <w:sz w:val="20"/>
                <w:szCs w:val="20"/>
              </w:rPr>
            </w:pPr>
            <w:r>
              <w:rPr>
                <w:b/>
                <w:noProof/>
                <w:color w:val="000000"/>
                <w:sz w:val="20"/>
              </w:rPr>
              <w:t>110 884 513</w:t>
            </w:r>
          </w:p>
        </w:tc>
        <w:tc>
          <w:tcPr>
            <w:tcW w:w="1320" w:type="dxa"/>
            <w:tcBorders>
              <w:top w:val="nil"/>
              <w:left w:val="nil"/>
              <w:bottom w:val="single" w:sz="8" w:space="0" w:color="auto"/>
              <w:right w:val="single" w:sz="8" w:space="0" w:color="auto"/>
            </w:tcBorders>
            <w:shd w:val="clear" w:color="auto" w:fill="auto"/>
            <w:noWrap/>
            <w:vAlign w:val="center"/>
            <w:hideMark/>
          </w:tcPr>
          <w:p w:rsidR="003A660B" w:rsidRDefault="006C2027">
            <w:pPr>
              <w:jc w:val="right"/>
              <w:rPr>
                <w:b/>
                <w:bCs/>
                <w:noProof/>
                <w:color w:val="000000"/>
                <w:sz w:val="20"/>
                <w:szCs w:val="20"/>
              </w:rPr>
            </w:pPr>
            <w:r>
              <w:rPr>
                <w:b/>
                <w:noProof/>
                <w:color w:val="000000"/>
                <w:sz w:val="20"/>
              </w:rPr>
              <w:t>98 601 480</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rsidR="003A660B" w:rsidRDefault="006C2027">
            <w:pPr>
              <w:jc w:val="right"/>
              <w:rPr>
                <w:b/>
                <w:bCs/>
                <w:noProof/>
                <w:color w:val="000000"/>
                <w:sz w:val="20"/>
                <w:szCs w:val="20"/>
              </w:rPr>
            </w:pPr>
            <w:r>
              <w:rPr>
                <w:b/>
                <w:noProof/>
                <w:color w:val="000000"/>
                <w:sz w:val="20"/>
              </w:rPr>
              <w:t>88,92 %</w:t>
            </w:r>
          </w:p>
        </w:tc>
      </w:tr>
      <w:tr w:rsidR="003A660B">
        <w:trPr>
          <w:trHeight w:val="626"/>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A660B" w:rsidRDefault="006C2027">
            <w:pPr>
              <w:rPr>
                <w:b/>
                <w:bCs/>
                <w:noProof/>
                <w:color w:val="000000"/>
                <w:sz w:val="20"/>
                <w:szCs w:val="20"/>
              </w:rPr>
            </w:pPr>
            <w:r>
              <w:rPr>
                <w:b/>
                <w:noProof/>
                <w:color w:val="000000"/>
                <w:sz w:val="20"/>
              </w:rPr>
              <w:t>02 02 01</w:t>
            </w:r>
          </w:p>
        </w:tc>
        <w:tc>
          <w:tcPr>
            <w:tcW w:w="4440" w:type="dxa"/>
            <w:gridSpan w:val="4"/>
            <w:tcBorders>
              <w:top w:val="nil"/>
              <w:left w:val="nil"/>
              <w:bottom w:val="single" w:sz="8" w:space="0" w:color="auto"/>
              <w:right w:val="nil"/>
            </w:tcBorders>
            <w:shd w:val="clear" w:color="auto" w:fill="auto"/>
            <w:vAlign w:val="center"/>
            <w:hideMark/>
          </w:tcPr>
          <w:p w:rsidR="003A660B" w:rsidRDefault="006C2027">
            <w:pPr>
              <w:rPr>
                <w:b/>
                <w:bCs/>
                <w:noProof/>
                <w:color w:val="000000"/>
                <w:sz w:val="20"/>
                <w:szCs w:val="20"/>
              </w:rPr>
            </w:pPr>
            <w:r>
              <w:rPr>
                <w:b/>
                <w:noProof/>
                <w:color w:val="000000"/>
                <w:sz w:val="20"/>
              </w:rPr>
              <w:t xml:space="preserve">Достъп до пазари, бизнес среда и предприемачество </w:t>
            </w:r>
          </w:p>
          <w:p w:rsidR="003A660B" w:rsidRDefault="006C2027">
            <w:pPr>
              <w:rPr>
                <w:b/>
                <w:bCs/>
                <w:noProof/>
                <w:color w:val="000000"/>
                <w:sz w:val="20"/>
                <w:szCs w:val="20"/>
              </w:rPr>
            </w:pPr>
            <w:r>
              <w:rPr>
                <w:b/>
                <w:noProof/>
                <w:color w:val="000000"/>
                <w:sz w:val="20"/>
              </w:rPr>
              <w:t> </w:t>
            </w:r>
          </w:p>
        </w:tc>
        <w:tc>
          <w:tcPr>
            <w:tcW w:w="1080" w:type="dxa"/>
            <w:tcBorders>
              <w:top w:val="nil"/>
              <w:left w:val="nil"/>
              <w:bottom w:val="single" w:sz="8" w:space="0" w:color="auto"/>
              <w:right w:val="nil"/>
            </w:tcBorders>
            <w:shd w:val="clear" w:color="auto" w:fill="auto"/>
            <w:noWrap/>
            <w:vAlign w:val="center"/>
            <w:hideMark/>
          </w:tcPr>
          <w:p w:rsidR="003A660B" w:rsidRDefault="006C2027">
            <w:pPr>
              <w:rPr>
                <w:noProof/>
                <w:color w:val="000000"/>
                <w:sz w:val="20"/>
                <w:szCs w:val="20"/>
              </w:rPr>
            </w:pPr>
            <w:r>
              <w:rPr>
                <w:noProof/>
                <w:color w:val="000000"/>
                <w:sz w:val="20"/>
              </w:rPr>
              <w:t> </w:t>
            </w:r>
          </w:p>
        </w:tc>
        <w:tc>
          <w:tcPr>
            <w:tcW w:w="1320" w:type="dxa"/>
            <w:tcBorders>
              <w:top w:val="nil"/>
              <w:left w:val="nil"/>
              <w:bottom w:val="single" w:sz="8" w:space="0" w:color="auto"/>
              <w:right w:val="nil"/>
            </w:tcBorders>
            <w:shd w:val="clear" w:color="auto" w:fill="auto"/>
            <w:noWrap/>
            <w:vAlign w:val="center"/>
            <w:hideMark/>
          </w:tcPr>
          <w:p w:rsidR="003A660B" w:rsidRDefault="006C2027">
            <w:pPr>
              <w:jc w:val="right"/>
              <w:rPr>
                <w:b/>
                <w:bCs/>
                <w:noProof/>
                <w:color w:val="000000"/>
                <w:sz w:val="20"/>
                <w:szCs w:val="20"/>
              </w:rPr>
            </w:pPr>
            <w:r>
              <w:rPr>
                <w:b/>
                <w:noProof/>
                <w:color w:val="000000"/>
                <w:sz w:val="20"/>
              </w:rPr>
              <w:t> </w:t>
            </w:r>
          </w:p>
        </w:tc>
        <w:tc>
          <w:tcPr>
            <w:tcW w:w="1320" w:type="dxa"/>
            <w:tcBorders>
              <w:top w:val="nil"/>
              <w:left w:val="nil"/>
              <w:bottom w:val="single" w:sz="8" w:space="0" w:color="auto"/>
              <w:right w:val="nil"/>
            </w:tcBorders>
            <w:shd w:val="clear" w:color="auto" w:fill="auto"/>
            <w:noWrap/>
            <w:vAlign w:val="center"/>
            <w:hideMark/>
          </w:tcPr>
          <w:p w:rsidR="003A660B" w:rsidRDefault="006C2027">
            <w:pPr>
              <w:jc w:val="right"/>
              <w:rPr>
                <w:b/>
                <w:bCs/>
                <w:noProof/>
                <w:color w:val="000000"/>
                <w:sz w:val="20"/>
                <w:szCs w:val="20"/>
              </w:rPr>
            </w:pPr>
            <w:r>
              <w:rPr>
                <w:b/>
                <w:noProof/>
                <w:color w:val="000000"/>
                <w:sz w:val="20"/>
              </w:rPr>
              <w:t> </w:t>
            </w:r>
          </w:p>
        </w:tc>
        <w:tc>
          <w:tcPr>
            <w:tcW w:w="1080" w:type="dxa"/>
            <w:tcBorders>
              <w:top w:val="nil"/>
              <w:left w:val="nil"/>
              <w:bottom w:val="single" w:sz="8" w:space="0" w:color="auto"/>
              <w:right w:val="single" w:sz="8" w:space="0" w:color="auto"/>
            </w:tcBorders>
            <w:shd w:val="clear" w:color="auto" w:fill="auto"/>
            <w:noWrap/>
            <w:vAlign w:val="center"/>
            <w:hideMark/>
          </w:tcPr>
          <w:p w:rsidR="003A660B" w:rsidRDefault="006C2027">
            <w:pPr>
              <w:jc w:val="right"/>
              <w:rPr>
                <w:b/>
                <w:bCs/>
                <w:noProof/>
                <w:color w:val="000000"/>
                <w:sz w:val="20"/>
                <w:szCs w:val="20"/>
              </w:rPr>
            </w:pPr>
            <w:r>
              <w:rPr>
                <w:b/>
                <w:noProof/>
                <w:color w:val="000000"/>
                <w:sz w:val="20"/>
              </w:rPr>
              <w:t> </w:t>
            </w:r>
          </w:p>
        </w:tc>
      </w:tr>
      <w:tr w:rsidR="003A660B">
        <w:trPr>
          <w:trHeight w:val="9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A660B" w:rsidRDefault="006C2027">
            <w:pPr>
              <w:rPr>
                <w:b/>
                <w:bCs/>
                <w:noProof/>
                <w:color w:val="000000"/>
                <w:sz w:val="20"/>
                <w:szCs w:val="20"/>
              </w:rPr>
            </w:pPr>
            <w:r>
              <w:rPr>
                <w:b/>
                <w:noProof/>
                <w:color w:val="000000"/>
                <w:sz w:val="20"/>
              </w:rPr>
              <w:t> </w:t>
            </w:r>
          </w:p>
        </w:tc>
        <w:tc>
          <w:tcPr>
            <w:tcW w:w="1800" w:type="dxa"/>
            <w:gridSpan w:val="2"/>
            <w:tcBorders>
              <w:top w:val="nil"/>
              <w:left w:val="nil"/>
              <w:bottom w:val="single" w:sz="8" w:space="0" w:color="auto"/>
              <w:right w:val="single" w:sz="8" w:space="0" w:color="auto"/>
            </w:tcBorders>
            <w:shd w:val="clear" w:color="auto" w:fill="auto"/>
            <w:vAlign w:val="center"/>
            <w:hideMark/>
          </w:tcPr>
          <w:p w:rsidR="003A660B" w:rsidRDefault="006C2027">
            <w:pPr>
              <w:rPr>
                <w:b/>
                <w:bCs/>
                <w:noProof/>
                <w:color w:val="000000"/>
                <w:sz w:val="20"/>
                <w:szCs w:val="20"/>
              </w:rPr>
            </w:pPr>
            <w:r>
              <w:rPr>
                <w:b/>
                <w:noProof/>
                <w:color w:val="000000"/>
                <w:sz w:val="20"/>
              </w:rPr>
              <w:t>Общ бюджет за поети задължения през 2015 г., включително пренос за 02 02 01</w:t>
            </w:r>
          </w:p>
        </w:tc>
        <w:tc>
          <w:tcPr>
            <w:tcW w:w="1320" w:type="dxa"/>
            <w:tcBorders>
              <w:top w:val="nil"/>
              <w:left w:val="nil"/>
              <w:bottom w:val="single" w:sz="8" w:space="0" w:color="auto"/>
              <w:right w:val="single" w:sz="8" w:space="0" w:color="auto"/>
            </w:tcBorders>
            <w:shd w:val="clear" w:color="auto" w:fill="auto"/>
            <w:noWrap/>
            <w:vAlign w:val="center"/>
            <w:hideMark/>
          </w:tcPr>
          <w:p w:rsidR="003A660B" w:rsidRDefault="006C2027">
            <w:pPr>
              <w:jc w:val="right"/>
              <w:rPr>
                <w:b/>
                <w:bCs/>
                <w:noProof/>
                <w:color w:val="000000"/>
                <w:sz w:val="20"/>
                <w:szCs w:val="20"/>
              </w:rPr>
            </w:pPr>
            <w:r>
              <w:rPr>
                <w:b/>
                <w:noProof/>
                <w:color w:val="000000"/>
                <w:sz w:val="20"/>
              </w:rPr>
              <w:t>117 350 820</w:t>
            </w:r>
          </w:p>
        </w:tc>
        <w:tc>
          <w:tcPr>
            <w:tcW w:w="1320" w:type="dxa"/>
            <w:tcBorders>
              <w:top w:val="nil"/>
              <w:left w:val="nil"/>
              <w:bottom w:val="single" w:sz="8" w:space="0" w:color="auto"/>
              <w:right w:val="single" w:sz="8" w:space="0" w:color="auto"/>
            </w:tcBorders>
            <w:shd w:val="clear" w:color="auto" w:fill="auto"/>
            <w:noWrap/>
            <w:vAlign w:val="center"/>
            <w:hideMark/>
          </w:tcPr>
          <w:p w:rsidR="003A660B" w:rsidRDefault="006C2027">
            <w:pPr>
              <w:jc w:val="right"/>
              <w:rPr>
                <w:b/>
                <w:bCs/>
                <w:noProof/>
                <w:color w:val="000000"/>
                <w:sz w:val="20"/>
                <w:szCs w:val="20"/>
              </w:rPr>
            </w:pPr>
            <w:r>
              <w:rPr>
                <w:b/>
                <w:noProof/>
                <w:color w:val="000000"/>
                <w:sz w:val="20"/>
              </w:rPr>
              <w:t>115 358 094</w:t>
            </w:r>
          </w:p>
        </w:tc>
        <w:tc>
          <w:tcPr>
            <w:tcW w:w="1080" w:type="dxa"/>
            <w:tcBorders>
              <w:top w:val="nil"/>
              <w:left w:val="nil"/>
              <w:bottom w:val="single" w:sz="8" w:space="0" w:color="auto"/>
              <w:right w:val="single" w:sz="8" w:space="0" w:color="auto"/>
            </w:tcBorders>
            <w:shd w:val="clear" w:color="auto" w:fill="auto"/>
            <w:noWrap/>
            <w:vAlign w:val="center"/>
            <w:hideMark/>
          </w:tcPr>
          <w:p w:rsidR="003A660B" w:rsidRDefault="006C2027">
            <w:pPr>
              <w:jc w:val="right"/>
              <w:rPr>
                <w:b/>
                <w:bCs/>
                <w:noProof/>
                <w:color w:val="000000"/>
                <w:sz w:val="20"/>
                <w:szCs w:val="20"/>
              </w:rPr>
            </w:pPr>
            <w:r>
              <w:rPr>
                <w:b/>
                <w:noProof/>
                <w:color w:val="000000"/>
                <w:sz w:val="20"/>
              </w:rPr>
              <w:t>98,30 %</w:t>
            </w:r>
          </w:p>
        </w:tc>
        <w:tc>
          <w:tcPr>
            <w:tcW w:w="1320" w:type="dxa"/>
            <w:tcBorders>
              <w:top w:val="nil"/>
              <w:left w:val="nil"/>
              <w:bottom w:val="single" w:sz="8" w:space="0" w:color="auto"/>
              <w:right w:val="single" w:sz="8" w:space="0" w:color="auto"/>
            </w:tcBorders>
            <w:shd w:val="clear" w:color="auto" w:fill="auto"/>
            <w:noWrap/>
            <w:vAlign w:val="center"/>
            <w:hideMark/>
          </w:tcPr>
          <w:p w:rsidR="003A660B" w:rsidRDefault="006C2027">
            <w:pPr>
              <w:jc w:val="right"/>
              <w:rPr>
                <w:b/>
                <w:bCs/>
                <w:noProof/>
                <w:color w:val="000000"/>
                <w:sz w:val="20"/>
                <w:szCs w:val="20"/>
              </w:rPr>
            </w:pPr>
            <w:r>
              <w:rPr>
                <w:b/>
                <w:noProof/>
                <w:color w:val="000000"/>
                <w:sz w:val="20"/>
              </w:rPr>
              <w:t>103 628 436</w:t>
            </w:r>
          </w:p>
        </w:tc>
        <w:tc>
          <w:tcPr>
            <w:tcW w:w="1320" w:type="dxa"/>
            <w:tcBorders>
              <w:top w:val="nil"/>
              <w:left w:val="nil"/>
              <w:bottom w:val="single" w:sz="8" w:space="0" w:color="auto"/>
              <w:right w:val="single" w:sz="8" w:space="0" w:color="auto"/>
            </w:tcBorders>
            <w:shd w:val="clear" w:color="auto" w:fill="auto"/>
            <w:noWrap/>
            <w:vAlign w:val="center"/>
            <w:hideMark/>
          </w:tcPr>
          <w:p w:rsidR="003A660B" w:rsidRDefault="006C2027">
            <w:pPr>
              <w:jc w:val="right"/>
              <w:rPr>
                <w:b/>
                <w:bCs/>
                <w:noProof/>
                <w:color w:val="000000"/>
                <w:sz w:val="20"/>
                <w:szCs w:val="20"/>
              </w:rPr>
            </w:pPr>
            <w:r>
              <w:rPr>
                <w:b/>
                <w:noProof/>
                <w:color w:val="000000"/>
                <w:sz w:val="20"/>
              </w:rPr>
              <w:t>93 181 924</w:t>
            </w:r>
          </w:p>
        </w:tc>
        <w:tc>
          <w:tcPr>
            <w:tcW w:w="1080" w:type="dxa"/>
            <w:tcBorders>
              <w:top w:val="nil"/>
              <w:left w:val="nil"/>
              <w:bottom w:val="single" w:sz="8" w:space="0" w:color="auto"/>
              <w:right w:val="single" w:sz="8" w:space="0" w:color="auto"/>
            </w:tcBorders>
            <w:shd w:val="clear" w:color="auto" w:fill="auto"/>
            <w:noWrap/>
            <w:vAlign w:val="center"/>
            <w:hideMark/>
          </w:tcPr>
          <w:p w:rsidR="003A660B" w:rsidRDefault="006C2027">
            <w:pPr>
              <w:jc w:val="right"/>
              <w:rPr>
                <w:b/>
                <w:bCs/>
                <w:noProof/>
                <w:color w:val="000000"/>
                <w:sz w:val="20"/>
                <w:szCs w:val="20"/>
              </w:rPr>
            </w:pPr>
            <w:r>
              <w:rPr>
                <w:b/>
                <w:noProof/>
                <w:color w:val="000000"/>
                <w:sz w:val="20"/>
              </w:rPr>
              <w:t>89,92 %</w:t>
            </w:r>
          </w:p>
        </w:tc>
      </w:tr>
      <w:tr w:rsidR="003A660B">
        <w:trPr>
          <w:trHeight w:val="9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A660B" w:rsidRDefault="006C2027">
            <w:pPr>
              <w:rPr>
                <w:noProof/>
                <w:color w:val="000000"/>
                <w:sz w:val="20"/>
                <w:szCs w:val="20"/>
              </w:rPr>
            </w:pPr>
            <w:r>
              <w:rPr>
                <w:noProof/>
                <w:color w:val="000000"/>
                <w:sz w:val="20"/>
              </w:rPr>
              <w:t>Пренесени по линия на EASME</w:t>
            </w:r>
          </w:p>
        </w:tc>
        <w:tc>
          <w:tcPr>
            <w:tcW w:w="1800" w:type="dxa"/>
            <w:gridSpan w:val="2"/>
            <w:tcBorders>
              <w:top w:val="nil"/>
              <w:left w:val="nil"/>
              <w:bottom w:val="single" w:sz="8" w:space="0" w:color="auto"/>
              <w:right w:val="single" w:sz="8" w:space="0" w:color="auto"/>
            </w:tcBorders>
            <w:shd w:val="clear" w:color="auto" w:fill="auto"/>
            <w:vAlign w:val="center"/>
            <w:hideMark/>
          </w:tcPr>
          <w:p w:rsidR="003A660B" w:rsidRDefault="006C2027">
            <w:pPr>
              <w:rPr>
                <w:noProof/>
                <w:color w:val="000000"/>
                <w:sz w:val="20"/>
                <w:szCs w:val="20"/>
              </w:rPr>
            </w:pPr>
            <w:r>
              <w:rPr>
                <w:noProof/>
                <w:color w:val="000000"/>
                <w:sz w:val="20"/>
              </w:rPr>
              <w:t xml:space="preserve">Пренесени действия към </w:t>
            </w:r>
            <w:r>
              <w:rPr>
                <w:noProof/>
                <w:color w:val="000000"/>
                <w:sz w:val="20"/>
              </w:rPr>
              <w:t>2016 г.</w:t>
            </w:r>
          </w:p>
        </w:tc>
        <w:tc>
          <w:tcPr>
            <w:tcW w:w="1320" w:type="dxa"/>
            <w:tcBorders>
              <w:top w:val="nil"/>
              <w:left w:val="nil"/>
              <w:bottom w:val="single" w:sz="8" w:space="0" w:color="auto"/>
              <w:right w:val="single" w:sz="8" w:space="0" w:color="auto"/>
            </w:tcBorders>
            <w:shd w:val="clear" w:color="auto" w:fill="auto"/>
            <w:noWrap/>
            <w:vAlign w:val="center"/>
            <w:hideMark/>
          </w:tcPr>
          <w:p w:rsidR="003A660B" w:rsidRDefault="006C2027">
            <w:pPr>
              <w:jc w:val="right"/>
              <w:rPr>
                <w:noProof/>
                <w:color w:val="000000"/>
                <w:sz w:val="20"/>
                <w:szCs w:val="20"/>
              </w:rPr>
            </w:pPr>
            <w:r>
              <w:rPr>
                <w:noProof/>
                <w:color w:val="000000"/>
                <w:sz w:val="20"/>
              </w:rPr>
              <w:t>33 590 388</w:t>
            </w:r>
          </w:p>
        </w:tc>
        <w:tc>
          <w:tcPr>
            <w:tcW w:w="1320" w:type="dxa"/>
            <w:tcBorders>
              <w:top w:val="nil"/>
              <w:left w:val="nil"/>
              <w:bottom w:val="single" w:sz="8" w:space="0" w:color="auto"/>
              <w:right w:val="single" w:sz="8" w:space="0" w:color="auto"/>
            </w:tcBorders>
            <w:shd w:val="clear" w:color="auto" w:fill="auto"/>
            <w:noWrap/>
            <w:vAlign w:val="center"/>
            <w:hideMark/>
          </w:tcPr>
          <w:p w:rsidR="003A660B" w:rsidRDefault="006C2027">
            <w:pPr>
              <w:jc w:val="right"/>
              <w:rPr>
                <w:noProof/>
                <w:color w:val="000000"/>
                <w:sz w:val="20"/>
                <w:szCs w:val="20"/>
              </w:rPr>
            </w:pPr>
            <w:r>
              <w:rPr>
                <w:noProof/>
                <w:color w:val="000000"/>
                <w:sz w:val="20"/>
              </w:rPr>
              <w:t>33 104 718</w:t>
            </w:r>
          </w:p>
        </w:tc>
        <w:tc>
          <w:tcPr>
            <w:tcW w:w="1080" w:type="dxa"/>
            <w:tcBorders>
              <w:top w:val="nil"/>
              <w:left w:val="nil"/>
              <w:bottom w:val="single" w:sz="8" w:space="0" w:color="auto"/>
              <w:right w:val="single" w:sz="8" w:space="0" w:color="auto"/>
            </w:tcBorders>
            <w:shd w:val="clear" w:color="auto" w:fill="auto"/>
            <w:noWrap/>
            <w:vAlign w:val="center"/>
            <w:hideMark/>
          </w:tcPr>
          <w:p w:rsidR="003A660B" w:rsidRDefault="006C2027">
            <w:pPr>
              <w:jc w:val="right"/>
              <w:rPr>
                <w:b/>
                <w:bCs/>
                <w:noProof/>
                <w:color w:val="000000"/>
                <w:sz w:val="20"/>
                <w:szCs w:val="20"/>
              </w:rPr>
            </w:pPr>
            <w:r>
              <w:rPr>
                <w:b/>
                <w:noProof/>
                <w:color w:val="000000"/>
                <w:sz w:val="20"/>
              </w:rPr>
              <w:t>98,55 %</w:t>
            </w:r>
          </w:p>
        </w:tc>
        <w:tc>
          <w:tcPr>
            <w:tcW w:w="1320" w:type="dxa"/>
            <w:tcBorders>
              <w:top w:val="nil"/>
              <w:left w:val="nil"/>
              <w:bottom w:val="single" w:sz="8" w:space="0" w:color="auto"/>
              <w:right w:val="single" w:sz="8" w:space="0" w:color="auto"/>
            </w:tcBorders>
            <w:shd w:val="clear" w:color="auto" w:fill="auto"/>
            <w:noWrap/>
            <w:vAlign w:val="center"/>
            <w:hideMark/>
          </w:tcPr>
          <w:p w:rsidR="003A660B" w:rsidRDefault="006C2027">
            <w:pPr>
              <w:rPr>
                <w:noProof/>
                <w:color w:val="000000"/>
                <w:sz w:val="20"/>
                <w:szCs w:val="20"/>
              </w:rPr>
            </w:pPr>
            <w:r>
              <w:rPr>
                <w:noProof/>
                <w:color w:val="000000"/>
                <w:sz w:val="20"/>
              </w:rPr>
              <w:t> </w:t>
            </w:r>
          </w:p>
        </w:tc>
        <w:tc>
          <w:tcPr>
            <w:tcW w:w="1320" w:type="dxa"/>
            <w:tcBorders>
              <w:top w:val="nil"/>
              <w:left w:val="nil"/>
              <w:bottom w:val="single" w:sz="8" w:space="0" w:color="auto"/>
              <w:right w:val="single" w:sz="8" w:space="0" w:color="auto"/>
            </w:tcBorders>
            <w:shd w:val="clear" w:color="auto" w:fill="auto"/>
            <w:noWrap/>
            <w:vAlign w:val="center"/>
            <w:hideMark/>
          </w:tcPr>
          <w:p w:rsidR="003A660B" w:rsidRDefault="006C2027">
            <w:pPr>
              <w:rPr>
                <w:noProof/>
                <w:color w:val="000000"/>
                <w:sz w:val="20"/>
                <w:szCs w:val="20"/>
              </w:rPr>
            </w:pPr>
            <w:r>
              <w:rPr>
                <w:noProof/>
                <w:color w:val="000000"/>
                <w:sz w:val="20"/>
              </w:rPr>
              <w:t> </w:t>
            </w:r>
          </w:p>
        </w:tc>
        <w:tc>
          <w:tcPr>
            <w:tcW w:w="1080" w:type="dxa"/>
            <w:tcBorders>
              <w:top w:val="nil"/>
              <w:left w:val="nil"/>
              <w:bottom w:val="single" w:sz="8" w:space="0" w:color="auto"/>
              <w:right w:val="single" w:sz="8" w:space="0" w:color="auto"/>
            </w:tcBorders>
            <w:shd w:val="clear" w:color="auto" w:fill="auto"/>
            <w:noWrap/>
            <w:vAlign w:val="center"/>
            <w:hideMark/>
          </w:tcPr>
          <w:p w:rsidR="003A660B" w:rsidRDefault="006C2027">
            <w:pPr>
              <w:rPr>
                <w:noProof/>
                <w:color w:val="000000"/>
                <w:sz w:val="20"/>
                <w:szCs w:val="20"/>
              </w:rPr>
            </w:pPr>
            <w:r>
              <w:rPr>
                <w:noProof/>
                <w:color w:val="000000"/>
                <w:sz w:val="20"/>
              </w:rPr>
              <w:t> </w:t>
            </w:r>
          </w:p>
        </w:tc>
      </w:tr>
      <w:tr w:rsidR="003A660B">
        <w:trPr>
          <w:trHeight w:val="9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A660B" w:rsidRDefault="006C2027">
            <w:pPr>
              <w:rPr>
                <w:noProof/>
                <w:color w:val="000000"/>
                <w:sz w:val="20"/>
                <w:szCs w:val="20"/>
              </w:rPr>
            </w:pPr>
            <w:r>
              <w:rPr>
                <w:noProof/>
                <w:color w:val="000000"/>
                <w:sz w:val="20"/>
              </w:rPr>
              <w:t>Пренесени по линия на GROW</w:t>
            </w:r>
          </w:p>
        </w:tc>
        <w:tc>
          <w:tcPr>
            <w:tcW w:w="1800" w:type="dxa"/>
            <w:gridSpan w:val="2"/>
            <w:tcBorders>
              <w:top w:val="nil"/>
              <w:left w:val="nil"/>
              <w:bottom w:val="single" w:sz="8" w:space="0" w:color="auto"/>
              <w:right w:val="single" w:sz="8" w:space="0" w:color="auto"/>
            </w:tcBorders>
            <w:shd w:val="clear" w:color="auto" w:fill="auto"/>
            <w:vAlign w:val="center"/>
            <w:hideMark/>
          </w:tcPr>
          <w:p w:rsidR="003A660B" w:rsidRDefault="006C2027">
            <w:pPr>
              <w:rPr>
                <w:noProof/>
                <w:color w:val="000000"/>
                <w:sz w:val="20"/>
                <w:szCs w:val="20"/>
              </w:rPr>
            </w:pPr>
            <w:r>
              <w:rPr>
                <w:noProof/>
                <w:color w:val="000000"/>
                <w:sz w:val="20"/>
              </w:rPr>
              <w:t>Пренесени действия към 2016 г.</w:t>
            </w:r>
          </w:p>
        </w:tc>
        <w:tc>
          <w:tcPr>
            <w:tcW w:w="1320" w:type="dxa"/>
            <w:tcBorders>
              <w:top w:val="nil"/>
              <w:left w:val="nil"/>
              <w:bottom w:val="single" w:sz="8" w:space="0" w:color="auto"/>
              <w:right w:val="single" w:sz="8" w:space="0" w:color="auto"/>
            </w:tcBorders>
            <w:shd w:val="clear" w:color="auto" w:fill="auto"/>
            <w:noWrap/>
            <w:vAlign w:val="center"/>
            <w:hideMark/>
          </w:tcPr>
          <w:p w:rsidR="003A660B" w:rsidRDefault="006C2027">
            <w:pPr>
              <w:jc w:val="right"/>
              <w:rPr>
                <w:noProof/>
                <w:color w:val="000000"/>
                <w:sz w:val="20"/>
                <w:szCs w:val="20"/>
              </w:rPr>
            </w:pPr>
            <w:r>
              <w:rPr>
                <w:noProof/>
                <w:color w:val="000000"/>
                <w:sz w:val="20"/>
              </w:rPr>
              <w:t>1 515 000</w:t>
            </w:r>
          </w:p>
        </w:tc>
        <w:tc>
          <w:tcPr>
            <w:tcW w:w="1320" w:type="dxa"/>
            <w:tcBorders>
              <w:top w:val="nil"/>
              <w:left w:val="nil"/>
              <w:bottom w:val="single" w:sz="8" w:space="0" w:color="auto"/>
              <w:right w:val="single" w:sz="8" w:space="0" w:color="auto"/>
            </w:tcBorders>
            <w:shd w:val="clear" w:color="auto" w:fill="auto"/>
            <w:noWrap/>
            <w:vAlign w:val="center"/>
            <w:hideMark/>
          </w:tcPr>
          <w:p w:rsidR="003A660B" w:rsidRDefault="006C2027">
            <w:pPr>
              <w:jc w:val="right"/>
              <w:rPr>
                <w:noProof/>
                <w:color w:val="000000"/>
                <w:sz w:val="20"/>
                <w:szCs w:val="20"/>
              </w:rPr>
            </w:pPr>
            <w:r>
              <w:rPr>
                <w:noProof/>
                <w:color w:val="000000"/>
                <w:sz w:val="20"/>
              </w:rPr>
              <w:t>889 700</w:t>
            </w:r>
          </w:p>
        </w:tc>
        <w:tc>
          <w:tcPr>
            <w:tcW w:w="1080" w:type="dxa"/>
            <w:tcBorders>
              <w:top w:val="nil"/>
              <w:left w:val="nil"/>
              <w:bottom w:val="single" w:sz="8" w:space="0" w:color="auto"/>
              <w:right w:val="single" w:sz="8" w:space="0" w:color="auto"/>
            </w:tcBorders>
            <w:shd w:val="clear" w:color="auto" w:fill="auto"/>
            <w:noWrap/>
            <w:vAlign w:val="center"/>
            <w:hideMark/>
          </w:tcPr>
          <w:p w:rsidR="003A660B" w:rsidRDefault="006C2027">
            <w:pPr>
              <w:jc w:val="right"/>
              <w:rPr>
                <w:b/>
                <w:bCs/>
                <w:noProof/>
                <w:color w:val="000000"/>
                <w:sz w:val="20"/>
                <w:szCs w:val="20"/>
              </w:rPr>
            </w:pPr>
            <w:r>
              <w:rPr>
                <w:b/>
                <w:noProof/>
                <w:color w:val="000000"/>
                <w:sz w:val="20"/>
              </w:rPr>
              <w:t>58,73 %</w:t>
            </w:r>
          </w:p>
        </w:tc>
        <w:tc>
          <w:tcPr>
            <w:tcW w:w="1320" w:type="dxa"/>
            <w:tcBorders>
              <w:top w:val="nil"/>
              <w:left w:val="nil"/>
              <w:bottom w:val="single" w:sz="8" w:space="0" w:color="auto"/>
              <w:right w:val="single" w:sz="8" w:space="0" w:color="auto"/>
            </w:tcBorders>
            <w:shd w:val="clear" w:color="auto" w:fill="auto"/>
            <w:noWrap/>
            <w:vAlign w:val="center"/>
            <w:hideMark/>
          </w:tcPr>
          <w:p w:rsidR="003A660B" w:rsidRDefault="006C2027">
            <w:pPr>
              <w:rPr>
                <w:noProof/>
                <w:color w:val="000000"/>
                <w:sz w:val="20"/>
                <w:szCs w:val="20"/>
              </w:rPr>
            </w:pPr>
            <w:r>
              <w:rPr>
                <w:noProof/>
                <w:color w:val="000000"/>
                <w:sz w:val="20"/>
              </w:rPr>
              <w:t> </w:t>
            </w:r>
          </w:p>
        </w:tc>
        <w:tc>
          <w:tcPr>
            <w:tcW w:w="1320" w:type="dxa"/>
            <w:tcBorders>
              <w:top w:val="nil"/>
              <w:left w:val="nil"/>
              <w:bottom w:val="single" w:sz="8" w:space="0" w:color="auto"/>
              <w:right w:val="single" w:sz="8" w:space="0" w:color="auto"/>
            </w:tcBorders>
            <w:shd w:val="clear" w:color="auto" w:fill="auto"/>
            <w:noWrap/>
            <w:vAlign w:val="center"/>
            <w:hideMark/>
          </w:tcPr>
          <w:p w:rsidR="003A660B" w:rsidRDefault="006C2027">
            <w:pPr>
              <w:rPr>
                <w:noProof/>
                <w:color w:val="000000"/>
                <w:sz w:val="20"/>
                <w:szCs w:val="20"/>
              </w:rPr>
            </w:pPr>
            <w:r>
              <w:rPr>
                <w:noProof/>
                <w:color w:val="000000"/>
                <w:sz w:val="20"/>
              </w:rPr>
              <w:t> </w:t>
            </w:r>
          </w:p>
        </w:tc>
        <w:tc>
          <w:tcPr>
            <w:tcW w:w="1080" w:type="dxa"/>
            <w:tcBorders>
              <w:top w:val="nil"/>
              <w:left w:val="nil"/>
              <w:bottom w:val="single" w:sz="8" w:space="0" w:color="auto"/>
              <w:right w:val="single" w:sz="8" w:space="0" w:color="auto"/>
            </w:tcBorders>
            <w:shd w:val="clear" w:color="auto" w:fill="auto"/>
            <w:noWrap/>
            <w:vAlign w:val="center"/>
            <w:hideMark/>
          </w:tcPr>
          <w:p w:rsidR="003A660B" w:rsidRDefault="006C2027">
            <w:pPr>
              <w:rPr>
                <w:noProof/>
                <w:color w:val="000000"/>
                <w:sz w:val="20"/>
                <w:szCs w:val="20"/>
              </w:rPr>
            </w:pPr>
            <w:r>
              <w:rPr>
                <w:noProof/>
                <w:color w:val="000000"/>
                <w:sz w:val="20"/>
              </w:rPr>
              <w:t> </w:t>
            </w:r>
          </w:p>
        </w:tc>
      </w:tr>
      <w:tr w:rsidR="003A660B">
        <w:trPr>
          <w:trHeight w:val="9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A660B" w:rsidRDefault="006C2027">
            <w:pPr>
              <w:rPr>
                <w:b/>
                <w:bCs/>
                <w:noProof/>
                <w:color w:val="000000"/>
                <w:sz w:val="20"/>
                <w:szCs w:val="20"/>
              </w:rPr>
            </w:pPr>
            <w:r>
              <w:rPr>
                <w:b/>
                <w:noProof/>
                <w:color w:val="000000"/>
                <w:sz w:val="20"/>
              </w:rPr>
              <w:t>02 01 04 01</w:t>
            </w:r>
          </w:p>
        </w:tc>
        <w:tc>
          <w:tcPr>
            <w:tcW w:w="1800" w:type="dxa"/>
            <w:gridSpan w:val="2"/>
            <w:tcBorders>
              <w:top w:val="nil"/>
              <w:left w:val="nil"/>
              <w:bottom w:val="single" w:sz="8" w:space="0" w:color="auto"/>
              <w:right w:val="single" w:sz="8" w:space="0" w:color="auto"/>
            </w:tcBorders>
            <w:shd w:val="clear" w:color="auto" w:fill="auto"/>
            <w:vAlign w:val="center"/>
            <w:hideMark/>
          </w:tcPr>
          <w:p w:rsidR="003A660B" w:rsidRDefault="006C2027">
            <w:pPr>
              <w:rPr>
                <w:b/>
                <w:bCs/>
                <w:noProof/>
                <w:color w:val="000000"/>
                <w:sz w:val="20"/>
                <w:szCs w:val="20"/>
              </w:rPr>
            </w:pPr>
            <w:r>
              <w:rPr>
                <w:b/>
                <w:noProof/>
                <w:color w:val="000000"/>
                <w:sz w:val="20"/>
              </w:rPr>
              <w:t>Административен бюджет</w:t>
            </w:r>
          </w:p>
        </w:tc>
        <w:tc>
          <w:tcPr>
            <w:tcW w:w="1320" w:type="dxa"/>
            <w:tcBorders>
              <w:top w:val="nil"/>
              <w:left w:val="nil"/>
              <w:bottom w:val="single" w:sz="8" w:space="0" w:color="auto"/>
              <w:right w:val="single" w:sz="8" w:space="0" w:color="auto"/>
            </w:tcBorders>
            <w:shd w:val="clear" w:color="auto" w:fill="auto"/>
            <w:noWrap/>
            <w:vAlign w:val="center"/>
            <w:hideMark/>
          </w:tcPr>
          <w:p w:rsidR="003A660B" w:rsidRDefault="006C2027">
            <w:pPr>
              <w:jc w:val="right"/>
              <w:rPr>
                <w:noProof/>
                <w:color w:val="000000"/>
                <w:sz w:val="20"/>
                <w:szCs w:val="20"/>
              </w:rPr>
            </w:pPr>
            <w:r>
              <w:rPr>
                <w:noProof/>
                <w:color w:val="000000"/>
                <w:sz w:val="20"/>
              </w:rPr>
              <w:t>3 864 722</w:t>
            </w:r>
          </w:p>
        </w:tc>
        <w:tc>
          <w:tcPr>
            <w:tcW w:w="1320" w:type="dxa"/>
            <w:tcBorders>
              <w:top w:val="nil"/>
              <w:left w:val="nil"/>
              <w:bottom w:val="single" w:sz="8" w:space="0" w:color="auto"/>
              <w:right w:val="single" w:sz="8" w:space="0" w:color="auto"/>
            </w:tcBorders>
            <w:shd w:val="clear" w:color="auto" w:fill="auto"/>
            <w:noWrap/>
            <w:vAlign w:val="center"/>
            <w:hideMark/>
          </w:tcPr>
          <w:p w:rsidR="003A660B" w:rsidRDefault="006C2027">
            <w:pPr>
              <w:jc w:val="right"/>
              <w:rPr>
                <w:noProof/>
                <w:color w:val="000000"/>
                <w:sz w:val="20"/>
                <w:szCs w:val="20"/>
              </w:rPr>
            </w:pPr>
            <w:r>
              <w:rPr>
                <w:noProof/>
                <w:color w:val="000000"/>
                <w:sz w:val="20"/>
              </w:rPr>
              <w:t>3 799 959</w:t>
            </w:r>
          </w:p>
        </w:tc>
        <w:tc>
          <w:tcPr>
            <w:tcW w:w="1080" w:type="dxa"/>
            <w:tcBorders>
              <w:top w:val="nil"/>
              <w:left w:val="nil"/>
              <w:bottom w:val="single" w:sz="8" w:space="0" w:color="auto"/>
              <w:right w:val="single" w:sz="8" w:space="0" w:color="auto"/>
            </w:tcBorders>
            <w:shd w:val="clear" w:color="auto" w:fill="auto"/>
            <w:noWrap/>
            <w:vAlign w:val="center"/>
            <w:hideMark/>
          </w:tcPr>
          <w:p w:rsidR="003A660B" w:rsidRDefault="006C2027">
            <w:pPr>
              <w:jc w:val="right"/>
              <w:rPr>
                <w:noProof/>
                <w:color w:val="000000"/>
                <w:sz w:val="20"/>
                <w:szCs w:val="20"/>
              </w:rPr>
            </w:pPr>
            <w:r>
              <w:rPr>
                <w:noProof/>
                <w:color w:val="000000"/>
                <w:sz w:val="20"/>
              </w:rPr>
              <w:t>98,32 %</w:t>
            </w:r>
          </w:p>
        </w:tc>
        <w:tc>
          <w:tcPr>
            <w:tcW w:w="1320" w:type="dxa"/>
            <w:tcBorders>
              <w:top w:val="nil"/>
              <w:left w:val="nil"/>
              <w:bottom w:val="single" w:sz="8" w:space="0" w:color="auto"/>
              <w:right w:val="single" w:sz="8" w:space="0" w:color="auto"/>
            </w:tcBorders>
            <w:shd w:val="clear" w:color="auto" w:fill="auto"/>
            <w:noWrap/>
            <w:vAlign w:val="center"/>
            <w:hideMark/>
          </w:tcPr>
          <w:p w:rsidR="003A660B" w:rsidRDefault="006C2027">
            <w:pPr>
              <w:jc w:val="right"/>
              <w:rPr>
                <w:noProof/>
                <w:color w:val="000000"/>
                <w:sz w:val="20"/>
                <w:szCs w:val="20"/>
              </w:rPr>
            </w:pPr>
            <w:r>
              <w:rPr>
                <w:noProof/>
                <w:color w:val="000000"/>
                <w:sz w:val="20"/>
              </w:rPr>
              <w:t>3 864 722</w:t>
            </w:r>
          </w:p>
        </w:tc>
        <w:tc>
          <w:tcPr>
            <w:tcW w:w="1320" w:type="dxa"/>
            <w:tcBorders>
              <w:top w:val="nil"/>
              <w:left w:val="nil"/>
              <w:bottom w:val="single" w:sz="8" w:space="0" w:color="auto"/>
              <w:right w:val="single" w:sz="8" w:space="0" w:color="auto"/>
            </w:tcBorders>
            <w:shd w:val="clear" w:color="auto" w:fill="auto"/>
            <w:noWrap/>
            <w:vAlign w:val="center"/>
            <w:hideMark/>
          </w:tcPr>
          <w:p w:rsidR="003A660B" w:rsidRDefault="006C2027">
            <w:pPr>
              <w:jc w:val="right"/>
              <w:rPr>
                <w:noProof/>
                <w:color w:val="000000"/>
                <w:sz w:val="20"/>
                <w:szCs w:val="20"/>
              </w:rPr>
            </w:pPr>
            <w:r>
              <w:rPr>
                <w:noProof/>
                <w:color w:val="000000"/>
                <w:sz w:val="20"/>
              </w:rPr>
              <w:t>653 053</w:t>
            </w:r>
          </w:p>
        </w:tc>
        <w:tc>
          <w:tcPr>
            <w:tcW w:w="1080" w:type="dxa"/>
            <w:tcBorders>
              <w:top w:val="nil"/>
              <w:left w:val="nil"/>
              <w:bottom w:val="single" w:sz="8" w:space="0" w:color="auto"/>
              <w:right w:val="single" w:sz="8" w:space="0" w:color="auto"/>
            </w:tcBorders>
            <w:shd w:val="clear" w:color="auto" w:fill="auto"/>
            <w:noWrap/>
            <w:vAlign w:val="center"/>
            <w:hideMark/>
          </w:tcPr>
          <w:p w:rsidR="003A660B" w:rsidRDefault="006C2027">
            <w:pPr>
              <w:jc w:val="right"/>
              <w:rPr>
                <w:noProof/>
                <w:color w:val="000000"/>
                <w:sz w:val="20"/>
                <w:szCs w:val="20"/>
              </w:rPr>
            </w:pPr>
            <w:r>
              <w:rPr>
                <w:noProof/>
                <w:color w:val="000000"/>
                <w:sz w:val="20"/>
              </w:rPr>
              <w:t>16,90 %</w:t>
            </w:r>
          </w:p>
        </w:tc>
      </w:tr>
      <w:tr w:rsidR="003A660B">
        <w:trPr>
          <w:trHeight w:val="9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A660B" w:rsidRDefault="006C2027">
            <w:pPr>
              <w:rPr>
                <w:b/>
                <w:bCs/>
                <w:noProof/>
                <w:color w:val="000000"/>
                <w:sz w:val="20"/>
                <w:szCs w:val="20"/>
              </w:rPr>
            </w:pPr>
            <w:r>
              <w:rPr>
                <w:b/>
                <w:noProof/>
                <w:color w:val="000000"/>
                <w:sz w:val="20"/>
              </w:rPr>
              <w:t>02 01 06 01</w:t>
            </w:r>
          </w:p>
        </w:tc>
        <w:tc>
          <w:tcPr>
            <w:tcW w:w="1800" w:type="dxa"/>
            <w:gridSpan w:val="2"/>
            <w:tcBorders>
              <w:top w:val="nil"/>
              <w:left w:val="nil"/>
              <w:bottom w:val="single" w:sz="8" w:space="0" w:color="auto"/>
              <w:right w:val="single" w:sz="8" w:space="0" w:color="auto"/>
            </w:tcBorders>
            <w:shd w:val="clear" w:color="auto" w:fill="auto"/>
            <w:vAlign w:val="center"/>
            <w:hideMark/>
          </w:tcPr>
          <w:p w:rsidR="003A660B" w:rsidRDefault="006C2027">
            <w:pPr>
              <w:rPr>
                <w:b/>
                <w:bCs/>
                <w:noProof/>
                <w:color w:val="000000"/>
                <w:sz w:val="20"/>
                <w:szCs w:val="20"/>
              </w:rPr>
            </w:pPr>
            <w:r>
              <w:rPr>
                <w:b/>
                <w:noProof/>
                <w:color w:val="000000"/>
                <w:sz w:val="20"/>
              </w:rPr>
              <w:t xml:space="preserve">EASME — </w:t>
            </w:r>
            <w:r>
              <w:rPr>
                <w:b/>
                <w:noProof/>
                <w:color w:val="000000"/>
                <w:sz w:val="20"/>
              </w:rPr>
              <w:t>административен бюджет</w:t>
            </w:r>
          </w:p>
        </w:tc>
        <w:tc>
          <w:tcPr>
            <w:tcW w:w="1320" w:type="dxa"/>
            <w:tcBorders>
              <w:top w:val="nil"/>
              <w:left w:val="nil"/>
              <w:bottom w:val="single" w:sz="8" w:space="0" w:color="auto"/>
              <w:right w:val="single" w:sz="8" w:space="0" w:color="auto"/>
            </w:tcBorders>
            <w:shd w:val="clear" w:color="auto" w:fill="auto"/>
            <w:noWrap/>
            <w:vAlign w:val="center"/>
            <w:hideMark/>
          </w:tcPr>
          <w:p w:rsidR="003A660B" w:rsidRDefault="006C2027">
            <w:pPr>
              <w:jc w:val="right"/>
              <w:rPr>
                <w:noProof/>
                <w:color w:val="000000"/>
                <w:sz w:val="20"/>
                <w:szCs w:val="20"/>
              </w:rPr>
            </w:pPr>
            <w:r>
              <w:rPr>
                <w:noProof/>
                <w:color w:val="000000"/>
                <w:sz w:val="20"/>
              </w:rPr>
              <w:t>8 047 977</w:t>
            </w:r>
          </w:p>
        </w:tc>
        <w:tc>
          <w:tcPr>
            <w:tcW w:w="1320" w:type="dxa"/>
            <w:tcBorders>
              <w:top w:val="nil"/>
              <w:left w:val="nil"/>
              <w:bottom w:val="single" w:sz="8" w:space="0" w:color="auto"/>
              <w:right w:val="single" w:sz="8" w:space="0" w:color="auto"/>
            </w:tcBorders>
            <w:shd w:val="clear" w:color="auto" w:fill="auto"/>
            <w:noWrap/>
            <w:vAlign w:val="center"/>
            <w:hideMark/>
          </w:tcPr>
          <w:p w:rsidR="003A660B" w:rsidRDefault="006C2027">
            <w:pPr>
              <w:jc w:val="right"/>
              <w:rPr>
                <w:noProof/>
                <w:color w:val="000000"/>
                <w:sz w:val="20"/>
                <w:szCs w:val="20"/>
              </w:rPr>
            </w:pPr>
            <w:r>
              <w:rPr>
                <w:noProof/>
                <w:color w:val="000000"/>
                <w:sz w:val="20"/>
              </w:rPr>
              <w:t>8 047 977</w:t>
            </w:r>
          </w:p>
        </w:tc>
        <w:tc>
          <w:tcPr>
            <w:tcW w:w="1080" w:type="dxa"/>
            <w:tcBorders>
              <w:top w:val="nil"/>
              <w:left w:val="nil"/>
              <w:bottom w:val="single" w:sz="8" w:space="0" w:color="auto"/>
              <w:right w:val="single" w:sz="8" w:space="0" w:color="auto"/>
            </w:tcBorders>
            <w:shd w:val="clear" w:color="auto" w:fill="auto"/>
            <w:noWrap/>
            <w:vAlign w:val="center"/>
            <w:hideMark/>
          </w:tcPr>
          <w:p w:rsidR="003A660B" w:rsidRDefault="006C2027">
            <w:pPr>
              <w:jc w:val="right"/>
              <w:rPr>
                <w:noProof/>
                <w:color w:val="000000"/>
                <w:sz w:val="20"/>
                <w:szCs w:val="20"/>
              </w:rPr>
            </w:pPr>
            <w:r>
              <w:rPr>
                <w:noProof/>
                <w:color w:val="000000"/>
                <w:sz w:val="20"/>
              </w:rPr>
              <w:t>100,00 %</w:t>
            </w:r>
          </w:p>
        </w:tc>
        <w:tc>
          <w:tcPr>
            <w:tcW w:w="1320" w:type="dxa"/>
            <w:tcBorders>
              <w:top w:val="nil"/>
              <w:left w:val="nil"/>
              <w:bottom w:val="single" w:sz="8" w:space="0" w:color="auto"/>
              <w:right w:val="single" w:sz="8" w:space="0" w:color="auto"/>
            </w:tcBorders>
            <w:shd w:val="clear" w:color="auto" w:fill="auto"/>
            <w:noWrap/>
            <w:vAlign w:val="center"/>
            <w:hideMark/>
          </w:tcPr>
          <w:p w:rsidR="003A660B" w:rsidRDefault="006C2027">
            <w:pPr>
              <w:jc w:val="right"/>
              <w:rPr>
                <w:noProof/>
                <w:color w:val="000000"/>
                <w:sz w:val="20"/>
                <w:szCs w:val="20"/>
              </w:rPr>
            </w:pPr>
            <w:r>
              <w:rPr>
                <w:noProof/>
                <w:color w:val="000000"/>
                <w:sz w:val="20"/>
              </w:rPr>
              <w:t>8 047 977</w:t>
            </w:r>
          </w:p>
        </w:tc>
        <w:tc>
          <w:tcPr>
            <w:tcW w:w="1320" w:type="dxa"/>
            <w:tcBorders>
              <w:top w:val="nil"/>
              <w:left w:val="nil"/>
              <w:bottom w:val="single" w:sz="8" w:space="0" w:color="auto"/>
              <w:right w:val="single" w:sz="8" w:space="0" w:color="auto"/>
            </w:tcBorders>
            <w:shd w:val="clear" w:color="auto" w:fill="auto"/>
            <w:noWrap/>
            <w:vAlign w:val="center"/>
            <w:hideMark/>
          </w:tcPr>
          <w:p w:rsidR="003A660B" w:rsidRDefault="006C2027">
            <w:pPr>
              <w:jc w:val="right"/>
              <w:rPr>
                <w:noProof/>
                <w:color w:val="000000"/>
                <w:sz w:val="20"/>
                <w:szCs w:val="20"/>
              </w:rPr>
            </w:pPr>
            <w:r>
              <w:rPr>
                <w:noProof/>
                <w:color w:val="000000"/>
                <w:sz w:val="20"/>
              </w:rPr>
              <w:t>8 047 977</w:t>
            </w:r>
          </w:p>
        </w:tc>
        <w:tc>
          <w:tcPr>
            <w:tcW w:w="1080" w:type="dxa"/>
            <w:tcBorders>
              <w:top w:val="nil"/>
              <w:left w:val="nil"/>
              <w:bottom w:val="single" w:sz="8" w:space="0" w:color="auto"/>
              <w:right w:val="single" w:sz="8" w:space="0" w:color="auto"/>
            </w:tcBorders>
            <w:shd w:val="clear" w:color="auto" w:fill="auto"/>
            <w:noWrap/>
            <w:vAlign w:val="center"/>
            <w:hideMark/>
          </w:tcPr>
          <w:p w:rsidR="003A660B" w:rsidRDefault="006C2027">
            <w:pPr>
              <w:jc w:val="right"/>
              <w:rPr>
                <w:noProof/>
                <w:color w:val="000000"/>
                <w:sz w:val="20"/>
                <w:szCs w:val="20"/>
              </w:rPr>
            </w:pPr>
            <w:r>
              <w:rPr>
                <w:noProof/>
                <w:color w:val="000000"/>
                <w:sz w:val="20"/>
              </w:rPr>
              <w:t>100,00 %</w:t>
            </w:r>
          </w:p>
        </w:tc>
      </w:tr>
      <w:tr w:rsidR="003A660B">
        <w:trPr>
          <w:trHeight w:val="96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A660B" w:rsidRDefault="006C2027">
            <w:pPr>
              <w:rPr>
                <w:b/>
                <w:bCs/>
                <w:noProof/>
                <w:color w:val="000000"/>
                <w:sz w:val="20"/>
                <w:szCs w:val="20"/>
              </w:rPr>
            </w:pPr>
            <w:r>
              <w:rPr>
                <w:b/>
                <w:noProof/>
                <w:color w:val="000000"/>
                <w:sz w:val="20"/>
              </w:rPr>
              <w:t> </w:t>
            </w:r>
          </w:p>
        </w:tc>
        <w:tc>
          <w:tcPr>
            <w:tcW w:w="1800" w:type="dxa"/>
            <w:gridSpan w:val="2"/>
            <w:tcBorders>
              <w:top w:val="nil"/>
              <w:left w:val="nil"/>
              <w:bottom w:val="single" w:sz="8" w:space="0" w:color="auto"/>
              <w:right w:val="single" w:sz="8" w:space="0" w:color="auto"/>
            </w:tcBorders>
            <w:shd w:val="clear" w:color="auto" w:fill="auto"/>
            <w:vAlign w:val="center"/>
            <w:hideMark/>
          </w:tcPr>
          <w:p w:rsidR="003A660B" w:rsidRDefault="006C2027">
            <w:pPr>
              <w:rPr>
                <w:b/>
                <w:bCs/>
                <w:noProof/>
                <w:color w:val="000000"/>
                <w:sz w:val="20"/>
                <w:szCs w:val="20"/>
              </w:rPr>
            </w:pPr>
            <w:r>
              <w:rPr>
                <w:b/>
                <w:noProof/>
                <w:color w:val="000000"/>
                <w:sz w:val="20"/>
              </w:rPr>
              <w:t xml:space="preserve">Оперативен бюджет за поети задължения през 2015 г., включително пренесени действия </w:t>
            </w:r>
          </w:p>
        </w:tc>
        <w:tc>
          <w:tcPr>
            <w:tcW w:w="1320" w:type="dxa"/>
            <w:tcBorders>
              <w:top w:val="nil"/>
              <w:left w:val="nil"/>
              <w:bottom w:val="single" w:sz="8" w:space="0" w:color="auto"/>
              <w:right w:val="single" w:sz="8" w:space="0" w:color="auto"/>
            </w:tcBorders>
            <w:shd w:val="clear" w:color="auto" w:fill="auto"/>
            <w:noWrap/>
            <w:vAlign w:val="center"/>
            <w:hideMark/>
          </w:tcPr>
          <w:p w:rsidR="003A660B" w:rsidRDefault="006C2027">
            <w:pPr>
              <w:jc w:val="right"/>
              <w:rPr>
                <w:b/>
                <w:bCs/>
                <w:noProof/>
                <w:color w:val="000000"/>
                <w:sz w:val="20"/>
                <w:szCs w:val="20"/>
              </w:rPr>
            </w:pPr>
            <w:r>
              <w:rPr>
                <w:b/>
                <w:noProof/>
                <w:color w:val="000000"/>
                <w:sz w:val="20"/>
              </w:rPr>
              <w:t>329 300 516</w:t>
            </w:r>
          </w:p>
        </w:tc>
        <w:tc>
          <w:tcPr>
            <w:tcW w:w="1320" w:type="dxa"/>
            <w:tcBorders>
              <w:top w:val="nil"/>
              <w:left w:val="nil"/>
              <w:bottom w:val="single" w:sz="8" w:space="0" w:color="auto"/>
              <w:right w:val="single" w:sz="8" w:space="0" w:color="auto"/>
            </w:tcBorders>
            <w:shd w:val="clear" w:color="auto" w:fill="auto"/>
            <w:noWrap/>
            <w:vAlign w:val="center"/>
            <w:hideMark/>
          </w:tcPr>
          <w:p w:rsidR="003A660B" w:rsidRDefault="006C2027">
            <w:pPr>
              <w:jc w:val="right"/>
              <w:rPr>
                <w:b/>
                <w:bCs/>
                <w:noProof/>
                <w:color w:val="000000"/>
                <w:sz w:val="20"/>
                <w:szCs w:val="20"/>
              </w:rPr>
            </w:pPr>
            <w:r>
              <w:rPr>
                <w:b/>
                <w:noProof/>
                <w:color w:val="000000"/>
                <w:sz w:val="20"/>
              </w:rPr>
              <w:t>327 243 027</w:t>
            </w:r>
          </w:p>
        </w:tc>
        <w:tc>
          <w:tcPr>
            <w:tcW w:w="1080" w:type="dxa"/>
            <w:tcBorders>
              <w:top w:val="nil"/>
              <w:left w:val="nil"/>
              <w:bottom w:val="single" w:sz="8" w:space="0" w:color="auto"/>
              <w:right w:val="single" w:sz="8" w:space="0" w:color="auto"/>
            </w:tcBorders>
            <w:shd w:val="clear" w:color="auto" w:fill="auto"/>
            <w:noWrap/>
            <w:vAlign w:val="center"/>
            <w:hideMark/>
          </w:tcPr>
          <w:p w:rsidR="003A660B" w:rsidRDefault="006C2027">
            <w:pPr>
              <w:jc w:val="right"/>
              <w:rPr>
                <w:b/>
                <w:bCs/>
                <w:noProof/>
                <w:color w:val="000000"/>
                <w:sz w:val="20"/>
                <w:szCs w:val="20"/>
              </w:rPr>
            </w:pPr>
            <w:r>
              <w:rPr>
                <w:b/>
                <w:noProof/>
                <w:color w:val="000000"/>
                <w:sz w:val="20"/>
              </w:rPr>
              <w:t>99,38 %</w:t>
            </w:r>
          </w:p>
        </w:tc>
        <w:tc>
          <w:tcPr>
            <w:tcW w:w="1320" w:type="dxa"/>
            <w:tcBorders>
              <w:top w:val="nil"/>
              <w:left w:val="nil"/>
              <w:bottom w:val="single" w:sz="8" w:space="0" w:color="auto"/>
              <w:right w:val="single" w:sz="8" w:space="0" w:color="auto"/>
            </w:tcBorders>
            <w:shd w:val="clear" w:color="auto" w:fill="auto"/>
            <w:noWrap/>
            <w:vAlign w:val="center"/>
            <w:hideMark/>
          </w:tcPr>
          <w:p w:rsidR="003A660B" w:rsidRDefault="006C2027">
            <w:pPr>
              <w:jc w:val="right"/>
              <w:rPr>
                <w:b/>
                <w:bCs/>
                <w:noProof/>
                <w:color w:val="000000"/>
                <w:sz w:val="20"/>
                <w:szCs w:val="20"/>
              </w:rPr>
            </w:pPr>
            <w:r>
              <w:rPr>
                <w:b/>
                <w:noProof/>
                <w:color w:val="000000"/>
                <w:sz w:val="20"/>
              </w:rPr>
              <w:t> </w:t>
            </w:r>
          </w:p>
        </w:tc>
        <w:tc>
          <w:tcPr>
            <w:tcW w:w="1320" w:type="dxa"/>
            <w:tcBorders>
              <w:top w:val="nil"/>
              <w:left w:val="nil"/>
              <w:bottom w:val="single" w:sz="8" w:space="0" w:color="auto"/>
              <w:right w:val="single" w:sz="8" w:space="0" w:color="auto"/>
            </w:tcBorders>
            <w:shd w:val="clear" w:color="auto" w:fill="auto"/>
            <w:noWrap/>
            <w:vAlign w:val="center"/>
            <w:hideMark/>
          </w:tcPr>
          <w:p w:rsidR="003A660B" w:rsidRDefault="006C2027">
            <w:pPr>
              <w:jc w:val="right"/>
              <w:rPr>
                <w:b/>
                <w:bCs/>
                <w:noProof/>
                <w:color w:val="000000"/>
                <w:sz w:val="20"/>
                <w:szCs w:val="20"/>
              </w:rPr>
            </w:pPr>
            <w:r>
              <w:rPr>
                <w:b/>
                <w:noProof/>
                <w:color w:val="000000"/>
                <w:sz w:val="20"/>
              </w:rPr>
              <w:t> </w:t>
            </w:r>
          </w:p>
        </w:tc>
        <w:tc>
          <w:tcPr>
            <w:tcW w:w="1080" w:type="dxa"/>
            <w:tcBorders>
              <w:top w:val="nil"/>
              <w:left w:val="nil"/>
              <w:bottom w:val="single" w:sz="8" w:space="0" w:color="auto"/>
              <w:right w:val="single" w:sz="8" w:space="0" w:color="auto"/>
            </w:tcBorders>
            <w:shd w:val="clear" w:color="auto" w:fill="auto"/>
            <w:noWrap/>
            <w:vAlign w:val="center"/>
            <w:hideMark/>
          </w:tcPr>
          <w:p w:rsidR="003A660B" w:rsidRDefault="006C2027">
            <w:pPr>
              <w:jc w:val="right"/>
              <w:rPr>
                <w:b/>
                <w:bCs/>
                <w:noProof/>
                <w:color w:val="000000"/>
                <w:sz w:val="20"/>
                <w:szCs w:val="20"/>
              </w:rPr>
            </w:pPr>
            <w:r>
              <w:rPr>
                <w:b/>
                <w:noProof/>
                <w:color w:val="000000"/>
                <w:sz w:val="20"/>
              </w:rPr>
              <w:t> </w:t>
            </w:r>
          </w:p>
        </w:tc>
      </w:tr>
      <w:tr w:rsidR="003A660B">
        <w:trPr>
          <w:trHeight w:val="1601"/>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A660B" w:rsidRDefault="006C2027">
            <w:pPr>
              <w:rPr>
                <w:b/>
                <w:bCs/>
                <w:noProof/>
                <w:color w:val="000000"/>
                <w:sz w:val="20"/>
                <w:szCs w:val="20"/>
              </w:rPr>
            </w:pPr>
            <w:r>
              <w:rPr>
                <w:b/>
                <w:noProof/>
                <w:color w:val="000000"/>
                <w:sz w:val="20"/>
              </w:rPr>
              <w:t>Общо за COSME</w:t>
            </w:r>
          </w:p>
        </w:tc>
        <w:tc>
          <w:tcPr>
            <w:tcW w:w="1800" w:type="dxa"/>
            <w:gridSpan w:val="2"/>
            <w:tcBorders>
              <w:top w:val="nil"/>
              <w:left w:val="nil"/>
              <w:bottom w:val="single" w:sz="8" w:space="0" w:color="auto"/>
              <w:right w:val="single" w:sz="8" w:space="0" w:color="auto"/>
            </w:tcBorders>
            <w:shd w:val="clear" w:color="auto" w:fill="auto"/>
            <w:vAlign w:val="center"/>
            <w:hideMark/>
          </w:tcPr>
          <w:p w:rsidR="003A660B" w:rsidRDefault="006C2027">
            <w:pPr>
              <w:rPr>
                <w:b/>
                <w:bCs/>
                <w:noProof/>
                <w:color w:val="000000"/>
                <w:sz w:val="20"/>
                <w:szCs w:val="20"/>
              </w:rPr>
            </w:pPr>
            <w:r>
              <w:rPr>
                <w:b/>
                <w:noProof/>
                <w:color w:val="000000"/>
                <w:sz w:val="20"/>
              </w:rPr>
              <w:t xml:space="preserve">Общ размер на изпълнения бюджет, </w:t>
            </w:r>
            <w:r>
              <w:rPr>
                <w:b/>
                <w:noProof/>
                <w:color w:val="000000"/>
                <w:sz w:val="20"/>
              </w:rPr>
              <w:t>включително административни разходи, след изпълнение на пренесените действия</w:t>
            </w:r>
          </w:p>
        </w:tc>
        <w:tc>
          <w:tcPr>
            <w:tcW w:w="1320" w:type="dxa"/>
            <w:tcBorders>
              <w:top w:val="nil"/>
              <w:left w:val="nil"/>
              <w:bottom w:val="single" w:sz="8" w:space="0" w:color="auto"/>
              <w:right w:val="single" w:sz="8" w:space="0" w:color="auto"/>
            </w:tcBorders>
            <w:shd w:val="clear" w:color="auto" w:fill="auto"/>
            <w:noWrap/>
            <w:vAlign w:val="center"/>
            <w:hideMark/>
          </w:tcPr>
          <w:p w:rsidR="003A660B" w:rsidRDefault="006C2027">
            <w:pPr>
              <w:jc w:val="right"/>
              <w:rPr>
                <w:b/>
                <w:bCs/>
                <w:noProof/>
                <w:color w:val="000000"/>
                <w:sz w:val="20"/>
                <w:szCs w:val="20"/>
              </w:rPr>
            </w:pPr>
            <w:r>
              <w:rPr>
                <w:b/>
                <w:noProof/>
                <w:color w:val="000000"/>
                <w:sz w:val="20"/>
              </w:rPr>
              <w:t>329 300 516</w:t>
            </w:r>
          </w:p>
        </w:tc>
        <w:tc>
          <w:tcPr>
            <w:tcW w:w="1320" w:type="dxa"/>
            <w:tcBorders>
              <w:top w:val="nil"/>
              <w:left w:val="nil"/>
              <w:bottom w:val="single" w:sz="8" w:space="0" w:color="auto"/>
              <w:right w:val="single" w:sz="8" w:space="0" w:color="auto"/>
            </w:tcBorders>
            <w:shd w:val="clear" w:color="auto" w:fill="auto"/>
            <w:noWrap/>
            <w:vAlign w:val="center"/>
            <w:hideMark/>
          </w:tcPr>
          <w:p w:rsidR="003A660B" w:rsidRDefault="006C2027">
            <w:pPr>
              <w:jc w:val="right"/>
              <w:rPr>
                <w:b/>
                <w:bCs/>
                <w:noProof/>
                <w:color w:val="000000"/>
                <w:sz w:val="20"/>
                <w:szCs w:val="20"/>
              </w:rPr>
            </w:pPr>
            <w:r>
              <w:rPr>
                <w:b/>
                <w:noProof/>
                <w:color w:val="000000"/>
                <w:sz w:val="20"/>
              </w:rPr>
              <w:t>326 132 058</w:t>
            </w:r>
          </w:p>
        </w:tc>
        <w:tc>
          <w:tcPr>
            <w:tcW w:w="1080" w:type="dxa"/>
            <w:tcBorders>
              <w:top w:val="nil"/>
              <w:left w:val="nil"/>
              <w:bottom w:val="single" w:sz="8" w:space="0" w:color="auto"/>
              <w:right w:val="single" w:sz="8" w:space="0" w:color="auto"/>
            </w:tcBorders>
            <w:shd w:val="clear" w:color="auto" w:fill="auto"/>
            <w:noWrap/>
            <w:vAlign w:val="center"/>
            <w:hideMark/>
          </w:tcPr>
          <w:p w:rsidR="003A660B" w:rsidRDefault="006C2027">
            <w:pPr>
              <w:jc w:val="right"/>
              <w:rPr>
                <w:b/>
                <w:bCs/>
                <w:noProof/>
                <w:color w:val="000000"/>
                <w:sz w:val="20"/>
                <w:szCs w:val="20"/>
              </w:rPr>
            </w:pPr>
            <w:r>
              <w:rPr>
                <w:b/>
                <w:noProof/>
                <w:color w:val="000000"/>
                <w:sz w:val="20"/>
              </w:rPr>
              <w:t>99,04 %</w:t>
            </w:r>
          </w:p>
        </w:tc>
        <w:tc>
          <w:tcPr>
            <w:tcW w:w="1320" w:type="dxa"/>
            <w:tcBorders>
              <w:top w:val="nil"/>
              <w:left w:val="nil"/>
              <w:bottom w:val="single" w:sz="8" w:space="0" w:color="auto"/>
              <w:right w:val="single" w:sz="8" w:space="0" w:color="auto"/>
            </w:tcBorders>
            <w:shd w:val="clear" w:color="auto" w:fill="auto"/>
            <w:noWrap/>
            <w:vAlign w:val="center"/>
            <w:hideMark/>
          </w:tcPr>
          <w:p w:rsidR="003A660B" w:rsidRDefault="006C2027">
            <w:pPr>
              <w:jc w:val="right"/>
              <w:rPr>
                <w:b/>
                <w:bCs/>
                <w:noProof/>
                <w:color w:val="000000"/>
                <w:sz w:val="20"/>
                <w:szCs w:val="20"/>
              </w:rPr>
            </w:pPr>
            <w:r>
              <w:rPr>
                <w:b/>
                <w:noProof/>
                <w:color w:val="000000"/>
                <w:sz w:val="20"/>
              </w:rPr>
              <w:t>226 425 649</w:t>
            </w:r>
          </w:p>
        </w:tc>
        <w:tc>
          <w:tcPr>
            <w:tcW w:w="1320" w:type="dxa"/>
            <w:tcBorders>
              <w:top w:val="nil"/>
              <w:left w:val="nil"/>
              <w:bottom w:val="single" w:sz="8" w:space="0" w:color="auto"/>
              <w:right w:val="single" w:sz="8" w:space="0" w:color="auto"/>
            </w:tcBorders>
            <w:shd w:val="clear" w:color="auto" w:fill="auto"/>
            <w:noWrap/>
            <w:vAlign w:val="center"/>
            <w:hideMark/>
          </w:tcPr>
          <w:p w:rsidR="003A660B" w:rsidRDefault="006C2027">
            <w:pPr>
              <w:jc w:val="right"/>
              <w:rPr>
                <w:b/>
                <w:bCs/>
                <w:noProof/>
                <w:color w:val="000000"/>
                <w:sz w:val="20"/>
                <w:szCs w:val="20"/>
              </w:rPr>
            </w:pPr>
            <w:r>
              <w:rPr>
                <w:b/>
                <w:noProof/>
                <w:color w:val="000000"/>
                <w:sz w:val="20"/>
              </w:rPr>
              <w:t>200 484 435</w:t>
            </w:r>
          </w:p>
        </w:tc>
        <w:tc>
          <w:tcPr>
            <w:tcW w:w="1080" w:type="dxa"/>
            <w:tcBorders>
              <w:top w:val="nil"/>
              <w:left w:val="nil"/>
              <w:bottom w:val="single" w:sz="8" w:space="0" w:color="auto"/>
              <w:right w:val="single" w:sz="8" w:space="0" w:color="auto"/>
            </w:tcBorders>
            <w:shd w:val="clear" w:color="auto" w:fill="auto"/>
            <w:noWrap/>
            <w:vAlign w:val="center"/>
            <w:hideMark/>
          </w:tcPr>
          <w:p w:rsidR="003A660B" w:rsidRDefault="006C2027">
            <w:pPr>
              <w:jc w:val="right"/>
              <w:rPr>
                <w:b/>
                <w:bCs/>
                <w:noProof/>
                <w:color w:val="000000"/>
                <w:sz w:val="20"/>
                <w:szCs w:val="20"/>
              </w:rPr>
            </w:pPr>
            <w:r>
              <w:rPr>
                <w:b/>
                <w:noProof/>
                <w:color w:val="000000"/>
                <w:sz w:val="20"/>
              </w:rPr>
              <w:t>88,54 %</w:t>
            </w:r>
          </w:p>
        </w:tc>
      </w:tr>
    </w:tbl>
    <w:p w:rsidR="003A660B" w:rsidRDefault="003A660B" w:rsidP="006C2027">
      <w:pPr>
        <w:spacing w:after="60"/>
        <w:rPr>
          <w:noProof/>
          <w:lang w:val="en-GB"/>
        </w:rPr>
      </w:pPr>
      <w:bookmarkStart w:id="32" w:name="_GoBack"/>
      <w:bookmarkEnd w:id="32"/>
    </w:p>
    <w:sectPr w:rsidR="003A660B">
      <w:headerReference w:type="even" r:id="rId23"/>
      <w:headerReference w:type="default" r:id="rId24"/>
      <w:footerReference w:type="even" r:id="rId25"/>
      <w:footerReference w:type="default" r:id="rId26"/>
      <w:headerReference w:type="first" r:id="rId27"/>
      <w:footerReference w:type="first" r:id="rId28"/>
      <w:type w:val="continuous"/>
      <w:pgSz w:w="11906" w:h="16838"/>
      <w:pgMar w:top="1247" w:right="1418" w:bottom="8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60B" w:rsidRDefault="006C2027">
      <w:r>
        <w:separator/>
      </w:r>
    </w:p>
  </w:endnote>
  <w:endnote w:type="continuationSeparator" w:id="0">
    <w:p w:rsidR="003A660B" w:rsidRDefault="006C2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60B" w:rsidRDefault="003A66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60B" w:rsidRDefault="006C2027">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60B" w:rsidRDefault="003A660B">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60B" w:rsidRDefault="006C20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A660B" w:rsidRDefault="003A660B">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7972487"/>
      <w:docPartObj>
        <w:docPartGallery w:val="Page Numbers (Bottom of Page)"/>
        <w:docPartUnique/>
      </w:docPartObj>
    </w:sdtPr>
    <w:sdtEndPr>
      <w:rPr>
        <w:noProof/>
      </w:rPr>
    </w:sdtEndPr>
    <w:sdtContent>
      <w:p w:rsidR="003A660B" w:rsidRDefault="006C2027">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rsidR="003A660B" w:rsidRDefault="003A660B">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60B" w:rsidRDefault="003A660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60B" w:rsidRDefault="006C20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A660B" w:rsidRDefault="003A660B">
    <w:pPr>
      <w:pStyle w:val="Footer"/>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60B" w:rsidRDefault="006C20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rsidR="003A660B" w:rsidRDefault="003A660B">
    <w:pPr>
      <w:pStyle w:val="Footer"/>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60B" w:rsidRDefault="003A66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60B" w:rsidRDefault="006C2027">
      <w:r>
        <w:separator/>
      </w:r>
    </w:p>
  </w:footnote>
  <w:footnote w:type="continuationSeparator" w:id="0">
    <w:p w:rsidR="003A660B" w:rsidRDefault="006C2027">
      <w:r>
        <w:continuationSeparator/>
      </w:r>
    </w:p>
  </w:footnote>
  <w:footnote w:id="1">
    <w:p w:rsidR="003A660B" w:rsidRDefault="006C2027">
      <w:pPr>
        <w:pStyle w:val="FootnoteText"/>
      </w:pPr>
      <w:r>
        <w:rPr>
          <w:rStyle w:val="FootnoteReference"/>
        </w:rPr>
        <w:footnoteRef/>
      </w:r>
      <w:r>
        <w:t xml:space="preserve"> Регламент (ЕС) № 1287/2013 на Европейския парламент и на Съвета от 11 декември 2013 г.</w:t>
      </w:r>
    </w:p>
  </w:footnote>
  <w:footnote w:id="2">
    <w:p w:rsidR="003A660B" w:rsidRDefault="006C2027">
      <w:pPr>
        <w:pStyle w:val="FootnoteText"/>
      </w:pPr>
      <w:r>
        <w:rPr>
          <w:rStyle w:val="FootnoteReference"/>
        </w:rPr>
        <w:footnoteRef/>
      </w:r>
      <w:r>
        <w:t xml:space="preserve"> За повече подробности, моля, вж. приложение 1. </w:t>
      </w:r>
    </w:p>
  </w:footnote>
  <w:footnote w:id="3">
    <w:p w:rsidR="003A660B" w:rsidRDefault="006C2027">
      <w:pPr>
        <w:pStyle w:val="FootnoteText"/>
      </w:pPr>
      <w:r>
        <w:rPr>
          <w:rStyle w:val="FootnoteReference"/>
        </w:rPr>
        <w:footnoteRef/>
      </w:r>
      <w:r>
        <w:t xml:space="preserve"> С(2015) 3767 final.</w:t>
      </w:r>
    </w:p>
  </w:footnote>
  <w:footnote w:id="4">
    <w:p w:rsidR="003A660B" w:rsidRDefault="006C2027">
      <w:pPr>
        <w:pStyle w:val="FootnoteText"/>
      </w:pPr>
      <w:r>
        <w:rPr>
          <w:rStyle w:val="FootnoteReference"/>
        </w:rPr>
        <w:footnoteRef/>
      </w:r>
      <w:r>
        <w:t xml:space="preserve"> С(2015) 4198 final.</w:t>
      </w:r>
    </w:p>
  </w:footnote>
  <w:footnote w:id="5">
    <w:p w:rsidR="003A660B" w:rsidRDefault="006C2027">
      <w:pPr>
        <w:pStyle w:val="FootnoteText"/>
      </w:pPr>
      <w:r>
        <w:rPr>
          <w:rStyle w:val="FootnoteReference"/>
        </w:rPr>
        <w:footnoteRef/>
      </w:r>
      <w:r>
        <w:t xml:space="preserve"> SEC(2013) 493 окончателен </w:t>
      </w:r>
    </w:p>
  </w:footnote>
  <w:footnote w:id="6">
    <w:p w:rsidR="003A660B" w:rsidRDefault="006C2027">
      <w:pPr>
        <w:pStyle w:val="FootnoteText"/>
        <w:ind w:left="284" w:hanging="284"/>
        <w:jc w:val="both"/>
      </w:pPr>
      <w:r>
        <w:rPr>
          <w:rStyle w:val="FootnoteReference"/>
        </w:rPr>
        <w:footnoteRef/>
      </w:r>
      <w:r>
        <w:tab/>
        <w:t>Допълнителна информация е налична като част</w:t>
      </w:r>
      <w:r>
        <w:t xml:space="preserve"> от доклада на Комисията до Европейския парламент и Съвета относно финансовите инструменти, подкрепени от общия бюджет съгласно член 140, параграф 8 от Финансовия регламент към 31 декември 2015 г. (</w:t>
      </w:r>
      <w:hyperlink r:id="rId1">
        <w:r>
          <w:rPr>
            <w:rStyle w:val="Hyperlink"/>
          </w:rPr>
          <w:t>COM(2016) 675 final</w:t>
        </w:r>
      </w:hyperlink>
      <w:r>
        <w:t>) и придружаващия го документ на службите на Комисията (</w:t>
      </w:r>
      <w:hyperlink r:id="rId2">
        <w:r>
          <w:rPr>
            <w:rStyle w:val="Hyperlink"/>
          </w:rPr>
          <w:t>SWD(2016) 335 final</w:t>
        </w:r>
      </w:hyperlink>
      <w:r>
        <w:t>)</w:t>
      </w:r>
      <w:r>
        <w:rPr>
          <w:highlight w:val="yellow"/>
        </w:rPr>
        <w:t xml:space="preserve"> </w:t>
      </w:r>
    </w:p>
    <w:p w:rsidR="003A660B" w:rsidRDefault="003A660B">
      <w:pPr>
        <w:pStyle w:val="FootnoteText"/>
      </w:pPr>
    </w:p>
  </w:footnote>
  <w:footnote w:id="7">
    <w:p w:rsidR="003A660B" w:rsidRDefault="006C2027">
      <w:pPr>
        <w:pStyle w:val="FootnoteText"/>
      </w:pPr>
      <w:r>
        <w:rPr>
          <w:rStyle w:val="FootnoteReference"/>
        </w:rPr>
        <w:footnoteRef/>
      </w:r>
      <w:r>
        <w:t xml:space="preserve"> www.access2finance.eu</w:t>
      </w:r>
    </w:p>
  </w:footnote>
  <w:footnote w:id="8">
    <w:p w:rsidR="003A660B" w:rsidRDefault="006C2027">
      <w:pPr>
        <w:pStyle w:val="FootnoteText"/>
      </w:pPr>
      <w:r>
        <w:rPr>
          <w:rStyle w:val="FootnoteReference"/>
        </w:rPr>
        <w:footnoteRef/>
      </w:r>
      <w:r>
        <w:t xml:space="preserve"> Подробни резул</w:t>
      </w:r>
      <w:r>
        <w:t xml:space="preserve">тати са достъпни на </w:t>
      </w:r>
      <w:hyperlink r:id="rId3">
        <w:r>
          <w:rPr>
            <w:rStyle w:val="Hyperlink"/>
          </w:rPr>
          <w:t>http://ec.europa.eu/growth/safe</w:t>
        </w:r>
      </w:hyperlink>
    </w:p>
  </w:footnote>
  <w:footnote w:id="9">
    <w:p w:rsidR="003A660B" w:rsidRDefault="006C2027">
      <w:pPr>
        <w:pStyle w:val="FootnoteText"/>
      </w:pPr>
      <w:r>
        <w:rPr>
          <w:rStyle w:val="FootnoteReference"/>
        </w:rPr>
        <w:footnoteRef/>
      </w:r>
      <w:r>
        <w:t xml:space="preserve"> </w:t>
      </w:r>
      <w:r>
        <w:rPr>
          <w:rStyle w:val="FootnoteReference"/>
        </w:rPr>
        <w:footnoteRef/>
      </w:r>
      <w:r>
        <w:t xml:space="preserve"> Раздел „ДДС и митници“ вече се нарича „Данъчно облагане“, а „Финансиране“ — „Средства и финансиране“.</w:t>
      </w:r>
    </w:p>
  </w:footnote>
  <w:footnote w:id="10">
    <w:p w:rsidR="003A660B" w:rsidRDefault="006C2027">
      <w:pPr>
        <w:pStyle w:val="FootnoteText"/>
      </w:pPr>
      <w:r>
        <w:rPr>
          <w:rStyle w:val="FootnoteReference"/>
        </w:rPr>
        <w:footnoteRef/>
      </w:r>
      <w:r>
        <w:t xml:space="preserve"> http://ec.europa.eu/DocsRoom/documents/13418/</w:t>
      </w:r>
    </w:p>
  </w:footnote>
  <w:footnote w:id="11">
    <w:p w:rsidR="003A660B" w:rsidRDefault="006C2027">
      <w:pPr>
        <w:pStyle w:val="FootnoteText"/>
      </w:pPr>
      <w:r>
        <w:rPr>
          <w:rStyle w:val="FootnoteReference"/>
        </w:rPr>
        <w:footnoteRef/>
      </w:r>
      <w:r>
        <w:t xml:space="preserve"> Първоначалният пакет беше на стойност 10,8 милиона евро. </w:t>
      </w:r>
    </w:p>
  </w:footnote>
  <w:footnote w:id="12">
    <w:p w:rsidR="003A660B" w:rsidRDefault="006C2027">
      <w:pPr>
        <w:pStyle w:val="FootnoteText"/>
      </w:pPr>
      <w:r>
        <w:rPr>
          <w:rStyle w:val="FootnoteReference"/>
        </w:rPr>
        <w:footnoteRef/>
      </w:r>
      <w:r>
        <w:t xml:space="preserve"> Данните са събрани през 2015 г.</w:t>
      </w:r>
    </w:p>
  </w:footnote>
  <w:footnote w:id="13">
    <w:p w:rsidR="003A660B" w:rsidRDefault="006C2027">
      <w:pPr>
        <w:pStyle w:val="FootnoteText"/>
      </w:pPr>
      <w:r>
        <w:rPr>
          <w:rStyle w:val="FootnoteReference"/>
        </w:rPr>
        <w:footnoteRef/>
      </w:r>
      <w:r>
        <w:t xml:space="preserve"> Включително гласувания бюджет, вноски на трети държави и ЕАСТ и трансфери.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60B" w:rsidRDefault="003A66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60B" w:rsidRDefault="003A660B">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60B" w:rsidRDefault="003A660B">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60B" w:rsidRDefault="003A660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60B" w:rsidRDefault="003A660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60B" w:rsidRDefault="003A660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60B" w:rsidRDefault="003A660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60B" w:rsidRDefault="003A660B">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60B" w:rsidRDefault="003A66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C3CEB"/>
    <w:multiLevelType w:val="hybridMultilevel"/>
    <w:tmpl w:val="8D2685F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08420232"/>
    <w:multiLevelType w:val="hybridMultilevel"/>
    <w:tmpl w:val="6110396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0C0A1785"/>
    <w:multiLevelType w:val="hybridMultilevel"/>
    <w:tmpl w:val="FC82D556"/>
    <w:lvl w:ilvl="0" w:tplc="040A0001">
      <w:start w:val="1"/>
      <w:numFmt w:val="bullet"/>
      <w:lvlText w:val=""/>
      <w:lvlJc w:val="left"/>
      <w:pPr>
        <w:ind w:left="1800" w:hanging="360"/>
      </w:pPr>
      <w:rPr>
        <w:rFonts w:ascii="Symbol" w:hAnsi="Symbol" w:hint="default"/>
      </w:rPr>
    </w:lvl>
    <w:lvl w:ilvl="1" w:tplc="040A0003" w:tentative="1">
      <w:start w:val="1"/>
      <w:numFmt w:val="bullet"/>
      <w:lvlText w:val="o"/>
      <w:lvlJc w:val="left"/>
      <w:pPr>
        <w:ind w:left="2520" w:hanging="360"/>
      </w:pPr>
      <w:rPr>
        <w:rFonts w:ascii="Courier New" w:hAnsi="Courier New" w:cs="Courier New" w:hint="default"/>
      </w:rPr>
    </w:lvl>
    <w:lvl w:ilvl="2" w:tplc="040A0005" w:tentative="1">
      <w:start w:val="1"/>
      <w:numFmt w:val="bullet"/>
      <w:lvlText w:val=""/>
      <w:lvlJc w:val="left"/>
      <w:pPr>
        <w:ind w:left="3240" w:hanging="360"/>
      </w:pPr>
      <w:rPr>
        <w:rFonts w:ascii="Wingdings" w:hAnsi="Wingdings" w:hint="default"/>
      </w:rPr>
    </w:lvl>
    <w:lvl w:ilvl="3" w:tplc="040A0001" w:tentative="1">
      <w:start w:val="1"/>
      <w:numFmt w:val="bullet"/>
      <w:lvlText w:val=""/>
      <w:lvlJc w:val="left"/>
      <w:pPr>
        <w:ind w:left="3960" w:hanging="360"/>
      </w:pPr>
      <w:rPr>
        <w:rFonts w:ascii="Symbol" w:hAnsi="Symbol" w:hint="default"/>
      </w:rPr>
    </w:lvl>
    <w:lvl w:ilvl="4" w:tplc="040A0003" w:tentative="1">
      <w:start w:val="1"/>
      <w:numFmt w:val="bullet"/>
      <w:lvlText w:val="o"/>
      <w:lvlJc w:val="left"/>
      <w:pPr>
        <w:ind w:left="4680" w:hanging="360"/>
      </w:pPr>
      <w:rPr>
        <w:rFonts w:ascii="Courier New" w:hAnsi="Courier New" w:cs="Courier New" w:hint="default"/>
      </w:rPr>
    </w:lvl>
    <w:lvl w:ilvl="5" w:tplc="040A0005" w:tentative="1">
      <w:start w:val="1"/>
      <w:numFmt w:val="bullet"/>
      <w:lvlText w:val=""/>
      <w:lvlJc w:val="left"/>
      <w:pPr>
        <w:ind w:left="5400" w:hanging="360"/>
      </w:pPr>
      <w:rPr>
        <w:rFonts w:ascii="Wingdings" w:hAnsi="Wingdings" w:hint="default"/>
      </w:rPr>
    </w:lvl>
    <w:lvl w:ilvl="6" w:tplc="040A0001" w:tentative="1">
      <w:start w:val="1"/>
      <w:numFmt w:val="bullet"/>
      <w:lvlText w:val=""/>
      <w:lvlJc w:val="left"/>
      <w:pPr>
        <w:ind w:left="6120" w:hanging="360"/>
      </w:pPr>
      <w:rPr>
        <w:rFonts w:ascii="Symbol" w:hAnsi="Symbol" w:hint="default"/>
      </w:rPr>
    </w:lvl>
    <w:lvl w:ilvl="7" w:tplc="040A0003" w:tentative="1">
      <w:start w:val="1"/>
      <w:numFmt w:val="bullet"/>
      <w:lvlText w:val="o"/>
      <w:lvlJc w:val="left"/>
      <w:pPr>
        <w:ind w:left="6840" w:hanging="360"/>
      </w:pPr>
      <w:rPr>
        <w:rFonts w:ascii="Courier New" w:hAnsi="Courier New" w:cs="Courier New" w:hint="default"/>
      </w:rPr>
    </w:lvl>
    <w:lvl w:ilvl="8" w:tplc="040A0005" w:tentative="1">
      <w:start w:val="1"/>
      <w:numFmt w:val="bullet"/>
      <w:lvlText w:val=""/>
      <w:lvlJc w:val="left"/>
      <w:pPr>
        <w:ind w:left="7560" w:hanging="360"/>
      </w:pPr>
      <w:rPr>
        <w:rFonts w:ascii="Wingdings" w:hAnsi="Wingdings" w:hint="default"/>
      </w:rPr>
    </w:lvl>
  </w:abstractNum>
  <w:abstractNum w:abstractNumId="3">
    <w:nsid w:val="0CB51CF0"/>
    <w:multiLevelType w:val="hybridMultilevel"/>
    <w:tmpl w:val="97F622C8"/>
    <w:lvl w:ilvl="0" w:tplc="040A0001">
      <w:start w:val="1"/>
      <w:numFmt w:val="bullet"/>
      <w:lvlText w:val=""/>
      <w:lvlJc w:val="left"/>
      <w:pPr>
        <w:ind w:left="720" w:hanging="360"/>
      </w:pPr>
      <w:rPr>
        <w:rFonts w:ascii="Symbol" w:hAnsi="Symbol" w:hint="default"/>
      </w:rPr>
    </w:lvl>
    <w:lvl w:ilvl="1" w:tplc="BA26B3D6">
      <w:numFmt w:val="bullet"/>
      <w:lvlText w:val="-"/>
      <w:lvlJc w:val="left"/>
      <w:pPr>
        <w:ind w:left="1440" w:hanging="360"/>
      </w:pPr>
      <w:rPr>
        <w:rFonts w:ascii="Times New Roman" w:eastAsia="Times New Roman" w:hAnsi="Times New Roman" w:cs="Times New Roman"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182027CC"/>
    <w:multiLevelType w:val="multilevel"/>
    <w:tmpl w:val="DF600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CA0485"/>
    <w:multiLevelType w:val="hybridMultilevel"/>
    <w:tmpl w:val="0D98C0D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734306"/>
    <w:multiLevelType w:val="multilevel"/>
    <w:tmpl w:val="8F006F84"/>
    <w:lvl w:ilvl="0">
      <w:start w:val="1"/>
      <w:numFmt w:val="upperLetter"/>
      <w:lvlText w:val="%1."/>
      <w:lvlJc w:val="left"/>
      <w:pPr>
        <w:tabs>
          <w:tab w:val="num" w:pos="360"/>
        </w:tabs>
        <w:ind w:left="360" w:hanging="360"/>
      </w:pPr>
      <w:rPr>
        <w:rFonts w:hint="default"/>
      </w:rPr>
    </w:lvl>
    <w:lvl w:ilvl="1">
      <w:numFmt w:val="none"/>
      <w:pStyle w:val="Heading2"/>
      <w:lvlText w:val=""/>
      <w:lvlJc w:val="left"/>
      <w:pPr>
        <w:tabs>
          <w:tab w:val="num" w:pos="360"/>
        </w:tabs>
      </w:pPr>
    </w:lvl>
    <w:lvl w:ilvl="2">
      <w:numFmt w:val="none"/>
      <w:pStyle w:val="Heading3"/>
      <w:lvlText w:val=""/>
      <w:lvlJc w:val="left"/>
      <w:pPr>
        <w:tabs>
          <w:tab w:val="num" w:pos="360"/>
        </w:tabs>
      </w:pPr>
    </w:lvl>
    <w:lvl w:ilvl="3">
      <w:numFmt w:val="none"/>
      <w:pStyle w:val="Heading4"/>
      <w:lvlText w:val=""/>
      <w:lvlJc w:val="left"/>
      <w:pPr>
        <w:tabs>
          <w:tab w:val="num" w:pos="360"/>
        </w:tabs>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4D6D32"/>
    <w:multiLevelType w:val="hybridMultilevel"/>
    <w:tmpl w:val="ABDA4310"/>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nsid w:val="221C4D82"/>
    <w:multiLevelType w:val="hybridMultilevel"/>
    <w:tmpl w:val="5E44F348"/>
    <w:lvl w:ilvl="0" w:tplc="040A0001">
      <w:start w:val="1"/>
      <w:numFmt w:val="bullet"/>
      <w:lvlText w:val=""/>
      <w:lvlJc w:val="left"/>
      <w:pPr>
        <w:ind w:left="719" w:hanging="435"/>
      </w:pPr>
      <w:rPr>
        <w:rFonts w:ascii="Symbol" w:hAnsi="Symbol" w:hint="default"/>
      </w:rPr>
    </w:lvl>
    <w:lvl w:ilvl="1" w:tplc="040A0001">
      <w:start w:val="1"/>
      <w:numFmt w:val="bullet"/>
      <w:lvlText w:val=""/>
      <w:lvlJc w:val="left"/>
      <w:pPr>
        <w:ind w:left="1439" w:hanging="435"/>
      </w:pPr>
      <w:rPr>
        <w:rFonts w:ascii="Symbol" w:hAnsi="Symbol" w:hint="default"/>
      </w:rPr>
    </w:lvl>
    <w:lvl w:ilvl="2" w:tplc="040A0005" w:tentative="1">
      <w:start w:val="1"/>
      <w:numFmt w:val="bullet"/>
      <w:lvlText w:val=""/>
      <w:lvlJc w:val="left"/>
      <w:pPr>
        <w:ind w:left="2084" w:hanging="360"/>
      </w:pPr>
      <w:rPr>
        <w:rFonts w:ascii="Wingdings" w:hAnsi="Wingdings" w:hint="default"/>
      </w:rPr>
    </w:lvl>
    <w:lvl w:ilvl="3" w:tplc="040A0001" w:tentative="1">
      <w:start w:val="1"/>
      <w:numFmt w:val="bullet"/>
      <w:lvlText w:val=""/>
      <w:lvlJc w:val="left"/>
      <w:pPr>
        <w:ind w:left="2804" w:hanging="360"/>
      </w:pPr>
      <w:rPr>
        <w:rFonts w:ascii="Symbol" w:hAnsi="Symbol" w:hint="default"/>
      </w:rPr>
    </w:lvl>
    <w:lvl w:ilvl="4" w:tplc="040A0003" w:tentative="1">
      <w:start w:val="1"/>
      <w:numFmt w:val="bullet"/>
      <w:lvlText w:val="o"/>
      <w:lvlJc w:val="left"/>
      <w:pPr>
        <w:ind w:left="3524" w:hanging="360"/>
      </w:pPr>
      <w:rPr>
        <w:rFonts w:ascii="Courier New" w:hAnsi="Courier New" w:cs="Courier New" w:hint="default"/>
      </w:rPr>
    </w:lvl>
    <w:lvl w:ilvl="5" w:tplc="040A0005" w:tentative="1">
      <w:start w:val="1"/>
      <w:numFmt w:val="bullet"/>
      <w:lvlText w:val=""/>
      <w:lvlJc w:val="left"/>
      <w:pPr>
        <w:ind w:left="4244" w:hanging="360"/>
      </w:pPr>
      <w:rPr>
        <w:rFonts w:ascii="Wingdings" w:hAnsi="Wingdings" w:hint="default"/>
      </w:rPr>
    </w:lvl>
    <w:lvl w:ilvl="6" w:tplc="040A0001" w:tentative="1">
      <w:start w:val="1"/>
      <w:numFmt w:val="bullet"/>
      <w:lvlText w:val=""/>
      <w:lvlJc w:val="left"/>
      <w:pPr>
        <w:ind w:left="4964" w:hanging="360"/>
      </w:pPr>
      <w:rPr>
        <w:rFonts w:ascii="Symbol" w:hAnsi="Symbol" w:hint="default"/>
      </w:rPr>
    </w:lvl>
    <w:lvl w:ilvl="7" w:tplc="040A0003" w:tentative="1">
      <w:start w:val="1"/>
      <w:numFmt w:val="bullet"/>
      <w:lvlText w:val="o"/>
      <w:lvlJc w:val="left"/>
      <w:pPr>
        <w:ind w:left="5684" w:hanging="360"/>
      </w:pPr>
      <w:rPr>
        <w:rFonts w:ascii="Courier New" w:hAnsi="Courier New" w:cs="Courier New" w:hint="default"/>
      </w:rPr>
    </w:lvl>
    <w:lvl w:ilvl="8" w:tplc="040A0005" w:tentative="1">
      <w:start w:val="1"/>
      <w:numFmt w:val="bullet"/>
      <w:lvlText w:val=""/>
      <w:lvlJc w:val="left"/>
      <w:pPr>
        <w:ind w:left="6404" w:hanging="360"/>
      </w:pPr>
      <w:rPr>
        <w:rFonts w:ascii="Wingdings" w:hAnsi="Wingdings" w:hint="default"/>
      </w:rPr>
    </w:lvl>
  </w:abstractNum>
  <w:abstractNum w:abstractNumId="9">
    <w:nsid w:val="22DD3599"/>
    <w:multiLevelType w:val="multilevel"/>
    <w:tmpl w:val="AE28B0DA"/>
    <w:lvl w:ilvl="0">
      <w:numFmt w:val="decimal"/>
      <w:pStyle w:val="ListNumber"/>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787B99"/>
    <w:multiLevelType w:val="hybridMultilevel"/>
    <w:tmpl w:val="9EEE999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nsid w:val="23CD1E14"/>
    <w:multiLevelType w:val="hybridMultilevel"/>
    <w:tmpl w:val="20024004"/>
    <w:lvl w:ilvl="0" w:tplc="5F7A5736">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12">
    <w:nsid w:val="26792896"/>
    <w:multiLevelType w:val="hybridMultilevel"/>
    <w:tmpl w:val="569E424E"/>
    <w:lvl w:ilvl="0" w:tplc="040A0001">
      <w:start w:val="1"/>
      <w:numFmt w:val="bullet"/>
      <w:lvlText w:val=""/>
      <w:lvlJc w:val="left"/>
      <w:pPr>
        <w:ind w:left="780" w:hanging="360"/>
      </w:pPr>
      <w:rPr>
        <w:rFonts w:ascii="Symbol" w:hAnsi="Symbol" w:hint="default"/>
      </w:rPr>
    </w:lvl>
    <w:lvl w:ilvl="1" w:tplc="040A0003" w:tentative="1">
      <w:start w:val="1"/>
      <w:numFmt w:val="bullet"/>
      <w:lvlText w:val="o"/>
      <w:lvlJc w:val="left"/>
      <w:pPr>
        <w:ind w:left="1500" w:hanging="360"/>
      </w:pPr>
      <w:rPr>
        <w:rFonts w:ascii="Courier New" w:hAnsi="Courier New" w:cs="Courier New" w:hint="default"/>
      </w:rPr>
    </w:lvl>
    <w:lvl w:ilvl="2" w:tplc="040A0005" w:tentative="1">
      <w:start w:val="1"/>
      <w:numFmt w:val="bullet"/>
      <w:lvlText w:val=""/>
      <w:lvlJc w:val="left"/>
      <w:pPr>
        <w:ind w:left="2220" w:hanging="360"/>
      </w:pPr>
      <w:rPr>
        <w:rFonts w:ascii="Wingdings" w:hAnsi="Wingdings" w:hint="default"/>
      </w:rPr>
    </w:lvl>
    <w:lvl w:ilvl="3" w:tplc="040A0001" w:tentative="1">
      <w:start w:val="1"/>
      <w:numFmt w:val="bullet"/>
      <w:lvlText w:val=""/>
      <w:lvlJc w:val="left"/>
      <w:pPr>
        <w:ind w:left="2940" w:hanging="360"/>
      </w:pPr>
      <w:rPr>
        <w:rFonts w:ascii="Symbol" w:hAnsi="Symbol" w:hint="default"/>
      </w:rPr>
    </w:lvl>
    <w:lvl w:ilvl="4" w:tplc="040A0003" w:tentative="1">
      <w:start w:val="1"/>
      <w:numFmt w:val="bullet"/>
      <w:lvlText w:val="o"/>
      <w:lvlJc w:val="left"/>
      <w:pPr>
        <w:ind w:left="3660" w:hanging="360"/>
      </w:pPr>
      <w:rPr>
        <w:rFonts w:ascii="Courier New" w:hAnsi="Courier New" w:cs="Courier New" w:hint="default"/>
      </w:rPr>
    </w:lvl>
    <w:lvl w:ilvl="5" w:tplc="040A0005" w:tentative="1">
      <w:start w:val="1"/>
      <w:numFmt w:val="bullet"/>
      <w:lvlText w:val=""/>
      <w:lvlJc w:val="left"/>
      <w:pPr>
        <w:ind w:left="4380" w:hanging="360"/>
      </w:pPr>
      <w:rPr>
        <w:rFonts w:ascii="Wingdings" w:hAnsi="Wingdings" w:hint="default"/>
      </w:rPr>
    </w:lvl>
    <w:lvl w:ilvl="6" w:tplc="040A0001" w:tentative="1">
      <w:start w:val="1"/>
      <w:numFmt w:val="bullet"/>
      <w:lvlText w:val=""/>
      <w:lvlJc w:val="left"/>
      <w:pPr>
        <w:ind w:left="5100" w:hanging="360"/>
      </w:pPr>
      <w:rPr>
        <w:rFonts w:ascii="Symbol" w:hAnsi="Symbol" w:hint="default"/>
      </w:rPr>
    </w:lvl>
    <w:lvl w:ilvl="7" w:tplc="040A0003" w:tentative="1">
      <w:start w:val="1"/>
      <w:numFmt w:val="bullet"/>
      <w:lvlText w:val="o"/>
      <w:lvlJc w:val="left"/>
      <w:pPr>
        <w:ind w:left="5820" w:hanging="360"/>
      </w:pPr>
      <w:rPr>
        <w:rFonts w:ascii="Courier New" w:hAnsi="Courier New" w:cs="Courier New" w:hint="default"/>
      </w:rPr>
    </w:lvl>
    <w:lvl w:ilvl="8" w:tplc="040A0005" w:tentative="1">
      <w:start w:val="1"/>
      <w:numFmt w:val="bullet"/>
      <w:lvlText w:val=""/>
      <w:lvlJc w:val="left"/>
      <w:pPr>
        <w:ind w:left="6540" w:hanging="360"/>
      </w:pPr>
      <w:rPr>
        <w:rFonts w:ascii="Wingdings" w:hAnsi="Wingdings" w:hint="default"/>
      </w:rPr>
    </w:lvl>
  </w:abstractNum>
  <w:abstractNum w:abstractNumId="13">
    <w:nsid w:val="28EA4FBB"/>
    <w:multiLevelType w:val="hybridMultilevel"/>
    <w:tmpl w:val="0B78479C"/>
    <w:lvl w:ilvl="0" w:tplc="040A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B4B1B7C"/>
    <w:multiLevelType w:val="hybridMultilevel"/>
    <w:tmpl w:val="2D044A3A"/>
    <w:lvl w:ilvl="0" w:tplc="040A0001">
      <w:start w:val="1"/>
      <w:numFmt w:val="bullet"/>
      <w:lvlText w:val=""/>
      <w:lvlJc w:val="left"/>
      <w:pPr>
        <w:ind w:left="3600" w:hanging="360"/>
      </w:pPr>
      <w:rPr>
        <w:rFonts w:ascii="Symbol" w:hAnsi="Symbol" w:hint="default"/>
      </w:rPr>
    </w:lvl>
    <w:lvl w:ilvl="1" w:tplc="040A0003" w:tentative="1">
      <w:start w:val="1"/>
      <w:numFmt w:val="bullet"/>
      <w:lvlText w:val="o"/>
      <w:lvlJc w:val="left"/>
      <w:pPr>
        <w:ind w:left="4320" w:hanging="360"/>
      </w:pPr>
      <w:rPr>
        <w:rFonts w:ascii="Courier New" w:hAnsi="Courier New" w:cs="Courier New" w:hint="default"/>
      </w:rPr>
    </w:lvl>
    <w:lvl w:ilvl="2" w:tplc="040A0005" w:tentative="1">
      <w:start w:val="1"/>
      <w:numFmt w:val="bullet"/>
      <w:lvlText w:val=""/>
      <w:lvlJc w:val="left"/>
      <w:pPr>
        <w:ind w:left="5040" w:hanging="360"/>
      </w:pPr>
      <w:rPr>
        <w:rFonts w:ascii="Wingdings" w:hAnsi="Wingdings" w:hint="default"/>
      </w:rPr>
    </w:lvl>
    <w:lvl w:ilvl="3" w:tplc="040A0001" w:tentative="1">
      <w:start w:val="1"/>
      <w:numFmt w:val="bullet"/>
      <w:lvlText w:val=""/>
      <w:lvlJc w:val="left"/>
      <w:pPr>
        <w:ind w:left="5760" w:hanging="360"/>
      </w:pPr>
      <w:rPr>
        <w:rFonts w:ascii="Symbol" w:hAnsi="Symbol" w:hint="default"/>
      </w:rPr>
    </w:lvl>
    <w:lvl w:ilvl="4" w:tplc="040A0003" w:tentative="1">
      <w:start w:val="1"/>
      <w:numFmt w:val="bullet"/>
      <w:lvlText w:val="o"/>
      <w:lvlJc w:val="left"/>
      <w:pPr>
        <w:ind w:left="6480" w:hanging="360"/>
      </w:pPr>
      <w:rPr>
        <w:rFonts w:ascii="Courier New" w:hAnsi="Courier New" w:cs="Courier New" w:hint="default"/>
      </w:rPr>
    </w:lvl>
    <w:lvl w:ilvl="5" w:tplc="040A0005" w:tentative="1">
      <w:start w:val="1"/>
      <w:numFmt w:val="bullet"/>
      <w:lvlText w:val=""/>
      <w:lvlJc w:val="left"/>
      <w:pPr>
        <w:ind w:left="7200" w:hanging="360"/>
      </w:pPr>
      <w:rPr>
        <w:rFonts w:ascii="Wingdings" w:hAnsi="Wingdings" w:hint="default"/>
      </w:rPr>
    </w:lvl>
    <w:lvl w:ilvl="6" w:tplc="040A0001" w:tentative="1">
      <w:start w:val="1"/>
      <w:numFmt w:val="bullet"/>
      <w:lvlText w:val=""/>
      <w:lvlJc w:val="left"/>
      <w:pPr>
        <w:ind w:left="7920" w:hanging="360"/>
      </w:pPr>
      <w:rPr>
        <w:rFonts w:ascii="Symbol" w:hAnsi="Symbol" w:hint="default"/>
      </w:rPr>
    </w:lvl>
    <w:lvl w:ilvl="7" w:tplc="040A0003" w:tentative="1">
      <w:start w:val="1"/>
      <w:numFmt w:val="bullet"/>
      <w:lvlText w:val="o"/>
      <w:lvlJc w:val="left"/>
      <w:pPr>
        <w:ind w:left="8640" w:hanging="360"/>
      </w:pPr>
      <w:rPr>
        <w:rFonts w:ascii="Courier New" w:hAnsi="Courier New" w:cs="Courier New" w:hint="default"/>
      </w:rPr>
    </w:lvl>
    <w:lvl w:ilvl="8" w:tplc="040A0005" w:tentative="1">
      <w:start w:val="1"/>
      <w:numFmt w:val="bullet"/>
      <w:lvlText w:val=""/>
      <w:lvlJc w:val="left"/>
      <w:pPr>
        <w:ind w:left="9360" w:hanging="360"/>
      </w:pPr>
      <w:rPr>
        <w:rFonts w:ascii="Wingdings" w:hAnsi="Wingdings" w:hint="default"/>
      </w:rPr>
    </w:lvl>
  </w:abstractNum>
  <w:abstractNum w:abstractNumId="15">
    <w:nsid w:val="2D7E098A"/>
    <w:multiLevelType w:val="hybridMultilevel"/>
    <w:tmpl w:val="4EAA560C"/>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6">
    <w:nsid w:val="30D170E2"/>
    <w:multiLevelType w:val="hybridMultilevel"/>
    <w:tmpl w:val="A5203BCE"/>
    <w:lvl w:ilvl="0" w:tplc="08090017">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17">
    <w:nsid w:val="31141634"/>
    <w:multiLevelType w:val="hybridMultilevel"/>
    <w:tmpl w:val="0FFC75C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nsid w:val="31247B25"/>
    <w:multiLevelType w:val="hybridMultilevel"/>
    <w:tmpl w:val="3F121CB6"/>
    <w:lvl w:ilvl="0" w:tplc="9C249D90">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19">
    <w:nsid w:val="32151CBF"/>
    <w:multiLevelType w:val="hybridMultilevel"/>
    <w:tmpl w:val="DF86D2FA"/>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20">
    <w:nsid w:val="34293F3F"/>
    <w:multiLevelType w:val="singleLevel"/>
    <w:tmpl w:val="B074E4EC"/>
    <w:lvl w:ilvl="0">
      <w:numFmt w:val="decimal"/>
      <w:pStyle w:val="ListDash"/>
      <w:lvlText w:val=""/>
      <w:lvlJc w:val="left"/>
    </w:lvl>
  </w:abstractNum>
  <w:abstractNum w:abstractNumId="21">
    <w:nsid w:val="3D2C01B0"/>
    <w:multiLevelType w:val="hybridMultilevel"/>
    <w:tmpl w:val="B62C3C3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nsid w:val="44F53D50"/>
    <w:multiLevelType w:val="hybridMultilevel"/>
    <w:tmpl w:val="C2F0174A"/>
    <w:lvl w:ilvl="0" w:tplc="040A0001">
      <w:start w:val="1"/>
      <w:numFmt w:val="bullet"/>
      <w:lvlText w:val=""/>
      <w:lvlJc w:val="left"/>
      <w:pPr>
        <w:ind w:left="720" w:hanging="360"/>
      </w:pPr>
      <w:rPr>
        <w:rFonts w:ascii="Symbol" w:hAnsi="Symbol" w:hint="default"/>
      </w:rPr>
    </w:lvl>
    <w:lvl w:ilvl="1" w:tplc="BA26B3D6">
      <w:numFmt w:val="bullet"/>
      <w:lvlText w:val="-"/>
      <w:lvlJc w:val="left"/>
      <w:pPr>
        <w:ind w:left="1440" w:hanging="360"/>
      </w:pPr>
      <w:rPr>
        <w:rFonts w:ascii="Times New Roman" w:eastAsia="Times New Roman" w:hAnsi="Times New Roman" w:cs="Times New Roman"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nsid w:val="4B6C310D"/>
    <w:multiLevelType w:val="hybridMultilevel"/>
    <w:tmpl w:val="E662DDB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nsid w:val="4C7E3131"/>
    <w:multiLevelType w:val="hybridMultilevel"/>
    <w:tmpl w:val="8500B4D8"/>
    <w:lvl w:ilvl="0" w:tplc="040A0001">
      <w:start w:val="1"/>
      <w:numFmt w:val="bullet"/>
      <w:lvlText w:val=""/>
      <w:lvlJc w:val="left"/>
      <w:rPr>
        <w:rFonts w:ascii="Symbol" w:hAnsi="Symbol" w:hint="default"/>
      </w:rPr>
    </w:lvl>
    <w:lvl w:ilvl="1" w:tplc="040A0001">
      <w:start w:val="1"/>
      <w:numFmt w:val="bullet"/>
      <w:lvlText w:val=""/>
      <w:lvlJc w:val="left"/>
      <w:rPr>
        <w:rFonts w:ascii="Symbol" w:hAnsi="Symbol" w:hint="default"/>
      </w:rPr>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25">
    <w:nsid w:val="50602B7F"/>
    <w:multiLevelType w:val="hybridMultilevel"/>
    <w:tmpl w:val="CE40F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2F95557"/>
    <w:multiLevelType w:val="multilevel"/>
    <w:tmpl w:val="71901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30227B0"/>
    <w:multiLevelType w:val="hybridMultilevel"/>
    <w:tmpl w:val="E74CCEC4"/>
    <w:lvl w:ilvl="0" w:tplc="4574C59E">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8">
    <w:nsid w:val="55AC74C0"/>
    <w:multiLevelType w:val="hybridMultilevel"/>
    <w:tmpl w:val="10CE2A6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nsid w:val="564F4A77"/>
    <w:multiLevelType w:val="hybridMultilevel"/>
    <w:tmpl w:val="02D4F15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0">
    <w:nsid w:val="5C3810DA"/>
    <w:multiLevelType w:val="hybridMultilevel"/>
    <w:tmpl w:val="3D4A8D4C"/>
    <w:lvl w:ilvl="0" w:tplc="040A0001">
      <w:start w:val="1"/>
      <w:numFmt w:val="bullet"/>
      <w:lvlText w:val=""/>
      <w:lvlJc w:val="left"/>
      <w:pPr>
        <w:ind w:left="862" w:hanging="360"/>
      </w:pPr>
      <w:rPr>
        <w:rFonts w:ascii="Symbol" w:hAnsi="Symbol" w:hint="default"/>
      </w:rPr>
    </w:lvl>
    <w:lvl w:ilvl="1" w:tplc="040A0003" w:tentative="1">
      <w:start w:val="1"/>
      <w:numFmt w:val="bullet"/>
      <w:lvlText w:val="o"/>
      <w:lvlJc w:val="left"/>
      <w:pPr>
        <w:ind w:left="1582" w:hanging="360"/>
      </w:pPr>
      <w:rPr>
        <w:rFonts w:ascii="Courier New" w:hAnsi="Courier New" w:cs="Courier New" w:hint="default"/>
      </w:rPr>
    </w:lvl>
    <w:lvl w:ilvl="2" w:tplc="040A0005" w:tentative="1">
      <w:start w:val="1"/>
      <w:numFmt w:val="bullet"/>
      <w:lvlText w:val=""/>
      <w:lvlJc w:val="left"/>
      <w:pPr>
        <w:ind w:left="2302" w:hanging="360"/>
      </w:pPr>
      <w:rPr>
        <w:rFonts w:ascii="Wingdings" w:hAnsi="Wingdings" w:hint="default"/>
      </w:rPr>
    </w:lvl>
    <w:lvl w:ilvl="3" w:tplc="040A0001" w:tentative="1">
      <w:start w:val="1"/>
      <w:numFmt w:val="bullet"/>
      <w:lvlText w:val=""/>
      <w:lvlJc w:val="left"/>
      <w:pPr>
        <w:ind w:left="3022" w:hanging="360"/>
      </w:pPr>
      <w:rPr>
        <w:rFonts w:ascii="Symbol" w:hAnsi="Symbol" w:hint="default"/>
      </w:rPr>
    </w:lvl>
    <w:lvl w:ilvl="4" w:tplc="040A0003" w:tentative="1">
      <w:start w:val="1"/>
      <w:numFmt w:val="bullet"/>
      <w:lvlText w:val="o"/>
      <w:lvlJc w:val="left"/>
      <w:pPr>
        <w:ind w:left="3742" w:hanging="360"/>
      </w:pPr>
      <w:rPr>
        <w:rFonts w:ascii="Courier New" w:hAnsi="Courier New" w:cs="Courier New" w:hint="default"/>
      </w:rPr>
    </w:lvl>
    <w:lvl w:ilvl="5" w:tplc="040A0005" w:tentative="1">
      <w:start w:val="1"/>
      <w:numFmt w:val="bullet"/>
      <w:lvlText w:val=""/>
      <w:lvlJc w:val="left"/>
      <w:pPr>
        <w:ind w:left="4462" w:hanging="360"/>
      </w:pPr>
      <w:rPr>
        <w:rFonts w:ascii="Wingdings" w:hAnsi="Wingdings" w:hint="default"/>
      </w:rPr>
    </w:lvl>
    <w:lvl w:ilvl="6" w:tplc="040A0001" w:tentative="1">
      <w:start w:val="1"/>
      <w:numFmt w:val="bullet"/>
      <w:lvlText w:val=""/>
      <w:lvlJc w:val="left"/>
      <w:pPr>
        <w:ind w:left="5182" w:hanging="360"/>
      </w:pPr>
      <w:rPr>
        <w:rFonts w:ascii="Symbol" w:hAnsi="Symbol" w:hint="default"/>
      </w:rPr>
    </w:lvl>
    <w:lvl w:ilvl="7" w:tplc="040A0003" w:tentative="1">
      <w:start w:val="1"/>
      <w:numFmt w:val="bullet"/>
      <w:lvlText w:val="o"/>
      <w:lvlJc w:val="left"/>
      <w:pPr>
        <w:ind w:left="5902" w:hanging="360"/>
      </w:pPr>
      <w:rPr>
        <w:rFonts w:ascii="Courier New" w:hAnsi="Courier New" w:cs="Courier New" w:hint="default"/>
      </w:rPr>
    </w:lvl>
    <w:lvl w:ilvl="8" w:tplc="040A0005" w:tentative="1">
      <w:start w:val="1"/>
      <w:numFmt w:val="bullet"/>
      <w:lvlText w:val=""/>
      <w:lvlJc w:val="left"/>
      <w:pPr>
        <w:ind w:left="6622" w:hanging="360"/>
      </w:pPr>
      <w:rPr>
        <w:rFonts w:ascii="Wingdings" w:hAnsi="Wingdings" w:hint="default"/>
      </w:rPr>
    </w:lvl>
  </w:abstractNum>
  <w:abstractNum w:abstractNumId="31">
    <w:nsid w:val="5FEF30CE"/>
    <w:multiLevelType w:val="hybridMultilevel"/>
    <w:tmpl w:val="C38EBFA4"/>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2">
    <w:nsid w:val="67D10605"/>
    <w:multiLevelType w:val="hybridMultilevel"/>
    <w:tmpl w:val="108AF9B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3">
    <w:nsid w:val="69CB528A"/>
    <w:multiLevelType w:val="hybridMultilevel"/>
    <w:tmpl w:val="4A10C9B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4">
    <w:nsid w:val="6AC26060"/>
    <w:multiLevelType w:val="hybridMultilevel"/>
    <w:tmpl w:val="2FC8977C"/>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5">
    <w:nsid w:val="79C00982"/>
    <w:multiLevelType w:val="hybridMultilevel"/>
    <w:tmpl w:val="E898D42C"/>
    <w:lvl w:ilvl="0" w:tplc="040A0001">
      <w:start w:val="1"/>
      <w:numFmt w:val="bullet"/>
      <w:lvlText w:val=""/>
      <w:lvlJc w:val="left"/>
      <w:rPr>
        <w:rFonts w:ascii="Symbol" w:hAnsi="Symbol" w:hint="default"/>
      </w:rPr>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36">
    <w:nsid w:val="7C4E0094"/>
    <w:multiLevelType w:val="hybridMultilevel"/>
    <w:tmpl w:val="F3DE2C04"/>
    <w:lvl w:ilvl="0" w:tplc="08BEB838">
      <w:numFmt w:val="bullet"/>
      <w:lvlText w:val="•"/>
      <w:lvlJc w:val="left"/>
      <w:pPr>
        <w:ind w:left="1080" w:hanging="72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7">
    <w:nsid w:val="7C7F7015"/>
    <w:multiLevelType w:val="hybridMultilevel"/>
    <w:tmpl w:val="76F03EB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8">
    <w:nsid w:val="7E7D61C2"/>
    <w:multiLevelType w:val="hybridMultilevel"/>
    <w:tmpl w:val="2FF2B626"/>
    <w:lvl w:ilvl="0" w:tplc="FB82313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0"/>
  </w:num>
  <w:num w:numId="3">
    <w:abstractNumId w:val="9"/>
  </w:num>
  <w:num w:numId="4">
    <w:abstractNumId w:val="24"/>
  </w:num>
  <w:num w:numId="5">
    <w:abstractNumId w:val="11"/>
  </w:num>
  <w:num w:numId="6">
    <w:abstractNumId w:val="5"/>
  </w:num>
  <w:num w:numId="7">
    <w:abstractNumId w:val="16"/>
  </w:num>
  <w:num w:numId="8">
    <w:abstractNumId w:val="18"/>
  </w:num>
  <w:num w:numId="9">
    <w:abstractNumId w:val="1"/>
  </w:num>
  <w:num w:numId="10">
    <w:abstractNumId w:val="38"/>
  </w:num>
  <w:num w:numId="11">
    <w:abstractNumId w:val="10"/>
  </w:num>
  <w:num w:numId="12">
    <w:abstractNumId w:val="8"/>
  </w:num>
  <w:num w:numId="13">
    <w:abstractNumId w:val="36"/>
  </w:num>
  <w:num w:numId="14">
    <w:abstractNumId w:val="13"/>
  </w:num>
  <w:num w:numId="15">
    <w:abstractNumId w:val="30"/>
  </w:num>
  <w:num w:numId="16">
    <w:abstractNumId w:val="35"/>
  </w:num>
  <w:num w:numId="17">
    <w:abstractNumId w:val="12"/>
  </w:num>
  <w:num w:numId="18">
    <w:abstractNumId w:val="28"/>
  </w:num>
  <w:num w:numId="19">
    <w:abstractNumId w:val="27"/>
  </w:num>
  <w:num w:numId="20">
    <w:abstractNumId w:val="32"/>
  </w:num>
  <w:num w:numId="21">
    <w:abstractNumId w:val="33"/>
  </w:num>
  <w:num w:numId="22">
    <w:abstractNumId w:val="15"/>
  </w:num>
  <w:num w:numId="23">
    <w:abstractNumId w:val="31"/>
  </w:num>
  <w:num w:numId="24">
    <w:abstractNumId w:val="21"/>
  </w:num>
  <w:num w:numId="25">
    <w:abstractNumId w:val="26"/>
  </w:num>
  <w:num w:numId="26">
    <w:abstractNumId w:val="4"/>
  </w:num>
  <w:num w:numId="27">
    <w:abstractNumId w:val="19"/>
  </w:num>
  <w:num w:numId="28">
    <w:abstractNumId w:val="6"/>
  </w:num>
  <w:num w:numId="29">
    <w:abstractNumId w:val="23"/>
  </w:num>
  <w:num w:numId="30">
    <w:abstractNumId w:val="22"/>
  </w:num>
  <w:num w:numId="31">
    <w:abstractNumId w:val="7"/>
  </w:num>
  <w:num w:numId="32">
    <w:abstractNumId w:val="14"/>
  </w:num>
  <w:num w:numId="33">
    <w:abstractNumId w:val="2"/>
  </w:num>
  <w:num w:numId="34">
    <w:abstractNumId w:val="25"/>
  </w:num>
  <w:num w:numId="35">
    <w:abstractNumId w:val="6"/>
  </w:num>
  <w:num w:numId="36">
    <w:abstractNumId w:val="29"/>
  </w:num>
  <w:num w:numId="37">
    <w:abstractNumId w:val="6"/>
  </w:num>
  <w:num w:numId="38">
    <w:abstractNumId w:val="0"/>
  </w:num>
  <w:num w:numId="39">
    <w:abstractNumId w:val="6"/>
  </w:num>
  <w:num w:numId="40">
    <w:abstractNumId w:val="17"/>
  </w:num>
  <w:num w:numId="41">
    <w:abstractNumId w:val="3"/>
  </w:num>
  <w:num w:numId="42">
    <w:abstractNumId w:val="37"/>
  </w:num>
  <w:num w:numId="43">
    <w:abstractNumId w:val="34"/>
  </w:num>
  <w:num w:numId="44">
    <w:abstractNumId w:val="20"/>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num>
  <w:num w:numId="47">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F7715A7-34FE-4AAB-ABF1-A73DC57B4BD2"/>
    <w:docVar w:name="LW_COVERPAGE_TYPE" w:val="1"/>
    <w:docVar w:name="LW_CROSSREFERENCE" w:val="{SWD(2018) 299 final}_x000b_{SWD(2018) 300 final}"/>
    <w:docVar w:name="LW_DocType" w:val="NORMAL"/>
    <w:docVar w:name="LW_EMISSION" w:val="4.6.2018"/>
    <w:docVar w:name="LW_EMISSION_ISODATE" w:val="2018-06-04"/>
    <w:docVar w:name="LW_EMISSION_LOCATION" w:val="BRX"/>
    <w:docVar w:name="LW_EMISSION_PREFIX" w:val="Брюксел, "/>
    <w:docVar w:name="LW_EMISSION_SUFFIX" w:val="\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38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 w:val="Monitoring Report 2015"/>
    <w:docVar w:name="LW_SOUS.TITRE.OBJ.CP" w:val="Monitoring Report 2015"/>
    <w:docVar w:name="LW_SUPERTITRE" w:val="&lt;UNUSED&gt;"/>
    <w:docVar w:name="LW_TITRE.OBJ.CP" w:val="COSME _x000b_&lt;FMT:Bold&gt;\u1055?\u1088?\u1086?\u1075?\u1088?\u1072?\u1084?\u1072? \u1079?\u1072? \u1082?\u1086?\u1085?\u1082?\u1091?\u1088?\u1077?\u1085?\u1090?\u1086?\u1089?\u1087?\u1086?\u1089?\u1086?\u1073?\u1085?\u1086?\u1089?\u1090? \u1085?\u1072? \u1087?\u1088?\u1077?\u1076?\u1087?\u1088?\u1080?\u1103?\u1090?\u1080?\u1103?\u1090?\u1072? \u1080? \u1079?\u1072? \u1052?\u1057?\u1055? \u1079?\u1072? 2014\u8212?2020 \u1075?\u1086?\u1076?\u1080?\u1085?\u1072?&lt;/FMT&gt;_x000b__x000b_\u1052?\u1086?\u1085?\u1080?\u1090?\u1086?\u1088?\u1080?\u1085?\u1075?\u1086?\u1074? \u1076?\u1086?\u1082?\u1083?\u1072?\u1076? \u1079?\u1072? 2015 \u1075?\u1086?\u1076?\u1080?\u1085?\u1072?_x000b_"/>
    <w:docVar w:name="LW_TYPE.DOC.CP" w:val="\u1044?\u1054?\u1050?\u1051?\u1040?\u1044? \u1053?\u1040? \u1050?\u1054?\u1052?\u1048?\u1057?\u1048?\u1071?\u1058?\u1040? \u1044?\u1054? \u1045?\u1042?\u1056?\u1054?\u1055?\u1045?\u1049?\u1057?\u1050?\u1048?\u1071? \u1055?\u1040?\u1056?\u1051?\u1040?\u1052?\u1045?\u1053?\u1058? \u1048? \u1057?\u1066?\u1042?\u1045?\u1058?\u1040?"/>
  </w:docVars>
  <w:rsids>
    <w:rsidRoot w:val="003A660B"/>
    <w:rsid w:val="003A660B"/>
    <w:rsid w:val="006C2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uiPriority="0" w:qFormat="1"/>
    <w:lsdException w:name="page number"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pPr>
      <w:keepNext/>
      <w:pBdr>
        <w:bottom w:val="single" w:sz="4" w:space="1" w:color="auto"/>
      </w:pBdr>
      <w:spacing w:before="120" w:after="240"/>
      <w:jc w:val="both"/>
      <w:outlineLvl w:val="0"/>
    </w:pPr>
    <w:rPr>
      <w:b/>
      <w:bCs/>
      <w:i/>
      <w:smallCaps/>
      <w:sz w:val="56"/>
      <w:szCs w:val="56"/>
    </w:rPr>
  </w:style>
  <w:style w:type="paragraph" w:styleId="Heading2">
    <w:name w:val="heading 2"/>
    <w:basedOn w:val="Normal"/>
    <w:next w:val="Normal"/>
    <w:link w:val="Heading2Char"/>
    <w:qFormat/>
    <w:pPr>
      <w:keepNext/>
      <w:numPr>
        <w:ilvl w:val="1"/>
        <w:numId w:val="1"/>
      </w:numPr>
      <w:spacing w:before="360" w:after="240"/>
      <w:outlineLvl w:val="1"/>
    </w:pPr>
    <w:rPr>
      <w:b/>
      <w:caps/>
    </w:rPr>
  </w:style>
  <w:style w:type="paragraph" w:styleId="Heading3">
    <w:name w:val="heading 3"/>
    <w:basedOn w:val="Normal"/>
    <w:next w:val="Normal"/>
    <w:link w:val="Heading3Char"/>
    <w:qFormat/>
    <w:pPr>
      <w:keepNext/>
      <w:numPr>
        <w:ilvl w:val="2"/>
        <w:numId w:val="1"/>
      </w:numPr>
      <w:outlineLvl w:val="2"/>
    </w:pPr>
    <w:rPr>
      <w:i/>
      <w:sz w:val="22"/>
    </w:rPr>
  </w:style>
  <w:style w:type="paragraph" w:styleId="Heading4">
    <w:name w:val="heading 4"/>
    <w:basedOn w:val="Normal"/>
    <w:next w:val="Normal"/>
    <w:link w:val="Heading4Char"/>
    <w:qFormat/>
    <w:pPr>
      <w:keepNext/>
      <w:numPr>
        <w:ilvl w:val="3"/>
        <w:numId w:val="1"/>
      </w:numPr>
      <w:outlineLvl w:val="3"/>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i/>
      <w:smallCaps/>
      <w:sz w:val="56"/>
      <w:szCs w:val="56"/>
      <w:lang w:eastAsia="bg-BG"/>
    </w:rPr>
  </w:style>
  <w:style w:type="character" w:customStyle="1" w:styleId="Heading2Char">
    <w:name w:val="Heading 2 Char"/>
    <w:basedOn w:val="DefaultParagraphFont"/>
    <w:link w:val="Heading2"/>
    <w:rPr>
      <w:rFonts w:ascii="Times New Roman" w:eastAsia="Times New Roman" w:hAnsi="Times New Roman" w:cs="Times New Roman"/>
      <w:b/>
      <w:caps/>
      <w:sz w:val="24"/>
      <w:szCs w:val="24"/>
      <w:lang w:val="bg-BG" w:eastAsia="bg-BG"/>
    </w:rPr>
  </w:style>
  <w:style w:type="character" w:customStyle="1" w:styleId="Heading3Char">
    <w:name w:val="Heading 3 Char"/>
    <w:basedOn w:val="DefaultParagraphFont"/>
    <w:link w:val="Heading3"/>
    <w:rPr>
      <w:rFonts w:ascii="Times New Roman" w:eastAsia="Times New Roman" w:hAnsi="Times New Roman" w:cs="Times New Roman"/>
      <w:i/>
      <w:szCs w:val="24"/>
      <w:lang w:val="bg-BG" w:eastAsia="bg-BG"/>
    </w:rPr>
  </w:style>
  <w:style w:type="character" w:customStyle="1" w:styleId="Heading4Char">
    <w:name w:val="Heading 4 Char"/>
    <w:basedOn w:val="DefaultParagraphFont"/>
    <w:link w:val="Heading4"/>
    <w:rPr>
      <w:rFonts w:ascii="Times New Roman" w:eastAsia="Times New Roman" w:hAnsi="Times New Roman" w:cs="Times New Roman"/>
      <w:szCs w:val="24"/>
      <w:lang w:val="bg-BG" w:eastAsia="bg-BG"/>
    </w:rPr>
  </w:style>
  <w:style w:type="table" w:customStyle="1" w:styleId="TableStyle1">
    <w:name w:val="Table Style1"/>
    <w:basedOn w:val="TableNormal"/>
    <w:pPr>
      <w:spacing w:after="0" w:line="240" w:lineRule="auto"/>
    </w:pPr>
    <w:rPr>
      <w:rFonts w:ascii="Times New Roman" w:eastAsia="Times New Roman" w:hAnsi="Times New Roman" w:cs="Times New Roman"/>
      <w:sz w:val="20"/>
      <w:szCs w:val="20"/>
    </w:rPr>
    <w:tblPr/>
  </w:style>
  <w:style w:type="character" w:styleId="Hyperlink">
    <w:name w:val="Hyperlink"/>
    <w:uiPriority w:val="99"/>
    <w:rPr>
      <w:color w:val="0000FF"/>
      <w:u w:val="single"/>
    </w:rPr>
  </w:style>
  <w:style w:type="paragraph" w:styleId="FootnoteText">
    <w:name w:val="footnote text"/>
    <w:aliases w:val="fn,Footnote Text Char1 Char,Footnote Text Char Char Char,Footnote Text Char1 Char Char Char,Footnote Text Char Char Char Char Char,Footnote Text Char1 Char1 Char,Footnote Text Char Char Char1 Char,EMPL6,Footnote Text Char1,Schriftart: 9 pt"/>
    <w:basedOn w:val="Normal"/>
    <w:link w:val="FootnoteTextChar"/>
    <w:uiPriority w:val="99"/>
    <w:qFormat/>
    <w:rPr>
      <w:sz w:val="20"/>
      <w:szCs w:val="20"/>
    </w:rPr>
  </w:style>
  <w:style w:type="character" w:customStyle="1" w:styleId="FootnoteTextChar">
    <w:name w:val="Footnote Text Char"/>
    <w:aliases w:val="fn Char,Footnote Text Char1 Char Char,Footnote Text Char Char Char Char,Footnote Text Char1 Char Char Char Char,Footnote Text Char Char Char Char Char Char,Footnote Text Char1 Char1 Char Char,Footnote Text Char Char Char1 Char Char"/>
    <w:basedOn w:val="DefaultParagraphFont"/>
    <w:link w:val="FootnoteText"/>
    <w:uiPriority w:val="99"/>
    <w:rPr>
      <w:rFonts w:ascii="Times New Roman" w:eastAsia="Times New Roman" w:hAnsi="Times New Roman" w:cs="Times New Roman"/>
      <w:sz w:val="20"/>
      <w:szCs w:val="20"/>
      <w:lang w:eastAsia="bg-BG"/>
    </w:rPr>
  </w:style>
  <w:style w:type="character" w:styleId="FootnoteReference">
    <w:name w:val="footnote reference"/>
    <w:aliases w:val="Footnote,Footnote symbol,Footnotes refss,Footnote Reference Number,BVI fnr,BVI fnr Car Car,BVI fnr Car,BVI fnr Car Car Car Car Char,BVI fnr Car Car Car Car Char Char Char Char Char,Char1 Char Char Char Char, Char1 Char Char Char Char"/>
    <w:link w:val="BVIfnrCarCarCarCarCharCharCharChar"/>
    <w:qFormat/>
    <w:rPr>
      <w:vertAlign w:val="superscript"/>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0"/>
      <w:lang w:val="bg-BG" w:eastAsia="bg-BG"/>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
    <w:name w:val="Text 1"/>
    <w:basedOn w:val="Normal"/>
    <w:link w:val="Text1Char"/>
    <w:pPr>
      <w:spacing w:after="240"/>
      <w:ind w:left="482"/>
      <w:jc w:val="both"/>
    </w:pPr>
    <w:rPr>
      <w:szCs w:val="20"/>
    </w:rPr>
  </w:style>
  <w:style w:type="character" w:customStyle="1" w:styleId="Text1Char">
    <w:name w:val="Text 1 Char"/>
    <w:link w:val="Text1"/>
    <w:rPr>
      <w:rFonts w:ascii="Times New Roman" w:eastAsia="Times New Roman" w:hAnsi="Times New Roman" w:cs="Times New Roman"/>
      <w:sz w:val="24"/>
      <w:szCs w:val="20"/>
    </w:rPr>
  </w:style>
  <w:style w:type="paragraph" w:styleId="ListNumber">
    <w:name w:val="List Number"/>
    <w:basedOn w:val="Normal"/>
    <w:pPr>
      <w:numPr>
        <w:numId w:val="3"/>
      </w:numPr>
    </w:pPr>
    <w:rPr>
      <w:sz w:val="22"/>
    </w:rPr>
  </w:style>
  <w:style w:type="paragraph" w:customStyle="1" w:styleId="ListDash">
    <w:name w:val="List Dash"/>
    <w:basedOn w:val="Normal"/>
    <w:link w:val="ListDashChar"/>
    <w:pPr>
      <w:numPr>
        <w:numId w:val="2"/>
      </w:numPr>
    </w:pPr>
    <w:rPr>
      <w:sz w:val="22"/>
    </w:rPr>
  </w:style>
  <w:style w:type="character" w:customStyle="1" w:styleId="ListDashChar">
    <w:name w:val="List Dash Char"/>
    <w:link w:val="ListDash"/>
    <w:rPr>
      <w:rFonts w:ascii="Times New Roman" w:eastAsia="Times New Roman" w:hAnsi="Times New Roman" w:cs="Times New Roman"/>
      <w:szCs w:val="24"/>
      <w:lang w:val="bg-BG" w:eastAsia="bg-BG"/>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character" w:styleId="PageNumber">
    <w:name w:val="page number"/>
    <w:basedOn w:val="DefaultParagraphFont"/>
  </w:style>
  <w:style w:type="paragraph" w:customStyle="1" w:styleId="NormalJustified">
    <w:name w:val="Normal + Justified"/>
    <w:basedOn w:val="Normal"/>
    <w:link w:val="NormalJustifiedChar"/>
    <w:pPr>
      <w:autoSpaceDE w:val="0"/>
      <w:autoSpaceDN w:val="0"/>
      <w:adjustRightInd w:val="0"/>
      <w:jc w:val="both"/>
    </w:pPr>
  </w:style>
  <w:style w:type="character" w:customStyle="1" w:styleId="NormalJustifiedChar">
    <w:name w:val="Normal + Justified Char"/>
    <w:link w:val="NormalJustified"/>
    <w:rPr>
      <w:rFonts w:ascii="Times New Roman" w:eastAsia="Times New Roman" w:hAnsi="Times New Roman" w:cs="Times New Roman"/>
      <w:sz w:val="24"/>
      <w:szCs w:val="24"/>
      <w:lang w:eastAsia="bg-BG"/>
    </w:rPr>
  </w:style>
  <w:style w:type="paragraph" w:styleId="TOC1">
    <w:name w:val="toc 1"/>
    <w:basedOn w:val="Normal"/>
    <w:next w:val="Normal"/>
    <w:autoRedefine/>
    <w:uiPriority w:val="39"/>
    <w:qFormat/>
    <w:pPr>
      <w:tabs>
        <w:tab w:val="left" w:pos="660"/>
        <w:tab w:val="right" w:leader="dot" w:pos="9062"/>
      </w:tabs>
      <w:spacing w:line="360" w:lineRule="auto"/>
      <w:jc w:val="both"/>
    </w:pPr>
    <w:rPr>
      <w:b/>
      <w:bCs/>
      <w:noProof/>
    </w:rPr>
  </w:style>
  <w:style w:type="paragraph" w:styleId="TOC2">
    <w:name w:val="toc 2"/>
    <w:basedOn w:val="Normal"/>
    <w:next w:val="Normal"/>
    <w:autoRedefine/>
    <w:uiPriority w:val="39"/>
    <w:qFormat/>
    <w:pPr>
      <w:tabs>
        <w:tab w:val="right" w:leader="dot" w:pos="9062"/>
      </w:tabs>
      <w:spacing w:line="360" w:lineRule="auto"/>
      <w:jc w:val="both"/>
    </w:pPr>
    <w:rPr>
      <w:b/>
      <w:bCs/>
      <w:noProof/>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eastAsia="bg-BG"/>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lang w:eastAsia="bg-BG"/>
    </w:rPr>
  </w:style>
  <w:style w:type="character" w:styleId="FollowedHyperlink">
    <w:name w:val="FollowedHyperlink"/>
    <w:rPr>
      <w:color w:val="606420"/>
      <w:u w:val="single"/>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character" w:styleId="Strong">
    <w:name w:val="Strong"/>
    <w:uiPriority w:val="22"/>
    <w:qFormat/>
    <w:rPr>
      <w:rFonts w:cs="Times New Roman"/>
      <w:b/>
    </w:rPr>
  </w:style>
  <w:style w:type="paragraph" w:customStyle="1" w:styleId="Body1">
    <w:name w:val="Body 1"/>
    <w:pPr>
      <w:spacing w:after="0" w:line="240" w:lineRule="auto"/>
    </w:pPr>
    <w:rPr>
      <w:rFonts w:ascii="Helvetica" w:eastAsia="Arial Unicode MS" w:hAnsi="Helvetica" w:cs="Times New Roman"/>
      <w:color w:val="000000"/>
      <w:sz w:val="24"/>
      <w:szCs w:val="20"/>
    </w:rPr>
  </w:style>
  <w:style w:type="paragraph" w:customStyle="1" w:styleId="ColorfulList-Accent11">
    <w:name w:val="Colorful List - Accent 11"/>
    <w:basedOn w:val="Normal"/>
    <w:uiPriority w:val="34"/>
    <w:qFormat/>
    <w:pPr>
      <w:ind w:left="720"/>
    </w:pPr>
    <w:rPr>
      <w:rFonts w:ascii="Calibri" w:eastAsia="Calibri" w:hAnsi="Calibri" w:cs="Calibri"/>
      <w:sz w:val="22"/>
      <w:szCs w:val="22"/>
    </w:rPr>
  </w:style>
  <w:style w:type="character" w:customStyle="1" w:styleId="En-tte5">
    <w:name w:val="En-tête #5_"/>
    <w:link w:val="En-tte51"/>
    <w:uiPriority w:val="99"/>
    <w:rPr>
      <w:b/>
      <w:bCs/>
      <w:sz w:val="21"/>
      <w:szCs w:val="21"/>
      <w:shd w:val="clear" w:color="auto" w:fill="FFFFFF"/>
    </w:rPr>
  </w:style>
  <w:style w:type="paragraph" w:customStyle="1" w:styleId="En-tte51">
    <w:name w:val="En-tête #51"/>
    <w:basedOn w:val="Normal"/>
    <w:link w:val="En-tte5"/>
    <w:uiPriority w:val="99"/>
    <w:pPr>
      <w:widowControl w:val="0"/>
      <w:shd w:val="clear" w:color="auto" w:fill="FFFFFF"/>
      <w:spacing w:before="180" w:after="240" w:line="240" w:lineRule="atLeast"/>
      <w:jc w:val="both"/>
      <w:outlineLvl w:val="4"/>
    </w:pPr>
    <w:rPr>
      <w:rFonts w:asciiTheme="minorHAnsi" w:eastAsiaTheme="minorHAnsi" w:hAnsiTheme="minorHAnsi" w:cstheme="minorBidi"/>
      <w:b/>
      <w:bCs/>
      <w:sz w:val="21"/>
      <w:szCs w:val="21"/>
    </w:rPr>
  </w:style>
  <w:style w:type="character" w:customStyle="1" w:styleId="Corpsdutexte">
    <w:name w:val="Corps du texte_"/>
    <w:link w:val="Corpsdutexte1"/>
    <w:uiPriority w:val="99"/>
    <w:rPr>
      <w:i/>
      <w:iCs/>
      <w:sz w:val="21"/>
      <w:szCs w:val="21"/>
      <w:shd w:val="clear" w:color="auto" w:fill="FFFFFF"/>
    </w:rPr>
  </w:style>
  <w:style w:type="character" w:customStyle="1" w:styleId="En-tte3">
    <w:name w:val="En-tête #3_"/>
    <w:link w:val="En-tte31"/>
    <w:uiPriority w:val="99"/>
    <w:rPr>
      <w:b/>
      <w:bCs/>
      <w:smallCaps/>
      <w:sz w:val="26"/>
      <w:szCs w:val="26"/>
      <w:shd w:val="clear" w:color="auto" w:fill="FFFFFF"/>
    </w:rPr>
  </w:style>
  <w:style w:type="paragraph" w:customStyle="1" w:styleId="Corpsdutexte1">
    <w:name w:val="Corps du texte1"/>
    <w:basedOn w:val="Normal"/>
    <w:link w:val="Corpsdutexte"/>
    <w:uiPriority w:val="99"/>
    <w:pPr>
      <w:widowControl w:val="0"/>
      <w:shd w:val="clear" w:color="auto" w:fill="FFFFFF"/>
      <w:spacing w:line="250" w:lineRule="exact"/>
      <w:ind w:hanging="340"/>
      <w:jc w:val="both"/>
    </w:pPr>
    <w:rPr>
      <w:rFonts w:asciiTheme="minorHAnsi" w:eastAsiaTheme="minorHAnsi" w:hAnsiTheme="minorHAnsi" w:cstheme="minorBidi"/>
      <w:i/>
      <w:iCs/>
      <w:sz w:val="21"/>
      <w:szCs w:val="21"/>
    </w:rPr>
  </w:style>
  <w:style w:type="paragraph" w:customStyle="1" w:styleId="En-tte31">
    <w:name w:val="En-tête #31"/>
    <w:basedOn w:val="Normal"/>
    <w:link w:val="En-tte3"/>
    <w:uiPriority w:val="99"/>
    <w:pPr>
      <w:widowControl w:val="0"/>
      <w:shd w:val="clear" w:color="auto" w:fill="FFFFFF"/>
      <w:spacing w:before="720" w:line="250" w:lineRule="exact"/>
      <w:jc w:val="both"/>
      <w:outlineLvl w:val="2"/>
    </w:pPr>
    <w:rPr>
      <w:rFonts w:asciiTheme="minorHAnsi" w:eastAsiaTheme="minorHAnsi" w:hAnsiTheme="minorHAnsi" w:cstheme="minorBidi"/>
      <w:b/>
      <w:bCs/>
      <w:smallCaps/>
      <w:sz w:val="26"/>
      <w:szCs w:val="26"/>
    </w:rPr>
  </w:style>
  <w:style w:type="paragraph" w:styleId="Caption">
    <w:name w:val="caption"/>
    <w:basedOn w:val="Normal"/>
    <w:next w:val="Normal"/>
    <w:unhideWhenUsed/>
    <w:qFormat/>
    <w:rPr>
      <w:b/>
      <w:bCs/>
      <w:sz w:val="20"/>
      <w:szCs w:val="20"/>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unhideWhenUsed/>
    <w:pPr>
      <w:spacing w:after="360"/>
    </w:pPr>
  </w:style>
  <w:style w:type="character" w:customStyle="1" w:styleId="Corpsdutexte4">
    <w:name w:val="Corps du texte (4)_"/>
    <w:link w:val="Corpsdutexte41"/>
    <w:uiPriority w:val="99"/>
    <w:rPr>
      <w:i/>
      <w:iCs/>
      <w:sz w:val="23"/>
      <w:szCs w:val="23"/>
      <w:shd w:val="clear" w:color="auto" w:fill="FFFFFF"/>
    </w:rPr>
  </w:style>
  <w:style w:type="character" w:customStyle="1" w:styleId="Corpsdutexte4NonItalique">
    <w:name w:val="Corps du texte (4) + Non Italique"/>
    <w:uiPriority w:val="99"/>
    <w:rPr>
      <w:i w:val="0"/>
      <w:iCs w:val="0"/>
      <w:sz w:val="23"/>
      <w:szCs w:val="23"/>
      <w:shd w:val="clear" w:color="auto" w:fill="FFFFFF"/>
    </w:rPr>
  </w:style>
  <w:style w:type="character" w:customStyle="1" w:styleId="Corpsdutexte4NonItalique2">
    <w:name w:val="Corps du texte (4) + Non Italique2"/>
    <w:uiPriority w:val="99"/>
    <w:rPr>
      <w:i w:val="0"/>
      <w:iCs w:val="0"/>
      <w:sz w:val="23"/>
      <w:szCs w:val="23"/>
      <w:shd w:val="clear" w:color="auto" w:fill="FFFFFF"/>
    </w:rPr>
  </w:style>
  <w:style w:type="character" w:customStyle="1" w:styleId="Corpsdutexte40">
    <w:name w:val="Corps du texte (4)"/>
    <w:uiPriority w:val="99"/>
  </w:style>
  <w:style w:type="character" w:customStyle="1" w:styleId="Corpsdutexte6">
    <w:name w:val="Corps du texte6"/>
    <w:uiPriority w:val="99"/>
  </w:style>
  <w:style w:type="character" w:customStyle="1" w:styleId="CorpsdutexteItalique">
    <w:name w:val="Corps du texte + Italique"/>
    <w:uiPriority w:val="99"/>
    <w:rPr>
      <w:i/>
      <w:iCs/>
      <w:sz w:val="23"/>
      <w:szCs w:val="23"/>
      <w:shd w:val="clear" w:color="auto" w:fill="FFFFFF"/>
    </w:rPr>
  </w:style>
  <w:style w:type="paragraph" w:customStyle="1" w:styleId="Corpsdutexte41">
    <w:name w:val="Corps du texte (4)1"/>
    <w:basedOn w:val="Normal"/>
    <w:link w:val="Corpsdutexte4"/>
    <w:uiPriority w:val="99"/>
    <w:pPr>
      <w:widowControl w:val="0"/>
      <w:shd w:val="clear" w:color="auto" w:fill="FFFFFF"/>
      <w:spacing w:before="300" w:after="240" w:line="274" w:lineRule="exact"/>
      <w:jc w:val="both"/>
    </w:pPr>
    <w:rPr>
      <w:rFonts w:asciiTheme="minorHAnsi" w:eastAsiaTheme="minorHAnsi" w:hAnsiTheme="minorHAnsi" w:cstheme="minorBidi"/>
      <w:i/>
      <w:iCs/>
      <w:sz w:val="23"/>
      <w:szCs w:val="23"/>
    </w:rPr>
  </w:style>
  <w:style w:type="paragraph" w:customStyle="1" w:styleId="EIP">
    <w:name w:val="EIP"/>
    <w:basedOn w:val="Normal"/>
    <w:link w:val="EIPChar"/>
    <w:autoRedefine/>
    <w:qFormat/>
    <w:pPr>
      <w:autoSpaceDE w:val="0"/>
      <w:autoSpaceDN w:val="0"/>
      <w:adjustRightInd w:val="0"/>
      <w:spacing w:before="120" w:after="60"/>
      <w:jc w:val="both"/>
    </w:pPr>
    <w:rPr>
      <w:b/>
      <w:bCs/>
    </w:rPr>
  </w:style>
  <w:style w:type="character" w:customStyle="1" w:styleId="EIPChar">
    <w:name w:val="EIP Char"/>
    <w:link w:val="EIP"/>
    <w:rPr>
      <w:rFonts w:ascii="Times New Roman" w:eastAsia="Times New Roman" w:hAnsi="Times New Roman" w:cs="Times New Roman"/>
      <w:b/>
      <w:bCs/>
      <w:sz w:val="24"/>
      <w:szCs w:val="24"/>
      <w:lang w:val="bg-BG" w:eastAsia="bg-BG"/>
    </w:rPr>
  </w:style>
  <w:style w:type="paragraph" w:styleId="TOCHeading">
    <w:name w:val="TOC Heading"/>
    <w:basedOn w:val="Heading1"/>
    <w:next w:val="Normal"/>
    <w:uiPriority w:val="39"/>
    <w:semiHidden/>
    <w:unhideWhenUsed/>
    <w:qFormat/>
    <w:pPr>
      <w:keepLines/>
      <w:spacing w:before="480" w:line="276" w:lineRule="auto"/>
      <w:outlineLvl w:val="9"/>
    </w:pPr>
    <w:rPr>
      <w:rFonts w:ascii="Cambria" w:eastAsia="MS Gothic" w:hAnsi="Cambria"/>
      <w:bCs w:val="0"/>
      <w:smallCaps w:val="0"/>
      <w:color w:val="365F91"/>
      <w:szCs w:val="28"/>
    </w:rPr>
  </w:style>
  <w:style w:type="paragraph" w:styleId="TOC3">
    <w:name w:val="toc 3"/>
    <w:basedOn w:val="Normal"/>
    <w:next w:val="Normal"/>
    <w:autoRedefine/>
    <w:uiPriority w:val="39"/>
    <w:unhideWhenUsed/>
    <w:qFormat/>
    <w:pPr>
      <w:spacing w:after="100" w:line="276" w:lineRule="auto"/>
      <w:ind w:left="440"/>
    </w:pPr>
    <w:rPr>
      <w:rFonts w:ascii="Calibri" w:hAnsi="Calibri"/>
      <w:sz w:val="22"/>
      <w:szCs w:val="22"/>
    </w:rPr>
  </w:style>
  <w:style w:type="paragraph" w:styleId="TOC4">
    <w:name w:val="toc 4"/>
    <w:basedOn w:val="Normal"/>
    <w:next w:val="Normal"/>
    <w:autoRedefine/>
    <w:uiPriority w:val="39"/>
    <w:unhideWhenUsed/>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pPr>
      <w:spacing w:after="100" w:line="276" w:lineRule="auto"/>
      <w:ind w:left="1760"/>
    </w:pPr>
    <w:rPr>
      <w:rFonts w:ascii="Calibri" w:hAnsi="Calibri"/>
      <w:sz w:val="22"/>
      <w:szCs w:val="22"/>
    </w:rPr>
  </w:style>
  <w:style w:type="character" w:customStyle="1" w:styleId="Corpsdutexte4Exact">
    <w:name w:val="Corps du texte (4) Exact"/>
    <w:uiPriority w:val="99"/>
    <w:rPr>
      <w:spacing w:val="2"/>
      <w:sz w:val="19"/>
      <w:szCs w:val="19"/>
      <w:u w:val="none"/>
    </w:rPr>
  </w:style>
  <w:style w:type="character" w:customStyle="1" w:styleId="En-tte50">
    <w:name w:val="En-tête #5"/>
    <w:uiPriority w:val="99"/>
    <w:rPr>
      <w:b/>
      <w:bCs/>
      <w:sz w:val="21"/>
      <w:szCs w:val="21"/>
      <w:u w:val="single"/>
      <w:shd w:val="clear" w:color="auto" w:fill="FFFFFF"/>
    </w:rPr>
  </w:style>
  <w:style w:type="character" w:customStyle="1" w:styleId="CorpsdutexteGras">
    <w:name w:val="Corps du texte + Gras"/>
    <w:uiPriority w:val="99"/>
    <w:rPr>
      <w:b/>
      <w:bCs/>
      <w:i/>
      <w:iCs/>
      <w:sz w:val="21"/>
      <w:szCs w:val="21"/>
      <w:u w:val="none"/>
      <w:shd w:val="clear" w:color="auto" w:fill="FFFFFF"/>
    </w:rPr>
  </w:style>
  <w:style w:type="character" w:customStyle="1" w:styleId="CorpsdutexteGras1">
    <w:name w:val="Corps du texte + Gras1"/>
    <w:uiPriority w:val="99"/>
    <w:rPr>
      <w:b/>
      <w:bCs/>
      <w:i/>
      <w:iCs/>
      <w:sz w:val="21"/>
      <w:szCs w:val="21"/>
      <w:u w:val="none"/>
      <w:shd w:val="clear" w:color="auto" w:fill="FFFFFF"/>
    </w:rPr>
  </w:style>
  <w:style w:type="character" w:customStyle="1" w:styleId="Corpsdutexte2">
    <w:name w:val="Corps du texte2"/>
    <w:uiPriority w:val="99"/>
    <w:rPr>
      <w:i/>
      <w:iCs/>
      <w:sz w:val="21"/>
      <w:szCs w:val="21"/>
      <w:u w:val="single"/>
      <w:shd w:val="clear" w:color="auto" w:fill="FFFFFF"/>
    </w:rPr>
  </w:style>
  <w:style w:type="character" w:customStyle="1" w:styleId="En-tte30">
    <w:name w:val="En-tête #3"/>
    <w:uiPriority w:val="99"/>
    <w:rPr>
      <w:b/>
      <w:bCs/>
      <w:smallCaps/>
      <w:sz w:val="26"/>
      <w:szCs w:val="26"/>
      <w:u w:val="single"/>
      <w:shd w:val="clear" w:color="auto" w:fill="FFFFFF"/>
    </w:rPr>
  </w:style>
  <w:style w:type="character" w:customStyle="1" w:styleId="En-tte2">
    <w:name w:val="En-tête #2_"/>
    <w:link w:val="En-tte21"/>
    <w:uiPriority w:val="99"/>
    <w:rPr>
      <w:b/>
      <w:bCs/>
      <w:smallCaps/>
      <w:sz w:val="30"/>
      <w:szCs w:val="30"/>
      <w:shd w:val="clear" w:color="auto" w:fill="FFFFFF"/>
    </w:rPr>
  </w:style>
  <w:style w:type="character" w:customStyle="1" w:styleId="En-tte20">
    <w:name w:val="En-tête #2"/>
    <w:uiPriority w:val="99"/>
    <w:rPr>
      <w:b/>
      <w:bCs/>
      <w:smallCaps/>
      <w:sz w:val="30"/>
      <w:szCs w:val="30"/>
      <w:u w:val="single"/>
    </w:rPr>
  </w:style>
  <w:style w:type="paragraph" w:customStyle="1" w:styleId="En-tte21">
    <w:name w:val="En-tête #21"/>
    <w:basedOn w:val="Normal"/>
    <w:link w:val="En-tte2"/>
    <w:uiPriority w:val="99"/>
    <w:pPr>
      <w:widowControl w:val="0"/>
      <w:shd w:val="clear" w:color="auto" w:fill="FFFFFF"/>
      <w:spacing w:before="720" w:after="60" w:line="240" w:lineRule="atLeast"/>
      <w:jc w:val="both"/>
      <w:outlineLvl w:val="1"/>
    </w:pPr>
    <w:rPr>
      <w:rFonts w:asciiTheme="minorHAnsi" w:eastAsiaTheme="minorHAnsi" w:hAnsiTheme="minorHAnsi" w:cstheme="minorBidi"/>
      <w:b/>
      <w:bCs/>
      <w:smallCaps/>
      <w:sz w:val="30"/>
      <w:szCs w:val="30"/>
    </w:rPr>
  </w:style>
  <w:style w:type="paragraph" w:styleId="ListParagraph">
    <w:name w:val="List Paragraph"/>
    <w:basedOn w:val="Normal"/>
    <w:uiPriority w:val="34"/>
    <w:qFormat/>
    <w:pPr>
      <w:widowControl w:val="0"/>
      <w:ind w:left="720"/>
      <w:contextualSpacing/>
    </w:pPr>
    <w:rPr>
      <w:color w:val="00000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unhideWhenUsed/>
    <w:rPr>
      <w:rFonts w:ascii="Calibri" w:eastAsia="Calibri" w:hAnsi="Calibri"/>
      <w:sz w:val="20"/>
      <w:szCs w:val="20"/>
    </w:rPr>
  </w:style>
  <w:style w:type="character" w:customStyle="1" w:styleId="EndnoteTextChar">
    <w:name w:val="Endnote Text Char"/>
    <w:basedOn w:val="DefaultParagraphFont"/>
    <w:link w:val="EndnoteText"/>
    <w:uiPriority w:val="99"/>
    <w:rPr>
      <w:rFonts w:ascii="Calibri" w:eastAsia="Calibri" w:hAnsi="Calibri" w:cs="Times New Roman"/>
      <w:sz w:val="20"/>
      <w:szCs w:val="20"/>
    </w:rPr>
  </w:style>
  <w:style w:type="character" w:styleId="EndnoteReference">
    <w:name w:val="endnote reference"/>
    <w:uiPriority w:val="99"/>
    <w:unhideWhenUsed/>
    <w:rPr>
      <w:vertAlign w:val="superscript"/>
    </w:rPr>
  </w:style>
  <w:style w:type="paragraph" w:customStyle="1" w:styleId="Briefingtext">
    <w:name w:val="Briefing text"/>
    <w:basedOn w:val="Normal"/>
    <w:link w:val="BriefingtextChar"/>
    <w:pPr>
      <w:spacing w:after="240"/>
      <w:jc w:val="both"/>
    </w:pPr>
    <w:rPr>
      <w:rFonts w:ascii="Arial" w:hAnsi="Arial" w:cs="Arial"/>
      <w:sz w:val="22"/>
    </w:rPr>
  </w:style>
  <w:style w:type="character" w:customStyle="1" w:styleId="BriefingtextChar">
    <w:name w:val="Briefing text Char"/>
    <w:link w:val="Briefingtext"/>
    <w:rPr>
      <w:rFonts w:ascii="Arial" w:eastAsia="Times New Roman" w:hAnsi="Arial" w:cs="Arial"/>
      <w:szCs w:val="24"/>
    </w:rPr>
  </w:style>
  <w:style w:type="paragraph" w:customStyle="1" w:styleId="CM1">
    <w:name w:val="CM1"/>
    <w:basedOn w:val="Default"/>
    <w:next w:val="Default"/>
    <w:uiPriority w:val="99"/>
    <w:rPr>
      <w:rFonts w:ascii="EUAlbertina" w:eastAsiaTheme="minorHAnsi" w:hAnsi="EUAlbertina" w:cstheme="minorBidi"/>
      <w:color w:val="auto"/>
    </w:rPr>
  </w:style>
  <w:style w:type="paragraph" w:customStyle="1" w:styleId="CM3">
    <w:name w:val="CM3"/>
    <w:basedOn w:val="Default"/>
    <w:next w:val="Default"/>
    <w:uiPriority w:val="99"/>
    <w:rPr>
      <w:rFonts w:ascii="EUAlbertina" w:eastAsiaTheme="minorHAnsi" w:hAnsi="EUAlbertina" w:cstheme="minorBidi"/>
      <w:color w:val="auto"/>
    </w:rPr>
  </w:style>
  <w:style w:type="paragraph" w:customStyle="1" w:styleId="CM4">
    <w:name w:val="CM4"/>
    <w:basedOn w:val="Default"/>
    <w:next w:val="Default"/>
    <w:uiPriority w:val="99"/>
    <w:rPr>
      <w:rFonts w:ascii="EUAlbertina" w:eastAsiaTheme="minorHAnsi" w:hAnsi="EUAlbertina" w:cstheme="minorBidi"/>
      <w:color w:val="auto"/>
    </w:rPr>
  </w:style>
  <w:style w:type="paragraph" w:customStyle="1" w:styleId="default0">
    <w:name w:val="default"/>
    <w:basedOn w:val="Normal"/>
    <w:uiPriority w:val="99"/>
    <w:semiHidden/>
    <w:pPr>
      <w:spacing w:before="100" w:beforeAutospacing="1" w:after="100" w:afterAutospacing="1"/>
    </w:pPr>
    <w:rPr>
      <w:rFonts w:eastAsiaTheme="minorHAnsi"/>
    </w:rPr>
  </w:style>
  <w:style w:type="character" w:customStyle="1" w:styleId="timark5">
    <w:name w:val="timark5"/>
    <w:basedOn w:val="DefaultParagraphFont"/>
    <w:rPr>
      <w:b/>
      <w:bCs/>
      <w:vanish w:val="0"/>
      <w:webHidden w:val="0"/>
      <w:specVanish w:val="0"/>
    </w:rPr>
  </w:style>
  <w:style w:type="character" w:customStyle="1" w:styleId="calendarnode">
    <w:name w:val="calendar_node"/>
    <w:basedOn w:val="DefaultParagraphFont"/>
  </w:style>
  <w:style w:type="paragraph" w:customStyle="1" w:styleId="PStableamount">
    <w:name w:val="PS_table_amount"/>
    <w:basedOn w:val="Normal"/>
    <w:pPr>
      <w:jc w:val="right"/>
    </w:pPr>
    <w:rPr>
      <w:sz w:val="18"/>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widowControl w:val="0"/>
      <w:tabs>
        <w:tab w:val="center" w:pos="4535"/>
        <w:tab w:val="right" w:pos="9071"/>
        <w:tab w:val="right" w:pos="9921"/>
      </w:tabs>
      <w:autoSpaceDE w:val="0"/>
      <w:autoSpaceDN w:val="0"/>
      <w:adjustRightInd w:val="0"/>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widowControl w:val="0"/>
      <w:tabs>
        <w:tab w:val="center" w:pos="4535"/>
        <w:tab w:val="right" w:pos="9071"/>
      </w:tabs>
      <w:autoSpaceDE w:val="0"/>
      <w:autoSpaceDN w:val="0"/>
      <w:adjustRightInd w:val="0"/>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customStyle="1" w:styleId="BVIfnrCarCarCarCarCharCharCharChar">
    <w:name w:val="BVI fnr Car Car Car Car Char Char Char Char"/>
    <w:basedOn w:val="Normal"/>
    <w:link w:val="FootnoteReference"/>
    <w:uiPriority w:val="99"/>
    <w:pPr>
      <w:spacing w:after="160" w:line="240" w:lineRule="exact"/>
    </w:pPr>
    <w:rPr>
      <w:rFonts w:asciiTheme="minorHAnsi" w:eastAsiaTheme="minorHAnsi" w:hAnsiTheme="minorHAnsi" w:cstheme="minorBidi"/>
      <w:sz w:val="22"/>
      <w:szCs w:val="22"/>
      <w:vertAlign w:val="superscript"/>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uiPriority="0" w:qFormat="1"/>
    <w:lsdException w:name="page number"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pPr>
      <w:keepNext/>
      <w:pBdr>
        <w:bottom w:val="single" w:sz="4" w:space="1" w:color="auto"/>
      </w:pBdr>
      <w:spacing w:before="120" w:after="240"/>
      <w:jc w:val="both"/>
      <w:outlineLvl w:val="0"/>
    </w:pPr>
    <w:rPr>
      <w:b/>
      <w:bCs/>
      <w:i/>
      <w:smallCaps/>
      <w:sz w:val="56"/>
      <w:szCs w:val="56"/>
    </w:rPr>
  </w:style>
  <w:style w:type="paragraph" w:styleId="Heading2">
    <w:name w:val="heading 2"/>
    <w:basedOn w:val="Normal"/>
    <w:next w:val="Normal"/>
    <w:link w:val="Heading2Char"/>
    <w:qFormat/>
    <w:pPr>
      <w:keepNext/>
      <w:numPr>
        <w:ilvl w:val="1"/>
        <w:numId w:val="1"/>
      </w:numPr>
      <w:spacing w:before="360" w:after="240"/>
      <w:outlineLvl w:val="1"/>
    </w:pPr>
    <w:rPr>
      <w:b/>
      <w:caps/>
    </w:rPr>
  </w:style>
  <w:style w:type="paragraph" w:styleId="Heading3">
    <w:name w:val="heading 3"/>
    <w:basedOn w:val="Normal"/>
    <w:next w:val="Normal"/>
    <w:link w:val="Heading3Char"/>
    <w:qFormat/>
    <w:pPr>
      <w:keepNext/>
      <w:numPr>
        <w:ilvl w:val="2"/>
        <w:numId w:val="1"/>
      </w:numPr>
      <w:outlineLvl w:val="2"/>
    </w:pPr>
    <w:rPr>
      <w:i/>
      <w:sz w:val="22"/>
    </w:rPr>
  </w:style>
  <w:style w:type="paragraph" w:styleId="Heading4">
    <w:name w:val="heading 4"/>
    <w:basedOn w:val="Normal"/>
    <w:next w:val="Normal"/>
    <w:link w:val="Heading4Char"/>
    <w:qFormat/>
    <w:pPr>
      <w:keepNext/>
      <w:numPr>
        <w:ilvl w:val="3"/>
        <w:numId w:val="1"/>
      </w:numPr>
      <w:outlineLvl w:val="3"/>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i/>
      <w:smallCaps/>
      <w:sz w:val="56"/>
      <w:szCs w:val="56"/>
      <w:lang w:eastAsia="bg-BG"/>
    </w:rPr>
  </w:style>
  <w:style w:type="character" w:customStyle="1" w:styleId="Heading2Char">
    <w:name w:val="Heading 2 Char"/>
    <w:basedOn w:val="DefaultParagraphFont"/>
    <w:link w:val="Heading2"/>
    <w:rPr>
      <w:rFonts w:ascii="Times New Roman" w:eastAsia="Times New Roman" w:hAnsi="Times New Roman" w:cs="Times New Roman"/>
      <w:b/>
      <w:caps/>
      <w:sz w:val="24"/>
      <w:szCs w:val="24"/>
      <w:lang w:val="bg-BG" w:eastAsia="bg-BG"/>
    </w:rPr>
  </w:style>
  <w:style w:type="character" w:customStyle="1" w:styleId="Heading3Char">
    <w:name w:val="Heading 3 Char"/>
    <w:basedOn w:val="DefaultParagraphFont"/>
    <w:link w:val="Heading3"/>
    <w:rPr>
      <w:rFonts w:ascii="Times New Roman" w:eastAsia="Times New Roman" w:hAnsi="Times New Roman" w:cs="Times New Roman"/>
      <w:i/>
      <w:szCs w:val="24"/>
      <w:lang w:val="bg-BG" w:eastAsia="bg-BG"/>
    </w:rPr>
  </w:style>
  <w:style w:type="character" w:customStyle="1" w:styleId="Heading4Char">
    <w:name w:val="Heading 4 Char"/>
    <w:basedOn w:val="DefaultParagraphFont"/>
    <w:link w:val="Heading4"/>
    <w:rPr>
      <w:rFonts w:ascii="Times New Roman" w:eastAsia="Times New Roman" w:hAnsi="Times New Roman" w:cs="Times New Roman"/>
      <w:szCs w:val="24"/>
      <w:lang w:val="bg-BG" w:eastAsia="bg-BG"/>
    </w:rPr>
  </w:style>
  <w:style w:type="table" w:customStyle="1" w:styleId="TableStyle1">
    <w:name w:val="Table Style1"/>
    <w:basedOn w:val="TableNormal"/>
    <w:pPr>
      <w:spacing w:after="0" w:line="240" w:lineRule="auto"/>
    </w:pPr>
    <w:rPr>
      <w:rFonts w:ascii="Times New Roman" w:eastAsia="Times New Roman" w:hAnsi="Times New Roman" w:cs="Times New Roman"/>
      <w:sz w:val="20"/>
      <w:szCs w:val="20"/>
    </w:rPr>
    <w:tblPr/>
  </w:style>
  <w:style w:type="character" w:styleId="Hyperlink">
    <w:name w:val="Hyperlink"/>
    <w:uiPriority w:val="99"/>
    <w:rPr>
      <w:color w:val="0000FF"/>
      <w:u w:val="single"/>
    </w:rPr>
  </w:style>
  <w:style w:type="paragraph" w:styleId="FootnoteText">
    <w:name w:val="footnote text"/>
    <w:aliases w:val="fn,Footnote Text Char1 Char,Footnote Text Char Char Char,Footnote Text Char1 Char Char Char,Footnote Text Char Char Char Char Char,Footnote Text Char1 Char1 Char,Footnote Text Char Char Char1 Char,EMPL6,Footnote Text Char1,Schriftart: 9 pt"/>
    <w:basedOn w:val="Normal"/>
    <w:link w:val="FootnoteTextChar"/>
    <w:uiPriority w:val="99"/>
    <w:qFormat/>
    <w:rPr>
      <w:sz w:val="20"/>
      <w:szCs w:val="20"/>
    </w:rPr>
  </w:style>
  <w:style w:type="character" w:customStyle="1" w:styleId="FootnoteTextChar">
    <w:name w:val="Footnote Text Char"/>
    <w:aliases w:val="fn Char,Footnote Text Char1 Char Char,Footnote Text Char Char Char Char,Footnote Text Char1 Char Char Char Char,Footnote Text Char Char Char Char Char Char,Footnote Text Char1 Char1 Char Char,Footnote Text Char Char Char1 Char Char"/>
    <w:basedOn w:val="DefaultParagraphFont"/>
    <w:link w:val="FootnoteText"/>
    <w:uiPriority w:val="99"/>
    <w:rPr>
      <w:rFonts w:ascii="Times New Roman" w:eastAsia="Times New Roman" w:hAnsi="Times New Roman" w:cs="Times New Roman"/>
      <w:sz w:val="20"/>
      <w:szCs w:val="20"/>
      <w:lang w:eastAsia="bg-BG"/>
    </w:rPr>
  </w:style>
  <w:style w:type="character" w:styleId="FootnoteReference">
    <w:name w:val="footnote reference"/>
    <w:aliases w:val="Footnote,Footnote symbol,Footnotes refss,Footnote Reference Number,BVI fnr,BVI fnr Car Car,BVI fnr Car,BVI fnr Car Car Car Car Char,BVI fnr Car Car Car Car Char Char Char Char Char,Char1 Char Char Char Char, Char1 Char Char Char Char"/>
    <w:link w:val="BVIfnrCarCarCarCarCharCharCharChar"/>
    <w:qFormat/>
    <w:rPr>
      <w:vertAlign w:val="superscript"/>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0"/>
      <w:lang w:val="bg-BG" w:eastAsia="bg-BG"/>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
    <w:name w:val="Text 1"/>
    <w:basedOn w:val="Normal"/>
    <w:link w:val="Text1Char"/>
    <w:pPr>
      <w:spacing w:after="240"/>
      <w:ind w:left="482"/>
      <w:jc w:val="both"/>
    </w:pPr>
    <w:rPr>
      <w:szCs w:val="20"/>
    </w:rPr>
  </w:style>
  <w:style w:type="character" w:customStyle="1" w:styleId="Text1Char">
    <w:name w:val="Text 1 Char"/>
    <w:link w:val="Text1"/>
    <w:rPr>
      <w:rFonts w:ascii="Times New Roman" w:eastAsia="Times New Roman" w:hAnsi="Times New Roman" w:cs="Times New Roman"/>
      <w:sz w:val="24"/>
      <w:szCs w:val="20"/>
    </w:rPr>
  </w:style>
  <w:style w:type="paragraph" w:styleId="ListNumber">
    <w:name w:val="List Number"/>
    <w:basedOn w:val="Normal"/>
    <w:pPr>
      <w:numPr>
        <w:numId w:val="3"/>
      </w:numPr>
    </w:pPr>
    <w:rPr>
      <w:sz w:val="22"/>
    </w:rPr>
  </w:style>
  <w:style w:type="paragraph" w:customStyle="1" w:styleId="ListDash">
    <w:name w:val="List Dash"/>
    <w:basedOn w:val="Normal"/>
    <w:link w:val="ListDashChar"/>
    <w:pPr>
      <w:numPr>
        <w:numId w:val="2"/>
      </w:numPr>
    </w:pPr>
    <w:rPr>
      <w:sz w:val="22"/>
    </w:rPr>
  </w:style>
  <w:style w:type="character" w:customStyle="1" w:styleId="ListDashChar">
    <w:name w:val="List Dash Char"/>
    <w:link w:val="ListDash"/>
    <w:rPr>
      <w:rFonts w:ascii="Times New Roman" w:eastAsia="Times New Roman" w:hAnsi="Times New Roman" w:cs="Times New Roman"/>
      <w:szCs w:val="24"/>
      <w:lang w:val="bg-BG" w:eastAsia="bg-BG"/>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character" w:styleId="PageNumber">
    <w:name w:val="page number"/>
    <w:basedOn w:val="DefaultParagraphFont"/>
  </w:style>
  <w:style w:type="paragraph" w:customStyle="1" w:styleId="NormalJustified">
    <w:name w:val="Normal + Justified"/>
    <w:basedOn w:val="Normal"/>
    <w:link w:val="NormalJustifiedChar"/>
    <w:pPr>
      <w:autoSpaceDE w:val="0"/>
      <w:autoSpaceDN w:val="0"/>
      <w:adjustRightInd w:val="0"/>
      <w:jc w:val="both"/>
    </w:pPr>
  </w:style>
  <w:style w:type="character" w:customStyle="1" w:styleId="NormalJustifiedChar">
    <w:name w:val="Normal + Justified Char"/>
    <w:link w:val="NormalJustified"/>
    <w:rPr>
      <w:rFonts w:ascii="Times New Roman" w:eastAsia="Times New Roman" w:hAnsi="Times New Roman" w:cs="Times New Roman"/>
      <w:sz w:val="24"/>
      <w:szCs w:val="24"/>
      <w:lang w:eastAsia="bg-BG"/>
    </w:rPr>
  </w:style>
  <w:style w:type="paragraph" w:styleId="TOC1">
    <w:name w:val="toc 1"/>
    <w:basedOn w:val="Normal"/>
    <w:next w:val="Normal"/>
    <w:autoRedefine/>
    <w:uiPriority w:val="39"/>
    <w:qFormat/>
    <w:pPr>
      <w:tabs>
        <w:tab w:val="left" w:pos="660"/>
        <w:tab w:val="right" w:leader="dot" w:pos="9062"/>
      </w:tabs>
      <w:spacing w:line="360" w:lineRule="auto"/>
      <w:jc w:val="both"/>
    </w:pPr>
    <w:rPr>
      <w:b/>
      <w:bCs/>
      <w:noProof/>
    </w:rPr>
  </w:style>
  <w:style w:type="paragraph" w:styleId="TOC2">
    <w:name w:val="toc 2"/>
    <w:basedOn w:val="Normal"/>
    <w:next w:val="Normal"/>
    <w:autoRedefine/>
    <w:uiPriority w:val="39"/>
    <w:qFormat/>
    <w:pPr>
      <w:tabs>
        <w:tab w:val="right" w:leader="dot" w:pos="9062"/>
      </w:tabs>
      <w:spacing w:line="360" w:lineRule="auto"/>
      <w:jc w:val="both"/>
    </w:pPr>
    <w:rPr>
      <w:b/>
      <w:bCs/>
      <w:noProof/>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eastAsia="bg-BG"/>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lang w:eastAsia="bg-BG"/>
    </w:rPr>
  </w:style>
  <w:style w:type="character" w:styleId="FollowedHyperlink">
    <w:name w:val="FollowedHyperlink"/>
    <w:rPr>
      <w:color w:val="606420"/>
      <w:u w:val="single"/>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character" w:styleId="Strong">
    <w:name w:val="Strong"/>
    <w:uiPriority w:val="22"/>
    <w:qFormat/>
    <w:rPr>
      <w:rFonts w:cs="Times New Roman"/>
      <w:b/>
    </w:rPr>
  </w:style>
  <w:style w:type="paragraph" w:customStyle="1" w:styleId="Body1">
    <w:name w:val="Body 1"/>
    <w:pPr>
      <w:spacing w:after="0" w:line="240" w:lineRule="auto"/>
    </w:pPr>
    <w:rPr>
      <w:rFonts w:ascii="Helvetica" w:eastAsia="Arial Unicode MS" w:hAnsi="Helvetica" w:cs="Times New Roman"/>
      <w:color w:val="000000"/>
      <w:sz w:val="24"/>
      <w:szCs w:val="20"/>
    </w:rPr>
  </w:style>
  <w:style w:type="paragraph" w:customStyle="1" w:styleId="ColorfulList-Accent11">
    <w:name w:val="Colorful List - Accent 11"/>
    <w:basedOn w:val="Normal"/>
    <w:uiPriority w:val="34"/>
    <w:qFormat/>
    <w:pPr>
      <w:ind w:left="720"/>
    </w:pPr>
    <w:rPr>
      <w:rFonts w:ascii="Calibri" w:eastAsia="Calibri" w:hAnsi="Calibri" w:cs="Calibri"/>
      <w:sz w:val="22"/>
      <w:szCs w:val="22"/>
    </w:rPr>
  </w:style>
  <w:style w:type="character" w:customStyle="1" w:styleId="En-tte5">
    <w:name w:val="En-tête #5_"/>
    <w:link w:val="En-tte51"/>
    <w:uiPriority w:val="99"/>
    <w:rPr>
      <w:b/>
      <w:bCs/>
      <w:sz w:val="21"/>
      <w:szCs w:val="21"/>
      <w:shd w:val="clear" w:color="auto" w:fill="FFFFFF"/>
    </w:rPr>
  </w:style>
  <w:style w:type="paragraph" w:customStyle="1" w:styleId="En-tte51">
    <w:name w:val="En-tête #51"/>
    <w:basedOn w:val="Normal"/>
    <w:link w:val="En-tte5"/>
    <w:uiPriority w:val="99"/>
    <w:pPr>
      <w:widowControl w:val="0"/>
      <w:shd w:val="clear" w:color="auto" w:fill="FFFFFF"/>
      <w:spacing w:before="180" w:after="240" w:line="240" w:lineRule="atLeast"/>
      <w:jc w:val="both"/>
      <w:outlineLvl w:val="4"/>
    </w:pPr>
    <w:rPr>
      <w:rFonts w:asciiTheme="minorHAnsi" w:eastAsiaTheme="minorHAnsi" w:hAnsiTheme="minorHAnsi" w:cstheme="minorBidi"/>
      <w:b/>
      <w:bCs/>
      <w:sz w:val="21"/>
      <w:szCs w:val="21"/>
    </w:rPr>
  </w:style>
  <w:style w:type="character" w:customStyle="1" w:styleId="Corpsdutexte">
    <w:name w:val="Corps du texte_"/>
    <w:link w:val="Corpsdutexte1"/>
    <w:uiPriority w:val="99"/>
    <w:rPr>
      <w:i/>
      <w:iCs/>
      <w:sz w:val="21"/>
      <w:szCs w:val="21"/>
      <w:shd w:val="clear" w:color="auto" w:fill="FFFFFF"/>
    </w:rPr>
  </w:style>
  <w:style w:type="character" w:customStyle="1" w:styleId="En-tte3">
    <w:name w:val="En-tête #3_"/>
    <w:link w:val="En-tte31"/>
    <w:uiPriority w:val="99"/>
    <w:rPr>
      <w:b/>
      <w:bCs/>
      <w:smallCaps/>
      <w:sz w:val="26"/>
      <w:szCs w:val="26"/>
      <w:shd w:val="clear" w:color="auto" w:fill="FFFFFF"/>
    </w:rPr>
  </w:style>
  <w:style w:type="paragraph" w:customStyle="1" w:styleId="Corpsdutexte1">
    <w:name w:val="Corps du texte1"/>
    <w:basedOn w:val="Normal"/>
    <w:link w:val="Corpsdutexte"/>
    <w:uiPriority w:val="99"/>
    <w:pPr>
      <w:widowControl w:val="0"/>
      <w:shd w:val="clear" w:color="auto" w:fill="FFFFFF"/>
      <w:spacing w:line="250" w:lineRule="exact"/>
      <w:ind w:hanging="340"/>
      <w:jc w:val="both"/>
    </w:pPr>
    <w:rPr>
      <w:rFonts w:asciiTheme="minorHAnsi" w:eastAsiaTheme="minorHAnsi" w:hAnsiTheme="minorHAnsi" w:cstheme="minorBidi"/>
      <w:i/>
      <w:iCs/>
      <w:sz w:val="21"/>
      <w:szCs w:val="21"/>
    </w:rPr>
  </w:style>
  <w:style w:type="paragraph" w:customStyle="1" w:styleId="En-tte31">
    <w:name w:val="En-tête #31"/>
    <w:basedOn w:val="Normal"/>
    <w:link w:val="En-tte3"/>
    <w:uiPriority w:val="99"/>
    <w:pPr>
      <w:widowControl w:val="0"/>
      <w:shd w:val="clear" w:color="auto" w:fill="FFFFFF"/>
      <w:spacing w:before="720" w:line="250" w:lineRule="exact"/>
      <w:jc w:val="both"/>
      <w:outlineLvl w:val="2"/>
    </w:pPr>
    <w:rPr>
      <w:rFonts w:asciiTheme="minorHAnsi" w:eastAsiaTheme="minorHAnsi" w:hAnsiTheme="minorHAnsi" w:cstheme="minorBidi"/>
      <w:b/>
      <w:bCs/>
      <w:smallCaps/>
      <w:sz w:val="26"/>
      <w:szCs w:val="26"/>
    </w:rPr>
  </w:style>
  <w:style w:type="paragraph" w:styleId="Caption">
    <w:name w:val="caption"/>
    <w:basedOn w:val="Normal"/>
    <w:next w:val="Normal"/>
    <w:unhideWhenUsed/>
    <w:qFormat/>
    <w:rPr>
      <w:b/>
      <w:bCs/>
      <w:sz w:val="20"/>
      <w:szCs w:val="20"/>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unhideWhenUsed/>
    <w:pPr>
      <w:spacing w:after="360"/>
    </w:pPr>
  </w:style>
  <w:style w:type="character" w:customStyle="1" w:styleId="Corpsdutexte4">
    <w:name w:val="Corps du texte (4)_"/>
    <w:link w:val="Corpsdutexte41"/>
    <w:uiPriority w:val="99"/>
    <w:rPr>
      <w:i/>
      <w:iCs/>
      <w:sz w:val="23"/>
      <w:szCs w:val="23"/>
      <w:shd w:val="clear" w:color="auto" w:fill="FFFFFF"/>
    </w:rPr>
  </w:style>
  <w:style w:type="character" w:customStyle="1" w:styleId="Corpsdutexte4NonItalique">
    <w:name w:val="Corps du texte (4) + Non Italique"/>
    <w:uiPriority w:val="99"/>
    <w:rPr>
      <w:i w:val="0"/>
      <w:iCs w:val="0"/>
      <w:sz w:val="23"/>
      <w:szCs w:val="23"/>
      <w:shd w:val="clear" w:color="auto" w:fill="FFFFFF"/>
    </w:rPr>
  </w:style>
  <w:style w:type="character" w:customStyle="1" w:styleId="Corpsdutexte4NonItalique2">
    <w:name w:val="Corps du texte (4) + Non Italique2"/>
    <w:uiPriority w:val="99"/>
    <w:rPr>
      <w:i w:val="0"/>
      <w:iCs w:val="0"/>
      <w:sz w:val="23"/>
      <w:szCs w:val="23"/>
      <w:shd w:val="clear" w:color="auto" w:fill="FFFFFF"/>
    </w:rPr>
  </w:style>
  <w:style w:type="character" w:customStyle="1" w:styleId="Corpsdutexte40">
    <w:name w:val="Corps du texte (4)"/>
    <w:uiPriority w:val="99"/>
  </w:style>
  <w:style w:type="character" w:customStyle="1" w:styleId="Corpsdutexte6">
    <w:name w:val="Corps du texte6"/>
    <w:uiPriority w:val="99"/>
  </w:style>
  <w:style w:type="character" w:customStyle="1" w:styleId="CorpsdutexteItalique">
    <w:name w:val="Corps du texte + Italique"/>
    <w:uiPriority w:val="99"/>
    <w:rPr>
      <w:i/>
      <w:iCs/>
      <w:sz w:val="23"/>
      <w:szCs w:val="23"/>
      <w:shd w:val="clear" w:color="auto" w:fill="FFFFFF"/>
    </w:rPr>
  </w:style>
  <w:style w:type="paragraph" w:customStyle="1" w:styleId="Corpsdutexte41">
    <w:name w:val="Corps du texte (4)1"/>
    <w:basedOn w:val="Normal"/>
    <w:link w:val="Corpsdutexte4"/>
    <w:uiPriority w:val="99"/>
    <w:pPr>
      <w:widowControl w:val="0"/>
      <w:shd w:val="clear" w:color="auto" w:fill="FFFFFF"/>
      <w:spacing w:before="300" w:after="240" w:line="274" w:lineRule="exact"/>
      <w:jc w:val="both"/>
    </w:pPr>
    <w:rPr>
      <w:rFonts w:asciiTheme="minorHAnsi" w:eastAsiaTheme="minorHAnsi" w:hAnsiTheme="minorHAnsi" w:cstheme="minorBidi"/>
      <w:i/>
      <w:iCs/>
      <w:sz w:val="23"/>
      <w:szCs w:val="23"/>
    </w:rPr>
  </w:style>
  <w:style w:type="paragraph" w:customStyle="1" w:styleId="EIP">
    <w:name w:val="EIP"/>
    <w:basedOn w:val="Normal"/>
    <w:link w:val="EIPChar"/>
    <w:autoRedefine/>
    <w:qFormat/>
    <w:pPr>
      <w:autoSpaceDE w:val="0"/>
      <w:autoSpaceDN w:val="0"/>
      <w:adjustRightInd w:val="0"/>
      <w:spacing w:before="120" w:after="60"/>
      <w:jc w:val="both"/>
    </w:pPr>
    <w:rPr>
      <w:b/>
      <w:bCs/>
    </w:rPr>
  </w:style>
  <w:style w:type="character" w:customStyle="1" w:styleId="EIPChar">
    <w:name w:val="EIP Char"/>
    <w:link w:val="EIP"/>
    <w:rPr>
      <w:rFonts w:ascii="Times New Roman" w:eastAsia="Times New Roman" w:hAnsi="Times New Roman" w:cs="Times New Roman"/>
      <w:b/>
      <w:bCs/>
      <w:sz w:val="24"/>
      <w:szCs w:val="24"/>
      <w:lang w:val="bg-BG" w:eastAsia="bg-BG"/>
    </w:rPr>
  </w:style>
  <w:style w:type="paragraph" w:styleId="TOCHeading">
    <w:name w:val="TOC Heading"/>
    <w:basedOn w:val="Heading1"/>
    <w:next w:val="Normal"/>
    <w:uiPriority w:val="39"/>
    <w:semiHidden/>
    <w:unhideWhenUsed/>
    <w:qFormat/>
    <w:pPr>
      <w:keepLines/>
      <w:spacing w:before="480" w:line="276" w:lineRule="auto"/>
      <w:outlineLvl w:val="9"/>
    </w:pPr>
    <w:rPr>
      <w:rFonts w:ascii="Cambria" w:eastAsia="MS Gothic" w:hAnsi="Cambria"/>
      <w:bCs w:val="0"/>
      <w:smallCaps w:val="0"/>
      <w:color w:val="365F91"/>
      <w:szCs w:val="28"/>
    </w:rPr>
  </w:style>
  <w:style w:type="paragraph" w:styleId="TOC3">
    <w:name w:val="toc 3"/>
    <w:basedOn w:val="Normal"/>
    <w:next w:val="Normal"/>
    <w:autoRedefine/>
    <w:uiPriority w:val="39"/>
    <w:unhideWhenUsed/>
    <w:qFormat/>
    <w:pPr>
      <w:spacing w:after="100" w:line="276" w:lineRule="auto"/>
      <w:ind w:left="440"/>
    </w:pPr>
    <w:rPr>
      <w:rFonts w:ascii="Calibri" w:hAnsi="Calibri"/>
      <w:sz w:val="22"/>
      <w:szCs w:val="22"/>
    </w:rPr>
  </w:style>
  <w:style w:type="paragraph" w:styleId="TOC4">
    <w:name w:val="toc 4"/>
    <w:basedOn w:val="Normal"/>
    <w:next w:val="Normal"/>
    <w:autoRedefine/>
    <w:uiPriority w:val="39"/>
    <w:unhideWhenUsed/>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pPr>
      <w:spacing w:after="100" w:line="276" w:lineRule="auto"/>
      <w:ind w:left="1760"/>
    </w:pPr>
    <w:rPr>
      <w:rFonts w:ascii="Calibri" w:hAnsi="Calibri"/>
      <w:sz w:val="22"/>
      <w:szCs w:val="22"/>
    </w:rPr>
  </w:style>
  <w:style w:type="character" w:customStyle="1" w:styleId="Corpsdutexte4Exact">
    <w:name w:val="Corps du texte (4) Exact"/>
    <w:uiPriority w:val="99"/>
    <w:rPr>
      <w:spacing w:val="2"/>
      <w:sz w:val="19"/>
      <w:szCs w:val="19"/>
      <w:u w:val="none"/>
    </w:rPr>
  </w:style>
  <w:style w:type="character" w:customStyle="1" w:styleId="En-tte50">
    <w:name w:val="En-tête #5"/>
    <w:uiPriority w:val="99"/>
    <w:rPr>
      <w:b/>
      <w:bCs/>
      <w:sz w:val="21"/>
      <w:szCs w:val="21"/>
      <w:u w:val="single"/>
      <w:shd w:val="clear" w:color="auto" w:fill="FFFFFF"/>
    </w:rPr>
  </w:style>
  <w:style w:type="character" w:customStyle="1" w:styleId="CorpsdutexteGras">
    <w:name w:val="Corps du texte + Gras"/>
    <w:uiPriority w:val="99"/>
    <w:rPr>
      <w:b/>
      <w:bCs/>
      <w:i/>
      <w:iCs/>
      <w:sz w:val="21"/>
      <w:szCs w:val="21"/>
      <w:u w:val="none"/>
      <w:shd w:val="clear" w:color="auto" w:fill="FFFFFF"/>
    </w:rPr>
  </w:style>
  <w:style w:type="character" w:customStyle="1" w:styleId="CorpsdutexteGras1">
    <w:name w:val="Corps du texte + Gras1"/>
    <w:uiPriority w:val="99"/>
    <w:rPr>
      <w:b/>
      <w:bCs/>
      <w:i/>
      <w:iCs/>
      <w:sz w:val="21"/>
      <w:szCs w:val="21"/>
      <w:u w:val="none"/>
      <w:shd w:val="clear" w:color="auto" w:fill="FFFFFF"/>
    </w:rPr>
  </w:style>
  <w:style w:type="character" w:customStyle="1" w:styleId="Corpsdutexte2">
    <w:name w:val="Corps du texte2"/>
    <w:uiPriority w:val="99"/>
    <w:rPr>
      <w:i/>
      <w:iCs/>
      <w:sz w:val="21"/>
      <w:szCs w:val="21"/>
      <w:u w:val="single"/>
      <w:shd w:val="clear" w:color="auto" w:fill="FFFFFF"/>
    </w:rPr>
  </w:style>
  <w:style w:type="character" w:customStyle="1" w:styleId="En-tte30">
    <w:name w:val="En-tête #3"/>
    <w:uiPriority w:val="99"/>
    <w:rPr>
      <w:b/>
      <w:bCs/>
      <w:smallCaps/>
      <w:sz w:val="26"/>
      <w:szCs w:val="26"/>
      <w:u w:val="single"/>
      <w:shd w:val="clear" w:color="auto" w:fill="FFFFFF"/>
    </w:rPr>
  </w:style>
  <w:style w:type="character" w:customStyle="1" w:styleId="En-tte2">
    <w:name w:val="En-tête #2_"/>
    <w:link w:val="En-tte21"/>
    <w:uiPriority w:val="99"/>
    <w:rPr>
      <w:b/>
      <w:bCs/>
      <w:smallCaps/>
      <w:sz w:val="30"/>
      <w:szCs w:val="30"/>
      <w:shd w:val="clear" w:color="auto" w:fill="FFFFFF"/>
    </w:rPr>
  </w:style>
  <w:style w:type="character" w:customStyle="1" w:styleId="En-tte20">
    <w:name w:val="En-tête #2"/>
    <w:uiPriority w:val="99"/>
    <w:rPr>
      <w:b/>
      <w:bCs/>
      <w:smallCaps/>
      <w:sz w:val="30"/>
      <w:szCs w:val="30"/>
      <w:u w:val="single"/>
    </w:rPr>
  </w:style>
  <w:style w:type="paragraph" w:customStyle="1" w:styleId="En-tte21">
    <w:name w:val="En-tête #21"/>
    <w:basedOn w:val="Normal"/>
    <w:link w:val="En-tte2"/>
    <w:uiPriority w:val="99"/>
    <w:pPr>
      <w:widowControl w:val="0"/>
      <w:shd w:val="clear" w:color="auto" w:fill="FFFFFF"/>
      <w:spacing w:before="720" w:after="60" w:line="240" w:lineRule="atLeast"/>
      <w:jc w:val="both"/>
      <w:outlineLvl w:val="1"/>
    </w:pPr>
    <w:rPr>
      <w:rFonts w:asciiTheme="minorHAnsi" w:eastAsiaTheme="minorHAnsi" w:hAnsiTheme="minorHAnsi" w:cstheme="minorBidi"/>
      <w:b/>
      <w:bCs/>
      <w:smallCaps/>
      <w:sz w:val="30"/>
      <w:szCs w:val="30"/>
    </w:rPr>
  </w:style>
  <w:style w:type="paragraph" w:styleId="ListParagraph">
    <w:name w:val="List Paragraph"/>
    <w:basedOn w:val="Normal"/>
    <w:uiPriority w:val="34"/>
    <w:qFormat/>
    <w:pPr>
      <w:widowControl w:val="0"/>
      <w:ind w:left="720"/>
      <w:contextualSpacing/>
    </w:pPr>
    <w:rPr>
      <w:color w:val="00000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unhideWhenUsed/>
    <w:rPr>
      <w:rFonts w:ascii="Calibri" w:eastAsia="Calibri" w:hAnsi="Calibri"/>
      <w:sz w:val="20"/>
      <w:szCs w:val="20"/>
    </w:rPr>
  </w:style>
  <w:style w:type="character" w:customStyle="1" w:styleId="EndnoteTextChar">
    <w:name w:val="Endnote Text Char"/>
    <w:basedOn w:val="DefaultParagraphFont"/>
    <w:link w:val="EndnoteText"/>
    <w:uiPriority w:val="99"/>
    <w:rPr>
      <w:rFonts w:ascii="Calibri" w:eastAsia="Calibri" w:hAnsi="Calibri" w:cs="Times New Roman"/>
      <w:sz w:val="20"/>
      <w:szCs w:val="20"/>
    </w:rPr>
  </w:style>
  <w:style w:type="character" w:styleId="EndnoteReference">
    <w:name w:val="endnote reference"/>
    <w:uiPriority w:val="99"/>
    <w:unhideWhenUsed/>
    <w:rPr>
      <w:vertAlign w:val="superscript"/>
    </w:rPr>
  </w:style>
  <w:style w:type="paragraph" w:customStyle="1" w:styleId="Briefingtext">
    <w:name w:val="Briefing text"/>
    <w:basedOn w:val="Normal"/>
    <w:link w:val="BriefingtextChar"/>
    <w:pPr>
      <w:spacing w:after="240"/>
      <w:jc w:val="both"/>
    </w:pPr>
    <w:rPr>
      <w:rFonts w:ascii="Arial" w:hAnsi="Arial" w:cs="Arial"/>
      <w:sz w:val="22"/>
    </w:rPr>
  </w:style>
  <w:style w:type="character" w:customStyle="1" w:styleId="BriefingtextChar">
    <w:name w:val="Briefing text Char"/>
    <w:link w:val="Briefingtext"/>
    <w:rPr>
      <w:rFonts w:ascii="Arial" w:eastAsia="Times New Roman" w:hAnsi="Arial" w:cs="Arial"/>
      <w:szCs w:val="24"/>
    </w:rPr>
  </w:style>
  <w:style w:type="paragraph" w:customStyle="1" w:styleId="CM1">
    <w:name w:val="CM1"/>
    <w:basedOn w:val="Default"/>
    <w:next w:val="Default"/>
    <w:uiPriority w:val="99"/>
    <w:rPr>
      <w:rFonts w:ascii="EUAlbertina" w:eastAsiaTheme="minorHAnsi" w:hAnsi="EUAlbertina" w:cstheme="minorBidi"/>
      <w:color w:val="auto"/>
    </w:rPr>
  </w:style>
  <w:style w:type="paragraph" w:customStyle="1" w:styleId="CM3">
    <w:name w:val="CM3"/>
    <w:basedOn w:val="Default"/>
    <w:next w:val="Default"/>
    <w:uiPriority w:val="99"/>
    <w:rPr>
      <w:rFonts w:ascii="EUAlbertina" w:eastAsiaTheme="minorHAnsi" w:hAnsi="EUAlbertina" w:cstheme="minorBidi"/>
      <w:color w:val="auto"/>
    </w:rPr>
  </w:style>
  <w:style w:type="paragraph" w:customStyle="1" w:styleId="CM4">
    <w:name w:val="CM4"/>
    <w:basedOn w:val="Default"/>
    <w:next w:val="Default"/>
    <w:uiPriority w:val="99"/>
    <w:rPr>
      <w:rFonts w:ascii="EUAlbertina" w:eastAsiaTheme="minorHAnsi" w:hAnsi="EUAlbertina" w:cstheme="minorBidi"/>
      <w:color w:val="auto"/>
    </w:rPr>
  </w:style>
  <w:style w:type="paragraph" w:customStyle="1" w:styleId="default0">
    <w:name w:val="default"/>
    <w:basedOn w:val="Normal"/>
    <w:uiPriority w:val="99"/>
    <w:semiHidden/>
    <w:pPr>
      <w:spacing w:before="100" w:beforeAutospacing="1" w:after="100" w:afterAutospacing="1"/>
    </w:pPr>
    <w:rPr>
      <w:rFonts w:eastAsiaTheme="minorHAnsi"/>
    </w:rPr>
  </w:style>
  <w:style w:type="character" w:customStyle="1" w:styleId="timark5">
    <w:name w:val="timark5"/>
    <w:basedOn w:val="DefaultParagraphFont"/>
    <w:rPr>
      <w:b/>
      <w:bCs/>
      <w:vanish w:val="0"/>
      <w:webHidden w:val="0"/>
      <w:specVanish w:val="0"/>
    </w:rPr>
  </w:style>
  <w:style w:type="character" w:customStyle="1" w:styleId="calendarnode">
    <w:name w:val="calendar_node"/>
    <w:basedOn w:val="DefaultParagraphFont"/>
  </w:style>
  <w:style w:type="paragraph" w:customStyle="1" w:styleId="PStableamount">
    <w:name w:val="PS_table_amount"/>
    <w:basedOn w:val="Normal"/>
    <w:pPr>
      <w:jc w:val="right"/>
    </w:pPr>
    <w:rPr>
      <w:sz w:val="18"/>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widowControl w:val="0"/>
      <w:tabs>
        <w:tab w:val="center" w:pos="4535"/>
        <w:tab w:val="right" w:pos="9071"/>
        <w:tab w:val="right" w:pos="9921"/>
      </w:tabs>
      <w:autoSpaceDE w:val="0"/>
      <w:autoSpaceDN w:val="0"/>
      <w:adjustRightInd w:val="0"/>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widowControl w:val="0"/>
      <w:tabs>
        <w:tab w:val="center" w:pos="4535"/>
        <w:tab w:val="right" w:pos="9071"/>
      </w:tabs>
      <w:autoSpaceDE w:val="0"/>
      <w:autoSpaceDN w:val="0"/>
      <w:adjustRightInd w:val="0"/>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customStyle="1" w:styleId="BVIfnrCarCarCarCarCharCharCharChar">
    <w:name w:val="BVI fnr Car Car Car Car Char Char Char Char"/>
    <w:basedOn w:val="Normal"/>
    <w:link w:val="FootnoteReference"/>
    <w:uiPriority w:val="99"/>
    <w:pPr>
      <w:spacing w:after="160" w:line="240" w:lineRule="exact"/>
    </w:pPr>
    <w:rPr>
      <w:rFonts w:asciiTheme="minorHAnsi" w:eastAsiaTheme="minorHAnsi" w:hAnsiTheme="minorHAnsi" w:cstheme="minorBidi"/>
      <w:sz w:val="22"/>
      <w:szCs w:val="22"/>
      <w:vertAlign w:val="superscript"/>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9652">
      <w:bodyDiv w:val="1"/>
      <w:marLeft w:val="0"/>
      <w:marRight w:val="0"/>
      <w:marTop w:val="0"/>
      <w:marBottom w:val="0"/>
      <w:divBdr>
        <w:top w:val="none" w:sz="0" w:space="0" w:color="auto"/>
        <w:left w:val="none" w:sz="0" w:space="0" w:color="auto"/>
        <w:bottom w:val="none" w:sz="0" w:space="0" w:color="auto"/>
        <w:right w:val="none" w:sz="0" w:space="0" w:color="auto"/>
      </w:divBdr>
    </w:div>
    <w:div w:id="91321430">
      <w:bodyDiv w:val="1"/>
      <w:marLeft w:val="0"/>
      <w:marRight w:val="0"/>
      <w:marTop w:val="0"/>
      <w:marBottom w:val="0"/>
      <w:divBdr>
        <w:top w:val="none" w:sz="0" w:space="0" w:color="auto"/>
        <w:left w:val="none" w:sz="0" w:space="0" w:color="auto"/>
        <w:bottom w:val="none" w:sz="0" w:space="0" w:color="auto"/>
        <w:right w:val="none" w:sz="0" w:space="0" w:color="auto"/>
      </w:divBdr>
      <w:divsChild>
        <w:div w:id="53895772">
          <w:marLeft w:val="0"/>
          <w:marRight w:val="0"/>
          <w:marTop w:val="0"/>
          <w:marBottom w:val="0"/>
          <w:divBdr>
            <w:top w:val="none" w:sz="0" w:space="0" w:color="auto"/>
            <w:left w:val="none" w:sz="0" w:space="0" w:color="auto"/>
            <w:bottom w:val="none" w:sz="0" w:space="0" w:color="auto"/>
            <w:right w:val="none" w:sz="0" w:space="0" w:color="auto"/>
          </w:divBdr>
          <w:divsChild>
            <w:div w:id="108626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3189">
      <w:bodyDiv w:val="1"/>
      <w:marLeft w:val="0"/>
      <w:marRight w:val="0"/>
      <w:marTop w:val="0"/>
      <w:marBottom w:val="0"/>
      <w:divBdr>
        <w:top w:val="none" w:sz="0" w:space="0" w:color="auto"/>
        <w:left w:val="none" w:sz="0" w:space="0" w:color="auto"/>
        <w:bottom w:val="none" w:sz="0" w:space="0" w:color="auto"/>
        <w:right w:val="none" w:sz="0" w:space="0" w:color="auto"/>
      </w:divBdr>
    </w:div>
    <w:div w:id="115490936">
      <w:bodyDiv w:val="1"/>
      <w:marLeft w:val="0"/>
      <w:marRight w:val="0"/>
      <w:marTop w:val="0"/>
      <w:marBottom w:val="0"/>
      <w:divBdr>
        <w:top w:val="none" w:sz="0" w:space="0" w:color="auto"/>
        <w:left w:val="none" w:sz="0" w:space="0" w:color="auto"/>
        <w:bottom w:val="none" w:sz="0" w:space="0" w:color="auto"/>
        <w:right w:val="none" w:sz="0" w:space="0" w:color="auto"/>
      </w:divBdr>
    </w:div>
    <w:div w:id="208609829">
      <w:bodyDiv w:val="1"/>
      <w:marLeft w:val="0"/>
      <w:marRight w:val="0"/>
      <w:marTop w:val="0"/>
      <w:marBottom w:val="0"/>
      <w:divBdr>
        <w:top w:val="none" w:sz="0" w:space="0" w:color="auto"/>
        <w:left w:val="none" w:sz="0" w:space="0" w:color="auto"/>
        <w:bottom w:val="none" w:sz="0" w:space="0" w:color="auto"/>
        <w:right w:val="none" w:sz="0" w:space="0" w:color="auto"/>
      </w:divBdr>
      <w:divsChild>
        <w:div w:id="1262303183">
          <w:marLeft w:val="0"/>
          <w:marRight w:val="0"/>
          <w:marTop w:val="0"/>
          <w:marBottom w:val="0"/>
          <w:divBdr>
            <w:top w:val="none" w:sz="0" w:space="0" w:color="auto"/>
            <w:left w:val="none" w:sz="0" w:space="0" w:color="auto"/>
            <w:bottom w:val="none" w:sz="0" w:space="0" w:color="auto"/>
            <w:right w:val="none" w:sz="0" w:space="0" w:color="auto"/>
          </w:divBdr>
          <w:divsChild>
            <w:div w:id="105975747">
              <w:marLeft w:val="0"/>
              <w:marRight w:val="0"/>
              <w:marTop w:val="0"/>
              <w:marBottom w:val="0"/>
              <w:divBdr>
                <w:top w:val="none" w:sz="0" w:space="0" w:color="auto"/>
                <w:left w:val="none" w:sz="0" w:space="0" w:color="auto"/>
                <w:bottom w:val="none" w:sz="0" w:space="0" w:color="auto"/>
                <w:right w:val="none" w:sz="0" w:space="0" w:color="auto"/>
              </w:divBdr>
              <w:divsChild>
                <w:div w:id="1289164945">
                  <w:marLeft w:val="0"/>
                  <w:marRight w:val="0"/>
                  <w:marTop w:val="0"/>
                  <w:marBottom w:val="300"/>
                  <w:divBdr>
                    <w:top w:val="none" w:sz="0" w:space="0" w:color="auto"/>
                    <w:left w:val="none" w:sz="0" w:space="0" w:color="auto"/>
                    <w:bottom w:val="none" w:sz="0" w:space="0" w:color="auto"/>
                    <w:right w:val="none" w:sz="0" w:space="0" w:color="auto"/>
                  </w:divBdr>
                  <w:divsChild>
                    <w:div w:id="1934586083">
                      <w:marLeft w:val="0"/>
                      <w:marRight w:val="0"/>
                      <w:marTop w:val="0"/>
                      <w:marBottom w:val="0"/>
                      <w:divBdr>
                        <w:top w:val="none" w:sz="0" w:space="0" w:color="auto"/>
                        <w:left w:val="none" w:sz="0" w:space="0" w:color="auto"/>
                        <w:bottom w:val="none" w:sz="0" w:space="0" w:color="auto"/>
                        <w:right w:val="none" w:sz="0" w:space="0" w:color="auto"/>
                      </w:divBdr>
                      <w:divsChild>
                        <w:div w:id="2091998331">
                          <w:marLeft w:val="0"/>
                          <w:marRight w:val="0"/>
                          <w:marTop w:val="0"/>
                          <w:marBottom w:val="0"/>
                          <w:divBdr>
                            <w:top w:val="none" w:sz="0" w:space="0" w:color="auto"/>
                            <w:left w:val="none" w:sz="0" w:space="0" w:color="auto"/>
                            <w:bottom w:val="none" w:sz="0" w:space="0" w:color="auto"/>
                            <w:right w:val="none" w:sz="0" w:space="0" w:color="auto"/>
                          </w:divBdr>
                          <w:divsChild>
                            <w:div w:id="2094861880">
                              <w:marLeft w:val="0"/>
                              <w:marRight w:val="0"/>
                              <w:marTop w:val="0"/>
                              <w:marBottom w:val="0"/>
                              <w:divBdr>
                                <w:top w:val="none" w:sz="0" w:space="0" w:color="auto"/>
                                <w:left w:val="none" w:sz="0" w:space="0" w:color="auto"/>
                                <w:bottom w:val="none" w:sz="0" w:space="0" w:color="auto"/>
                                <w:right w:val="none" w:sz="0" w:space="0" w:color="auto"/>
                              </w:divBdr>
                              <w:divsChild>
                                <w:div w:id="1796217988">
                                  <w:marLeft w:val="0"/>
                                  <w:marRight w:val="0"/>
                                  <w:marTop w:val="0"/>
                                  <w:marBottom w:val="0"/>
                                  <w:divBdr>
                                    <w:top w:val="none" w:sz="0" w:space="0" w:color="auto"/>
                                    <w:left w:val="none" w:sz="0" w:space="0" w:color="auto"/>
                                    <w:bottom w:val="none" w:sz="0" w:space="0" w:color="auto"/>
                                    <w:right w:val="none" w:sz="0" w:space="0" w:color="auto"/>
                                  </w:divBdr>
                                  <w:divsChild>
                                    <w:div w:id="88543796">
                                      <w:marLeft w:val="0"/>
                                      <w:marRight w:val="0"/>
                                      <w:marTop w:val="0"/>
                                      <w:marBottom w:val="0"/>
                                      <w:divBdr>
                                        <w:top w:val="none" w:sz="0" w:space="0" w:color="auto"/>
                                        <w:left w:val="none" w:sz="0" w:space="0" w:color="auto"/>
                                        <w:bottom w:val="none" w:sz="0" w:space="0" w:color="auto"/>
                                        <w:right w:val="none" w:sz="0" w:space="0" w:color="auto"/>
                                      </w:divBdr>
                                      <w:divsChild>
                                        <w:div w:id="2013757182">
                                          <w:marLeft w:val="0"/>
                                          <w:marRight w:val="0"/>
                                          <w:marTop w:val="0"/>
                                          <w:marBottom w:val="0"/>
                                          <w:divBdr>
                                            <w:top w:val="none" w:sz="0" w:space="0" w:color="auto"/>
                                            <w:left w:val="none" w:sz="0" w:space="0" w:color="auto"/>
                                            <w:bottom w:val="none" w:sz="0" w:space="0" w:color="auto"/>
                                            <w:right w:val="none" w:sz="0" w:space="0" w:color="auto"/>
                                          </w:divBdr>
                                          <w:divsChild>
                                            <w:div w:id="1640459244">
                                              <w:marLeft w:val="0"/>
                                              <w:marRight w:val="0"/>
                                              <w:marTop w:val="0"/>
                                              <w:marBottom w:val="0"/>
                                              <w:divBdr>
                                                <w:top w:val="none" w:sz="0" w:space="0" w:color="auto"/>
                                                <w:left w:val="none" w:sz="0" w:space="0" w:color="auto"/>
                                                <w:bottom w:val="none" w:sz="0" w:space="0" w:color="auto"/>
                                                <w:right w:val="none" w:sz="0" w:space="0" w:color="auto"/>
                                              </w:divBdr>
                                              <w:divsChild>
                                                <w:div w:id="461576927">
                                                  <w:marLeft w:val="0"/>
                                                  <w:marRight w:val="0"/>
                                                  <w:marTop w:val="0"/>
                                                  <w:marBottom w:val="0"/>
                                                  <w:divBdr>
                                                    <w:top w:val="none" w:sz="0" w:space="0" w:color="auto"/>
                                                    <w:left w:val="none" w:sz="0" w:space="0" w:color="auto"/>
                                                    <w:bottom w:val="none" w:sz="0" w:space="0" w:color="auto"/>
                                                    <w:right w:val="none" w:sz="0" w:space="0" w:color="auto"/>
                                                  </w:divBdr>
                                                  <w:divsChild>
                                                    <w:div w:id="30594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3758968">
      <w:bodyDiv w:val="1"/>
      <w:marLeft w:val="0"/>
      <w:marRight w:val="0"/>
      <w:marTop w:val="0"/>
      <w:marBottom w:val="0"/>
      <w:divBdr>
        <w:top w:val="none" w:sz="0" w:space="0" w:color="auto"/>
        <w:left w:val="none" w:sz="0" w:space="0" w:color="auto"/>
        <w:bottom w:val="none" w:sz="0" w:space="0" w:color="auto"/>
        <w:right w:val="none" w:sz="0" w:space="0" w:color="auto"/>
      </w:divBdr>
    </w:div>
    <w:div w:id="297496769">
      <w:bodyDiv w:val="1"/>
      <w:marLeft w:val="0"/>
      <w:marRight w:val="0"/>
      <w:marTop w:val="0"/>
      <w:marBottom w:val="0"/>
      <w:divBdr>
        <w:top w:val="none" w:sz="0" w:space="0" w:color="auto"/>
        <w:left w:val="none" w:sz="0" w:space="0" w:color="auto"/>
        <w:bottom w:val="none" w:sz="0" w:space="0" w:color="auto"/>
        <w:right w:val="none" w:sz="0" w:space="0" w:color="auto"/>
      </w:divBdr>
    </w:div>
    <w:div w:id="340352646">
      <w:bodyDiv w:val="1"/>
      <w:marLeft w:val="0"/>
      <w:marRight w:val="0"/>
      <w:marTop w:val="0"/>
      <w:marBottom w:val="0"/>
      <w:divBdr>
        <w:top w:val="none" w:sz="0" w:space="0" w:color="auto"/>
        <w:left w:val="none" w:sz="0" w:space="0" w:color="auto"/>
        <w:bottom w:val="none" w:sz="0" w:space="0" w:color="auto"/>
        <w:right w:val="none" w:sz="0" w:space="0" w:color="auto"/>
      </w:divBdr>
    </w:div>
    <w:div w:id="344670106">
      <w:bodyDiv w:val="1"/>
      <w:marLeft w:val="0"/>
      <w:marRight w:val="0"/>
      <w:marTop w:val="0"/>
      <w:marBottom w:val="0"/>
      <w:divBdr>
        <w:top w:val="none" w:sz="0" w:space="0" w:color="auto"/>
        <w:left w:val="none" w:sz="0" w:space="0" w:color="auto"/>
        <w:bottom w:val="none" w:sz="0" w:space="0" w:color="auto"/>
        <w:right w:val="none" w:sz="0" w:space="0" w:color="auto"/>
      </w:divBdr>
    </w:div>
    <w:div w:id="370812675">
      <w:bodyDiv w:val="1"/>
      <w:marLeft w:val="0"/>
      <w:marRight w:val="0"/>
      <w:marTop w:val="0"/>
      <w:marBottom w:val="0"/>
      <w:divBdr>
        <w:top w:val="none" w:sz="0" w:space="0" w:color="auto"/>
        <w:left w:val="none" w:sz="0" w:space="0" w:color="auto"/>
        <w:bottom w:val="none" w:sz="0" w:space="0" w:color="auto"/>
        <w:right w:val="none" w:sz="0" w:space="0" w:color="auto"/>
      </w:divBdr>
    </w:div>
    <w:div w:id="388891333">
      <w:bodyDiv w:val="1"/>
      <w:marLeft w:val="0"/>
      <w:marRight w:val="0"/>
      <w:marTop w:val="0"/>
      <w:marBottom w:val="0"/>
      <w:divBdr>
        <w:top w:val="none" w:sz="0" w:space="0" w:color="auto"/>
        <w:left w:val="none" w:sz="0" w:space="0" w:color="auto"/>
        <w:bottom w:val="none" w:sz="0" w:space="0" w:color="auto"/>
        <w:right w:val="none" w:sz="0" w:space="0" w:color="auto"/>
      </w:divBdr>
    </w:div>
    <w:div w:id="505368729">
      <w:bodyDiv w:val="1"/>
      <w:marLeft w:val="0"/>
      <w:marRight w:val="0"/>
      <w:marTop w:val="0"/>
      <w:marBottom w:val="0"/>
      <w:divBdr>
        <w:top w:val="none" w:sz="0" w:space="0" w:color="auto"/>
        <w:left w:val="none" w:sz="0" w:space="0" w:color="auto"/>
        <w:bottom w:val="none" w:sz="0" w:space="0" w:color="auto"/>
        <w:right w:val="none" w:sz="0" w:space="0" w:color="auto"/>
      </w:divBdr>
    </w:div>
    <w:div w:id="529683735">
      <w:bodyDiv w:val="1"/>
      <w:marLeft w:val="0"/>
      <w:marRight w:val="0"/>
      <w:marTop w:val="0"/>
      <w:marBottom w:val="0"/>
      <w:divBdr>
        <w:top w:val="none" w:sz="0" w:space="0" w:color="auto"/>
        <w:left w:val="none" w:sz="0" w:space="0" w:color="auto"/>
        <w:bottom w:val="none" w:sz="0" w:space="0" w:color="auto"/>
        <w:right w:val="none" w:sz="0" w:space="0" w:color="auto"/>
      </w:divBdr>
    </w:div>
    <w:div w:id="609513412">
      <w:bodyDiv w:val="1"/>
      <w:marLeft w:val="0"/>
      <w:marRight w:val="0"/>
      <w:marTop w:val="0"/>
      <w:marBottom w:val="0"/>
      <w:divBdr>
        <w:top w:val="none" w:sz="0" w:space="0" w:color="auto"/>
        <w:left w:val="none" w:sz="0" w:space="0" w:color="auto"/>
        <w:bottom w:val="none" w:sz="0" w:space="0" w:color="auto"/>
        <w:right w:val="none" w:sz="0" w:space="0" w:color="auto"/>
      </w:divBdr>
    </w:div>
    <w:div w:id="615988118">
      <w:bodyDiv w:val="1"/>
      <w:marLeft w:val="0"/>
      <w:marRight w:val="0"/>
      <w:marTop w:val="0"/>
      <w:marBottom w:val="0"/>
      <w:divBdr>
        <w:top w:val="none" w:sz="0" w:space="0" w:color="auto"/>
        <w:left w:val="none" w:sz="0" w:space="0" w:color="auto"/>
        <w:bottom w:val="none" w:sz="0" w:space="0" w:color="auto"/>
        <w:right w:val="none" w:sz="0" w:space="0" w:color="auto"/>
      </w:divBdr>
    </w:div>
    <w:div w:id="664557591">
      <w:bodyDiv w:val="1"/>
      <w:marLeft w:val="0"/>
      <w:marRight w:val="0"/>
      <w:marTop w:val="0"/>
      <w:marBottom w:val="0"/>
      <w:divBdr>
        <w:top w:val="none" w:sz="0" w:space="0" w:color="auto"/>
        <w:left w:val="none" w:sz="0" w:space="0" w:color="auto"/>
        <w:bottom w:val="none" w:sz="0" w:space="0" w:color="auto"/>
        <w:right w:val="none" w:sz="0" w:space="0" w:color="auto"/>
      </w:divBdr>
    </w:div>
    <w:div w:id="679357267">
      <w:bodyDiv w:val="1"/>
      <w:marLeft w:val="0"/>
      <w:marRight w:val="0"/>
      <w:marTop w:val="0"/>
      <w:marBottom w:val="0"/>
      <w:divBdr>
        <w:top w:val="none" w:sz="0" w:space="0" w:color="auto"/>
        <w:left w:val="none" w:sz="0" w:space="0" w:color="auto"/>
        <w:bottom w:val="none" w:sz="0" w:space="0" w:color="auto"/>
        <w:right w:val="none" w:sz="0" w:space="0" w:color="auto"/>
      </w:divBdr>
    </w:div>
    <w:div w:id="823660574">
      <w:bodyDiv w:val="1"/>
      <w:marLeft w:val="0"/>
      <w:marRight w:val="0"/>
      <w:marTop w:val="0"/>
      <w:marBottom w:val="0"/>
      <w:divBdr>
        <w:top w:val="none" w:sz="0" w:space="0" w:color="auto"/>
        <w:left w:val="none" w:sz="0" w:space="0" w:color="auto"/>
        <w:bottom w:val="none" w:sz="0" w:space="0" w:color="auto"/>
        <w:right w:val="none" w:sz="0" w:space="0" w:color="auto"/>
      </w:divBdr>
      <w:divsChild>
        <w:div w:id="54470256">
          <w:marLeft w:val="0"/>
          <w:marRight w:val="0"/>
          <w:marTop w:val="0"/>
          <w:marBottom w:val="0"/>
          <w:divBdr>
            <w:top w:val="none" w:sz="0" w:space="0" w:color="auto"/>
            <w:left w:val="none" w:sz="0" w:space="0" w:color="auto"/>
            <w:bottom w:val="none" w:sz="0" w:space="0" w:color="auto"/>
            <w:right w:val="none" w:sz="0" w:space="0" w:color="auto"/>
          </w:divBdr>
          <w:divsChild>
            <w:div w:id="1864200757">
              <w:marLeft w:val="3030"/>
              <w:marRight w:val="225"/>
              <w:marTop w:val="0"/>
              <w:marBottom w:val="300"/>
              <w:divBdr>
                <w:top w:val="none" w:sz="0" w:space="0" w:color="auto"/>
                <w:left w:val="none" w:sz="0" w:space="0" w:color="auto"/>
                <w:bottom w:val="none" w:sz="0" w:space="0" w:color="auto"/>
                <w:right w:val="none" w:sz="0" w:space="0" w:color="auto"/>
              </w:divBdr>
              <w:divsChild>
                <w:div w:id="1355182781">
                  <w:marLeft w:val="0"/>
                  <w:marRight w:val="0"/>
                  <w:marTop w:val="0"/>
                  <w:marBottom w:val="0"/>
                  <w:divBdr>
                    <w:top w:val="none" w:sz="0" w:space="0" w:color="auto"/>
                    <w:left w:val="single" w:sz="6" w:space="0" w:color="000000"/>
                    <w:bottom w:val="single" w:sz="6" w:space="0" w:color="000000"/>
                    <w:right w:val="single" w:sz="6" w:space="0" w:color="000000"/>
                  </w:divBdr>
                  <w:divsChild>
                    <w:div w:id="397245210">
                      <w:marLeft w:val="0"/>
                      <w:marRight w:val="0"/>
                      <w:marTop w:val="0"/>
                      <w:marBottom w:val="300"/>
                      <w:divBdr>
                        <w:top w:val="none" w:sz="0" w:space="0" w:color="auto"/>
                        <w:left w:val="none" w:sz="0" w:space="0" w:color="auto"/>
                        <w:bottom w:val="none" w:sz="0" w:space="0" w:color="auto"/>
                        <w:right w:val="none" w:sz="0" w:space="0" w:color="auto"/>
                      </w:divBdr>
                      <w:divsChild>
                        <w:div w:id="1348292204">
                          <w:marLeft w:val="0"/>
                          <w:marRight w:val="0"/>
                          <w:marTop w:val="0"/>
                          <w:marBottom w:val="0"/>
                          <w:divBdr>
                            <w:top w:val="none" w:sz="0" w:space="0" w:color="auto"/>
                            <w:left w:val="none" w:sz="0" w:space="0" w:color="auto"/>
                            <w:bottom w:val="none" w:sz="0" w:space="0" w:color="auto"/>
                            <w:right w:val="none" w:sz="0" w:space="0" w:color="auto"/>
                          </w:divBdr>
                          <w:divsChild>
                            <w:div w:id="1529483497">
                              <w:marLeft w:val="0"/>
                              <w:marRight w:val="0"/>
                              <w:marTop w:val="0"/>
                              <w:marBottom w:val="0"/>
                              <w:divBdr>
                                <w:top w:val="none" w:sz="0" w:space="0" w:color="auto"/>
                                <w:left w:val="none" w:sz="0" w:space="0" w:color="auto"/>
                                <w:bottom w:val="none" w:sz="0" w:space="0" w:color="auto"/>
                                <w:right w:val="none" w:sz="0" w:space="0" w:color="auto"/>
                              </w:divBdr>
                              <w:divsChild>
                                <w:div w:id="615212468">
                                  <w:marLeft w:val="0"/>
                                  <w:marRight w:val="0"/>
                                  <w:marTop w:val="0"/>
                                  <w:marBottom w:val="0"/>
                                  <w:divBdr>
                                    <w:top w:val="none" w:sz="0" w:space="0" w:color="auto"/>
                                    <w:left w:val="none" w:sz="0" w:space="0" w:color="auto"/>
                                    <w:bottom w:val="none" w:sz="0" w:space="0" w:color="auto"/>
                                    <w:right w:val="none" w:sz="0" w:space="0" w:color="auto"/>
                                  </w:divBdr>
                                  <w:divsChild>
                                    <w:div w:id="722555824">
                                      <w:marLeft w:val="0"/>
                                      <w:marRight w:val="0"/>
                                      <w:marTop w:val="150"/>
                                      <w:marBottom w:val="150"/>
                                      <w:divBdr>
                                        <w:top w:val="none" w:sz="0" w:space="0" w:color="auto"/>
                                        <w:left w:val="none" w:sz="0" w:space="0" w:color="auto"/>
                                        <w:bottom w:val="none" w:sz="0" w:space="0" w:color="auto"/>
                                        <w:right w:val="none" w:sz="0" w:space="0" w:color="auto"/>
                                      </w:divBdr>
                                      <w:divsChild>
                                        <w:div w:id="1269582007">
                                          <w:marLeft w:val="300"/>
                                          <w:marRight w:val="0"/>
                                          <w:marTop w:val="75"/>
                                          <w:marBottom w:val="0"/>
                                          <w:divBdr>
                                            <w:top w:val="none" w:sz="0" w:space="0" w:color="auto"/>
                                            <w:left w:val="none" w:sz="0" w:space="0" w:color="auto"/>
                                            <w:bottom w:val="none" w:sz="0" w:space="0" w:color="auto"/>
                                            <w:right w:val="none" w:sz="0" w:space="0" w:color="auto"/>
                                          </w:divBdr>
                                          <w:divsChild>
                                            <w:div w:id="2134860652">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9320986">
      <w:bodyDiv w:val="1"/>
      <w:marLeft w:val="0"/>
      <w:marRight w:val="0"/>
      <w:marTop w:val="0"/>
      <w:marBottom w:val="0"/>
      <w:divBdr>
        <w:top w:val="none" w:sz="0" w:space="0" w:color="auto"/>
        <w:left w:val="none" w:sz="0" w:space="0" w:color="auto"/>
        <w:bottom w:val="none" w:sz="0" w:space="0" w:color="auto"/>
        <w:right w:val="none" w:sz="0" w:space="0" w:color="auto"/>
      </w:divBdr>
    </w:div>
    <w:div w:id="969744970">
      <w:bodyDiv w:val="1"/>
      <w:marLeft w:val="0"/>
      <w:marRight w:val="0"/>
      <w:marTop w:val="0"/>
      <w:marBottom w:val="0"/>
      <w:divBdr>
        <w:top w:val="none" w:sz="0" w:space="0" w:color="auto"/>
        <w:left w:val="none" w:sz="0" w:space="0" w:color="auto"/>
        <w:bottom w:val="none" w:sz="0" w:space="0" w:color="auto"/>
        <w:right w:val="none" w:sz="0" w:space="0" w:color="auto"/>
      </w:divBdr>
    </w:div>
    <w:div w:id="1011496481">
      <w:bodyDiv w:val="1"/>
      <w:marLeft w:val="0"/>
      <w:marRight w:val="0"/>
      <w:marTop w:val="0"/>
      <w:marBottom w:val="0"/>
      <w:divBdr>
        <w:top w:val="none" w:sz="0" w:space="0" w:color="auto"/>
        <w:left w:val="none" w:sz="0" w:space="0" w:color="auto"/>
        <w:bottom w:val="none" w:sz="0" w:space="0" w:color="auto"/>
        <w:right w:val="none" w:sz="0" w:space="0" w:color="auto"/>
      </w:divBdr>
    </w:div>
    <w:div w:id="1021204695">
      <w:bodyDiv w:val="1"/>
      <w:marLeft w:val="0"/>
      <w:marRight w:val="0"/>
      <w:marTop w:val="0"/>
      <w:marBottom w:val="0"/>
      <w:divBdr>
        <w:top w:val="none" w:sz="0" w:space="0" w:color="auto"/>
        <w:left w:val="none" w:sz="0" w:space="0" w:color="auto"/>
        <w:bottom w:val="none" w:sz="0" w:space="0" w:color="auto"/>
        <w:right w:val="none" w:sz="0" w:space="0" w:color="auto"/>
      </w:divBdr>
    </w:div>
    <w:div w:id="1064718881">
      <w:bodyDiv w:val="1"/>
      <w:marLeft w:val="0"/>
      <w:marRight w:val="0"/>
      <w:marTop w:val="0"/>
      <w:marBottom w:val="0"/>
      <w:divBdr>
        <w:top w:val="none" w:sz="0" w:space="0" w:color="auto"/>
        <w:left w:val="none" w:sz="0" w:space="0" w:color="auto"/>
        <w:bottom w:val="none" w:sz="0" w:space="0" w:color="auto"/>
        <w:right w:val="none" w:sz="0" w:space="0" w:color="auto"/>
      </w:divBdr>
    </w:div>
    <w:div w:id="1144546695">
      <w:bodyDiv w:val="1"/>
      <w:marLeft w:val="0"/>
      <w:marRight w:val="0"/>
      <w:marTop w:val="0"/>
      <w:marBottom w:val="0"/>
      <w:divBdr>
        <w:top w:val="none" w:sz="0" w:space="0" w:color="auto"/>
        <w:left w:val="none" w:sz="0" w:space="0" w:color="auto"/>
        <w:bottom w:val="none" w:sz="0" w:space="0" w:color="auto"/>
        <w:right w:val="none" w:sz="0" w:space="0" w:color="auto"/>
      </w:divBdr>
    </w:div>
    <w:div w:id="1147435300">
      <w:bodyDiv w:val="1"/>
      <w:marLeft w:val="0"/>
      <w:marRight w:val="0"/>
      <w:marTop w:val="0"/>
      <w:marBottom w:val="0"/>
      <w:divBdr>
        <w:top w:val="none" w:sz="0" w:space="0" w:color="auto"/>
        <w:left w:val="none" w:sz="0" w:space="0" w:color="auto"/>
        <w:bottom w:val="none" w:sz="0" w:space="0" w:color="auto"/>
        <w:right w:val="none" w:sz="0" w:space="0" w:color="auto"/>
      </w:divBdr>
    </w:div>
    <w:div w:id="1256864373">
      <w:bodyDiv w:val="1"/>
      <w:marLeft w:val="0"/>
      <w:marRight w:val="0"/>
      <w:marTop w:val="0"/>
      <w:marBottom w:val="0"/>
      <w:divBdr>
        <w:top w:val="none" w:sz="0" w:space="0" w:color="auto"/>
        <w:left w:val="none" w:sz="0" w:space="0" w:color="auto"/>
        <w:bottom w:val="none" w:sz="0" w:space="0" w:color="auto"/>
        <w:right w:val="none" w:sz="0" w:space="0" w:color="auto"/>
      </w:divBdr>
    </w:div>
    <w:div w:id="1257902462">
      <w:bodyDiv w:val="1"/>
      <w:marLeft w:val="0"/>
      <w:marRight w:val="0"/>
      <w:marTop w:val="0"/>
      <w:marBottom w:val="0"/>
      <w:divBdr>
        <w:top w:val="none" w:sz="0" w:space="0" w:color="auto"/>
        <w:left w:val="none" w:sz="0" w:space="0" w:color="auto"/>
        <w:bottom w:val="none" w:sz="0" w:space="0" w:color="auto"/>
        <w:right w:val="none" w:sz="0" w:space="0" w:color="auto"/>
      </w:divBdr>
    </w:div>
    <w:div w:id="1267034186">
      <w:bodyDiv w:val="1"/>
      <w:marLeft w:val="0"/>
      <w:marRight w:val="0"/>
      <w:marTop w:val="0"/>
      <w:marBottom w:val="0"/>
      <w:divBdr>
        <w:top w:val="none" w:sz="0" w:space="0" w:color="auto"/>
        <w:left w:val="none" w:sz="0" w:space="0" w:color="auto"/>
        <w:bottom w:val="none" w:sz="0" w:space="0" w:color="auto"/>
        <w:right w:val="none" w:sz="0" w:space="0" w:color="auto"/>
      </w:divBdr>
    </w:div>
    <w:div w:id="1278832797">
      <w:bodyDiv w:val="1"/>
      <w:marLeft w:val="0"/>
      <w:marRight w:val="0"/>
      <w:marTop w:val="0"/>
      <w:marBottom w:val="0"/>
      <w:divBdr>
        <w:top w:val="none" w:sz="0" w:space="0" w:color="auto"/>
        <w:left w:val="none" w:sz="0" w:space="0" w:color="auto"/>
        <w:bottom w:val="none" w:sz="0" w:space="0" w:color="auto"/>
        <w:right w:val="none" w:sz="0" w:space="0" w:color="auto"/>
      </w:divBdr>
    </w:div>
    <w:div w:id="1368677128">
      <w:bodyDiv w:val="1"/>
      <w:marLeft w:val="0"/>
      <w:marRight w:val="0"/>
      <w:marTop w:val="0"/>
      <w:marBottom w:val="0"/>
      <w:divBdr>
        <w:top w:val="none" w:sz="0" w:space="0" w:color="auto"/>
        <w:left w:val="none" w:sz="0" w:space="0" w:color="auto"/>
        <w:bottom w:val="none" w:sz="0" w:space="0" w:color="auto"/>
        <w:right w:val="none" w:sz="0" w:space="0" w:color="auto"/>
      </w:divBdr>
    </w:div>
    <w:div w:id="1454665702">
      <w:bodyDiv w:val="1"/>
      <w:marLeft w:val="0"/>
      <w:marRight w:val="0"/>
      <w:marTop w:val="0"/>
      <w:marBottom w:val="0"/>
      <w:divBdr>
        <w:top w:val="none" w:sz="0" w:space="0" w:color="auto"/>
        <w:left w:val="none" w:sz="0" w:space="0" w:color="auto"/>
        <w:bottom w:val="none" w:sz="0" w:space="0" w:color="auto"/>
        <w:right w:val="none" w:sz="0" w:space="0" w:color="auto"/>
      </w:divBdr>
    </w:div>
    <w:div w:id="1498616399">
      <w:bodyDiv w:val="1"/>
      <w:marLeft w:val="0"/>
      <w:marRight w:val="0"/>
      <w:marTop w:val="0"/>
      <w:marBottom w:val="0"/>
      <w:divBdr>
        <w:top w:val="none" w:sz="0" w:space="0" w:color="auto"/>
        <w:left w:val="none" w:sz="0" w:space="0" w:color="auto"/>
        <w:bottom w:val="none" w:sz="0" w:space="0" w:color="auto"/>
        <w:right w:val="none" w:sz="0" w:space="0" w:color="auto"/>
      </w:divBdr>
    </w:div>
    <w:div w:id="1563519815">
      <w:bodyDiv w:val="1"/>
      <w:marLeft w:val="0"/>
      <w:marRight w:val="0"/>
      <w:marTop w:val="0"/>
      <w:marBottom w:val="0"/>
      <w:divBdr>
        <w:top w:val="none" w:sz="0" w:space="0" w:color="auto"/>
        <w:left w:val="none" w:sz="0" w:space="0" w:color="auto"/>
        <w:bottom w:val="none" w:sz="0" w:space="0" w:color="auto"/>
        <w:right w:val="none" w:sz="0" w:space="0" w:color="auto"/>
      </w:divBdr>
    </w:div>
    <w:div w:id="1580599372">
      <w:bodyDiv w:val="1"/>
      <w:marLeft w:val="0"/>
      <w:marRight w:val="0"/>
      <w:marTop w:val="0"/>
      <w:marBottom w:val="0"/>
      <w:divBdr>
        <w:top w:val="none" w:sz="0" w:space="0" w:color="auto"/>
        <w:left w:val="none" w:sz="0" w:space="0" w:color="auto"/>
        <w:bottom w:val="none" w:sz="0" w:space="0" w:color="auto"/>
        <w:right w:val="none" w:sz="0" w:space="0" w:color="auto"/>
      </w:divBdr>
    </w:div>
    <w:div w:id="1601793640">
      <w:bodyDiv w:val="1"/>
      <w:marLeft w:val="0"/>
      <w:marRight w:val="0"/>
      <w:marTop w:val="0"/>
      <w:marBottom w:val="0"/>
      <w:divBdr>
        <w:top w:val="none" w:sz="0" w:space="0" w:color="auto"/>
        <w:left w:val="none" w:sz="0" w:space="0" w:color="auto"/>
        <w:bottom w:val="none" w:sz="0" w:space="0" w:color="auto"/>
        <w:right w:val="none" w:sz="0" w:space="0" w:color="auto"/>
      </w:divBdr>
    </w:div>
    <w:div w:id="1709866209">
      <w:bodyDiv w:val="1"/>
      <w:marLeft w:val="0"/>
      <w:marRight w:val="0"/>
      <w:marTop w:val="0"/>
      <w:marBottom w:val="0"/>
      <w:divBdr>
        <w:top w:val="none" w:sz="0" w:space="0" w:color="auto"/>
        <w:left w:val="none" w:sz="0" w:space="0" w:color="auto"/>
        <w:bottom w:val="none" w:sz="0" w:space="0" w:color="auto"/>
        <w:right w:val="none" w:sz="0" w:space="0" w:color="auto"/>
      </w:divBdr>
    </w:div>
    <w:div w:id="1897737356">
      <w:bodyDiv w:val="1"/>
      <w:marLeft w:val="0"/>
      <w:marRight w:val="0"/>
      <w:marTop w:val="0"/>
      <w:marBottom w:val="0"/>
      <w:divBdr>
        <w:top w:val="none" w:sz="0" w:space="0" w:color="auto"/>
        <w:left w:val="none" w:sz="0" w:space="0" w:color="auto"/>
        <w:bottom w:val="none" w:sz="0" w:space="0" w:color="auto"/>
        <w:right w:val="none" w:sz="0" w:space="0" w:color="auto"/>
      </w:divBdr>
    </w:div>
    <w:div w:id="1912160481">
      <w:bodyDiv w:val="1"/>
      <w:marLeft w:val="0"/>
      <w:marRight w:val="0"/>
      <w:marTop w:val="0"/>
      <w:marBottom w:val="0"/>
      <w:divBdr>
        <w:top w:val="none" w:sz="0" w:space="0" w:color="auto"/>
        <w:left w:val="none" w:sz="0" w:space="0" w:color="auto"/>
        <w:bottom w:val="none" w:sz="0" w:space="0" w:color="auto"/>
        <w:right w:val="none" w:sz="0" w:space="0" w:color="auto"/>
      </w:divBdr>
    </w:div>
    <w:div w:id="1934629940">
      <w:bodyDiv w:val="1"/>
      <w:marLeft w:val="0"/>
      <w:marRight w:val="0"/>
      <w:marTop w:val="0"/>
      <w:marBottom w:val="0"/>
      <w:divBdr>
        <w:top w:val="none" w:sz="0" w:space="0" w:color="auto"/>
        <w:left w:val="none" w:sz="0" w:space="0" w:color="auto"/>
        <w:bottom w:val="none" w:sz="0" w:space="0" w:color="auto"/>
        <w:right w:val="none" w:sz="0" w:space="0" w:color="auto"/>
      </w:divBdr>
    </w:div>
    <w:div w:id="2040541028">
      <w:bodyDiv w:val="1"/>
      <w:marLeft w:val="0"/>
      <w:marRight w:val="0"/>
      <w:marTop w:val="0"/>
      <w:marBottom w:val="0"/>
      <w:divBdr>
        <w:top w:val="none" w:sz="0" w:space="0" w:color="auto"/>
        <w:left w:val="none" w:sz="0" w:space="0" w:color="auto"/>
        <w:bottom w:val="none" w:sz="0" w:space="0" w:color="auto"/>
        <w:right w:val="none" w:sz="0" w:space="0" w:color="auto"/>
      </w:divBdr>
    </w:div>
    <w:div w:id="2074961865">
      <w:bodyDiv w:val="1"/>
      <w:marLeft w:val="0"/>
      <w:marRight w:val="0"/>
      <w:marTop w:val="0"/>
      <w:marBottom w:val="0"/>
      <w:divBdr>
        <w:top w:val="none" w:sz="0" w:space="0" w:color="auto"/>
        <w:left w:val="none" w:sz="0" w:space="0" w:color="auto"/>
        <w:bottom w:val="none" w:sz="0" w:space="0" w:color="auto"/>
        <w:right w:val="none" w:sz="0" w:space="0" w:color="auto"/>
      </w:divBdr>
    </w:div>
    <w:div w:id="2108764395">
      <w:bodyDiv w:val="1"/>
      <w:marLeft w:val="0"/>
      <w:marRight w:val="0"/>
      <w:marTop w:val="0"/>
      <w:marBottom w:val="0"/>
      <w:divBdr>
        <w:top w:val="none" w:sz="0" w:space="0" w:color="auto"/>
        <w:left w:val="none" w:sz="0" w:space="0" w:color="auto"/>
        <w:bottom w:val="none" w:sz="0" w:space="0" w:color="auto"/>
        <w:right w:val="none" w:sz="0" w:space="0" w:color="auto"/>
      </w:divBdr>
    </w:div>
    <w:div w:id="210996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s://een.ec.europa.eu/" TargetMode="Externa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growth/safe" TargetMode="External"/><Relationship Id="rId2" Type="http://schemas.openxmlformats.org/officeDocument/2006/relationships/hyperlink" Target="http://eur-lex.europa.eu/legal-content/bg/TXT/?uri=CELEX:52016SC0335" TargetMode="External"/><Relationship Id="rId1" Type="http://schemas.openxmlformats.org/officeDocument/2006/relationships/hyperlink" Target="http://eur-lex.europa.eu/legal-content/BG/TXT/?uri=CELEX:52016DC06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9E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8E32E-AA18-4693-8DB7-FFD217829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16</Pages>
  <Words>4296</Words>
  <Characters>24493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39</cp:revision>
  <cp:lastPrinted>2018-02-01T10:27:00Z</cp:lastPrinted>
  <dcterms:created xsi:type="dcterms:W3CDTF">2018-01-25T16:01:00Z</dcterms:created>
  <dcterms:modified xsi:type="dcterms:W3CDTF">2018-05-24T11:07:00Z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