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5C80C5C7-0B29-436D-B41E-5D1D3E6ADA84" style="width:450.75pt;height:406.5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ind w:right="-309"/>
        <w:jc w:val="center"/>
        <w:rPr>
          <w:b/>
          <w:bCs/>
          <w:noProof/>
          <w:szCs w:val="24"/>
        </w:rPr>
      </w:pPr>
      <w:bookmarkStart w:id="1" w:name="_GoBack"/>
      <w:bookmarkEnd w:id="1"/>
      <w:r>
        <w:rPr>
          <w:b/>
          <w:noProof/>
        </w:rPr>
        <w:lastRenderedPageBreak/>
        <w:t>ПРИЛОЖЕНИЕ II</w:t>
      </w:r>
      <w:r>
        <w:rPr>
          <w:b/>
          <w:bCs/>
          <w:noProof/>
          <w:szCs w:val="24"/>
        </w:rPr>
        <w:br/>
      </w:r>
      <w:r>
        <w:rPr>
          <w:b/>
          <w:bCs/>
          <w:noProof/>
          <w:szCs w:val="24"/>
        </w:rPr>
        <w:br/>
      </w:r>
      <w:r>
        <w:rPr>
          <w:b/>
          <w:noProof/>
        </w:rPr>
        <w:t>Основен набор от показатели за резултатите на ЕФРР и Кохезионния фонд, посочени в член 7, параграф 3</w:t>
      </w:r>
      <w:r>
        <w:rPr>
          <w:rStyle w:val="FootnoteReference"/>
          <w:b/>
          <w:noProof/>
        </w:rPr>
        <w:footnoteReference w:id="1"/>
      </w:r>
      <w:r>
        <w:rPr>
          <w:b/>
          <w:noProof/>
        </w:rPr>
        <w:t xml:space="preserve"> </w:t>
      </w:r>
    </w:p>
    <w:p>
      <w:pPr>
        <w:spacing w:after="0"/>
        <w:ind w:right="-309"/>
        <w:jc w:val="center"/>
        <w:rPr>
          <w:b/>
          <w:bCs/>
          <w:noProof/>
          <w:szCs w:val="24"/>
          <w:vertAlign w:val="superscript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4110"/>
        <w:gridCol w:w="3828"/>
      </w:tblGrid>
      <w:tr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Цел на политиката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Специфична цел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Крайни продукти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Резултати</w:t>
            </w:r>
          </w:p>
        </w:tc>
      </w:tr>
      <w:tr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(2)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(3)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(4)</w:t>
            </w:r>
          </w:p>
        </w:tc>
      </w:tr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1. По-интелигентна Европа чрез насърчаване на иновативния и интелигентен икономически преход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i) Засилване на капацитета за научни изследвания и иновации и на въвеждането на модерни технологии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01 — Предприятия, подпомагани да въвеждат иновации</w:t>
            </w:r>
            <w:r>
              <w:rPr>
                <w:rFonts w:eastAsia="Times New Roman"/>
                <w:noProof/>
                <w:color w:val="000000"/>
                <w:sz w:val="22"/>
              </w:rPr>
              <w:br/>
            </w:r>
            <w:r>
              <w:rPr>
                <w:noProof/>
                <w:color w:val="000000"/>
                <w:sz w:val="22"/>
              </w:rPr>
              <w:t>CCO 02 — Изследователи, работещи в подпомагани научноизследователски съоръжения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CCR 01 — МСП, въвеждащи продуктови, технологични, маркетингови или организационни иновации 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ii) Усвояване на ползите от цифровизацията за гражданите, дружествата и правителствата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03 — Предприятия и публични институции, подпомагани с цел разработване на цифрови продукти, услуги и приложения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02 — Допълнителни потребители на нови цифрови продукти, услуги и приложения, разработени от предприятия и публични институции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iii) Засилване на растежа и конкурентоспособността на МСП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04 — МСП, подпомагани да създават работни места и растеж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03 — Разкрити работни места в подпомаганите МСП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iv) Развитие на умения за интелигентно специализиране, промишлен преход и предприемачество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05 — МСП, инвестиращи в развиване на умения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04 — Персонал на МСП, ползващ обучения за развиване на умения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4110"/>
        <w:gridCol w:w="3828"/>
      </w:tblGrid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2. По-зелена, нисковъглеродна Европа чрез насърчаване на чист и справедлив енергиен преход, зелени и сини инвестиции, кръгова икономика, приспособяване към изменението на климата и превенция и управление на риска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i) Насърчаване на мерките за енергийна ефективност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CCO 06 — Инвестиции в мерки за подобряване на енергийната ефективност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05 – Бенефициери с повишен клас на енергийна ефективност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ii) Развиване на възобновяемите енергийни източници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07 — Допълнителен капацитет за производство на енергия от възобновяеми източници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06 — Обем на допълнително произведената енергия от възобновяеми източници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iii) Разработване на интелигентни енергийни системи, мрежи и съхранение на местно равнище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08 — Системи за цифрово управление, разработени за интелигентни енергийни мрежи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07 — Допълнителни потребители, свързани към интелигентни енергийни мрежи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iv) Насърчаване на адаптирането към изменението на климата, на предотвратяването и управлението на риска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09 — Нови или модернизирани системи за наблюдение, предупреждение и реагиране при бедствия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08 — Допълнителен брой жители, които се ползват от мерки за защита срещу наводнения, горски пожари и други свързани с климата природни бедствия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v) Насърчаване на устойчивото управление на водите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10 — Нов или модернизиран капацитет за пречистване на отпадъчните води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09 — Допълнителен брой жители, ползващи най-малко вторично пречистване на отпадъчните води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vi) Насърчаване на прехода към кръгова икономика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CCO 11 — Нов или модернизиран капацитет за рециклиране на отпадъци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10 — Допълнително количество рециклирани отпадъци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vii) Засилване на биоразнообразието, „зелената“ инфраструктура в градската среда, както и намаляване на замърсяването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12 — Площ на „зелената“ инфраструктура в градските райони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11 — Брой жители, които се ползват от мерки за качеството на въздуха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276"/>
        <w:gridCol w:w="3402"/>
        <w:gridCol w:w="4110"/>
        <w:gridCol w:w="3828"/>
      </w:tblGrid>
      <w:tr>
        <w:trPr>
          <w:trHeight w:val="9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3. По-добре свързана Европа чрез подобряване на мобилността и регионалната свързаност на ИКТ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i) Повишаване на цифровата свързаност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13 — Допълнителен брой домакинства и предприятия с покритие от висококапацитетни широколентови мрежи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12 — Допълнителен брой домакинства и предприятия с абонамент за висококапацитетни широколентови мрежи</w:t>
            </w:r>
          </w:p>
        </w:tc>
      </w:tr>
      <w:tr>
        <w:trPr>
          <w:trHeight w:val="9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ii) Развитие на стабилна, устойчива на изменението на климата, интелигентна, сигурна и интермодална TEN-T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CCO 14 — Пътища на TEN-T: Нови и модернизирани пътища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13 — Икономии на време благодарение на подобрената пътна инфраструктура</w:t>
            </w:r>
          </w:p>
        </w:tc>
      </w:tr>
      <w:tr>
        <w:trPr>
          <w:trHeight w:val="15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iii) Развитие на стабилна, устойчива на изменението на климата, интелигентна, сигурна и интермодална мобилност на национално, регионално и местно равнище, включително по-добър достъп до TEN-T и трансгранична мобилност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15 — Железопътни линии на TEN-T: Нови и модернизирани железопътни линии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CCR 14 — Брой пътници на година, обслужвани чрез подобрен железопътен транспорт 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iv) Насърчаване на устойчива мултимодална градска мобилност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16 — Разширяване и модернизиране на трамвайни линии и линии на метрото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15 — Брой потребители на година, обслужвани от нови и модернизирани трамвайни линии и линии на метрото</w:t>
            </w:r>
          </w:p>
        </w:tc>
      </w:tr>
      <w:tr>
        <w:trPr>
          <w:trHeight w:val="12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4. По-социална Европа — изпълнение на европейския стълб на социалните права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i) Повишаване на ефективността на пазарите на труда и достъпа до качествена заетост чрез развитието на социалните иновации и инфраструктура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17 — Брой безработни лица на година, обслужвани от подобрените механизми за службите по заетостта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16 — Търсещи работа лица, използващи годишно подобрените механизми за службите по заетостта</w:t>
            </w:r>
          </w:p>
        </w:tc>
      </w:tr>
      <w:tr>
        <w:trPr>
          <w:trHeight w:val="12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ii) Подобряване на достъпа до приобщаващи и качествени услуги в областта на образованието, обучението и ученето през целия живот чрез развитие на инфраструктурата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18 — Нов или модернизиран капацитет на инфраструктурата за полагане на грижи за деца и образование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17 — Брой потребители на година, обслужвани от нова или модернизирана инфраструктура за полагане на грижи за деца и образование</w:t>
            </w:r>
          </w:p>
        </w:tc>
      </w:tr>
      <w:tr>
        <w:trPr>
          <w:trHeight w:val="18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iii) Повишаване на социално-икономическата интеграция на маргинализираните общности, мигрантите и групите в неравностойно положение чрез интегрирани мерки, включително жилищно настаняване и социални услуги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19 — Допълнителен капацитет на създадените или модернизираните приемни инфраструктури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18 — Брой потребители на година, обслужвани от нови и модернизирани места за прием и настаняване</w:t>
            </w:r>
          </w:p>
        </w:tc>
      </w:tr>
      <w:tr>
        <w:trPr>
          <w:trHeight w:val="6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</w:rPr>
              <w:t>iv) Гарантиране на равен достъп до здравеопазване чрез развитие на инфраструктурата, включително първичните здравни грижи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 xml:space="preserve">CCO 20 — Нов или модернизиран капацитет на инфраструктурата на здравеопазването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CCR 19 — Брой жители, имащи достъп до подобрени здравни услуги</w:t>
            </w:r>
          </w:p>
        </w:tc>
      </w:tr>
      <w:tr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5. Европа по-близо до гражданите чрез насърчаване на устойчивото и интегрирано развитие на градските, селските и крайбрежните райони и на местните инициативи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i) Насърчаване на интегрираното социално, икономическо и екологично развитие, културното наследство и сигурността в градските райони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CCO 21 — Брой жители, попадащи в обхвата на стратегии за интегрирано градско развитие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 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9" w:h="11907" w:orient="landscape" w:code="9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605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spacing w:after="0"/>
        <w:ind w:right="-309"/>
        <w:jc w:val="left"/>
        <w:rPr>
          <w:bCs/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Тези показатели ще бъдат използвани от Комисията в съответствие с нейното задължение за докладване съгласно член 38, параграф 3, буква д), подточка i) от Финансовия регламент [в сила].</w:t>
      </w:r>
    </w:p>
    <w:p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5C80C5C7-0B29-436D-B41E-5D1D3E6ADA84"/>
    <w:docVar w:name="LW_COVERPAGE_TYPE" w:val="1"/>
    <w:docVar w:name="LW_CROSSREFERENCE" w:val="{SEC(2018) 268 final}_x000b_{SWD(2018) 282 final}_x000b_{SWD(2018) 283 final}"/>
    <w:docVar w:name="LW_DocType" w:val="NORMAL"/>
    <w:docVar w:name="LW_EMISSION" w:val="29.5.2018"/>
    <w:docVar w:name="LW_EMISSION_ISODATE" w:val="2018-05-29"/>
    <w:docVar w:name="LW_EMISSION_LOCATION" w:val="STR"/>
    <w:docVar w:name="LW_EMISSION_PREFIX" w:val="Страсбург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45?\u1074?\u1088?\u1086?\u1087?\u1077?\u1081?\u1089?\u1082?\u1080?\u1103? \u1092?\u1086?\u1085?\u1076? \u1079?\u1072? \u1088?\u1077?\u1075?\u1080?\u1086?\u1085?\u1072?\u1083?\u1085?\u1086? \u1088?\u1072?\u1079?\u1074?\u1080?\u1090?\u1080?\u1077? \u1080? \u1086?\u1090?\u1085?\u1086?\u1089?\u1085?\u1086? \u1050?\u1086?\u1093?\u1077?\u1079?\u1080?\u1086?\u1085?\u1085?\u1080?\u1103? \u1092?\u1086?\u1085?\u1076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7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 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 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/>
      <w:jc w:val="center"/>
    </w:pPr>
    <w:rPr>
      <w:b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Norm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/>
      <w:jc w:val="center"/>
    </w:pPr>
    <w:rPr>
      <w:b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Norm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character" w:customStyle="1" w:styleId="FooterCoverPageChar">
    <w:name w:val="Footer Cover Page Char"/>
    <w:basedOn w:val="TypedudocumentChar"/>
    <w:link w:val="FooterCoverPage"/>
    <w:rPr>
      <w:rFonts w:ascii="Times New Roman" w:hAnsi="Times New Roman" w:cs="Times New Roman"/>
      <w:b w:val="0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TypedudocumentChar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TypedudocumentChar"/>
    <w:link w:val="HeaderCoverPage"/>
    <w:rPr>
      <w:rFonts w:ascii="Times New Roman" w:hAnsi="Times New Roman" w:cs="Times New Roman"/>
      <w:b w:val="0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TypedudocumentChar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4F3A-8CDF-4DCA-83B9-022CD35B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864</Words>
  <Characters>5409</Characters>
  <Application>Microsoft Office Word</Application>
  <DocSecurity>0</DocSecurity>
  <Lines>270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 Martine (ECFIN)</dc:creator>
  <cp:lastModifiedBy>DIGIT/A3</cp:lastModifiedBy>
  <cp:revision>24</cp:revision>
  <dcterms:created xsi:type="dcterms:W3CDTF">2018-05-29T11:25:00Z</dcterms:created>
  <dcterms:modified xsi:type="dcterms:W3CDTF">2018-06-04T13:46:00Z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2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