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C278D266-D8C7-49DE-A6A4-519F30B79DBC" style="width:451.35pt;height:396.55pt">
            <v:imagedata r:id="rId12" o:title=""/>
          </v:shape>
        </w:pict>
      </w:r>
    </w:p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 </w:t>
      </w:r>
    </w:p>
    <w:p>
      <w:pPr>
        <w:rPr>
          <w:b/>
          <w:noProof/>
          <w:u w:val="single"/>
        </w:rPr>
      </w:pPr>
    </w:p>
    <w:p>
      <w:pPr>
        <w:pStyle w:val="Annexetitreexpos"/>
        <w:rPr>
          <w:noProof/>
        </w:rPr>
      </w:pPr>
      <w:r>
        <w:rPr>
          <w:noProof/>
        </w:rPr>
        <w:t xml:space="preserve">Общи показатели за общата подкрепа по направлението на ЕСФ+ при споделено управление 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Всички лични данни трябва да бъдат разбити по пол (женски, мъжки, „небинарен“). Ако някои резултати не са възможни, данни за тези резултати не трябва да бъдат събирани и докладвани.</w:t>
      </w:r>
    </w:p>
    <w:p>
      <w:pPr>
        <w:rPr>
          <w:noProof/>
        </w:rPr>
      </w:pPr>
    </w:p>
    <w:p>
      <w:pPr>
        <w:pStyle w:val="Point0"/>
        <w:rPr>
          <w:b/>
          <w:noProof/>
          <w:spacing w:val="-6"/>
        </w:rPr>
      </w:pPr>
      <w:r>
        <w:rPr>
          <w:b/>
          <w:noProof/>
          <w:spacing w:val="-6"/>
        </w:rPr>
        <w:t>1) Общи показатели за крайния продукт,  свързани с операции, насочени към хора:</w:t>
      </w:r>
    </w:p>
    <w:p>
      <w:pPr>
        <w:rPr>
          <w:noProof/>
          <w:vertAlign w:val="superscript"/>
        </w:rPr>
      </w:pPr>
      <w:r>
        <w:rPr>
          <w:noProof/>
        </w:rPr>
        <w:t>1а) Общи показатели за крайния продукт по отношение на участниците</w:t>
      </w:r>
    </w:p>
    <w:p>
      <w:pPr>
        <w:rPr>
          <w:noProof/>
        </w:rPr>
      </w:pPr>
    </w:p>
    <w:p>
      <w:pPr>
        <w:pStyle w:val="Tiret0"/>
        <w:numPr>
          <w:ilvl w:val="0"/>
          <w:numId w:val="9"/>
        </w:numPr>
        <w:rPr>
          <w:noProof/>
        </w:rPr>
      </w:pPr>
      <w:r>
        <w:rPr>
          <w:noProof/>
        </w:rPr>
        <w:t xml:space="preserve">Общите показатели за крайния продукт по отношение на участниците са:  </w:t>
      </w:r>
    </w:p>
    <w:p>
      <w:pPr>
        <w:pStyle w:val="Tiret0"/>
        <w:rPr>
          <w:noProof/>
        </w:rPr>
      </w:pPr>
      <w:r>
        <w:rPr>
          <w:noProof/>
        </w:rPr>
        <w:t xml:space="preserve">безработни, включително трайно безработни*, </w:t>
      </w:r>
    </w:p>
    <w:p>
      <w:pPr>
        <w:pStyle w:val="Tiret0"/>
        <w:rPr>
          <w:noProof/>
        </w:rPr>
      </w:pPr>
      <w:r>
        <w:rPr>
          <w:noProof/>
        </w:rPr>
        <w:t xml:space="preserve">трайно безработни*, </w:t>
      </w:r>
    </w:p>
    <w:p>
      <w:pPr>
        <w:pStyle w:val="Tiret0"/>
        <w:rPr>
          <w:noProof/>
        </w:rPr>
      </w:pPr>
      <w:r>
        <w:rPr>
          <w:noProof/>
        </w:rPr>
        <w:t>неактивни*,</w:t>
      </w:r>
    </w:p>
    <w:p>
      <w:pPr>
        <w:pStyle w:val="Tiret0"/>
        <w:rPr>
          <w:noProof/>
        </w:rPr>
      </w:pPr>
      <w:r>
        <w:rPr>
          <w:noProof/>
        </w:rPr>
        <w:t xml:space="preserve">заети, включително самостоятелно заети*, </w:t>
      </w:r>
    </w:p>
    <w:p>
      <w:pPr>
        <w:pStyle w:val="Tiret0"/>
        <w:rPr>
          <w:noProof/>
        </w:rPr>
      </w:pPr>
      <w:r>
        <w:rPr>
          <w:noProof/>
        </w:rPr>
        <w:t xml:space="preserve">под 30 години*, </w:t>
      </w:r>
    </w:p>
    <w:p>
      <w:pPr>
        <w:pStyle w:val="Tiret0"/>
        <w:rPr>
          <w:noProof/>
        </w:rPr>
      </w:pPr>
      <w:r>
        <w:rPr>
          <w:noProof/>
        </w:rPr>
        <w:t xml:space="preserve">над 54 години*, </w:t>
      </w:r>
    </w:p>
    <w:p>
      <w:pPr>
        <w:pStyle w:val="Tiret0"/>
        <w:rPr>
          <w:noProof/>
        </w:rPr>
      </w:pPr>
      <w:r>
        <w:rPr>
          <w:noProof/>
        </w:rPr>
        <w:t>с прогимназиален етап на основното образование или по-ниско (ISCED 0-2)*,</w:t>
      </w:r>
    </w:p>
    <w:p>
      <w:pPr>
        <w:pStyle w:val="Tiret0"/>
        <w:rPr>
          <w:noProof/>
        </w:rPr>
      </w:pPr>
      <w:r>
        <w:rPr>
          <w:noProof/>
        </w:rPr>
        <w:t xml:space="preserve">със средно образование (ISCED 3) или образование след средното образование (ISCED 4)*, </w:t>
      </w:r>
    </w:p>
    <w:p>
      <w:pPr>
        <w:pStyle w:val="Tiret0"/>
        <w:rPr>
          <w:noProof/>
        </w:rPr>
      </w:pPr>
      <w:r>
        <w:rPr>
          <w:noProof/>
        </w:rPr>
        <w:t xml:space="preserve">с висше образование (ISCED 5 до 8)*. 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Общият брой на участниците се изчислява автоматично въз основа на показателите за крайния продукт, свързани със статуса на заетост. 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1б) Други общи показатели за крайния продукт </w:t>
      </w:r>
    </w:p>
    <w:p>
      <w:pPr>
        <w:rPr>
          <w:noProof/>
        </w:rPr>
      </w:pPr>
      <w:r>
        <w:rPr>
          <w:noProof/>
        </w:rPr>
        <w:t xml:space="preserve">Ако данните за тези показатели не се събират от регистри с данни, стойностите на тези показатели могат да бъдат определени от бенефициера въз основа на обосновани оценки. </w:t>
      </w:r>
    </w:p>
    <w:p>
      <w:pPr>
        <w:pStyle w:val="Tiret0"/>
        <w:rPr>
          <w:noProof/>
        </w:rPr>
      </w:pPr>
      <w:r>
        <w:rPr>
          <w:noProof/>
        </w:rPr>
        <w:t>участници с увреждания**,</w:t>
      </w:r>
    </w:p>
    <w:p>
      <w:pPr>
        <w:pStyle w:val="Tiret0"/>
        <w:rPr>
          <w:noProof/>
        </w:rPr>
      </w:pPr>
      <w:r>
        <w:rPr>
          <w:noProof/>
        </w:rPr>
        <w:t>граждани на трети държави*,</w:t>
      </w:r>
    </w:p>
    <w:p>
      <w:pPr>
        <w:pStyle w:val="Tiret0"/>
        <w:rPr>
          <w:noProof/>
        </w:rPr>
      </w:pPr>
      <w:r>
        <w:rPr>
          <w:noProof/>
        </w:rPr>
        <w:t>участници с произход от друга държава*,</w:t>
      </w:r>
    </w:p>
    <w:p>
      <w:pPr>
        <w:pStyle w:val="Tiret0"/>
        <w:rPr>
          <w:noProof/>
        </w:rPr>
      </w:pPr>
      <w:r>
        <w:rPr>
          <w:noProof/>
        </w:rPr>
        <w:lastRenderedPageBreak/>
        <w:t xml:space="preserve">малцинства (включително маргинализирани общности като ромите)**, </w:t>
      </w:r>
    </w:p>
    <w:p>
      <w:pPr>
        <w:pStyle w:val="Tiret0"/>
        <w:rPr>
          <w:noProof/>
        </w:rPr>
      </w:pPr>
      <w:r>
        <w:rPr>
          <w:noProof/>
        </w:rPr>
        <w:t>бездомни или засегнати от изключване от жилищно настаняване*,</w:t>
      </w:r>
    </w:p>
    <w:p>
      <w:pPr>
        <w:pStyle w:val="Tiret0"/>
        <w:rPr>
          <w:noProof/>
        </w:rPr>
      </w:pPr>
      <w:r>
        <w:rPr>
          <w:noProof/>
        </w:rPr>
        <w:t>участници от селски райони*.</w:t>
      </w:r>
    </w:p>
    <w:p>
      <w:pPr>
        <w:rPr>
          <w:noProof/>
        </w:rPr>
      </w:pPr>
    </w:p>
    <w:p>
      <w:pPr>
        <w:rPr>
          <w:b/>
          <w:noProof/>
        </w:rPr>
      </w:pPr>
      <w:r>
        <w:rPr>
          <w:b/>
          <w:noProof/>
        </w:rPr>
        <w:t xml:space="preserve">2) Общи показатели за крайния продукт по отношение на субектите са: </w:t>
      </w:r>
    </w:p>
    <w:p>
      <w:pPr>
        <w:pStyle w:val="Tiret0"/>
        <w:rPr>
          <w:noProof/>
        </w:rPr>
      </w:pPr>
      <w:r>
        <w:rPr>
          <w:noProof/>
        </w:rPr>
        <w:t xml:space="preserve">брой на публичните администрации или публичните служби на национално, регионално или местно равнище, получили подкрепа; </w:t>
      </w:r>
    </w:p>
    <w:p>
      <w:pPr>
        <w:pStyle w:val="Tiret0"/>
        <w:rPr>
          <w:noProof/>
        </w:rPr>
      </w:pPr>
      <w:r>
        <w:rPr>
          <w:noProof/>
        </w:rPr>
        <w:t xml:space="preserve">брой на микро-, малките и средните предприятия, (включително кооперативните предприятия, социалните предприятия), получили подкрепа. </w:t>
      </w:r>
    </w:p>
    <w:p>
      <w:pPr>
        <w:rPr>
          <w:noProof/>
        </w:rPr>
      </w:pPr>
    </w:p>
    <w:p>
      <w:pPr>
        <w:rPr>
          <w:b/>
          <w:noProof/>
        </w:rPr>
      </w:pPr>
      <w:r>
        <w:rPr>
          <w:b/>
          <w:noProof/>
        </w:rPr>
        <w:t xml:space="preserve">3) Общите показатели за непосредствения резултат по отношение на участниците са:  </w:t>
      </w:r>
    </w:p>
    <w:p>
      <w:pPr>
        <w:rPr>
          <w:noProof/>
        </w:rPr>
      </w:pPr>
      <w:r>
        <w:rPr>
          <w:noProof/>
        </w:rPr>
        <w:t xml:space="preserve"> </w:t>
      </w:r>
    </w:p>
    <w:p>
      <w:pPr>
        <w:pStyle w:val="Tiret0"/>
        <w:rPr>
          <w:noProof/>
        </w:rPr>
      </w:pPr>
      <w:r>
        <w:rPr>
          <w:noProof/>
        </w:rPr>
        <w:t xml:space="preserve">участници, които при напускане на операцията са започнали да търсят работа*, </w:t>
      </w:r>
    </w:p>
    <w:p>
      <w:pPr>
        <w:pStyle w:val="Tiret0"/>
        <w:rPr>
          <w:noProof/>
        </w:rPr>
      </w:pPr>
      <w:r>
        <w:rPr>
          <w:noProof/>
        </w:rPr>
        <w:t xml:space="preserve">участници, които при напускане на операцията са ангажирани с образование или обучение*, </w:t>
      </w:r>
    </w:p>
    <w:p>
      <w:pPr>
        <w:pStyle w:val="Tiret0"/>
        <w:rPr>
          <w:noProof/>
        </w:rPr>
      </w:pPr>
      <w:r>
        <w:rPr>
          <w:noProof/>
        </w:rPr>
        <w:t xml:space="preserve">участници, които при напускане на операцията получават квалификация*, </w:t>
      </w:r>
    </w:p>
    <w:p>
      <w:pPr>
        <w:pStyle w:val="Tiret0"/>
        <w:rPr>
          <w:noProof/>
        </w:rPr>
      </w:pPr>
      <w:r>
        <w:rPr>
          <w:noProof/>
        </w:rPr>
        <w:t xml:space="preserve">участници, които при напускане на операцията имат работа, включително като самостоятелно заети лица*. </w:t>
      </w:r>
    </w:p>
    <w:p>
      <w:pPr>
        <w:rPr>
          <w:noProof/>
        </w:rPr>
      </w:pPr>
    </w:p>
    <w:p>
      <w:pPr>
        <w:rPr>
          <w:b/>
          <w:noProof/>
        </w:rPr>
      </w:pPr>
      <w:r>
        <w:rPr>
          <w:b/>
          <w:noProof/>
        </w:rPr>
        <w:t xml:space="preserve">4) Общи показатели за дългосрочния резултат по отношение на участниците: </w:t>
      </w:r>
    </w:p>
    <w:p>
      <w:pPr>
        <w:rPr>
          <w:noProof/>
        </w:rPr>
      </w:pPr>
    </w:p>
    <w:p>
      <w:pPr>
        <w:pStyle w:val="Tiret0"/>
        <w:rPr>
          <w:noProof/>
        </w:rPr>
      </w:pPr>
      <w:r>
        <w:rPr>
          <w:noProof/>
        </w:rPr>
        <w:t>участници, които в рамките на шест месеца след напускане на операцията имат работа, включително като самостоятелно заети лица*,</w:t>
      </w:r>
    </w:p>
    <w:p>
      <w:pPr>
        <w:pStyle w:val="Tiret0"/>
        <w:rPr>
          <w:noProof/>
        </w:rPr>
      </w:pPr>
      <w:r>
        <w:rPr>
          <w:noProof/>
        </w:rPr>
        <w:t xml:space="preserve">участници, чието положение на пазара на труда в рамките на шест месеца след напускане на операцията е по-добро*. </w:t>
      </w:r>
    </w:p>
    <w:p>
      <w:pPr>
        <w:rPr>
          <w:noProof/>
        </w:rPr>
      </w:pPr>
      <w:r>
        <w:rPr>
          <w:noProof/>
        </w:rPr>
        <w:t>Минималното изискване е тези данни да се събират въз основа на представителна извадка от участниците в рамките на всяка специфична цел. Вътрешната валидност на извадката се гарантира по начин, позволяващ данните да бъдат обобщени на равнището на специфичната цел.</w: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column"/>
      </w:r>
    </w:p>
    <w:p>
      <w:pPr>
        <w:pStyle w:val="Annexetitre"/>
        <w:rPr>
          <w:noProof/>
        </w:rPr>
      </w:pPr>
      <w:r>
        <w:rPr>
          <w:noProof/>
        </w:rPr>
        <w:t>ПРИЛОЖЕНИЕ II</w:t>
      </w:r>
    </w:p>
    <w:p>
      <w:pPr>
        <w:pStyle w:val="Annexetitreexpos"/>
        <w:rPr>
          <w:noProof/>
        </w:rPr>
      </w:pPr>
      <w:r>
        <w:rPr>
          <w:noProof/>
        </w:rPr>
        <w:t xml:space="preserve">Общи показатели за подкрепата от ЕСФ+ за справяне с материалните лишения </w:t>
      </w:r>
    </w:p>
    <w:p>
      <w:pPr>
        <w:rPr>
          <w:noProof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3"/>
        <w:gridCol w:w="20"/>
      </w:tblGrid>
      <w:tr>
        <w:trPr>
          <w:tblCellSpacing w:w="0" w:type="dxa"/>
        </w:trPr>
        <w:tc>
          <w:tcPr>
            <w:tcW w:w="9053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1) Показатели за крайни продукти </w:t>
            </w:r>
          </w:p>
          <w:p>
            <w:pPr>
              <w:rPr>
                <w:noProof/>
              </w:rPr>
            </w:pPr>
            <w:r>
              <w:rPr>
                <w:b/>
                <w:noProof/>
              </w:rPr>
              <w:t xml:space="preserve">a) </w:t>
            </w:r>
            <w:r>
              <w:rPr>
                <w:noProof/>
              </w:rPr>
              <w:t>Обща парична стойност на разпределените храни и стоки.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88"/>
              <w:gridCol w:w="8595"/>
            </w:tblGrid>
            <w:tr>
              <w:trPr>
                <w:tblCellSpacing w:w="0" w:type="dxa"/>
              </w:trPr>
              <w:tc>
                <w:tcPr>
                  <w:tcW w:w="354" w:type="dxa"/>
                  <w:hideMark/>
                </w:tcPr>
                <w:p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i)</w:t>
                  </w:r>
                </w:p>
              </w:tc>
              <w:tc>
                <w:tcPr>
                  <w:tcW w:w="8301" w:type="dxa"/>
                  <w:gridSpan w:val="2"/>
                  <w:hideMark/>
                </w:tcPr>
                <w:p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обща стойност на храните, разпределени за подпомагане;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5"/>
                    <w:gridCol w:w="8118"/>
                  </w:tblGrid>
                  <w:tr>
                    <w:trPr>
                      <w:tblCellSpacing w:w="0" w:type="dxa"/>
                    </w:trPr>
                    <w:tc>
                      <w:tcPr>
                        <w:tcW w:w="632" w:type="dxa"/>
                        <w:hideMark/>
                      </w:tcPr>
                      <w:p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ia)</w:t>
                        </w:r>
                      </w:p>
                    </w:tc>
                    <w:tc>
                      <w:tcPr>
                        <w:tcW w:w="9119" w:type="dxa"/>
                        <w:hideMark/>
                      </w:tcPr>
                      <w:p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обща парична стойност на храните, разпределени за деца;</w:t>
                        </w:r>
                      </w:p>
                    </w:tc>
                  </w:tr>
                  <w:tr>
                    <w:trPr>
                      <w:tblCellSpacing w:w="0" w:type="dxa"/>
                    </w:trPr>
                    <w:tc>
                      <w:tcPr>
                        <w:tcW w:w="632" w:type="dxa"/>
                        <w:hideMark/>
                      </w:tcPr>
                      <w:p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iб)</w:t>
                        </w:r>
                      </w:p>
                    </w:tc>
                    <w:tc>
                      <w:tcPr>
                        <w:tcW w:w="9119" w:type="dxa"/>
                        <w:hideMark/>
                      </w:tcPr>
                      <w:p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обща парична стойност на храните, разпределени за бездомни лица;</w:t>
                        </w:r>
                      </w:p>
                    </w:tc>
                  </w:tr>
                  <w:tr>
                    <w:trPr>
                      <w:trHeight w:val="80"/>
                      <w:tblCellSpacing w:w="0" w:type="dxa"/>
                    </w:trPr>
                    <w:tc>
                      <w:tcPr>
                        <w:tcW w:w="632" w:type="dxa"/>
                        <w:hideMark/>
                      </w:tcPr>
                      <w:p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iв)</w:t>
                        </w:r>
                      </w:p>
                    </w:tc>
                    <w:tc>
                      <w:tcPr>
                        <w:tcW w:w="9119" w:type="dxa"/>
                        <w:hideMark/>
                      </w:tcPr>
                      <w:p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обща парична стойност на храните, разпределени за други целеви групи;</w:t>
                        </w:r>
                      </w:p>
                    </w:tc>
                  </w:tr>
                </w:tbl>
                <w:p>
                  <w:pPr>
                    <w:rPr>
                      <w:noProof/>
                    </w:rPr>
                  </w:pPr>
                </w:p>
              </w:tc>
            </w:tr>
            <w:tr>
              <w:trPr>
                <w:tblCellSpacing w:w="0" w:type="dxa"/>
              </w:trPr>
              <w:tc>
                <w:tcPr>
                  <w:tcW w:w="438" w:type="dxa"/>
                  <w:gridSpan w:val="2"/>
                  <w:hideMark/>
                </w:tcPr>
                <w:p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ii)</w:t>
                  </w:r>
                </w:p>
              </w:tc>
              <w:tc>
                <w:tcPr>
                  <w:tcW w:w="8217" w:type="dxa"/>
                  <w:hideMark/>
                </w:tcPr>
                <w:p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обща стойност на разпределените стоки;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3"/>
                    <w:gridCol w:w="7952"/>
                  </w:tblGrid>
                  <w:tr>
                    <w:trPr>
                      <w:tblCellSpacing w:w="0" w:type="dxa"/>
                    </w:trPr>
                    <w:tc>
                      <w:tcPr>
                        <w:tcW w:w="720" w:type="dxa"/>
                        <w:hideMark/>
                      </w:tcPr>
                      <w:p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iia)</w:t>
                        </w:r>
                      </w:p>
                    </w:tc>
                    <w:tc>
                      <w:tcPr>
                        <w:tcW w:w="8933" w:type="dxa"/>
                        <w:hideMark/>
                      </w:tcPr>
                      <w:p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обща парична стойност на стоките, разпределени за деца;</w:t>
                        </w:r>
                      </w:p>
                    </w:tc>
                  </w:tr>
                  <w:tr>
                    <w:trPr>
                      <w:tblCellSpacing w:w="0" w:type="dxa"/>
                    </w:trPr>
                    <w:tc>
                      <w:tcPr>
                        <w:tcW w:w="720" w:type="dxa"/>
                        <w:hideMark/>
                      </w:tcPr>
                      <w:p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iiб)</w:t>
                        </w:r>
                      </w:p>
                    </w:tc>
                    <w:tc>
                      <w:tcPr>
                        <w:tcW w:w="8933" w:type="dxa"/>
                        <w:hideMark/>
                      </w:tcPr>
                      <w:p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обща парична стойност на стоките, разпределени за бездомни лица;</w:t>
                        </w:r>
                      </w:p>
                    </w:tc>
                  </w:tr>
                  <w:tr>
                    <w:trPr>
                      <w:trHeight w:val="80"/>
                      <w:tblCellSpacing w:w="0" w:type="dxa"/>
                    </w:trPr>
                    <w:tc>
                      <w:tcPr>
                        <w:tcW w:w="720" w:type="dxa"/>
                        <w:hideMark/>
                      </w:tcPr>
                      <w:p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iiв)</w:t>
                        </w:r>
                      </w:p>
                    </w:tc>
                    <w:tc>
                      <w:tcPr>
                        <w:tcW w:w="8933" w:type="dxa"/>
                        <w:hideMark/>
                      </w:tcPr>
                      <w:p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обща парична стойност на стоките, разпределени за други целеви групи;</w:t>
                        </w:r>
                      </w:p>
                    </w:tc>
                  </w:tr>
                </w:tbl>
                <w:p>
                  <w:pPr>
                    <w:rPr>
                      <w:noProof/>
                    </w:rPr>
                  </w:pPr>
                </w:p>
              </w:tc>
            </w:tr>
          </w:tbl>
          <w:p>
            <w:pPr>
              <w:rPr>
                <w:b/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б) общо количество разпределени храни за подпомагане (тонове).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От които</w:t>
            </w:r>
            <w:r>
              <w:rPr>
                <w:rStyle w:val="FootnoteReference"/>
                <w:noProof/>
              </w:rPr>
              <w:footnoteReference w:id="3"/>
            </w:r>
            <w:r>
              <w:rPr>
                <w:noProof/>
              </w:rPr>
              <w:t>: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"/>
              <w:gridCol w:w="17"/>
              <w:gridCol w:w="8795"/>
            </w:tblGrid>
            <w:tr>
              <w:trPr>
                <w:tblCellSpacing w:w="0" w:type="dxa"/>
              </w:trPr>
              <w:tc>
                <w:tcPr>
                  <w:tcW w:w="258" w:type="dxa"/>
                  <w:gridSpan w:val="2"/>
                  <w:hideMark/>
                </w:tcPr>
                <w:p>
                  <w:pPr>
                    <w:pStyle w:val="Point0letter"/>
                    <w:numPr>
                      <w:ilvl w:val="1"/>
                      <w:numId w:val="0"/>
                    </w:numPr>
                    <w:rPr>
                      <w:noProof/>
                    </w:rPr>
                  </w:pPr>
                  <w:r>
                    <w:rPr>
                      <w:noProof/>
                    </w:rPr>
                    <w:t>а)</w:t>
                  </w:r>
                </w:p>
              </w:tc>
              <w:tc>
                <w:tcPr>
                  <w:tcW w:w="8795" w:type="dxa"/>
                  <w:hideMark/>
                </w:tcPr>
                <w:p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дял на храните, за които от програмата са платени само разходите за превоз, разпределение и съхранение (%);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41" w:type="dxa"/>
                  <w:hideMark/>
                </w:tcPr>
                <w:p>
                  <w:pPr>
                    <w:pStyle w:val="Point0letter"/>
                    <w:numPr>
                      <w:ilvl w:val="1"/>
                      <w:numId w:val="0"/>
                    </w:numPr>
                    <w:rPr>
                      <w:noProof/>
                    </w:rPr>
                  </w:pPr>
                  <w:r>
                    <w:rPr>
                      <w:noProof/>
                    </w:rPr>
                    <w:t>б)</w:t>
                  </w:r>
                </w:p>
              </w:tc>
              <w:tc>
                <w:tcPr>
                  <w:tcW w:w="8812" w:type="dxa"/>
                  <w:gridSpan w:val="2"/>
                  <w:hideMark/>
                </w:tcPr>
                <w:p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дял на съфинансираните от ЕСФ+ хранителни продукти от общото количество храни, разпределени на бенефициерите (%).</w:t>
                  </w:r>
                </w:p>
              </w:tc>
            </w:tr>
          </w:tbl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3) Общи показатели за резултатите </w:t>
            </w:r>
            <w:r>
              <w:rPr>
                <w:rStyle w:val="FootnoteReference"/>
                <w:b/>
                <w:noProof/>
              </w:rPr>
              <w:footnoteReference w:id="4"/>
            </w:r>
          </w:p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Брой на крайните получатели, получаващи подпомагане с хранителни продукти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- брой на деца на възраст под 18 години;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- брой на младежи на възраст 18—29 години;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- брой на крайните получатели на възраст над 54 години; 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- брой на крайните получатели с увреждания;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- брой на гражданите на трети държави.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- брой на крайните получатели с произход от друга държава и от малцинствени </w:t>
            </w:r>
            <w:r>
              <w:rPr>
                <w:noProof/>
              </w:rPr>
              <w:lastRenderedPageBreak/>
              <w:t xml:space="preserve">общности (включително маргинализирани общности като ромите); 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- брой на бездомните, които са крайни получатели, или на засегнатите от изключване от жилищно настаняване крайни получатели.</w:t>
            </w:r>
          </w:p>
          <w:p>
            <w:pPr>
              <w:rPr>
                <w:noProof/>
              </w:rPr>
            </w:pPr>
          </w:p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Брой крайните получатели, получаващи материално подпомагане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- брой на деца на възраст под 18 години;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- брой на младежите на възраст 18—29 години;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- брой на крайните получатели на възраст над 54 години; 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- брой на крайните получатели с увреждания;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- брой на гражданите на трети държави; 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- брой на крайните получатели с произход от друга държава и от малцинствени общности (включително маргинализирани общности като ромите); 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- брой на бездомните, които са крайни получатели, или на засегнатите от изключване от жилищно настаняване крайни получатели.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</w:tc>
        <w:tc>
          <w:tcPr>
            <w:tcW w:w="20" w:type="dxa"/>
          </w:tcPr>
          <w:p>
            <w:pPr>
              <w:rPr>
                <w:noProof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column"/>
      </w:r>
    </w:p>
    <w:p>
      <w:pPr>
        <w:pStyle w:val="Annexetitre"/>
        <w:rPr>
          <w:noProof/>
        </w:rPr>
      </w:pPr>
      <w:r>
        <w:rPr>
          <w:noProof/>
        </w:rPr>
        <w:t>ПРИЛОЖЕНИЕ III</w:t>
      </w:r>
    </w:p>
    <w:p>
      <w:pPr>
        <w:pStyle w:val="Annexetitreexpos"/>
        <w:rPr>
          <w:noProof/>
        </w:rPr>
      </w:pPr>
      <w:r>
        <w:rPr>
          <w:noProof/>
        </w:rPr>
        <w:t>Показатели за направлението „Здраве“</w:t>
      </w:r>
    </w:p>
    <w:p>
      <w:pPr>
        <w:rPr>
          <w:rFonts w:ascii="EC Square Sans Cond Pro" w:hAnsi="EC Square Sans Cond Pro"/>
          <w:b/>
          <w:noProof/>
          <w:szCs w:val="24"/>
        </w:rPr>
      </w:pPr>
    </w:p>
    <w:p>
      <w:pPr>
        <w:rPr>
          <w:b/>
          <w:noProof/>
          <w:szCs w:val="24"/>
        </w:rPr>
      </w:pPr>
      <w:r>
        <w:rPr>
          <w:b/>
          <w:noProof/>
        </w:rPr>
        <w:t>Равнище на интегрираната работа в здравната област използване на резултатите от програмата в националните здравни политики</w:t>
      </w:r>
    </w:p>
    <w:p>
      <w:pPr>
        <w:rPr>
          <w:noProof/>
          <w:szCs w:val="24"/>
        </w:rPr>
      </w:pPr>
      <w:r>
        <w:rPr>
          <w:noProof/>
        </w:rPr>
        <w:t>1. Брой пациенти, подкрепени от европейските референтни мрежи.</w:t>
      </w:r>
    </w:p>
    <w:p>
      <w:pPr>
        <w:rPr>
          <w:noProof/>
          <w:szCs w:val="24"/>
        </w:rPr>
      </w:pPr>
      <w:r>
        <w:rPr>
          <w:noProof/>
        </w:rPr>
        <w:t>2. Брой съвместни клинични оценки на здравни технологии.</w:t>
      </w:r>
    </w:p>
    <w:p>
      <w:pPr>
        <w:rPr>
          <w:noProof/>
          <w:szCs w:val="24"/>
        </w:rPr>
      </w:pPr>
      <w:r>
        <w:rPr>
          <w:noProof/>
        </w:rPr>
        <w:t xml:space="preserve">3. Брой на трансферираните най-добри практики. </w:t>
      </w:r>
    </w:p>
    <w:p>
      <w:pPr>
        <w:rPr>
          <w:noProof/>
          <w:szCs w:val="24"/>
        </w:rPr>
      </w:pPr>
      <w:r>
        <w:rPr>
          <w:noProof/>
        </w:rPr>
        <w:t>4. Степен на използване на резултатите от програмата в националната здравна политика, измерена с  въпросник „преди и след“.</w:t>
      </w:r>
    </w:p>
    <w:p>
      <w:pPr>
        <w:rPr>
          <w:b/>
          <w:noProof/>
        </w:rPr>
      </w:pPr>
    </w:p>
    <w:sectPr>
      <w:footerReference w:type="default" r:id="rId19"/>
      <w:footerReference w:type="first" r:id="rId20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 Square Sans Cond Pro">
    <w:altName w:val="Segoe UI"/>
    <w:charset w:val="00"/>
    <w:family w:val="swiss"/>
    <w:pitch w:val="variable"/>
    <w:sig w:usb0="00000001" w:usb1="500000D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Данните по отбелязаните с „*“ показатели представляват лични данни съгласно член 4, параграф 1 от Регламент (ЕС) 2016/679. Данните по отбелязаните с „**“ показатели представляват специална категория данни съгласно член 9 от Регламент (ЕС) 2016/679.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Стойностите на тези показатели се определят от бенефициера въз основа на обоснована оценка.</w:t>
      </w:r>
    </w:p>
  </w:footnote>
  <w:footnote w:id="4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 xml:space="preserve">Ibid.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73227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90AE0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03AE9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BF8E7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A5403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F12D9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0CE2B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7085B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04 20:43:5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9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87?\u1088?\u1077?\u1076?\u1083?\u1086?\u1078?\u1077?\u1085?\u1080?\u1077?\u1090?\u1086? \u1079?\u1072?"/>
    <w:docVar w:name="LW_ACCOMPAGNANT.CP" w:val="\u1082?\u1098?\u1084? \u1087?\u1088?\u1077?\u1076?\u1083?\u1086?\u1078?\u1077?\u1085?\u1080?\u1077?\u1090?\u1086? \u1079?\u1072?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C278D266-D8C7-49DE-A6A4-519F30B79DBC"/>
    <w:docVar w:name="LW_COVERPAGE_TYPE" w:val="1"/>
    <w:docVar w:name="LW_CROSSREFERENCE" w:val="{SEC(2018) 273 final}_x000b_{SWD(2018) 289 final}"/>
    <w:docVar w:name="LW_DocType" w:val="ANNEX"/>
    <w:docVar w:name="LW_EMISSION" w:val="30.5.2018"/>
    <w:docVar w:name="LW_EMISSION_ISODATE" w:val="2018-05-30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45?\u1074?\u1088?\u1086?\u1087?\u1077?\u1081?\u1089?\u1082?\u1080?\u1103? \u1089?\u1086?\u1094?\u1080?\u1072?\u1083?\u1077?\u1085? \u1092?\u1086?\u1085?\u1076? \u1087?\u1083?\u1102?\u1089?"/>
    <w:docVar w:name="LW_OBJETACTEPRINCIPAL.CP" w:val="\u1086?\u1090?\u1085?\u1086?\u1089?\u1085?\u1086? \u1045?\u1074?\u1088?\u1086?\u1087?\u1077?\u1081?\u1089?\u1082?\u1080?\u1103? \u1089?\u1086?\u1094?\u1080?\u1072?\u1083?\u1077?\u1085? \u1092?\u1086?\u1085?\u1076? \u1087?\u1083?\u1102?\u1089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38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table" w:styleId="TableGrid">
    <w:name w:val="Table Grid"/>
    <w:aliases w:val="Document Table,CV1,Standard table format,Simple table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Char">
    <w:name w:val="Text 1 Char"/>
    <w:basedOn w:val="DefaultParagraphFont"/>
    <w:locked/>
    <w:rPr>
      <w:rFonts w:ascii="Times New Roman" w:hAnsi="Times New Roman" w:cs="Times New Roman"/>
      <w:sz w:val="24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table" w:styleId="TableGrid">
    <w:name w:val="Table Grid"/>
    <w:aliases w:val="Document Table,CV1,Standard table format,Simple table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Char">
    <w:name w:val="Text 1 Char"/>
    <w:basedOn w:val="DefaultParagraphFont"/>
    <w:locked/>
    <w:rPr>
      <w:rFonts w:ascii="Times New Roman" w:hAnsi="Times New Roman" w:cs="Times New Roman"/>
      <w:sz w:val="24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EC_Collab_DocumentLanguage xmlns="4E797991-D6A1-4B98-93D1-0DE95956AA90">EN</EC_Collab_DocumentLanguage>
    <EC_Collab_Status xmlns="4E797991-D6A1-4B98-93D1-0DE95956AA90">Not Started</EC_Collab_Status>
    <EC_Collab_Reference xmlns="4E797991-D6A1-4B98-93D1-0DE95956AA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89239F874EA5FD41B34AF9113097C08F" ma:contentTypeVersion="0" ma:contentTypeDescription="Create a new document in this library." ma:contentTypeScope="" ma:versionID="99fc3b33ce158b1cfa40fb971bf5e058">
  <xsd:schema xmlns:xsd="http://www.w3.org/2001/XMLSchema" xmlns:xs="http://www.w3.org/2001/XMLSchema" xmlns:p="http://schemas.microsoft.com/office/2006/metadata/properties" xmlns:ns2="http://schemas.microsoft.com/sharepoint/v3/fields" xmlns:ns3="4E797991-D6A1-4B98-93D1-0DE95956AA90" targetNamespace="http://schemas.microsoft.com/office/2006/metadata/properties" ma:root="true" ma:fieldsID="d7a5695c33f04cc0477b592f9a9edf29" ns2:_="" ns3:_="">
    <xsd:import namespace="http://schemas.microsoft.com/sharepoint/v3/fields"/>
    <xsd:import namespace="4E797991-D6A1-4B98-93D1-0DE95956AA90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97991-D6A1-4B98-93D1-0DE95956AA90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8729-F544-44F8-A409-F896C8FC6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EA59C-E272-4F8C-95C5-A5984BA388B1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3/fields"/>
    <ds:schemaRef ds:uri="http://schemas.openxmlformats.org/package/2006/metadata/core-properties"/>
    <ds:schemaRef ds:uri="http://purl.org/dc/elements/1.1/"/>
    <ds:schemaRef ds:uri="4E797991-D6A1-4B98-93D1-0DE95956AA90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A01DF1-F6A7-4683-A88D-3F7E414E3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E797991-D6A1-4B98-93D1-0DE95956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ADDE8E-19AC-4F02-93CA-F386B38F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6</Pages>
  <Words>781</Words>
  <Characters>4665</Characters>
  <Application>Microsoft Office Word</Application>
  <DocSecurity>0</DocSecurity>
  <Lines>150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180524 - Egreffe ESF+ Annexes</vt:lpstr>
    </vt:vector>
  </TitlesOfParts>
  <Company>European Commission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180524 - Egreffe ESF+ Annexes</dc:title>
  <dc:subject>180524 - Egreffe ESF+ Annexes</dc:subject>
  <dc:creator>EMPL F1</dc:creator>
  <cp:lastModifiedBy>DIGIT/A3</cp:lastModifiedBy>
  <cp:revision>10</cp:revision>
  <dcterms:created xsi:type="dcterms:W3CDTF">2018-06-04T13:24:00Z</dcterms:created>
  <dcterms:modified xsi:type="dcterms:W3CDTF">2018-06-04T18:43:00Z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3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0x010100258AA79CEB83498886A3A086811232500089239F874EA5FD41B34AF9113097C08F</vt:lpwstr>
  </property>
  <property fmtid="{D5CDD505-2E9C-101B-9397-08002B2CF9AE}" pid="14" name="DQCStatus">
    <vt:lpwstr>Green (DQC version 03)</vt:lpwstr>
  </property>
</Properties>
</file>