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33" w:rsidRDefault="0078004E" w:rsidP="007800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0F92C3-ED57-4E5E-B694-10EBE8F82303" style="width:450.75pt;height:352.5pt">
            <v:imagedata r:id="rId9" o:title=""/>
          </v:shape>
        </w:pict>
      </w:r>
    </w:p>
    <w:p w:rsidR="000A3633" w:rsidRDefault="000A3633">
      <w:pPr>
        <w:rPr>
          <w:noProof/>
        </w:rPr>
        <w:sectPr w:rsidR="000A3633" w:rsidSect="007800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A3633" w:rsidRDefault="0078004E">
      <w:pPr>
        <w:pStyle w:val="Exposdesmotifstitre"/>
        <w:rPr>
          <w:noProof/>
        </w:rPr>
      </w:pPr>
      <w:bookmarkStart w:id="0" w:name="_GoBack"/>
      <w:bookmarkEnd w:id="0"/>
      <w:r>
        <w:rPr>
          <w:noProof/>
        </w:rPr>
        <w:lastRenderedPageBreak/>
        <w:t>ОБЯСНИТЕЛЕН МЕМОРАНДУМ</w:t>
      </w:r>
    </w:p>
    <w:p w:rsidR="000A3633" w:rsidRDefault="0078004E">
      <w:pPr>
        <w:pStyle w:val="ManualHeading1"/>
        <w:rPr>
          <w:noProof/>
        </w:rPr>
      </w:pPr>
      <w:r>
        <w:rPr>
          <w:noProof/>
        </w:rPr>
        <w:t>1.</w:t>
      </w:r>
      <w:r>
        <w:rPr>
          <w:noProof/>
        </w:rPr>
        <w:tab/>
        <w:t>КОНТЕКСТ НА ПРЕДЛОЖЕНИЕТО</w:t>
      </w:r>
    </w:p>
    <w:p w:rsidR="000A3633" w:rsidRDefault="0078004E">
      <w:pPr>
        <w:pStyle w:val="ManualHeading2"/>
        <w:rPr>
          <w:rFonts w:eastAsia="Arial Unicode MS"/>
          <w:noProof/>
        </w:rPr>
      </w:pPr>
      <w:r>
        <w:rPr>
          <w:noProof/>
          <w:u w:color="000000"/>
          <w:bdr w:val="nil"/>
        </w:rPr>
        <w:t>•</w:t>
      </w:r>
      <w:r>
        <w:rPr>
          <w:noProof/>
          <w:u w:color="000000"/>
          <w:bdr w:val="nil"/>
        </w:rPr>
        <w:tab/>
      </w:r>
      <w:r>
        <w:rPr>
          <w:noProof/>
        </w:rPr>
        <w:t>Основания и цели</w:t>
      </w:r>
    </w:p>
    <w:p w:rsidR="000A3633" w:rsidRDefault="0078004E">
      <w:pPr>
        <w:rPr>
          <w:noProof/>
        </w:rPr>
      </w:pPr>
      <w:r>
        <w:rPr>
          <w:noProof/>
        </w:rPr>
        <w:t>Европейският фонд за приспособяване към глобализацията (ЕФПГ) първоначално бе</w:t>
      </w:r>
      <w:r>
        <w:rPr>
          <w:noProof/>
        </w:rPr>
        <w:t xml:space="preserve"> създаден с Регламент (ЕО) № 1927/2006</w:t>
      </w:r>
      <w:r>
        <w:rPr>
          <w:rStyle w:val="FootnoteReference"/>
          <w:noProof/>
        </w:rPr>
        <w:footnoteReference w:id="1"/>
      </w:r>
      <w:r>
        <w:rPr>
          <w:noProof/>
        </w:rPr>
        <w:t xml:space="preserve"> за програмния период 2007—2013 г. Предназначението му бе да се предостави на Съюза инструмент, с който да се засвидетелства солидарност и да се окаже подкрепа на работниците, съкратени в резултат на големи структурни</w:t>
      </w:r>
      <w:r>
        <w:rPr>
          <w:noProof/>
        </w:rPr>
        <w:t xml:space="preserve"> промени в моделите на световна търговия, възникнали в следствие на глобализацията, като тези съкращения имат значително отрицателно въздействие върху регионалната или местната икономика. Като предоставя съфинансиране за мерките на активната политика по за</w:t>
      </w:r>
      <w:r>
        <w:rPr>
          <w:noProof/>
        </w:rPr>
        <w:t>етостта, ЕФПГ има за цел да улесни връщането на работа на работниците в области, отрасли, територии или пазари на труда, засегнати от сериозни икономически сътресения.</w:t>
      </w:r>
    </w:p>
    <w:p w:rsidR="000A3633" w:rsidRDefault="0078004E">
      <w:pPr>
        <w:rPr>
          <w:noProof/>
        </w:rPr>
      </w:pPr>
      <w:r>
        <w:rPr>
          <w:noProof/>
        </w:rPr>
        <w:t xml:space="preserve">В светлината на мащаба и скоростта, с която се разви финансовата и икономическата криза </w:t>
      </w:r>
      <w:r>
        <w:rPr>
          <w:noProof/>
        </w:rPr>
        <w:t>през 2008 г., в своя Европейски план за икономическо възстановяване</w:t>
      </w:r>
      <w:r>
        <w:rPr>
          <w:rStyle w:val="FootnoteReference"/>
          <w:noProof/>
        </w:rPr>
        <w:footnoteReference w:id="2"/>
      </w:r>
      <w:r>
        <w:rPr>
          <w:noProof/>
        </w:rPr>
        <w:t>, Комисията предвиди преразглеждане на Регламент (ЕО) № 1927/2006. Освен въвеждането на някои трайни изменения въз основа на опита, натрупан през първите години от прилагането на ЕФПГ, осн</w:t>
      </w:r>
      <w:r>
        <w:rPr>
          <w:noProof/>
        </w:rPr>
        <w:t>овната цел на този преглед</w:t>
      </w:r>
      <w:r>
        <w:rPr>
          <w:rStyle w:val="FootnoteReference"/>
          <w:noProof/>
        </w:rPr>
        <w:footnoteReference w:id="3"/>
      </w:r>
      <w:r>
        <w:rPr>
          <w:noProof/>
        </w:rPr>
        <w:t xml:space="preserve"> бе разширяване на обхвата на ЕФПГ от 1 май 2009 г. до 30 декември 2011 г. Комисията искаше да даде възможност на ЕФПГ да засвидетелства солидарността на Съюза и да осигури подкрепа за работниците, които са съкратени като пряко с</w:t>
      </w:r>
      <w:r>
        <w:rPr>
          <w:noProof/>
        </w:rPr>
        <w:t>ледствие от финансовата и икономическата криза, и да се повиши процентът на съфинансиране от 50 на 65 %, за намаляване на тежестта за държавите членки.</w:t>
      </w:r>
    </w:p>
    <w:p w:rsidR="000A3633" w:rsidRDefault="0078004E">
      <w:pPr>
        <w:rPr>
          <w:rFonts w:eastAsia="Times New Roman"/>
          <w:noProof/>
          <w:szCs w:val="24"/>
        </w:rPr>
      </w:pPr>
      <w:r>
        <w:rPr>
          <w:noProof/>
        </w:rPr>
        <w:t>За многогодишната финансова рамка за периода 2014—2020 г., обхватът на ЕФПГ бе разширен с Регламент (ЕО)</w:t>
      </w:r>
      <w:r>
        <w:rPr>
          <w:noProof/>
        </w:rPr>
        <w:t xml:space="preserve"> № 1309/2013</w:t>
      </w:r>
      <w:r>
        <w:rPr>
          <w:rStyle w:val="FootnoteReference"/>
          <w:noProof/>
        </w:rPr>
        <w:footnoteReference w:id="4"/>
      </w:r>
      <w:r>
        <w:rPr>
          <w:noProof/>
        </w:rPr>
        <w:t xml:space="preserve"> на Европейския парламент и на Съвета, за отмяна на Регламент (ЕО) № 1927/2006. Целта бе да се включат не само премествания в резултат на сериозни икономически сътресения, предизвикани от продължаване на световната финансова и икономическа кри</w:t>
      </w:r>
      <w:r>
        <w:rPr>
          <w:noProof/>
        </w:rPr>
        <w:t>за, предмет на Регламент (ЕО) № 546/2009, но и всяка нова световна финансова и икономическа криза. Следователно, ЕФПГ би могъл да предложи помощ и при настъпването на неочаквани кризи, които водят до сериозно смущение на функционирането на местната, регион</w:t>
      </w:r>
      <w:r>
        <w:rPr>
          <w:noProof/>
        </w:rPr>
        <w:t>алната или националната икономика. Такива неочаквани кризи биха могли да включват например голяма икономическа рецесия, настъпила в дейността на важни търговски партньори, или срив на финансовата система, сравним с този, настъпил през 2008 г. За да се гара</w:t>
      </w:r>
      <w:r>
        <w:rPr>
          <w:noProof/>
        </w:rPr>
        <w:t>нтира, че подкрепата от страна на ЕФПГ е достъпна за работниците, независимо от техните трудови договори или трудови правоотношения, е разширен обхватът на понятието „работници“. Това означава, че вече е възможно да се включват не само работниците на безср</w:t>
      </w:r>
      <w:r>
        <w:rPr>
          <w:noProof/>
        </w:rPr>
        <w:t>очни трудови договори, съгласно Регламент (ЕО) № 1927/2006, но и работниците на срочен трудов договор, работниците, наети чрез агенции за временна заетост и собствениците, изпълняващи управителни функции в микропредприятия, и самостоятелно заетите работниц</w:t>
      </w:r>
      <w:r>
        <w:rPr>
          <w:noProof/>
        </w:rPr>
        <w:t xml:space="preserve">и. Също така, при определени обстоятелства, </w:t>
      </w:r>
      <w:r>
        <w:rPr>
          <w:noProof/>
        </w:rPr>
        <w:lastRenderedPageBreak/>
        <w:t xml:space="preserve">държавите членки биха могли да включват в своите заявления до ЕФПГ толкова незаети с работа, учене или обучение млади хора, колкото съкратени работници. Това се случва в контекста на високото равнище на младежка </w:t>
      </w:r>
      <w:r>
        <w:rPr>
          <w:noProof/>
        </w:rPr>
        <w:t>безработица и факта, че за незаети с работа, учене или обучение млади хора е още по-трудно да намерят работа, когато има сериозни смущения на пазара на труда, като тези при по-значими преструктурирания.</w:t>
      </w:r>
    </w:p>
    <w:p w:rsidR="000A3633" w:rsidRDefault="0078004E">
      <w:pPr>
        <w:rPr>
          <w:rFonts w:eastAsia="Times New Roman"/>
          <w:noProof/>
          <w:szCs w:val="24"/>
        </w:rPr>
      </w:pPr>
      <w:r>
        <w:rPr>
          <w:noProof/>
        </w:rPr>
        <w:t>Основната цел на настоящото предложение е да се гаран</w:t>
      </w:r>
      <w:r>
        <w:rPr>
          <w:noProof/>
        </w:rPr>
        <w:t>тира, че ЕФПГ ще продължи да функционира и след 31 декември 2020 г., без ограничение на периода във времето, тъй като той е специален инструмент извън таваните на многогодишната финансова рамка.</w:t>
      </w:r>
    </w:p>
    <w:p w:rsidR="000A3633" w:rsidRDefault="0078004E">
      <w:pPr>
        <w:rPr>
          <w:rFonts w:eastAsia="Times New Roman"/>
          <w:noProof/>
          <w:szCs w:val="24"/>
        </w:rPr>
      </w:pPr>
      <w:r>
        <w:rPr>
          <w:noProof/>
        </w:rPr>
        <w:t xml:space="preserve">За да се гарантира европейското измерение на ЕФПГ, заявление </w:t>
      </w:r>
      <w:r>
        <w:rPr>
          <w:noProof/>
        </w:rPr>
        <w:t>за оказване на подкрепа на работници от страна на ЕФПГ може да бъде подавано, когато броят на съкращенията достигне определен минимален праг. Опитът, натрупан от функционирането на Регламент (ЕС) № 1309/2013, показа, че прагът от 250 съкращения за даден ре</w:t>
      </w:r>
      <w:r>
        <w:rPr>
          <w:noProof/>
        </w:rPr>
        <w:t xml:space="preserve">ферентен период е препоръчителен, особено когато е възможно да се подават заявления за по-малко на брой съкращения в рамките на малки трудови пазари, както и при изключителни обстоятелства. Праговата стойност от 250 е по-ниска от тази за програмния период </w:t>
      </w:r>
      <w:r>
        <w:rPr>
          <w:noProof/>
        </w:rPr>
        <w:t>2014—2020 г. Това е заради наблюдаваната обща тенденция за по-малко на брой големи вълни от съкращения, както и поради факта, че в повечето региони съкращаването на 250 работници обикновено оказва значително въздействие. В допълнение към това, в много от д</w:t>
      </w:r>
      <w:r>
        <w:rPr>
          <w:noProof/>
        </w:rPr>
        <w:t>ържавите членки повечето работници се наемат от малки и средни предприятия (МСП).</w:t>
      </w:r>
    </w:p>
    <w:p w:rsidR="000A3633" w:rsidRDefault="0078004E">
      <w:pPr>
        <w:rPr>
          <w:rFonts w:eastAsia="Times New Roman"/>
          <w:noProof/>
          <w:szCs w:val="24"/>
        </w:rPr>
      </w:pPr>
      <w:r>
        <w:rPr>
          <w:noProof/>
        </w:rPr>
        <w:t>На 17 ноември 2017 г., Европейският стълб на социалните права</w:t>
      </w:r>
      <w:r>
        <w:rPr>
          <w:rStyle w:val="FootnoteReference"/>
          <w:noProof/>
        </w:rPr>
        <w:footnoteReference w:id="5"/>
      </w:r>
      <w:r>
        <w:rPr>
          <w:noProof/>
        </w:rPr>
        <w:t xml:space="preserve"> беше съвместно обявен от Европейския парламент, Съвета и Комисията като отговор на социалните предизвикателства</w:t>
      </w:r>
      <w:r>
        <w:rPr>
          <w:noProof/>
        </w:rPr>
        <w:t xml:space="preserve"> в Европа. Вземайки предвид променящите се реалности в трудовия свят, ЕС трябва да бъде готов за настоящите и бъдещите предизвикателства на глобализацията и цифровизацията. Това означава да се постигне по-приобщаващ растеж и да се подобрят заетостта и соци</w:t>
      </w:r>
      <w:r>
        <w:rPr>
          <w:noProof/>
        </w:rPr>
        <w:t>алните политики. Принципите на Европейския стълб на социалните права ще служат като всеобхватна ръководна рамка за Европейския фонд за приспособяване към глобализацията (ЕФПГ) и ще позволят на Съюза да приложи съответните принципи на практика при големи пр</w:t>
      </w:r>
      <w:r>
        <w:rPr>
          <w:noProof/>
        </w:rPr>
        <w:t>еструктурирания.</w:t>
      </w:r>
    </w:p>
    <w:p w:rsidR="000A3633" w:rsidRDefault="0078004E">
      <w:pPr>
        <w:rPr>
          <w:rFonts w:eastAsia="Times New Roman"/>
          <w:noProof/>
          <w:szCs w:val="24"/>
        </w:rPr>
      </w:pPr>
      <w:r>
        <w:rPr>
          <w:noProof/>
        </w:rPr>
        <w:t>На равнището на Съюза европейският семестър за координация на икономическите политики е рамката, чрез която се определят националните приоритети в областта на реформите и се наблюдава тяхното изпълнение. Държавите членки изготвят собствени</w:t>
      </w:r>
      <w:r>
        <w:rPr>
          <w:noProof/>
        </w:rPr>
        <w:t xml:space="preserve"> национални многогодишни инвестиционни стратегии в подкрепа на тези приоритети на реформите. Тези стратегии следва да се представят заедно с годишните национални програми за реформи като средство за описване и координиране на приоритетните инвестиционни пр</w:t>
      </w:r>
      <w:r>
        <w:rPr>
          <w:noProof/>
        </w:rPr>
        <w:t>оекти, които ще бъдат подкрепяни с национално и/или европейско финансиране. Те следва също да спомогнат финансирането от Съюза да се използва по съгласуван начин и за постигане на максимална добавена стойност от финансовата подкрепа, която ще бъде получена</w:t>
      </w:r>
      <w:r>
        <w:rPr>
          <w:noProof/>
        </w:rPr>
        <w:t xml:space="preserve"> по-конкретно от програмите, подпомагани от Съюза по линия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Ев</w:t>
      </w:r>
      <w:r>
        <w:rPr>
          <w:noProof/>
        </w:rPr>
        <w:t>ропейската функция за стабилизиране на инвестициите и InvestEU, когато е целесъобразно.</w:t>
      </w:r>
    </w:p>
    <w:p w:rsidR="000A3633" w:rsidRDefault="0078004E">
      <w:pPr>
        <w:rPr>
          <w:noProof/>
        </w:rPr>
      </w:pPr>
      <w:r>
        <w:rPr>
          <w:noProof/>
        </w:rPr>
        <w:t xml:space="preserve">В днешно време глобализираният свят се характеризира с все по-нарастваща взаимосвързаност и взаимозависимост на световните пазари. Поради взаимодействието </w:t>
      </w:r>
      <w:r>
        <w:rPr>
          <w:noProof/>
        </w:rPr>
        <w:lastRenderedPageBreak/>
        <w:t>и взаимното в</w:t>
      </w:r>
      <w:r>
        <w:rPr>
          <w:noProof/>
        </w:rPr>
        <w:t xml:space="preserve">лияние на отворената търговия, технологичните промени или други фактори като прехода към нисковъглеродна икономика, става все по-трудно да се изтъкне конкретен фактор, който предизвиква съкращаването на работни места. Парадоксът е, че поради тези последни </w:t>
      </w:r>
      <w:r>
        <w:rPr>
          <w:noProof/>
        </w:rPr>
        <w:t>тенденции в глобализацията, без въвеждане на промени в условията на ЕФПГ, се очакват по-малко заявления и по-слабо усвояване. Фактът, че честотата на мащабни случаи на преструктуриране (с повече от 500 съкращения) е значително по-ниска през последното десе</w:t>
      </w:r>
      <w:r>
        <w:rPr>
          <w:noProof/>
        </w:rPr>
        <w:t>тилетие, е много вероятно да окаже допълнително въздействие върху усвояването на фонда. Следователно, в бъдеще ЕФПГ ще бъде мобилизиран само когато дадено преструктуриране има значително въздействие, което се определя от посочения по-горе минимален праг от</w:t>
      </w:r>
      <w:r>
        <w:rPr>
          <w:noProof/>
        </w:rPr>
        <w:t xml:space="preserve"> 250 работни места. </w:t>
      </w:r>
    </w:p>
    <w:p w:rsidR="000A3633" w:rsidRDefault="0078004E">
      <w:pPr>
        <w:rPr>
          <w:rFonts w:eastAsia="Times New Roman"/>
          <w:noProof/>
          <w:szCs w:val="24"/>
        </w:rPr>
      </w:pPr>
      <w:r>
        <w:rPr>
          <w:noProof/>
        </w:rPr>
        <w:t xml:space="preserve">Въпреки все още високите равнища на младежка безработица, опитът показва, че други инструменти може да са по-подходящи за оказване на помощ на незаетите с работа, учене или обучение млади хора, по-специално Европейският социален фонд. </w:t>
      </w:r>
      <w:r>
        <w:rPr>
          <w:noProof/>
        </w:rPr>
        <w:t>Свързването на помощта за младите хора с подаването на заявление към ЕФПГ може да се разглежда като насърчаване на неравнопоставеност, тъй като би изключило по-голямата част от младите хора в нужда.</w:t>
      </w:r>
    </w:p>
    <w:p w:rsidR="000A3633" w:rsidRDefault="0078004E">
      <w:pPr>
        <w:rPr>
          <w:rFonts w:eastAsia="Times New Roman"/>
          <w:noProof/>
          <w:szCs w:val="24"/>
        </w:rPr>
      </w:pPr>
      <w:r>
        <w:rPr>
          <w:noProof/>
        </w:rPr>
        <w:t xml:space="preserve">Акцентът на ЕФПГ трябва да бъде поставен върху активните </w:t>
      </w:r>
      <w:r>
        <w:rPr>
          <w:noProof/>
        </w:rPr>
        <w:t>мерки за пазара на труда, насочени към бързото връщане на съкратените работници на стабилни работни места. Подобно на Регламент (ЕС) № 1309/2013 настоящото предложение предвижда ЕФПГ да подпомага финансово пакет от активни мерки на пазара на труда. Тези ме</w:t>
      </w:r>
      <w:r>
        <w:rPr>
          <w:noProof/>
        </w:rPr>
        <w:t>рки ще имат за основна цел предоставяне на индивидуализирана подкрепа за подпомагане на повторното интегриране на пазара на труда, увеличаване на акцента върху придобиването на цифрови умения и подпомагане на мобилността, когато това е уместно. ЕФПГ не мож</w:t>
      </w:r>
      <w:r>
        <w:rPr>
          <w:noProof/>
        </w:rPr>
        <w:t>е да окаже принос за финансиране на пасивни мерки. Помощи могат да бъдат включени само ако са под формата на стимулиращи мерки, които правят участието на съкратените работници в мерките на активната политика по заетостта по-лесно. С цел да се гарантира раз</w:t>
      </w:r>
      <w:r>
        <w:rPr>
          <w:noProof/>
        </w:rPr>
        <w:t>умен баланс между действителните мерки на активната политика по заетостта и „активираните“ помощи, за дела на помощите в съгласуван пакет от активни мерки по заетостта е определен таван.</w:t>
      </w:r>
    </w:p>
    <w:p w:rsidR="000A3633" w:rsidRDefault="0078004E">
      <w:pPr>
        <w:rPr>
          <w:rFonts w:eastAsia="Times New Roman"/>
          <w:noProof/>
          <w:szCs w:val="24"/>
        </w:rPr>
      </w:pPr>
      <w:r>
        <w:rPr>
          <w:noProof/>
        </w:rPr>
        <w:t>ЕФПГ ще остане един от специалните инструменти, които позволяват на С</w:t>
      </w:r>
      <w:r>
        <w:rPr>
          <w:noProof/>
        </w:rPr>
        <w:t xml:space="preserve">ъюза да реагира на непредвидени обстоятелства, и следователно се намира извън бюджетните тавани на многогодишната финансова рамка. Неговата ефективност обаче е била негативно повлияна от продължителността и процедурните изисквания на процеса по вземане на </w:t>
      </w:r>
      <w:r>
        <w:rPr>
          <w:noProof/>
        </w:rPr>
        <w:t>решение. Съкращаването във възможно най-голяма степен на времето между известието за съкращенията и действителното изплащане на евентуална помощ от страна на ЕФПГ и опростяването на процедурите следва да са обща грижа на всички заинтересовани страни в проц</w:t>
      </w:r>
      <w:r>
        <w:rPr>
          <w:noProof/>
        </w:rPr>
        <w:t>еса на предоставянето на средства по линия на ЕФПГ: държавите членки следва да се стремят да подават пълно заявление възможно най-скоро след като съответните критерии бъдат изпълнени; Комисията следва да извърши оценка и да вземе решение относно допустимос</w:t>
      </w:r>
      <w:r>
        <w:rPr>
          <w:noProof/>
        </w:rPr>
        <w:t>тта скоро след като бъде подадено пълно заявление, а бюджетният орган следва бързо да вземе решение за отпускане на финансиране по линия на ЕФПГ.</w:t>
      </w:r>
    </w:p>
    <w:p w:rsidR="000A3633" w:rsidRDefault="0078004E">
      <w:pPr>
        <w:rPr>
          <w:rFonts w:eastAsia="Times New Roman"/>
          <w:noProof/>
          <w:szCs w:val="24"/>
        </w:rPr>
      </w:pPr>
      <w:r>
        <w:rPr>
          <w:noProof/>
        </w:rPr>
        <w:t>Тъй като заявленията ще се основават изцяло на това дали преструктурирането има значително въздействие, съглас</w:t>
      </w:r>
      <w:r>
        <w:rPr>
          <w:noProof/>
        </w:rPr>
        <w:t>но прага от 250 съкратени работници, вече няма да има обширни изисквания за подаване на заявление за текущия и предишните програмни периоди, които често възпрепятстваха държавите членки за подаване на заявления. Следователно, административната тежест за дъ</w:t>
      </w:r>
      <w:r>
        <w:rPr>
          <w:noProof/>
        </w:rPr>
        <w:t>ржавата членка ще бъде намалена, когато се прилага, както и за Комисията, когато извършва проверка за допустимост. Това ще направи вземането на решение за приноса много по-лесно и по-бързо.</w:t>
      </w:r>
    </w:p>
    <w:p w:rsidR="000A3633" w:rsidRDefault="0078004E">
      <w:pPr>
        <w:rPr>
          <w:rFonts w:eastAsia="Times New Roman"/>
          <w:noProof/>
          <w:szCs w:val="24"/>
        </w:rPr>
      </w:pPr>
      <w:r>
        <w:rPr>
          <w:noProof/>
        </w:rPr>
        <w:t>Опитът от прилагането на фонда показа, че държавите членки искат н</w:t>
      </w:r>
      <w:r>
        <w:rPr>
          <w:noProof/>
        </w:rPr>
        <w:t>еговото мобилизиране само в случай на истински извънредни ситуации. Въпреки че прагът в момента е 500 съкратени работници, заявленията варират значително, от 108 до 6120 работници, които са загубили работата си в рамките на референтния период</w:t>
      </w:r>
      <w:r>
        <w:rPr>
          <w:rStyle w:val="FootnoteReference"/>
          <w:noProof/>
        </w:rPr>
        <w:footnoteReference w:id="6"/>
      </w:r>
      <w:r>
        <w:rPr>
          <w:noProof/>
        </w:rPr>
        <w:t>. С цел да се</w:t>
      </w:r>
      <w:r>
        <w:rPr>
          <w:noProof/>
        </w:rPr>
        <w:t xml:space="preserve"> намалят рисковете от потенциално по-голям брой заявления за ЕФПГ, фондът ще работи при по-висок годишен максимален размер</w:t>
      </w:r>
      <w:r>
        <w:rPr>
          <w:rStyle w:val="FootnoteReference"/>
          <w:noProof/>
        </w:rPr>
        <w:footnoteReference w:id="7"/>
      </w:r>
      <w:r>
        <w:rPr>
          <w:noProof/>
        </w:rPr>
        <w:t>, а освен това референтният период ще бъде съкратен от девет на шест месеца (в рамките на секторните заявления). Въпреки че се очаква</w:t>
      </w:r>
      <w:r>
        <w:rPr>
          <w:noProof/>
        </w:rPr>
        <w:t xml:space="preserve"> и се цели по-голямо усвояване на средствата от фонда чрез премахване на пречките пред използването му, не изглежда да съществува риск от прекомерно използване на фонда от държавите членки.</w:t>
      </w:r>
    </w:p>
    <w:p w:rsidR="000A3633" w:rsidRDefault="0078004E">
      <w:pPr>
        <w:rPr>
          <w:rFonts w:eastAsia="Times New Roman"/>
          <w:noProof/>
          <w:szCs w:val="24"/>
        </w:rPr>
      </w:pPr>
      <w:r>
        <w:rPr>
          <w:noProof/>
        </w:rPr>
        <w:t xml:space="preserve">Комисията ще продължи да предлага в рамките на годишната бюджетна </w:t>
      </w:r>
      <w:r>
        <w:rPr>
          <w:noProof/>
        </w:rPr>
        <w:t>процедура минимална сума от бюджетни кредити за плащания за съответния бюджетен ред, за да покрива нуждите, възникващи в началото на годината.</w:t>
      </w:r>
    </w:p>
    <w:p w:rsidR="000A3633" w:rsidRDefault="0078004E">
      <w:pPr>
        <w:rPr>
          <w:rFonts w:eastAsia="Times New Roman"/>
          <w:noProof/>
          <w:szCs w:val="24"/>
        </w:rPr>
      </w:pPr>
      <w:r>
        <w:rPr>
          <w:noProof/>
        </w:rPr>
        <w:t>Подпомагането от страна на ЕФПГ ще допълва усилията, полагани от държавите членки на национално, регионално и мес</w:t>
      </w:r>
      <w:r>
        <w:rPr>
          <w:noProof/>
        </w:rPr>
        <w:t>тно равнище. От съображения за добро финансово управление ЕФПГ не може да заменя мерките, които вече са обхванати от фондовете и програмите на Съюза, включени в многогодишната финансова рамка. Финансовият принос от страна на ЕФПГ също така не може да замен</w:t>
      </w:r>
      <w:r>
        <w:rPr>
          <w:noProof/>
        </w:rPr>
        <w:t>и националните мерки или тези, които са отговорност на дружествата, извършващи съкращенията, по силата на националното законодателство или на колективни трудови договори.</w:t>
      </w:r>
    </w:p>
    <w:p w:rsidR="000A3633" w:rsidRDefault="0078004E">
      <w:pPr>
        <w:rPr>
          <w:rFonts w:eastAsia="Times New Roman"/>
          <w:noProof/>
          <w:szCs w:val="24"/>
        </w:rPr>
      </w:pPr>
      <w:r>
        <w:rPr>
          <w:noProof/>
        </w:rPr>
        <w:t xml:space="preserve">Бюджетната процедура в предложението произтича директно от точка 9 от проекта на </w:t>
      </w:r>
      <w:r>
        <w:rPr>
          <w:noProof/>
        </w:rPr>
        <w:t>междуинституционално споразумение. Когато това бъде възможно, продължителността на процеса ще бъде съкращавана и той ще бъде хармонизиран.</w:t>
      </w:r>
    </w:p>
    <w:p w:rsidR="000A3633" w:rsidRDefault="0078004E">
      <w:pPr>
        <w:rPr>
          <w:rFonts w:eastAsia="Times New Roman"/>
          <w:noProof/>
          <w:szCs w:val="24"/>
        </w:rPr>
      </w:pPr>
      <w:r>
        <w:rPr>
          <w:noProof/>
        </w:rPr>
        <w:t>Предвид факта, че мерките, съфинансирани от ЕФПГ, са прилагани посредством споделено управление с държавите членки, м</w:t>
      </w:r>
      <w:r>
        <w:rPr>
          <w:noProof/>
        </w:rPr>
        <w:t>еханизмът за плащане на финансов принос ще продължи да бъде в съответствие с механизма, който се прилага за този метод на управление на бюджета на Съюза. В същото време финансовите договорености следва да отразяват обхвата на мерките, които трябва да бъдат</w:t>
      </w:r>
      <w:r>
        <w:rPr>
          <w:noProof/>
        </w:rPr>
        <w:t xml:space="preserve"> извършени от държавите членки съгласно направените в техните заявления предложения.</w:t>
      </w:r>
    </w:p>
    <w:p w:rsidR="000A3633" w:rsidRDefault="0078004E">
      <w:pPr>
        <w:pBdr>
          <w:top w:val="nil"/>
          <w:left w:val="nil"/>
          <w:bottom w:val="nil"/>
          <w:right w:val="nil"/>
          <w:between w:val="nil"/>
          <w:bar w:val="nil"/>
        </w:pBdr>
        <w:spacing w:before="0" w:after="240"/>
        <w:rPr>
          <w:rFonts w:eastAsia="Times New Roman"/>
          <w:noProof/>
          <w:szCs w:val="24"/>
        </w:rPr>
      </w:pPr>
      <w:r>
        <w:rPr>
          <w:noProof/>
        </w:rPr>
        <w:t>За да се избегне всякаква конкуренция между инструментите, процентът на съфинансиране на ЕФПГ ще бъде приведен в съответствие с най-високия процент на съфинансиране на Евр</w:t>
      </w:r>
      <w:r>
        <w:rPr>
          <w:noProof/>
        </w:rPr>
        <w:t>опейския социален фонд плюс (ЕСФ+) в съответната държава членка.</w:t>
      </w:r>
    </w:p>
    <w:p w:rsidR="000A3633" w:rsidRDefault="0078004E">
      <w:pPr>
        <w:pBdr>
          <w:top w:val="nil"/>
          <w:left w:val="nil"/>
          <w:bottom w:val="nil"/>
          <w:right w:val="nil"/>
          <w:between w:val="nil"/>
          <w:bar w:val="nil"/>
        </w:pBdr>
        <w:spacing w:before="0" w:after="240"/>
        <w:rPr>
          <w:rFonts w:eastAsia="Arial Unicode MS"/>
          <w:noProof/>
        </w:rPr>
      </w:pPr>
      <w:r>
        <w:rPr>
          <w:noProof/>
        </w:rPr>
        <w:t>В настоящото цялостно предложение се предвижда датата на прилагане да бъде 1 януари 2021 г. То е представено за Съюз, съставен от 27 държави членки, в съответствие с уведомлението от Обединен</w:t>
      </w:r>
      <w:r>
        <w:rPr>
          <w:noProof/>
        </w:rPr>
        <w:t>ото кралство за намерението му да се оттегли от Европейския съюз и от Евратом на основание на член 50 от Договора за Европейския съюз, получено от Европейския съвет на 29 март 2017 г.</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rsidR="000A3633" w:rsidRDefault="0078004E">
      <w:pPr>
        <w:pBdr>
          <w:top w:val="nil"/>
          <w:left w:val="nil"/>
          <w:bottom w:val="nil"/>
          <w:right w:val="nil"/>
          <w:between w:val="nil"/>
          <w:bar w:val="nil"/>
        </w:pBdr>
        <w:spacing w:before="0" w:after="240"/>
        <w:rPr>
          <w:rFonts w:eastAsia="Arial Unicode MS"/>
          <w:noProof/>
        </w:rPr>
      </w:pPr>
      <w:r>
        <w:rPr>
          <w:noProof/>
        </w:rPr>
        <w:t>Как</w:t>
      </w:r>
      <w:r>
        <w:rPr>
          <w:noProof/>
        </w:rPr>
        <w:t>то е посочено в „Нова,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noProof/>
        </w:rPr>
        <w:footnoteReference w:id="8"/>
      </w:r>
      <w:r>
        <w:rPr>
          <w:noProof/>
        </w:rPr>
        <w:t>, ЕСФ+ и Европейският фонд за регионално развитие (ЕФРР) ще продължат да осигуряват финансиране за стр</w:t>
      </w:r>
      <w:r>
        <w:rPr>
          <w:noProof/>
        </w:rPr>
        <w:t>уктурни действия за икономическо, социално и териториално сближаване. Както ЕСФ+, така и ЕФРР се състоят от многогодишни програми, които подкрепят стратегически дългосрочни цели, като например предвиждането и управлението на промените и процесите на престр</w:t>
      </w:r>
      <w:r>
        <w:rPr>
          <w:noProof/>
        </w:rPr>
        <w:t>уктуриране. От своя страна ЕФПГ е създаден, за да осигурява подкрепа при изключителни обстоятелства, извън рамките на многогодишно програмиране.</w:t>
      </w:r>
    </w:p>
    <w:p w:rsidR="000A3633" w:rsidRDefault="0078004E">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rsidR="000A3633" w:rsidRDefault="0078004E">
      <w:pPr>
        <w:pBdr>
          <w:top w:val="nil"/>
          <w:left w:val="nil"/>
          <w:bottom w:val="nil"/>
          <w:right w:val="nil"/>
          <w:between w:val="nil"/>
          <w:bar w:val="nil"/>
        </w:pBdr>
        <w:spacing w:before="0" w:after="240"/>
        <w:rPr>
          <w:rFonts w:eastAsia="Times New Roman"/>
          <w:noProof/>
          <w:szCs w:val="24"/>
        </w:rPr>
      </w:pPr>
      <w:r>
        <w:rPr>
          <w:noProof/>
        </w:rPr>
        <w:t>„Рамка за качество на ЕС за предвиждане на промените и преструктурира</w:t>
      </w:r>
      <w:r>
        <w:rPr>
          <w:noProof/>
        </w:rPr>
        <w:t>не“</w:t>
      </w:r>
      <w:r>
        <w:rPr>
          <w:rStyle w:val="FootnoteReference"/>
          <w:noProof/>
        </w:rPr>
        <w:footnoteReference w:id="9"/>
      </w:r>
      <w:r>
        <w:rPr>
          <w:noProof/>
        </w:rPr>
        <w:t xml:space="preserve"> е политическият инструмент на ЕС, който задава рамката за най-добри практики за предвиждане и справяне с корпоративното преструктуриране. Рамката за качество на ЕС за предвиждане на промените и преструктуриране предлага цялостна рамка за начините за п</w:t>
      </w:r>
      <w:r>
        <w:rPr>
          <w:noProof/>
        </w:rPr>
        <w:t>реодоляване на предизвикателствата на икономическото приспособяване и преструктуриране и тяхното трудово и социално въздействие с помощта на правилните политически средства. Рамката за качество на ЕС за предвиждане на промените и преструктуриране призовава</w:t>
      </w:r>
      <w:r>
        <w:rPr>
          <w:noProof/>
        </w:rPr>
        <w:t xml:space="preserve"> държавите членки да използват европейското и национално финансиране по такъв начин, че социалното въздействие на преструктурирането, особено неблагоприятните последици върху заетостта, да бъдат смекчавани по-ефективно. Основните инструменти на EС за подпо</w:t>
      </w:r>
      <w:r>
        <w:rPr>
          <w:noProof/>
        </w:rPr>
        <w:t>магане на засегнатите работници са ЕСФ+, чиято цел е изпреварващо оказване на помощ, и ЕФПГ, който е предназначен за оказване на помощ в отговор на неочаквани големи преструктурирания.</w:t>
      </w:r>
    </w:p>
    <w:p w:rsidR="000A3633" w:rsidRDefault="0078004E">
      <w:pPr>
        <w:rPr>
          <w:noProof/>
        </w:rPr>
      </w:pPr>
      <w:r>
        <w:rPr>
          <w:noProof/>
        </w:rPr>
        <w:t>В предложението на Комисията за многогодишната финансова рамка за перио</w:t>
      </w:r>
      <w:r>
        <w:rPr>
          <w:noProof/>
        </w:rPr>
        <w:t>да 2021—2027 г. бе определена по-амбициозна цел за включването на действията по климата във всички програми на ЕС с общата цел 25 % от разходите на ЕС да допринасят за постигането на свързаните с климата цели. Приносът на фонда към постигането на тази обща</w:t>
      </w:r>
      <w:r>
        <w:rPr>
          <w:noProof/>
        </w:rPr>
        <w:t xml:space="preserve">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всяка година информацията от гледна точка на бюджетните кред</w:t>
      </w:r>
      <w:r>
        <w:rPr>
          <w:noProof/>
        </w:rPr>
        <w:t xml:space="preserve">ити за поети задължения в контекста на годишния проектобюджет. </w:t>
      </w:r>
    </w:p>
    <w:p w:rsidR="000A3633" w:rsidRDefault="0078004E">
      <w:pPr>
        <w:rPr>
          <w:rFonts w:eastAsia="Arial Unicode MS"/>
          <w:noProof/>
        </w:rPr>
      </w:pPr>
      <w:r>
        <w:rPr>
          <w:noProof/>
        </w:rPr>
        <w:t>За да подкрепи пълноценното използване на потенциала на фонда да допринася за постигането на целите, свързани с климата, Комисията ще се стреми да набележи необходимите действия в хода на подг</w:t>
      </w:r>
      <w:r>
        <w:rPr>
          <w:noProof/>
        </w:rPr>
        <w:t>отовката, привеждането в действие, прегледа и оценяването на фонда.</w:t>
      </w:r>
    </w:p>
    <w:p w:rsidR="000A3633" w:rsidRDefault="0078004E">
      <w:pPr>
        <w:pStyle w:val="ManualHeading1"/>
        <w:rPr>
          <w:noProof/>
        </w:rPr>
      </w:pPr>
      <w:r>
        <w:rPr>
          <w:noProof/>
        </w:rPr>
        <w:t>2.</w:t>
      </w:r>
      <w:r>
        <w:rPr>
          <w:noProof/>
        </w:rPr>
        <w:tab/>
        <w:t>ПРАВНО ОСНОВАНИЕ, СУБСИДИАРНОСТ И ПРОПОРЦИОНАЛНОСТ</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rsidR="000A3633" w:rsidRDefault="0078004E">
      <w:pPr>
        <w:rPr>
          <w:rFonts w:eastAsia="Times New Roman"/>
          <w:noProof/>
          <w:szCs w:val="24"/>
        </w:rPr>
      </w:pPr>
      <w:r>
        <w:rPr>
          <w:noProof/>
        </w:rPr>
        <w:t>Правното основание е Договорът за функционирането на Европейския съюз (ДФЕС) и по-специално член 175, трета алинея.</w:t>
      </w:r>
    </w:p>
    <w:p w:rsidR="000A3633" w:rsidRDefault="0078004E">
      <w:pPr>
        <w:pBdr>
          <w:top w:val="nil"/>
          <w:left w:val="nil"/>
          <w:bottom w:val="nil"/>
          <w:right w:val="nil"/>
          <w:between w:val="nil"/>
          <w:bar w:val="nil"/>
        </w:pBdr>
        <w:spacing w:before="0" w:after="240"/>
        <w:rPr>
          <w:rFonts w:eastAsia="Arial Unicode MS"/>
          <w:noProof/>
        </w:rPr>
      </w:pPr>
      <w:r>
        <w:rPr>
          <w:noProof/>
        </w:rPr>
        <w:t>Ако се окажат необходими специфични действия извън рамките на структурните фондове и на общата селскостопанска политика и без да се накърняват мерките, за които е взето решение в рамките на друга политика на Съюза, член 175, трета алинея дава възможност н</w:t>
      </w:r>
      <w:r>
        <w:rPr>
          <w:noProof/>
        </w:rPr>
        <w:t>а Европейския парламент и на Съвета да предприемат действия в съответствие с обикновената законодателна процедура и след консултация с Икономическия и социален комитет и с Комитета на регионите.</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Субсидиарност (за неизключителната компетентност)</w:t>
      </w:r>
    </w:p>
    <w:p w:rsidR="000A3633" w:rsidRDefault="0078004E">
      <w:pPr>
        <w:pBdr>
          <w:top w:val="nil"/>
          <w:left w:val="nil"/>
          <w:bottom w:val="nil"/>
          <w:right w:val="nil"/>
          <w:between w:val="nil"/>
          <w:bar w:val="nil"/>
        </w:pBdr>
        <w:spacing w:before="0" w:after="240"/>
        <w:rPr>
          <w:noProof/>
        </w:rPr>
      </w:pPr>
      <w:r>
        <w:rPr>
          <w:noProof/>
        </w:rPr>
        <w:t>Финансирането от бюджета на Съюза се съсредоточава върху дейности, чиито цели не могат да бъдат постигнати в достатъчна степен самостоятелно от държавите членки и когато намесата на Съюза може да придаде допълнителна стойност в сравнение със самостоятелнит</w:t>
      </w:r>
      <w:r>
        <w:rPr>
          <w:noProof/>
        </w:rPr>
        <w:t>е действия на държавите членки. При мобилизирането на ЕФПГ за съфинансиране на мерки, насочени към подпомагане на съкратени работници за намиране на нова заетост, се зачита принципа на субсидиарност и се създава европейска добавена стойност.</w:t>
      </w:r>
    </w:p>
    <w:p w:rsidR="000A3633" w:rsidRDefault="0078004E">
      <w:pPr>
        <w:pBdr>
          <w:top w:val="nil"/>
          <w:left w:val="nil"/>
          <w:bottom w:val="nil"/>
          <w:right w:val="nil"/>
          <w:between w:val="nil"/>
          <w:bar w:val="nil"/>
        </w:pBdr>
        <w:spacing w:before="0" w:after="240"/>
        <w:rPr>
          <w:noProof/>
          <w:szCs w:val="24"/>
        </w:rPr>
      </w:pPr>
      <w:r>
        <w:rPr>
          <w:noProof/>
        </w:rPr>
        <w:t>Стандартна пра</w:t>
      </w:r>
      <w:r>
        <w:rPr>
          <w:noProof/>
        </w:rPr>
        <w:t>ктика е националните програми за пазара на труда да подпомагат съкратените работници и ЕФПГ няма за цел да замени такива програми. Неочакваните преструктурирания, които оказват значително въздействие, могат обаче да поставят на изпитание възможностите на о</w:t>
      </w:r>
      <w:r>
        <w:rPr>
          <w:noProof/>
        </w:rPr>
        <w:t>бичайните национални програми. Ето защо, поради мащаба и последиците на неочакваното мащабно преструктуриране и поради факта, че ЕФПГ е израз на солидарност във и между държавите членки, помощта може да се предостави по-добре на равнището на Съюза. За моби</w:t>
      </w:r>
      <w:r>
        <w:rPr>
          <w:noProof/>
        </w:rPr>
        <w:t xml:space="preserve">лизирането на финансов принос от ЕФПГ ще е необходимо съгласието и на двата клона на бюджетния орган, като така ще се изрази солидарността на Съюза и държавите членки. По този начин предложението ще помогне за това целта за засвидетелстване на солидарност </w:t>
      </w:r>
      <w:r>
        <w:rPr>
          <w:noProof/>
        </w:rPr>
        <w:t>на Съюза при изключителни обстоятелства да стане по-осезаема за засегната част от работната сила, в частност, и за гражданите на Съюза, в по-общ план. По този начин намесата на Съюза ще бъде ограничена до това, което е необходимо за изпълнение на целите за</w:t>
      </w:r>
      <w:r>
        <w:rPr>
          <w:noProof/>
        </w:rPr>
        <w:t xml:space="preserve"> солидарност на Съюза със съкратените работници.</w:t>
      </w:r>
    </w:p>
    <w:p w:rsidR="000A3633" w:rsidRDefault="0078004E">
      <w:pPr>
        <w:pBdr>
          <w:top w:val="nil"/>
          <w:left w:val="nil"/>
          <w:bottom w:val="nil"/>
          <w:right w:val="nil"/>
          <w:between w:val="nil"/>
          <w:bar w:val="nil"/>
        </w:pBdr>
        <w:spacing w:before="0" w:after="240"/>
        <w:rPr>
          <w:rFonts w:eastAsia="Times New Roman"/>
          <w:noProof/>
          <w:szCs w:val="24"/>
        </w:rPr>
      </w:pPr>
      <w:r>
        <w:rPr>
          <w:noProof/>
        </w:rPr>
        <w:t>Мобилизирането на ЕФПГ създава допълнителна стойност в сравнение със самостоятелни действия на държавите членки. Съфинансираните от ЕФПГ мерки не само увеличават общия брой на услугите, предлагани на уволнен</w:t>
      </w:r>
      <w:r>
        <w:rPr>
          <w:noProof/>
        </w:rPr>
        <w:t>ите работници, но и най-вече разнообразието от предлагани услуги и степента на тяхната интензивност. Освен това, мобилизирането на ЕФПГ създава ролеви ефекти. Те се отнасят до степента, до която могат да се тестват новаторски идеи, най-добри практики, коит</w:t>
      </w:r>
      <w:r>
        <w:rPr>
          <w:noProof/>
        </w:rPr>
        <w:t>о са установени и включени в редовния пакет от провизии. Мерките, съфинансирани от ЕФПГ, също допринасят за общото подобряване на процесите на доставка.</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rsidR="000A3633" w:rsidRDefault="0078004E">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разпоредбите на настоящото предложени</w:t>
      </w:r>
      <w:r>
        <w:rPr>
          <w:noProof/>
        </w:rPr>
        <w:t>е не надхвърлят необходимото за постигането на неговите цели. Наложените на държавите членки задължения отразяват необходимостта да се помогне на засегнатите работници да се приспособят към променящите се обстоятелства и бързо да се върнат на пазара на тру</w:t>
      </w:r>
      <w:r>
        <w:rPr>
          <w:noProof/>
        </w:rPr>
        <w:t>да. Административната тежест за Съюза и националните органи е ограничена до необходимото за това Комисията да може да упражни своята отговорност за изпълнение на бюджета на Съюза. Тъй като финансовият принос се предоставя на съответната държава членка на п</w:t>
      </w:r>
      <w:r>
        <w:rPr>
          <w:noProof/>
        </w:rPr>
        <w:t>ринципа на споделеното управление, тази държава членка има задължението да докладва за начина на използване на средствата.</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rsidR="000A3633" w:rsidRDefault="0078004E">
      <w:pPr>
        <w:rPr>
          <w:rFonts w:eastAsia="Times New Roman"/>
          <w:noProof/>
          <w:szCs w:val="24"/>
        </w:rPr>
      </w:pPr>
      <w:r>
        <w:rPr>
          <w:noProof/>
        </w:rPr>
        <w:t>Предлаган инструмент: регламент.</w:t>
      </w:r>
    </w:p>
    <w:p w:rsidR="000A3633" w:rsidRDefault="0078004E">
      <w:pPr>
        <w:pBdr>
          <w:top w:val="nil"/>
          <w:left w:val="nil"/>
          <w:bottom w:val="nil"/>
          <w:right w:val="nil"/>
          <w:between w:val="nil"/>
          <w:bar w:val="nil"/>
        </w:pBdr>
        <w:spacing w:before="0" w:after="240"/>
        <w:rPr>
          <w:rFonts w:eastAsia="Arial Unicode MS"/>
          <w:noProof/>
        </w:rPr>
      </w:pPr>
      <w:r>
        <w:rPr>
          <w:noProof/>
        </w:rPr>
        <w:t>Други средства не биха били подходящи поради следната причина: целта да се зас</w:t>
      </w:r>
      <w:r>
        <w:rPr>
          <w:noProof/>
        </w:rPr>
        <w:t>видетелства солидарност на равнището на Съюза може да се постигне само чрез пряко приложим правен инструмент.</w:t>
      </w:r>
    </w:p>
    <w:p w:rsidR="000A3633" w:rsidRDefault="0078004E">
      <w:pPr>
        <w:pStyle w:val="ManualHeading1"/>
        <w:rPr>
          <w:noProof/>
        </w:rPr>
      </w:pPr>
      <w:r>
        <w:rPr>
          <w:noProof/>
        </w:rPr>
        <w:t>3.</w:t>
      </w:r>
      <w:r>
        <w:rPr>
          <w:noProof/>
        </w:rPr>
        <w:tab/>
        <w:t>РЕЗУЛТАТИ ОТ РЕТРОСПЕКТИВНИТЕ ОЦЕНКИ, КОНСУЛТАЦИИТЕ СЪС ЗАИНТЕРЕСОВАНИТЕ СТРАНИ И ОЦЕНКИТЕ НА ВЪЗДЕЙСТВИЕТО</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Ретроспективни оценки/проверки за</w:t>
      </w:r>
      <w:r>
        <w:rPr>
          <w:noProof/>
          <w:u w:color="000000"/>
          <w:bdr w:val="nil"/>
        </w:rPr>
        <w:t xml:space="preserve"> пригодност на действащото законодателство</w:t>
      </w:r>
    </w:p>
    <w:p w:rsidR="000A3633" w:rsidRDefault="0078004E">
      <w:pPr>
        <w:rPr>
          <w:rFonts w:eastAsia="Times New Roman"/>
          <w:noProof/>
          <w:szCs w:val="24"/>
        </w:rPr>
      </w:pPr>
      <w:r>
        <w:rPr>
          <w:noProof/>
        </w:rPr>
        <w:t>Последваща оценка на съществуващия регламент, която трябва да се извърши до 31 декември 2021 г. Въпреки това беше извършена междинна оценка на ЕФПГ за периода 2014—2020 г.</w:t>
      </w:r>
      <w:r>
        <w:rPr>
          <w:rStyle w:val="FootnoteReference"/>
          <w:noProof/>
        </w:rPr>
        <w:footnoteReference w:id="10"/>
      </w:r>
      <w:r>
        <w:rPr>
          <w:noProof/>
        </w:rPr>
        <w:t>, резултатите от която бяха взети предвид</w:t>
      </w:r>
      <w:r>
        <w:rPr>
          <w:noProof/>
        </w:rPr>
        <w:t>.</w:t>
      </w:r>
    </w:p>
    <w:p w:rsidR="000A3633" w:rsidRDefault="0078004E">
      <w:pPr>
        <w:rPr>
          <w:rFonts w:eastAsia="Times New Roman"/>
          <w:noProof/>
          <w:szCs w:val="24"/>
        </w:rPr>
      </w:pPr>
      <w:r>
        <w:rPr>
          <w:noProof/>
        </w:rPr>
        <w:t>Междинната оценка на ЕФПГ за периода 2014—2020 г. показва, че концепцията на ЕФПГ се нуждае от подобрение. В бъдеще трябва да се намерят решения на няколко предизвикателства.</w:t>
      </w:r>
    </w:p>
    <w:p w:rsidR="000A3633" w:rsidRDefault="0078004E">
      <w:pPr>
        <w:rPr>
          <w:rFonts w:eastAsia="Times New Roman"/>
          <w:noProof/>
          <w:szCs w:val="24"/>
        </w:rPr>
      </w:pPr>
      <w:r>
        <w:rPr>
          <w:noProof/>
        </w:rPr>
        <w:t>По отношение на обхвата, проведените консултации със заинтересованите страни от</w:t>
      </w:r>
      <w:r>
        <w:rPr>
          <w:noProof/>
        </w:rPr>
        <w:t>носно оценката показват, че концепцията на ЕФПГ трябва да бъде преразгледана или да бъде дефинирана по-добре. Това включва аспекти като точен обхват на Фонда и критерии за активиране на използването му. В съответствие с принципа на субсидиарността всяко пр</w:t>
      </w:r>
      <w:r>
        <w:rPr>
          <w:noProof/>
        </w:rPr>
        <w:t xml:space="preserve">еструктуриране трябва да оказват значително въздействие върху икономиката и пазара на труда, за да е оправдано мобилизирането на помощ от ЕФПГ. Въпреки това, понятието „значително въздействие“ не е ясно дефинирано. Това важи в особена степен за по-малките </w:t>
      </w:r>
      <w:r>
        <w:rPr>
          <w:noProof/>
        </w:rPr>
        <w:t>съкращения под настоящия праг от 500 съкратени работници (приложим за 2014—2020 г.). В селските райони подобни случаи биха могли да се приемат за допустими, например съгласно клаузата за дерогация, посочена в член 4, параграф 2 от Регламента за ЕФПГ, но дъ</w:t>
      </w:r>
      <w:r>
        <w:rPr>
          <w:noProof/>
        </w:rPr>
        <w:t>ржавите членки не са сигурни как да докажат значителното въздействие. Затова много изпълнители предложиха по-нисък праг.</w:t>
      </w:r>
    </w:p>
    <w:p w:rsidR="000A3633" w:rsidRDefault="0078004E">
      <w:pPr>
        <w:rPr>
          <w:rFonts w:eastAsia="Times New Roman"/>
          <w:noProof/>
          <w:szCs w:val="24"/>
        </w:rPr>
      </w:pPr>
      <w:r>
        <w:rPr>
          <w:noProof/>
        </w:rPr>
        <w:t>Термините „глобализация“ и „криза“ също не са ясно дефинирани. Държавите членки често не са сигурни по какъв критерий трябва да подадат</w:t>
      </w:r>
      <w:r>
        <w:rPr>
          <w:noProof/>
        </w:rPr>
        <w:t xml:space="preserve"> заявление. Установяването какво всъщност е довело до съкращенията, за да се разбере дали може да отговаря на изискванията за евентуално кандидатстване пред фонда, както и доказването му в заявлението, обичайно се считат за едни от основните пречки, възпир</w:t>
      </w:r>
      <w:r>
        <w:rPr>
          <w:noProof/>
        </w:rPr>
        <w:t>ащи дадена държава членка да кандидатства. В светлината на тези трудности и като се има предвид, че повече работни места се губят вследствие на технологични промени (тези съкратени работници са изправени пред същите предизвикателства като работниците, съкр</w:t>
      </w:r>
      <w:r>
        <w:rPr>
          <w:noProof/>
        </w:rPr>
        <w:t>атени поради глобализацията, тъй като уменията им са неактуални или са станали ненужни), възможно решение би могло да бъде в обхвата на ЕФПГ да се включат всички мащабни съкращения, които пораждат значително въздействие. Според оценката това ще направи ЕФП</w:t>
      </w:r>
      <w:r>
        <w:rPr>
          <w:noProof/>
        </w:rPr>
        <w:t>Г по-пригоден и по-добре подготвен за бъдещи икономически предизвикателства, както и по-справедлив, тъй като няма да бъде фокусиран върху много тясно определена група съкратени работници. Тези промени биха довели до по-балансирано използване на ЕФПГ, разши</w:t>
      </w:r>
      <w:r>
        <w:rPr>
          <w:noProof/>
        </w:rPr>
        <w:t>рявайки неговия потенциал за държавите членки от ЕС–13 (тези държави членки в момента не използват ЕФПГ особено често). Така, при подаване на заявление, би се елиминирала тежестта от предоставяне на доказателства за това, че загубата на работни места е бил</w:t>
      </w:r>
      <w:r>
        <w:rPr>
          <w:noProof/>
        </w:rPr>
        <w:t>а причинена от глобализацията или от дадена криза. Тъй като това е и една от двете стъпки от фазата на подаване на заявление, която отнема най-много време, това опростяване ще ускори мобилизирането на помощта от ЕФПГ с няколко седмици, тъй като вече няма д</w:t>
      </w:r>
      <w:r>
        <w:rPr>
          <w:noProof/>
        </w:rPr>
        <w:t>а са необходими по-сериозни исторически проверки. Разширяване на обхвата и понижаване на прага също биха предоставили повече възможности на по-малките държави членки да кандидатстват за помощ.</w:t>
      </w:r>
    </w:p>
    <w:p w:rsidR="000A3633" w:rsidRDefault="0078004E">
      <w:pPr>
        <w:rPr>
          <w:rFonts w:eastAsia="Times New Roman"/>
          <w:noProof/>
          <w:szCs w:val="24"/>
        </w:rPr>
      </w:pPr>
      <w:r>
        <w:rPr>
          <w:noProof/>
        </w:rPr>
        <w:t xml:space="preserve">Що се отнася до изискванията за мониторинг и докладване </w:t>
      </w:r>
      <w:r>
        <w:rPr>
          <w:noProof/>
        </w:rPr>
        <w:t>оценката заключи, че за да се анализира по-добре ефективността на ЕФПГ от държавите членки следва да се изиска да събират по-подробни данни от мониторинга, особено относно категорията на работниците (професионален и образователен произход), техния трудов с</w:t>
      </w:r>
      <w:r>
        <w:rPr>
          <w:noProof/>
        </w:rPr>
        <w:t>татут и вида на намерената работа.</w:t>
      </w:r>
    </w:p>
    <w:p w:rsidR="000A3633" w:rsidRDefault="0078004E">
      <w:pPr>
        <w:rPr>
          <w:rFonts w:eastAsia="Times New Roman"/>
          <w:noProof/>
          <w:szCs w:val="24"/>
        </w:rPr>
      </w:pPr>
      <w:r>
        <w:rPr>
          <w:noProof/>
        </w:rPr>
        <w:t>Изглежда че ЕФПГ трябва да бъде по-добре съгласуван с другите политики на ЕС. Оценката показва необходимост от по-дълбоко включване на помощта от ЕФПГ в Рамката за качество на ЕС за предвиждане на промените и преструктури</w:t>
      </w:r>
      <w:r>
        <w:rPr>
          <w:noProof/>
        </w:rPr>
        <w:t>ране и от разработване на по-координиран подход както за превантивни мерки в очакване на големи преструктурирания, така и за еднократни мерки за реагиране, като тези, които понастоящем се съфинансират от ЕФПГ. Това може да означава разширяване на обсега на</w:t>
      </w:r>
      <w:r>
        <w:rPr>
          <w:noProof/>
        </w:rPr>
        <w:t xml:space="preserve"> дейността на ЕФПГ или разработване на по-тясно координиран подход съвместно с други инструменти на ЕС като ЕСФ+. Въпреки че концепцията на ЕФПГ показва ясна допълняемост с ЕСФ+, държавите членки биха могли да интегрират по-добре помощта от ЕФПГ във всеобх</w:t>
      </w:r>
      <w:r>
        <w:rPr>
          <w:noProof/>
        </w:rPr>
        <w:t>ватен пакет за помощ при преструктуриране. Преходите на пазара на труда налагат интензивни инвестиции в човешкия капитал под формата както на проактивни изпреварващи мерки, така и на мерки за реагиране.</w:t>
      </w:r>
    </w:p>
    <w:p w:rsidR="000A3633" w:rsidRDefault="0078004E">
      <w:pPr>
        <w:pBdr>
          <w:top w:val="nil"/>
          <w:left w:val="nil"/>
          <w:bottom w:val="nil"/>
          <w:right w:val="nil"/>
          <w:between w:val="nil"/>
          <w:bar w:val="nil"/>
        </w:pBdr>
        <w:spacing w:before="0" w:after="240"/>
        <w:rPr>
          <w:rFonts w:eastAsia="Arial Unicode MS"/>
          <w:noProof/>
        </w:rPr>
      </w:pPr>
      <w:r>
        <w:rPr>
          <w:noProof/>
        </w:rPr>
        <w:t>През програмния период 2014—2020 г. при определени об</w:t>
      </w:r>
      <w:r>
        <w:rPr>
          <w:noProof/>
        </w:rPr>
        <w:t>стоятелства е възможно заявлението за ЕФПГ да се включи същият брой незаети с работа, учене или обучение млади хора, като този на уволнените работници. Младежката безработица е и ще продължи да бъде голямо предизвикателство. Също така, опитът показва, че а</w:t>
      </w:r>
      <w:r>
        <w:rPr>
          <w:noProof/>
        </w:rPr>
        <w:t>ко се предлага на незаети с работа, учене или обучение млади хора, помощта от ЕФПГ до голяма степен се усвоява. Въпреки това, оценката показва, че трябва да се помисли дали ЕФПГ е правилният начин да се предлага такава помощ и дали други канали не биха пре</w:t>
      </w:r>
      <w:r>
        <w:rPr>
          <w:noProof/>
        </w:rPr>
        <w:t>дложили по-добри възможности за достигане до засегнатите млади хора. Може да се счете за несправедливост, ако помощта се предлага само на незаети с работа, учене или обучение млади хора, и които живеят в региони, засегнати от масово преструктуриране, пород</w:t>
      </w:r>
      <w:r>
        <w:rPr>
          <w:noProof/>
        </w:rPr>
        <w:t>ено от глобализацията или финансовата криза, но не и на такива, които живеят в региони, засегнати от автоматизацията.</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rsidR="000A3633" w:rsidRDefault="0078004E">
      <w:pPr>
        <w:rPr>
          <w:rFonts w:eastAsia="Times New Roman"/>
          <w:noProof/>
          <w:szCs w:val="24"/>
        </w:rPr>
      </w:pPr>
      <w:r>
        <w:rPr>
          <w:noProof/>
        </w:rPr>
        <w:t>Широките консултации със заинтересованите страни, включително отворени онлайн консултации, целев</w:t>
      </w:r>
      <w:r>
        <w:rPr>
          <w:noProof/>
        </w:rPr>
        <w:t>и консултации и срещи на фокус групи, бяха основни елементи на междинната оценка, посочена по-горе, и оценката на въздействието, посочена по-долу.</w:t>
      </w:r>
    </w:p>
    <w:p w:rsidR="000A3633" w:rsidRDefault="0078004E">
      <w:pPr>
        <w:rPr>
          <w:rFonts w:eastAsia="Times New Roman"/>
          <w:noProof/>
          <w:szCs w:val="24"/>
        </w:rPr>
      </w:pPr>
      <w:r>
        <w:rPr>
          <w:noProof/>
        </w:rPr>
        <w:t>Комисията проведе и мероприятия на заинтересованите страни, в които обсъди евентуални промени в концепцията н</w:t>
      </w:r>
      <w:r>
        <w:rPr>
          <w:noProof/>
        </w:rPr>
        <w:t>а ЕФПГ след 2020 г. Тези дискусии се проведоха по време на редовните срещи на лицата за контакт и мрежови семинари в рамките на ЕФПГ през октомври 2017 г. и март 2018 г., както и по време на извънредното заседание на лицата за контакт на ЕФПГ през януари 2</w:t>
      </w:r>
      <w:r>
        <w:rPr>
          <w:noProof/>
        </w:rPr>
        <w:t>018 г., което беше изцяло посветено на обсъжданията за периода след 2020 г.</w:t>
      </w:r>
    </w:p>
    <w:p w:rsidR="000A3633" w:rsidRDefault="0078004E">
      <w:pPr>
        <w:pBdr>
          <w:top w:val="nil"/>
          <w:left w:val="nil"/>
          <w:bottom w:val="nil"/>
          <w:right w:val="nil"/>
          <w:between w:val="nil"/>
          <w:bar w:val="nil"/>
        </w:pBdr>
        <w:spacing w:before="0" w:after="240"/>
        <w:rPr>
          <w:rFonts w:eastAsia="Times New Roman"/>
          <w:noProof/>
          <w:szCs w:val="24"/>
        </w:rPr>
      </w:pPr>
      <w:r>
        <w:rPr>
          <w:noProof/>
        </w:rPr>
        <w:t>Като цяло, не се наблюдава разминаване на възгледите на заинтересованите страни със становищата на Комисията и са отразени в настоящото предложение.</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Външни експертни становища</w:t>
      </w:r>
    </w:p>
    <w:p w:rsidR="000A3633" w:rsidRDefault="0078004E">
      <w:pPr>
        <w:rPr>
          <w:rFonts w:eastAsia="Times New Roman"/>
          <w:noProof/>
          <w:szCs w:val="24"/>
        </w:rPr>
      </w:pPr>
      <w:r>
        <w:rPr>
          <w:noProof/>
        </w:rPr>
        <w:t>При подготовката на междинната оценка Комисията възложи на външен консултант да проведе проучване за оценка.</w:t>
      </w:r>
    </w:p>
    <w:p w:rsidR="000A3633" w:rsidRDefault="0078004E">
      <w:pPr>
        <w:pBdr>
          <w:top w:val="nil"/>
          <w:left w:val="nil"/>
          <w:bottom w:val="nil"/>
          <w:right w:val="nil"/>
          <w:between w:val="nil"/>
          <w:bar w:val="nil"/>
        </w:pBdr>
        <w:spacing w:before="0" w:after="240"/>
        <w:rPr>
          <w:rFonts w:eastAsia="Arial Unicode MS"/>
          <w:noProof/>
        </w:rPr>
      </w:pPr>
      <w:r>
        <w:rPr>
          <w:noProof/>
        </w:rPr>
        <w:t>Подобно на това, при подготовката на оценката на въздействието, Комисията възложи проучване на външен консултант.</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rsidR="000A3633" w:rsidRDefault="0078004E">
      <w:pPr>
        <w:rPr>
          <w:rFonts w:eastAsia="Times New Roman"/>
          <w:noProof/>
          <w:szCs w:val="24"/>
        </w:rPr>
      </w:pPr>
      <w:r>
        <w:rPr>
          <w:noProof/>
        </w:rPr>
        <w:t>Беше из</w:t>
      </w:r>
      <w:r>
        <w:rPr>
          <w:noProof/>
        </w:rPr>
        <w:t>вършена оценка на въздействието. Тази оценка на въздействието, която е част от регулаторните предложения на Генерална дирекция „Заетост, социални въпроси и приобщаване“ за следващата многогодишна финансова рамка, обхваща следните фондове:</w:t>
      </w:r>
    </w:p>
    <w:p w:rsidR="000A3633" w:rsidRDefault="0078004E">
      <w:pPr>
        <w:pStyle w:val="Tiret1"/>
        <w:numPr>
          <w:ilvl w:val="0"/>
          <w:numId w:val="12"/>
        </w:numPr>
        <w:rPr>
          <w:noProof/>
        </w:rPr>
      </w:pPr>
      <w:r>
        <w:rPr>
          <w:noProof/>
        </w:rPr>
        <w:t>Европейския социа</w:t>
      </w:r>
      <w:r>
        <w:rPr>
          <w:noProof/>
        </w:rPr>
        <w:t>лен фонд (ЕСФ — един от европейските структурни и инвестиционни фондове) и Инициативата за младежка заетост (YEI);</w:t>
      </w:r>
    </w:p>
    <w:p w:rsidR="000A3633" w:rsidRDefault="0078004E">
      <w:pPr>
        <w:pStyle w:val="Tiret1"/>
        <w:rPr>
          <w:noProof/>
        </w:rPr>
      </w:pPr>
      <w:r>
        <w:rPr>
          <w:noProof/>
        </w:rPr>
        <w:t>Фонда за европейско подпомагане на най-нуждаещите се лица (FEAD);</w:t>
      </w:r>
    </w:p>
    <w:p w:rsidR="000A3633" w:rsidRDefault="0078004E">
      <w:pPr>
        <w:pStyle w:val="Tiret1"/>
        <w:rPr>
          <w:noProof/>
        </w:rPr>
      </w:pPr>
      <w:r>
        <w:rPr>
          <w:noProof/>
        </w:rPr>
        <w:t>Европейския фонд за приспособяване към глобализацията (ЕФПГ);</w:t>
      </w:r>
    </w:p>
    <w:p w:rsidR="000A3633" w:rsidRDefault="0078004E">
      <w:pPr>
        <w:pStyle w:val="Tiret1"/>
        <w:rPr>
          <w:noProof/>
        </w:rPr>
      </w:pPr>
      <w:r>
        <w:rPr>
          <w:noProof/>
        </w:rPr>
        <w:t>Здравната про</w:t>
      </w:r>
      <w:r>
        <w:rPr>
          <w:noProof/>
        </w:rPr>
        <w:t>грама на ЕС; както и</w:t>
      </w:r>
    </w:p>
    <w:p w:rsidR="000A3633" w:rsidRDefault="0078004E">
      <w:pPr>
        <w:pStyle w:val="Tiret1"/>
        <w:rPr>
          <w:noProof/>
        </w:rPr>
      </w:pPr>
      <w:r>
        <w:rPr>
          <w:noProof/>
        </w:rPr>
        <w:t>Програмата на Европейския съюз за заетост и социални иновации (EaSI).</w:t>
      </w:r>
    </w:p>
    <w:p w:rsidR="000A3633" w:rsidRDefault="0078004E">
      <w:pPr>
        <w:rPr>
          <w:rFonts w:eastAsia="Times New Roman"/>
          <w:noProof/>
          <w:szCs w:val="24"/>
        </w:rPr>
      </w:pPr>
      <w:r>
        <w:rPr>
          <w:noProof/>
        </w:rPr>
        <w:t>За фондовете, обхванати от оценката на въздействието, бяха оценени следните варианти:</w:t>
      </w:r>
    </w:p>
    <w:p w:rsidR="000A3633" w:rsidRDefault="000A3633">
      <w:pPr>
        <w:contextualSpacing/>
        <w:rPr>
          <w:rFonts w:eastAsiaTheme="minorEastAsia"/>
          <w:b/>
          <w:noProof/>
          <w:szCs w:val="24"/>
        </w:rPr>
      </w:pPr>
    </w:p>
    <w:p w:rsidR="000A3633" w:rsidRDefault="0078004E">
      <w:pPr>
        <w:contextualSpacing/>
        <w:rPr>
          <w:rFonts w:eastAsiaTheme="minorEastAsia"/>
          <w:noProof/>
          <w:szCs w:val="24"/>
        </w:rPr>
      </w:pPr>
      <w:r>
        <w:rPr>
          <w:b/>
          <w:noProof/>
        </w:rPr>
        <w:t>Вариант 1</w:t>
      </w:r>
      <w:r>
        <w:rPr>
          <w:noProof/>
        </w:rPr>
        <w:t xml:space="preserve">: </w:t>
      </w:r>
      <w:r>
        <w:rPr>
          <w:i/>
          <w:noProof/>
          <w:szCs w:val="24"/>
        </w:rPr>
        <w:t>сливане на ЕСФ, YEI, FEAD, EaSI, Здравна програма на ЕС.</w:t>
      </w:r>
      <w:r>
        <w:rPr>
          <w:noProof/>
        </w:rPr>
        <w:t xml:space="preserve"> </w:t>
      </w:r>
    </w:p>
    <w:p w:rsidR="000A3633" w:rsidRDefault="0078004E">
      <w:pPr>
        <w:pStyle w:val="Tiret0"/>
        <w:numPr>
          <w:ilvl w:val="0"/>
          <w:numId w:val="15"/>
        </w:numPr>
        <w:rPr>
          <w:noProof/>
        </w:rPr>
      </w:pPr>
      <w:r>
        <w:rPr>
          <w:noProof/>
        </w:rPr>
        <w:t>Това беше</w:t>
      </w:r>
      <w:r>
        <w:rPr>
          <w:noProof/>
        </w:rPr>
        <w:t xml:space="preserve"> предпочитаният вариант въз основа както на резултатите от оценките, така и на консултациите със заинтересованите страни. Според ръководните органи, широката интеграция на средства би подобрила капацитета им за оптимизиране на стратегическата им намеса в ц</w:t>
      </w:r>
      <w:r>
        <w:rPr>
          <w:noProof/>
        </w:rPr>
        <w:t>елия обхват на социалната политика. Това би повишило гъвкавостта им при планирането на намеси и би улеснило спазването на принципите на Европейския стълб на социалните права. Бенефициерите потвърдиха, че все още има неизползван потенциал за засилване на по</w:t>
      </w:r>
      <w:r>
        <w:rPr>
          <w:noProof/>
        </w:rPr>
        <w:t>лезното взаимодействие между финансираните програми и проекти;</w:t>
      </w:r>
    </w:p>
    <w:p w:rsidR="000A3633" w:rsidRDefault="0078004E">
      <w:pPr>
        <w:contextualSpacing/>
        <w:rPr>
          <w:rFonts w:eastAsiaTheme="minorEastAsia"/>
          <w:noProof/>
          <w:szCs w:val="24"/>
        </w:rPr>
      </w:pPr>
      <w:r>
        <w:rPr>
          <w:b/>
          <w:noProof/>
          <w:szCs w:val="24"/>
        </w:rPr>
        <w:t>Вариант 2:</w:t>
      </w:r>
      <w:r>
        <w:rPr>
          <w:noProof/>
        </w:rPr>
        <w:t xml:space="preserve"> </w:t>
      </w:r>
      <w:r>
        <w:rPr>
          <w:i/>
          <w:noProof/>
          <w:szCs w:val="24"/>
        </w:rPr>
        <w:t>сливане на ЕСФ, YEI, FEAD, EaSI, Здравна програма на ЕС и ЕФПГ.</w:t>
      </w:r>
      <w:r>
        <w:rPr>
          <w:noProof/>
        </w:rPr>
        <w:t xml:space="preserve"> </w:t>
      </w:r>
    </w:p>
    <w:p w:rsidR="000A3633" w:rsidRDefault="0078004E">
      <w:pPr>
        <w:pStyle w:val="Tiret0"/>
        <w:rPr>
          <w:noProof/>
        </w:rPr>
      </w:pPr>
      <w:r>
        <w:rPr>
          <w:noProof/>
        </w:rPr>
        <w:t>Това би довело само до изкуствено намаляване на броя на фондовете. Тясно конкретизираните цели на ЕФПГ, високата поли</w:t>
      </w:r>
      <w:r>
        <w:rPr>
          <w:noProof/>
        </w:rPr>
        <w:t>тическа видимост и бюджетната гъвкавост биха се загубили при сливане с ЕСФ+. Това беше потвърдено от заинтересованите страни в рамките на процеса на консултации</w:t>
      </w:r>
      <w:r>
        <w:rPr>
          <w:rStyle w:val="FootnoteReference"/>
          <w:noProof/>
        </w:rPr>
        <w:footnoteReference w:id="11"/>
      </w:r>
      <w:r>
        <w:rPr>
          <w:noProof/>
        </w:rPr>
        <w:t>;</w:t>
      </w:r>
    </w:p>
    <w:p w:rsidR="000A3633" w:rsidRDefault="0078004E">
      <w:pPr>
        <w:contextualSpacing/>
        <w:rPr>
          <w:rFonts w:eastAsiaTheme="minorEastAsia"/>
          <w:noProof/>
          <w:szCs w:val="24"/>
        </w:rPr>
      </w:pPr>
      <w:r>
        <w:rPr>
          <w:b/>
          <w:noProof/>
          <w:szCs w:val="24"/>
        </w:rPr>
        <w:t>Вариант 3:</w:t>
      </w:r>
      <w:r>
        <w:rPr>
          <w:noProof/>
        </w:rPr>
        <w:t xml:space="preserve"> сливане на фондовете в рамките на споделено управление (т.е. изключване на Програмата на Европейския съюз за заетост и социални иновации и Здравната програма на ЕС, но включване на ЕФПГ) — </w:t>
      </w:r>
    </w:p>
    <w:p w:rsidR="000A3633" w:rsidRDefault="0078004E">
      <w:pPr>
        <w:pStyle w:val="Tiret0"/>
        <w:rPr>
          <w:noProof/>
        </w:rPr>
      </w:pPr>
      <w:r>
        <w:rPr>
          <w:noProof/>
        </w:rPr>
        <w:t xml:space="preserve">Това би означавало да се жертва широката публичност на ЕФПГ като </w:t>
      </w:r>
      <w:r>
        <w:rPr>
          <w:noProof/>
        </w:rPr>
        <w:t>инструмент за извънредни ситуации на равнище ЕС за смекчаване на неблагоприятните странични ефекти от глобализацията. Това би довело до загубване на потенциалната гъвкавост и полезно взаимодействие, които могат да бъдат постигнати чрез сливането на Програм</w:t>
      </w:r>
      <w:r>
        <w:rPr>
          <w:noProof/>
        </w:rPr>
        <w:t>ата на Европейския съюз за заетост и социални иновации в рамките на ЕСФ+;</w:t>
      </w:r>
    </w:p>
    <w:p w:rsidR="000A3633" w:rsidRDefault="0078004E">
      <w:pPr>
        <w:contextualSpacing/>
        <w:rPr>
          <w:rFonts w:eastAsiaTheme="minorEastAsia"/>
          <w:noProof/>
          <w:szCs w:val="24"/>
        </w:rPr>
      </w:pPr>
      <w:r>
        <w:rPr>
          <w:b/>
          <w:noProof/>
          <w:szCs w:val="24"/>
        </w:rPr>
        <w:t>Вариант 4:</w:t>
      </w:r>
      <w:r>
        <w:rPr>
          <w:noProof/>
        </w:rPr>
        <w:t xml:space="preserve"> </w:t>
      </w:r>
      <w:r>
        <w:rPr>
          <w:i/>
          <w:noProof/>
          <w:szCs w:val="24"/>
        </w:rPr>
        <w:t>запазване на Фонда за европейско подпомагане на най-нуждаещите се лица като отделен фонд, но сливане на двата вида програми към FEAD (материална помощ и социално приобщава</w:t>
      </w:r>
      <w:r>
        <w:rPr>
          <w:i/>
          <w:noProof/>
          <w:szCs w:val="24"/>
        </w:rPr>
        <w:t>не)</w:t>
      </w:r>
    </w:p>
    <w:p w:rsidR="000A3633" w:rsidRDefault="0078004E">
      <w:pPr>
        <w:pStyle w:val="Tiret0"/>
        <w:rPr>
          <w:noProof/>
        </w:rPr>
      </w:pPr>
      <w:r>
        <w:rPr>
          <w:noProof/>
        </w:rPr>
        <w:t>Това би позволило повече полезни взаимодействия между видовете подпомагане на основната материална помощ и мерките за социално приобщаване при спазване на сегашните правила за изпълнение. Това, обаче, не би гарантирало адекватно разграничаване по отнош</w:t>
      </w:r>
      <w:r>
        <w:rPr>
          <w:noProof/>
        </w:rPr>
        <w:t>ение на мерките за социално приобщаване от ЕСФ;</w:t>
      </w:r>
    </w:p>
    <w:p w:rsidR="000A3633" w:rsidRDefault="0078004E">
      <w:pPr>
        <w:contextualSpacing/>
        <w:rPr>
          <w:rFonts w:eastAsiaTheme="minorEastAsia"/>
          <w:noProof/>
          <w:szCs w:val="24"/>
        </w:rPr>
      </w:pPr>
      <w:r>
        <w:rPr>
          <w:b/>
          <w:noProof/>
          <w:szCs w:val="24"/>
        </w:rPr>
        <w:t>Вариант 5:</w:t>
      </w:r>
      <w:r>
        <w:rPr>
          <w:noProof/>
        </w:rPr>
        <w:t xml:space="preserve"> </w:t>
      </w:r>
      <w:r>
        <w:rPr>
          <w:i/>
          <w:noProof/>
          <w:szCs w:val="24"/>
        </w:rPr>
        <w:t>сливане на всички европейски структурни и инвестиционни фондове</w:t>
      </w:r>
    </w:p>
    <w:p w:rsidR="000A3633" w:rsidRDefault="0078004E">
      <w:pPr>
        <w:pStyle w:val="Tiret0"/>
        <w:rPr>
          <w:noProof/>
        </w:rPr>
      </w:pPr>
      <w:r>
        <w:rPr>
          <w:noProof/>
        </w:rPr>
        <w:t xml:space="preserve">Това би попречило на изпълнението на политиката, тъй като не би било възможно адаптиране на правилата за изпълнение към специфичните </w:t>
      </w:r>
      <w:r>
        <w:rPr>
          <w:noProof/>
        </w:rPr>
        <w:t>изисквания на подкрепяните политики. Също така това не би довело до увеличаване на полезните взаимодействия и съгласуваността с други фондове за човешки капитал.</w:t>
      </w:r>
    </w:p>
    <w:p w:rsidR="000A3633" w:rsidRDefault="0078004E">
      <w:pPr>
        <w:pBdr>
          <w:top w:val="nil"/>
          <w:left w:val="nil"/>
          <w:bottom w:val="nil"/>
          <w:right w:val="nil"/>
          <w:between w:val="nil"/>
          <w:bar w:val="nil"/>
        </w:pBdr>
        <w:spacing w:before="0" w:after="240"/>
        <w:rPr>
          <w:noProof/>
          <w:sz w:val="23"/>
          <w:szCs w:val="23"/>
        </w:rPr>
      </w:pPr>
      <w:r>
        <w:rPr>
          <w:noProof/>
        </w:rPr>
        <w:t>Оценката на въздействието беше разгледана от Съвета за регулаторен контрол (RSB), който даде п</w:t>
      </w:r>
      <w:r>
        <w:rPr>
          <w:noProof/>
        </w:rPr>
        <w:t>оложително становище с резерви. Становището на Съвета за регулаторен контрол е на разположение под името Ares(2018)2265999. Коментарите на Съвета за регулаторен контрол бяха взети предвид. Коментарите, свързани с ЕФПГ, се отнасяха предимно за обяснението н</w:t>
      </w:r>
      <w:r>
        <w:rPr>
          <w:noProof/>
        </w:rPr>
        <w:t>а обосновката на ЕФПГ.</w:t>
      </w:r>
      <w:r>
        <w:rPr>
          <w:noProof/>
          <w:sz w:val="23"/>
          <w:szCs w:val="23"/>
        </w:rPr>
        <w:t xml:space="preserve"> Съветът за регулаторен контрол също предложи по-точно представяне на условията за използване на ЕФПГ и по-подробен анализ на степента, в която предложените промени предлагат решения за идентифицираните проблеми. </w:t>
      </w:r>
      <w:r>
        <w:rPr>
          <w:noProof/>
        </w:rPr>
        <w:t>Съветът за регулаторе</w:t>
      </w:r>
      <w:r>
        <w:rPr>
          <w:noProof/>
        </w:rPr>
        <w:t>н контрол също така препоръча да се посочат причините за запазването на ЕФПГ извън многогодишната финансова рамка по по-ясен начин.</w:t>
      </w:r>
    </w:p>
    <w:p w:rsidR="000A3633" w:rsidRDefault="0078004E">
      <w:pPr>
        <w:pBdr>
          <w:top w:val="nil"/>
          <w:left w:val="nil"/>
          <w:bottom w:val="nil"/>
          <w:right w:val="nil"/>
          <w:between w:val="nil"/>
          <w:bar w:val="nil"/>
        </w:pBdr>
        <w:spacing w:before="0" w:after="240"/>
        <w:rPr>
          <w:rFonts w:eastAsia="Times New Roman"/>
          <w:noProof/>
          <w:szCs w:val="24"/>
        </w:rPr>
      </w:pPr>
      <w:r>
        <w:rPr>
          <w:noProof/>
        </w:rPr>
        <w:t xml:space="preserve">Окончателното предложение за политика не се отклонява от констатациите от оценката на въздействието. Най-важното заключение </w:t>
      </w:r>
      <w:r>
        <w:rPr>
          <w:noProof/>
        </w:rPr>
        <w:t>относно ЕФПГ е, че като фонд за спешна помощ ЕФПГ следва да остане извън бюджетните тавани на многогодишната финансова рамка. Не се очаква средствата за извънредни ситуации да усвояват конкретен бюджет. В тази връзка, включването в многогодишната финансова</w:t>
      </w:r>
      <w:r>
        <w:rPr>
          <w:noProof/>
        </w:rPr>
        <w:t xml:space="preserve"> рамка би означавало обратното, с определяне на конкретен бюджет, който фондът да трябва да похарчи, което би го превърнало в инструмент за редовна помощ за преструктуриране. Изключването извън многогодишната финансова рамка, обаче, предполага продължителн</w:t>
      </w:r>
      <w:r>
        <w:rPr>
          <w:noProof/>
        </w:rPr>
        <w:t>а процедура за мобилизиране, която противодейства на неговата функция като фонд за спешна помощ. Ето защо процедурата по мобилизиране трябва да се ускори и оптимизира. Оценката на въздействието подчертава значението на по-ниския праг и на по-широкия обхват</w:t>
      </w:r>
      <w:r>
        <w:rPr>
          <w:noProof/>
        </w:rPr>
        <w:t xml:space="preserve"> на ЕФПГ.</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Опростяване</w:t>
      </w:r>
    </w:p>
    <w:p w:rsidR="000A3633" w:rsidRDefault="0078004E">
      <w:pPr>
        <w:rPr>
          <w:rFonts w:eastAsia="Times New Roman"/>
          <w:noProof/>
          <w:szCs w:val="24"/>
        </w:rPr>
      </w:pPr>
      <w:r>
        <w:rPr>
          <w:noProof/>
        </w:rPr>
        <w:t>Не е приложимо</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Основни права</w:t>
      </w:r>
    </w:p>
    <w:p w:rsidR="000A3633" w:rsidRDefault="0078004E">
      <w:pPr>
        <w:rPr>
          <w:rFonts w:eastAsia="Times New Roman"/>
          <w:noProof/>
          <w:szCs w:val="24"/>
        </w:rPr>
      </w:pPr>
      <w:r>
        <w:rPr>
          <w:noProof/>
        </w:rPr>
        <w:t>Не е приложимо</w:t>
      </w:r>
    </w:p>
    <w:p w:rsidR="000A3633" w:rsidRDefault="0078004E">
      <w:pPr>
        <w:pStyle w:val="ManualHeading1"/>
        <w:rPr>
          <w:noProof/>
        </w:rPr>
      </w:pPr>
      <w:r>
        <w:rPr>
          <w:noProof/>
        </w:rPr>
        <w:t>4.</w:t>
      </w:r>
      <w:r>
        <w:rPr>
          <w:noProof/>
        </w:rPr>
        <w:tab/>
        <w:t>ОТРАЖЕНИЕ ВЪРХУ БЮДЖЕТА</w:t>
      </w:r>
    </w:p>
    <w:p w:rsidR="000A3633" w:rsidRDefault="0078004E">
      <w:pPr>
        <w:rPr>
          <w:rFonts w:eastAsia="Times New Roman"/>
          <w:noProof/>
          <w:szCs w:val="24"/>
        </w:rPr>
      </w:pPr>
      <w:r>
        <w:rPr>
          <w:noProof/>
        </w:rPr>
        <w:t>ЕФПГ е един от специалните инструменти, които не са включени в бюджетните тавани на многогодишната финансова рамка, с максимална годишна сума от 200 милиона EU</w:t>
      </w:r>
      <w:r>
        <w:rPr>
          <w:noProof/>
        </w:rPr>
        <w:t>R (по стойност от 2018 г.) от 1 януари 2021 г. до 31 декември 2027 г.</w:t>
      </w:r>
    </w:p>
    <w:p w:rsidR="000A3633" w:rsidRDefault="0078004E">
      <w:pPr>
        <w:rPr>
          <w:rFonts w:eastAsia="Times New Roman"/>
          <w:noProof/>
          <w:szCs w:val="24"/>
        </w:rPr>
      </w:pPr>
      <w:r>
        <w:rPr>
          <w:noProof/>
        </w:rPr>
        <w:t>Функционирането му е регламентирано с точка 9 от проекта на междуинституционално споразумение между Европейския парламент, Съвета и Комисията относно сътрудничеството по бюджетните въпро</w:t>
      </w:r>
      <w:r>
        <w:rPr>
          <w:noProof/>
        </w:rPr>
        <w:t>си и относно доброто финансово управление.</w:t>
      </w:r>
    </w:p>
    <w:p w:rsidR="000A3633" w:rsidRDefault="0078004E">
      <w:pPr>
        <w:pBdr>
          <w:top w:val="nil"/>
          <w:left w:val="nil"/>
          <w:bottom w:val="nil"/>
          <w:right w:val="nil"/>
          <w:between w:val="nil"/>
          <w:bar w:val="nil"/>
        </w:pBdr>
        <w:spacing w:before="0" w:after="240"/>
        <w:rPr>
          <w:rFonts w:eastAsia="Arial Unicode MS"/>
          <w:noProof/>
        </w:rPr>
      </w:pPr>
      <w:r>
        <w:rPr>
          <w:noProof/>
        </w:rPr>
        <w:t>Изискваните човешки и административни ресурси са изложени в законодателната финансова обосновка.</w:t>
      </w:r>
    </w:p>
    <w:p w:rsidR="000A3633" w:rsidRDefault="0078004E">
      <w:pPr>
        <w:pStyle w:val="ManualHeading1"/>
        <w:rPr>
          <w:noProof/>
        </w:rPr>
      </w:pPr>
      <w:r>
        <w:rPr>
          <w:noProof/>
        </w:rPr>
        <w:t>5.</w:t>
      </w:r>
      <w:r>
        <w:rPr>
          <w:noProof/>
        </w:rPr>
        <w:tab/>
        <w:t>ДРУГИ ЕЛЕМЕНТИ</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rsidR="000A3633" w:rsidRDefault="0078004E">
      <w:pPr>
        <w:rPr>
          <w:rFonts w:eastAsia="Times New Roman"/>
          <w:noProof/>
          <w:szCs w:val="24"/>
        </w:rPr>
      </w:pPr>
      <w:r>
        <w:rPr>
          <w:noProof/>
        </w:rPr>
        <w:t>Мониторингът на работата на</w:t>
      </w:r>
      <w:r>
        <w:rPr>
          <w:noProof/>
        </w:rPr>
        <w:t xml:space="preserve"> ЕФПГ ще бъде засилен чрез въвеждане на разпоредби за обща система за мониторинг с показатели за конкретните и общи резултати в Регламента за ЕФПГ. Успехът ще се измерва основно чрез проценти на повторно наемане на работа, т.е. делът на хората, които са на</w:t>
      </w:r>
      <w:r>
        <w:rPr>
          <w:noProof/>
        </w:rPr>
        <w:t>мерили работа след получаване на помощ от ЕФПГ.</w:t>
      </w:r>
    </w:p>
    <w:p w:rsidR="000A3633" w:rsidRDefault="0078004E">
      <w:pPr>
        <w:rPr>
          <w:rFonts w:eastAsia="Times New Roman"/>
          <w:noProof/>
          <w:szCs w:val="24"/>
        </w:rPr>
      </w:pPr>
      <w:r>
        <w:rPr>
          <w:noProof/>
        </w:rPr>
        <w:t>От държавите членки ще се изисква да включат в своите договори с изпълнителните органи представянето на показатели за конкретните и общи резултати. Изискванията, които към момента са въведени при решенията за</w:t>
      </w:r>
      <w:r>
        <w:rPr>
          <w:noProof/>
        </w:rPr>
        <w:t xml:space="preserve"> финансиране на ЕФПГ, ще бъдат включени в Регламента за ЕФПГ, което означава, че данните за трудовоправното положение на бенефициерите трябва да бъдат предоставени при подаването на окончателния доклад на съответната държава членка една година по-късно. То</w:t>
      </w:r>
      <w:r>
        <w:rPr>
          <w:noProof/>
        </w:rPr>
        <w:t>ва включва и информация за вида и качеството на заетостта (например постоянна/непостоянна) и промените в пригодността за заетост на бенефициерите в края на операциите (например придобитите квалификации). Събраните данни трябва да се основават на проучвания</w:t>
      </w:r>
      <w:r>
        <w:rPr>
          <w:noProof/>
        </w:rPr>
        <w:t xml:space="preserve"> и данни, предоставени от националните органи. Това ще позволи да се направи оценка на степента, до която помощта е помогнала за подобряване на пригодността за заетост на бенефициерите и за промяна на тяхното трудовоправно положение, за да се определи дали</w:t>
      </w:r>
      <w:r>
        <w:rPr>
          <w:noProof/>
        </w:rPr>
        <w:t xml:space="preserve"> ЕФПГ функционира ефективно.</w:t>
      </w:r>
    </w:p>
    <w:p w:rsidR="000A3633" w:rsidRDefault="0078004E">
      <w:pPr>
        <w:rPr>
          <w:rFonts w:eastAsia="Times New Roman"/>
          <w:noProof/>
          <w:szCs w:val="24"/>
        </w:rPr>
      </w:pPr>
      <w:r>
        <w:rPr>
          <w:noProof/>
        </w:rPr>
        <w:t>Предвид констатациите от предишни оценки и докладите на Сметната палата ще бъде въведено определяне на цели по конкретни случаи. При тези цели ще трябва се вземат предвид специфичните характеристики на случая и степента, до коя</w:t>
      </w:r>
      <w:r>
        <w:rPr>
          <w:noProof/>
        </w:rPr>
        <w:t>то те са сравними с предишни случаи. Целите трябва да се отнасят до процентите на реинтеграция на бенефициерите. Те са необходими за целите на отчитането и оценката, но не са обвързани със санкции или плащания, основаващи се на резултати. Извънредните ситу</w:t>
      </w:r>
      <w:r>
        <w:rPr>
          <w:noProof/>
        </w:rPr>
        <w:t>ации възникват неочаквано, често в бързо променяща се непредсказуема обстановка. Плащанията, основаващи се на резултати, биха били справедливи само ако резултатите могат пряко да се отнесат към предоставената помощ и няма да са силно зависими и от външни ф</w:t>
      </w:r>
      <w:r>
        <w:rPr>
          <w:noProof/>
        </w:rPr>
        <w:t>актори. В окончателните доклади, обаче, държавите членки ще трябва да представят обоснован анализ на степента, до която целите са постигнати. Оценките показват, че ориентацията спрямо резултатите като такава никога не е била проблем. Връщането на хората об</w:t>
      </w:r>
      <w:r>
        <w:rPr>
          <w:noProof/>
        </w:rPr>
        <w:t>ратно на работа и/или увеличаването на тяхната пригодност за заетост винаги са били основната грижа за държавите членки. Въпреки това измерването на резултатите не винаги е било възможно, поради слабата наличност на данни.</w:t>
      </w:r>
    </w:p>
    <w:p w:rsidR="000A3633" w:rsidRDefault="0078004E">
      <w:pPr>
        <w:rPr>
          <w:rFonts w:eastAsia="Times New Roman"/>
          <w:noProof/>
          <w:szCs w:val="24"/>
        </w:rPr>
      </w:pPr>
      <w:r>
        <w:rPr>
          <w:noProof/>
        </w:rPr>
        <w:t>Междинната оценка на ЕФПГ показа,</w:t>
      </w:r>
      <w:r>
        <w:rPr>
          <w:noProof/>
        </w:rPr>
        <w:t xml:space="preserve"> че бъдещите оценки следва да бъдат насрочени по начин, гарантиращ наличие на достатъчно данни. Поради това, в съответствие с Насоките за по-добро регулиране, графикът на бъдещите оценки ще бъде приведен в по-добро съответствие с цикъла на привеждане в дей</w:t>
      </w:r>
      <w:r>
        <w:rPr>
          <w:noProof/>
        </w:rPr>
        <w:t>ствие на ЕФПГ. Това означава, че на всеки четири години трябва да бъде правена оценка.</w:t>
      </w:r>
    </w:p>
    <w:p w:rsidR="000A3633" w:rsidRDefault="0078004E">
      <w:pPr>
        <w:rPr>
          <w:rFonts w:eastAsia="Times New Roman"/>
          <w:noProof/>
          <w:szCs w:val="24"/>
        </w:rPr>
      </w:pPr>
      <w:r>
        <w:rPr>
          <w:noProof/>
        </w:rPr>
        <w:t>Оценките ще бъдат извършвани в съответствие с точки 22 и 23 от междуинституционалното споразумение от 13 април 2016 г.</w:t>
      </w:r>
      <w:r>
        <w:rPr>
          <w:rStyle w:val="FootnoteReference"/>
          <w:rFonts w:eastAsia="Times New Roman"/>
          <w:noProof/>
          <w:szCs w:val="24"/>
        </w:rPr>
        <w:footnoteReference w:id="12"/>
      </w:r>
      <w:r>
        <w:rPr>
          <w:noProof/>
        </w:rPr>
        <w:t>, в което трите институции потвърдиха, че оценките</w:t>
      </w:r>
      <w:r>
        <w:rPr>
          <w:noProof/>
        </w:rPr>
        <w:t xml:space="preserve"> на съществуващите законодателство и политика следва да осигуряват основа за оценка на въздействието на вариантите за по-нататъшни действия. Оценките ще определят въздействието на програмата на място въз основа на програмните показатели/цели и подробен ана</w:t>
      </w:r>
      <w:r>
        <w:rPr>
          <w:noProof/>
        </w:rPr>
        <w:t>лиз на степента, до която програмата може да се счита за релевантна, ефективна, ефикасна, осигуряваща достатъчна добавена стойност за ЕС и е съгласувана с другите политики на ЕС. Те ще включват извлечените поуки, за да се идентифицират всички недостатъци/п</w:t>
      </w:r>
      <w:r>
        <w:rPr>
          <w:noProof/>
        </w:rPr>
        <w:t>роблеми или потенциал за по-нататъшно подобряване на действията или техните резултати и ще помогнат да се извлече максимална полза от тяхното използване/въздействие.</w:t>
      </w:r>
    </w:p>
    <w:p w:rsidR="000A3633" w:rsidRDefault="0078004E">
      <w:pPr>
        <w:pBdr>
          <w:top w:val="nil"/>
          <w:left w:val="nil"/>
          <w:bottom w:val="nil"/>
          <w:right w:val="nil"/>
          <w:between w:val="nil"/>
          <w:bar w:val="nil"/>
        </w:pBdr>
        <w:spacing w:before="0" w:after="240"/>
        <w:rPr>
          <w:rFonts w:eastAsia="Arial Unicode MS"/>
          <w:noProof/>
        </w:rPr>
      </w:pPr>
      <w:r>
        <w:rPr>
          <w:noProof/>
        </w:rPr>
        <w:t>Комисията ще продължи да докладва за дейностите на Фонда на всеки две години.</w:t>
      </w:r>
    </w:p>
    <w:p w:rsidR="000A3633" w:rsidRDefault="0078004E">
      <w:pPr>
        <w:pStyle w:val="ManualHeading2"/>
        <w:rPr>
          <w:rFonts w:eastAsia="Arial Unicode MS"/>
          <w:noProof/>
          <w:u w:color="000000"/>
          <w:bdr w:val="nil"/>
        </w:rPr>
      </w:pPr>
      <w:r>
        <w:rPr>
          <w:noProof/>
          <w:u w:color="000000"/>
          <w:bdr w:val="nil"/>
        </w:rPr>
        <w:t>•</w:t>
      </w:r>
      <w:r>
        <w:rPr>
          <w:noProof/>
          <w:u w:color="000000"/>
          <w:bdr w:val="nil"/>
        </w:rPr>
        <w:tab/>
        <w:t>Подробно р</w:t>
      </w:r>
      <w:r>
        <w:rPr>
          <w:noProof/>
          <w:u w:color="000000"/>
          <w:bdr w:val="nil"/>
        </w:rPr>
        <w:t>азяснение на конкретните разпоредби на предложението</w:t>
      </w:r>
    </w:p>
    <w:p w:rsidR="000A3633" w:rsidRDefault="0078004E">
      <w:pPr>
        <w:rPr>
          <w:rFonts w:eastAsia="Times New Roman"/>
          <w:noProof/>
          <w:szCs w:val="24"/>
        </w:rPr>
      </w:pPr>
      <w:r>
        <w:rPr>
          <w:noProof/>
        </w:rPr>
        <w:t>В член 2 и член 3 от предложения проект на регламент се определят мисията и целите на ЕФПГ. Като промяна в действащия Регламент (ЕС) № 1309/2013 за ЕФПГ, мисията изрично включва ролята на ЕФПГ да доприна</w:t>
      </w:r>
      <w:r>
        <w:rPr>
          <w:noProof/>
        </w:rPr>
        <w:t>ся за съответните принципи на Европейския стълб на социалните права. Освен това, в целите ясно се посочва, че ЕФПГ ще се прилага за всякакви неочаквани големи преструктурирания, което прави Фонда по-приспособим към настоящите и бъдещите икономически предиз</w:t>
      </w:r>
      <w:r>
        <w:rPr>
          <w:noProof/>
        </w:rPr>
        <w:t>викателства.</w:t>
      </w:r>
    </w:p>
    <w:p w:rsidR="000A3633" w:rsidRDefault="0078004E">
      <w:pPr>
        <w:rPr>
          <w:rFonts w:eastAsia="Times New Roman"/>
          <w:noProof/>
          <w:szCs w:val="24"/>
        </w:rPr>
      </w:pPr>
      <w:r>
        <w:rPr>
          <w:noProof/>
        </w:rPr>
        <w:t>Критериите за намеса са изложени в член 5. Предложеният праг на съкращенията е най-малко 250 съкратени работници, докато в настоящия регламент минимумът е 500 съкратени работници. Целта е по-добре да се отразят реалностите в много региони, къд</w:t>
      </w:r>
      <w:r>
        <w:rPr>
          <w:noProof/>
        </w:rPr>
        <w:t>ето настъпването на преструктуриране, включващо 250 съкратени работници, оказва значително въздействие върху пазара на труда. Това се прави и за да се отчете обстоятелството, че като цяло делът на особено мащабните съкращения намалява. Добавена е нова разп</w:t>
      </w:r>
      <w:r>
        <w:rPr>
          <w:noProof/>
        </w:rPr>
        <w:t xml:space="preserve">оредба, която дава възможност на държавите членки да кандидатстват за помощ от ЕФПГ, ако съкращенията се случват в същия регион, но в различни икономически сектори. Особено при по-слабо населените региони, вълната от уволнения в различни сектори по едно и </w:t>
      </w:r>
      <w:r>
        <w:rPr>
          <w:noProof/>
        </w:rPr>
        <w:t>също време може да има много голямо въздействие върху пазара на труда. Добавена е нова разпоредба, в която се посочва, че ЕФПГ като фонд, ориентиран към търговията, не може да бъде мобилизиран, ако съкращенията в публичния сектор са пряко следствие от съкр</w:t>
      </w:r>
      <w:r>
        <w:rPr>
          <w:noProof/>
        </w:rPr>
        <w:t>ащенията на бюджетните средства. Това се прави и като отражение на обстоятелството, че ЕФПГ не предоставя помощ на уволняващото предприятие, което в този случай ще бъде в лицето на публичните органи на държавата членка, кандидатстваща за помощ от ЕФПГ.</w:t>
      </w:r>
    </w:p>
    <w:p w:rsidR="000A3633" w:rsidRDefault="0078004E">
      <w:pPr>
        <w:rPr>
          <w:rFonts w:eastAsia="Times New Roman"/>
          <w:noProof/>
          <w:szCs w:val="24"/>
        </w:rPr>
      </w:pPr>
      <w:r>
        <w:rPr>
          <w:noProof/>
        </w:rPr>
        <w:t xml:space="preserve">В </w:t>
      </w:r>
      <w:r>
        <w:rPr>
          <w:noProof/>
        </w:rPr>
        <w:t>член 8 са изложени допустимите мерки. Като промяна в настоящия регламент задължително трябва да се включи разпространението на умения, които са необходими в цифровата епоха. В контекста на изискванията на пазара на труда това се счита за необходимо изисква</w:t>
      </w:r>
      <w:r>
        <w:rPr>
          <w:noProof/>
        </w:rPr>
        <w:t>не. Предложените мерки трябва да се основават на личните нужди и квалификации на бенефициера.</w:t>
      </w:r>
    </w:p>
    <w:p w:rsidR="000A3633" w:rsidRDefault="0078004E">
      <w:pPr>
        <w:rPr>
          <w:rFonts w:eastAsia="Times New Roman"/>
          <w:noProof/>
          <w:szCs w:val="24"/>
        </w:rPr>
      </w:pPr>
      <w:r>
        <w:rPr>
          <w:noProof/>
        </w:rPr>
        <w:t xml:space="preserve">Комисията трябва да окаже техническата помощ за всички мерки, необходими за прилагането на предложения регламент. Съгласно член 12 от предложения регламент, това </w:t>
      </w:r>
      <w:r>
        <w:rPr>
          <w:noProof/>
        </w:rPr>
        <w:t>може да бъде в размер, равен на 0,5 % от максималния годишен размер на ЕФПГ. Това е по-висока стойност в сравнение с настоящия програмен период, тъй като ще бъде предложена конкретна помощ на държавите членки, които са с по-малко опит в прилагането на ЕФПГ</w:t>
      </w:r>
      <w:r>
        <w:rPr>
          <w:noProof/>
        </w:rPr>
        <w:t xml:space="preserve"> или на помощта за преструктуриране като такива. Това би включвало и допълнителни мерки за увеличаване на мрежовата комуникация и обмена на добри практики между държавите членки.</w:t>
      </w:r>
    </w:p>
    <w:p w:rsidR="000A3633" w:rsidRDefault="0078004E">
      <w:pPr>
        <w:rPr>
          <w:rFonts w:eastAsia="Times New Roman"/>
          <w:noProof/>
          <w:szCs w:val="24"/>
        </w:rPr>
      </w:pPr>
      <w:r>
        <w:rPr>
          <w:noProof/>
        </w:rPr>
        <w:t>Стандартният срок за прилагане на мерките по ЕФПГ ще остане 24 месеца. Въпрек</w:t>
      </w:r>
      <w:r>
        <w:rPr>
          <w:noProof/>
        </w:rPr>
        <w:t xml:space="preserve">и това, в член 15 от предложения регламент се предвижда, че 24-те месеца се отчитат от момента на приемане на решението за мобилизиране на ЕФПГ, а не от датата на подаване на заявление за подкрепа от ЕФПГ. Това трябва да отразява обстоятелството, че много </w:t>
      </w:r>
      <w:r>
        <w:rPr>
          <w:noProof/>
        </w:rPr>
        <w:t xml:space="preserve">от държавите членки разполагат с бюджетни процедури, които не им позволяват да поемат риска по предварително финансиране на такива мерки, без да знаят дали помощта действително ще бъде отпусната. Ако, обаче, държава членка желае да поеме риска, мерките са </w:t>
      </w:r>
      <w:r>
        <w:rPr>
          <w:noProof/>
        </w:rPr>
        <w:t>допустими от момента на обявяването на съкращенията, какъвто е случаят с настоящия регламент.</w:t>
      </w:r>
    </w:p>
    <w:p w:rsidR="000A3633" w:rsidRDefault="0078004E">
      <w:pPr>
        <w:pBdr>
          <w:top w:val="nil"/>
          <w:left w:val="nil"/>
          <w:bottom w:val="nil"/>
          <w:right w:val="nil"/>
          <w:between w:val="nil"/>
          <w:bar w:val="nil"/>
        </w:pBdr>
        <w:spacing w:before="0" w:after="240"/>
        <w:rPr>
          <w:rFonts w:eastAsia="Times New Roman"/>
          <w:noProof/>
          <w:szCs w:val="24"/>
        </w:rPr>
      </w:pPr>
      <w:r>
        <w:rPr>
          <w:noProof/>
        </w:rPr>
        <w:t xml:space="preserve">В член 16 на предложения регламент се постановява бюджетната процедура. Тъй като решенията за мобилизиране на ЕФПГ трябва да се основават на формалното изискване </w:t>
      </w:r>
      <w:r>
        <w:rPr>
          <w:noProof/>
        </w:rPr>
        <w:t>за минимум 250 съкратени работници в рамките на определен референтен период, вече не се изисква задълбочен анализ на фона на съкращенията. Ето защо, предложенията на Комисията за мобилизиране на ЕФПГ, които се основават на такива анализи, вече не са необхо</w:t>
      </w:r>
      <w:r>
        <w:rPr>
          <w:noProof/>
        </w:rPr>
        <w:t>дими. Бюджетният орган ще вземе решение по дадена заявка за трансфер. Комисията ще прикрепи проекта за решение за изпълнение и кратко резюме на заявлението по заявката за трансфер. Тази процедура ще осигури по-бързо разгръщане на финансовия принос.</w:t>
      </w:r>
    </w:p>
    <w:p w:rsidR="000A3633" w:rsidRDefault="0078004E">
      <w:pPr>
        <w:pBdr>
          <w:top w:val="nil"/>
          <w:left w:val="nil"/>
          <w:bottom w:val="nil"/>
          <w:right w:val="nil"/>
          <w:between w:val="nil"/>
          <w:bar w:val="nil"/>
        </w:pBdr>
        <w:spacing w:before="0" w:after="240"/>
        <w:rPr>
          <w:noProof/>
        </w:rPr>
      </w:pPr>
      <w:r>
        <w:rPr>
          <w:noProof/>
        </w:rPr>
        <w:t>Разделе</w:t>
      </w:r>
      <w:r>
        <w:rPr>
          <w:noProof/>
        </w:rPr>
        <w:t xml:space="preserve">нието на отговорностите между Комисията и държавите членки е посочено в предложения член 23. ЕФПГ ще остане в рамките на споделено управление и не се правят значителни промени в разпоредбите относно назначаването на изпълнителни органи, въпроси по одита и </w:t>
      </w:r>
      <w:r>
        <w:rPr>
          <w:noProof/>
        </w:rPr>
        <w:t>предотвратяването на измами.</w:t>
      </w:r>
    </w:p>
    <w:p w:rsidR="000A3633" w:rsidRDefault="000A3633">
      <w:pPr>
        <w:rPr>
          <w:noProof/>
        </w:rPr>
        <w:sectPr w:rsidR="000A3633" w:rsidSect="0078004E">
          <w:footerReference w:type="default" r:id="rId16"/>
          <w:footerReference w:type="first" r:id="rId17"/>
          <w:pgSz w:w="11907" w:h="16839"/>
          <w:pgMar w:top="1134" w:right="1417" w:bottom="1134" w:left="1417" w:header="709" w:footer="709" w:gutter="0"/>
          <w:cols w:space="708"/>
          <w:docGrid w:linePitch="360"/>
        </w:sectPr>
      </w:pPr>
    </w:p>
    <w:p w:rsidR="000A3633" w:rsidRDefault="0078004E" w:rsidP="0078004E">
      <w:pPr>
        <w:pStyle w:val="Rfrenceinterinstitutionnelle"/>
        <w:rPr>
          <w:noProof/>
        </w:rPr>
      </w:pPr>
      <w:r w:rsidRPr="0078004E">
        <w:t>2018/0202 (COD)</w:t>
      </w:r>
    </w:p>
    <w:p w:rsidR="000A3633" w:rsidRDefault="0078004E" w:rsidP="0078004E">
      <w:pPr>
        <w:pStyle w:val="Statut"/>
        <w:rPr>
          <w:noProof/>
        </w:rPr>
      </w:pPr>
      <w:r w:rsidRPr="0078004E">
        <w:t>Предложение за</w:t>
      </w:r>
    </w:p>
    <w:p w:rsidR="000A3633" w:rsidRDefault="0078004E" w:rsidP="0078004E">
      <w:pPr>
        <w:pStyle w:val="Typedudocument"/>
        <w:rPr>
          <w:noProof/>
        </w:rPr>
      </w:pPr>
      <w:r w:rsidRPr="0078004E">
        <w:t>РЕГЛАМЕНТ НА ЕВРОПЕЙСКИЯ ПАРЛАМЕНТ И НА СЪВЕТА</w:t>
      </w:r>
    </w:p>
    <w:p w:rsidR="000A3633" w:rsidRDefault="0078004E" w:rsidP="0078004E">
      <w:pPr>
        <w:pStyle w:val="Titreobjet"/>
        <w:rPr>
          <w:noProof/>
        </w:rPr>
      </w:pPr>
      <w:r w:rsidRPr="0078004E">
        <w:t>относно Европейския фонд за приспособяване към глобализацията (ЕФПГ)</w:t>
      </w:r>
    </w:p>
    <w:p w:rsidR="000A3633" w:rsidRDefault="0078004E">
      <w:pPr>
        <w:pStyle w:val="Institutionquiagit"/>
        <w:rPr>
          <w:noProof/>
        </w:rPr>
      </w:pPr>
      <w:r>
        <w:rPr>
          <w:noProof/>
        </w:rPr>
        <w:t>ЕВРОПЕЙСКИЯТ ПАРЛАМЕНТ</w:t>
      </w:r>
      <w:r>
        <w:rPr>
          <w:noProof/>
        </w:rPr>
        <w:t xml:space="preserve"> И СЪВЕТЪТ НА ЕВРОПЕЙСКИЯ СЪЮЗ,</w:t>
      </w:r>
    </w:p>
    <w:p w:rsidR="000A3633" w:rsidRDefault="0078004E">
      <w:pPr>
        <w:rPr>
          <w:noProof/>
        </w:rPr>
      </w:pPr>
      <w:r>
        <w:rPr>
          <w:noProof/>
        </w:rPr>
        <w:t>Като взеха предвид Договора за функционирането на Европейския съюз, и по-специално член 175, трета алинея от него,</w:t>
      </w:r>
    </w:p>
    <w:p w:rsidR="000A3633" w:rsidRDefault="0078004E">
      <w:pPr>
        <w:rPr>
          <w:noProof/>
        </w:rPr>
      </w:pPr>
      <w:r>
        <w:rPr>
          <w:noProof/>
        </w:rPr>
        <w:t>като взеха предвид предложението на Европейската комисия,</w:t>
      </w:r>
    </w:p>
    <w:p w:rsidR="000A3633" w:rsidRDefault="0078004E">
      <w:pPr>
        <w:rPr>
          <w:noProof/>
        </w:rPr>
      </w:pPr>
      <w:r>
        <w:rPr>
          <w:noProof/>
        </w:rPr>
        <w:t xml:space="preserve">след предаване на проекта на законодателния акт на </w:t>
      </w:r>
      <w:r>
        <w:rPr>
          <w:noProof/>
        </w:rPr>
        <w:t>националните парламенти,</w:t>
      </w:r>
    </w:p>
    <w:p w:rsidR="000A3633" w:rsidRDefault="0078004E">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3"/>
      </w:r>
    </w:p>
    <w:p w:rsidR="000A3633" w:rsidRDefault="0078004E">
      <w:pPr>
        <w:rPr>
          <w:noProof/>
        </w:rPr>
      </w:pPr>
      <w:r>
        <w:rPr>
          <w:noProof/>
        </w:rPr>
        <w:t>като взеха предвид становището на Комитета на регионите,</w:t>
      </w:r>
      <w:r>
        <w:rPr>
          <w:rStyle w:val="FootnoteReference"/>
          <w:noProof/>
        </w:rPr>
        <w:footnoteReference w:id="14"/>
      </w:r>
    </w:p>
    <w:p w:rsidR="000A3633" w:rsidRDefault="0078004E">
      <w:pPr>
        <w:rPr>
          <w:noProof/>
        </w:rPr>
      </w:pPr>
      <w:r>
        <w:rPr>
          <w:noProof/>
        </w:rPr>
        <w:t>в съответствие с обикновената законодателна процедура,</w:t>
      </w:r>
    </w:p>
    <w:p w:rsidR="000A3633" w:rsidRDefault="0078004E">
      <w:pPr>
        <w:rPr>
          <w:noProof/>
        </w:rPr>
      </w:pPr>
      <w:r>
        <w:rPr>
          <w:noProof/>
        </w:rPr>
        <w:t>като имат предвид, че:</w:t>
      </w:r>
    </w:p>
    <w:p w:rsidR="000A3633" w:rsidRDefault="0078004E">
      <w:pPr>
        <w:pStyle w:val="ManualConsidrant"/>
        <w:rPr>
          <w:noProof/>
        </w:rPr>
      </w:pPr>
      <w:r>
        <w:t>(1)</w:t>
      </w:r>
      <w:r>
        <w:tab/>
      </w:r>
      <w:r>
        <w:rPr>
          <w:noProof/>
        </w:rPr>
        <w:t xml:space="preserve">При </w:t>
      </w:r>
      <w:r>
        <w:rPr>
          <w:noProof/>
        </w:rPr>
        <w:t>привеждането на фондовете в действие следва да се съблюдават хоризонталните принципи, изложени в член 3 от Договора за Европейския съюз (ДЕС) и в член 10 от ДФЕС, включително принципите на субсидиарност и пропорционалност, посочени в член 5 от ДЕС, като се</w:t>
      </w:r>
      <w:r>
        <w:rPr>
          <w:noProof/>
        </w:rPr>
        <w:t xml:space="preserve"> взема предвид и Хартата на основните права на Европейския съюз. Държавите членки и Комисията следва да се стремят към премахване на неравенствата и насърчаване на равенството между мъжете и жените и интегриране на перспективата за равенството между полове</w:t>
      </w:r>
      <w:r>
        <w:rPr>
          <w:noProof/>
        </w:rPr>
        <w:t>те, както и борбата срещу дискриминацията, основана на пол, раса или етнически произход, религия или убеждения, увреждане, възраст или сексуална ориентация. Целите на фондовете следва да се осъществяват в рамките на устойчивото развитие и действията на Съю</w:t>
      </w:r>
      <w:r>
        <w:rPr>
          <w:noProof/>
        </w:rPr>
        <w:t>за за утвърждаване на целта за съхраняване, опазване и подобряване на качеството на околната среда, както е предвидено в член 11 и член 191, параграф 1 от ДФЕС, като се взема предвид принципът „замърсителят плаща“.</w:t>
      </w:r>
    </w:p>
    <w:p w:rsidR="000A3633" w:rsidRDefault="0078004E">
      <w:pPr>
        <w:pStyle w:val="ManualConsidrant"/>
        <w:rPr>
          <w:noProof/>
        </w:rPr>
      </w:pPr>
      <w:r>
        <w:t>(2)</w:t>
      </w:r>
      <w:r>
        <w:tab/>
      </w:r>
      <w:r>
        <w:rPr>
          <w:noProof/>
        </w:rPr>
        <w:t xml:space="preserve">На 17 ноември 2017 г. Европейският </w:t>
      </w:r>
      <w:r>
        <w:rPr>
          <w:noProof/>
        </w:rPr>
        <w:t>стълб на социалните права</w:t>
      </w:r>
      <w:r>
        <w:rPr>
          <w:rStyle w:val="FootnoteReference"/>
          <w:noProof/>
        </w:rPr>
        <w:footnoteReference w:id="15"/>
      </w:r>
      <w:r>
        <w:rPr>
          <w:noProof/>
        </w:rPr>
        <w:t xml:space="preserve"> беше съвместно обявен от Европейския парламент, Съвета и Комисията като отговор на социалните предизвикателства в Европа. Вземайки предвид променящите се реалности на трудовия свят, Съюзът трябва да се подготви за настоящите и бъ</w:t>
      </w:r>
      <w:r>
        <w:rPr>
          <w:noProof/>
        </w:rPr>
        <w:t>дещите предизвикателства на глобализацията и цифровизацията чрез постигане на по-приобщаващ растеж и подобряване на заетостта и социалните политики. Двадесетте основни принципа на стълба са структурирани около три категории: равни възможности и достъп до п</w:t>
      </w:r>
      <w:r>
        <w:rPr>
          <w:noProof/>
        </w:rPr>
        <w:t xml:space="preserve">азара на труда; справедливи условия на труд; социална закрила и приобщаване. Европейският стълб на социалните права следва да служи като всеобхватна ръководна рамка за Европейския фонд за приспособяване към глобализацията (ЕФПГ) и да позволява на Съюза да </w:t>
      </w:r>
      <w:r>
        <w:rPr>
          <w:noProof/>
        </w:rPr>
        <w:t>прилага съответните принципи на практика при големи преструктурирания.</w:t>
      </w:r>
    </w:p>
    <w:p w:rsidR="000A3633" w:rsidRDefault="0078004E">
      <w:pPr>
        <w:pStyle w:val="ManualConsidrant"/>
        <w:rPr>
          <w:noProof/>
        </w:rPr>
      </w:pPr>
      <w:r>
        <w:t>(3)</w:t>
      </w:r>
      <w:r>
        <w:tab/>
      </w:r>
      <w:r>
        <w:rPr>
          <w:noProof/>
        </w:rPr>
        <w:t>На 20 юни 2017 г. Съветът одобри отговора на Съюза</w:t>
      </w:r>
      <w:r>
        <w:rPr>
          <w:rStyle w:val="FootnoteReference"/>
          <w:noProof/>
        </w:rPr>
        <w:footnoteReference w:id="16"/>
      </w:r>
      <w:r>
        <w:rPr>
          <w:noProof/>
        </w:rPr>
        <w:t xml:space="preserve"> на Програмата на ООН за устойчиво развитие до 2030 г.</w:t>
      </w:r>
      <w:r>
        <w:rPr>
          <w:rStyle w:val="FootnoteReference"/>
          <w:noProof/>
        </w:rPr>
        <w:footnoteReference w:id="17"/>
      </w:r>
      <w:r>
        <w:rPr>
          <w:noProof/>
        </w:rPr>
        <w:t xml:space="preserve"> — устойчиво европейско бъдеще (UN 2030 Agenda for Sustainable Development’</w:t>
      </w:r>
      <w:r>
        <w:rPr>
          <w:noProof/>
        </w:rPr>
        <w:t xml:space="preserve"> — a sustainable European future). Съветът подчерта значението на постигането на устойчиво развитие в трите измерения (икономическо, социално и екологично) по балансиран и интегриран начин. Изключително важно е устойчивото развитие да бъде интегрирано в ев</w:t>
      </w:r>
      <w:r>
        <w:rPr>
          <w:noProof/>
        </w:rPr>
        <w:t>ропейската рамка на политиката и Съюзът да прояви амбиция при политиките, които използва, за да отговори на глобалните предизвикателства. Съветът приветства съобщението на Комисията от 22 ноември 2016 г., озаглавено „Следващи стъпки към устойчиво европейск</w:t>
      </w:r>
      <w:r>
        <w:rPr>
          <w:noProof/>
        </w:rPr>
        <w:t>о бъдеще“, като първа стъпка за интегрирането на целите за устойчиво развитие и прилагането на устойчивото развитие като съществен ръководен принцип за всички политики на Съюза, включително чрез неговите финансови инструменти.</w:t>
      </w:r>
    </w:p>
    <w:p w:rsidR="000A3633" w:rsidRDefault="0078004E">
      <w:pPr>
        <w:pStyle w:val="ManualConsidrant"/>
        <w:rPr>
          <w:noProof/>
        </w:rPr>
      </w:pPr>
      <w:r>
        <w:t>(4)</w:t>
      </w:r>
      <w:r>
        <w:tab/>
      </w:r>
      <w:r>
        <w:rPr>
          <w:noProof/>
        </w:rPr>
        <w:t>През февруари 2018 г. Ком</w:t>
      </w:r>
      <w:r>
        <w:rPr>
          <w:noProof/>
        </w:rPr>
        <w:t>исията прие съобщението си „Нова,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noProof/>
        </w:rPr>
        <w:footnoteReference w:id="18"/>
      </w:r>
      <w:r>
        <w:rPr>
          <w:noProof/>
        </w:rPr>
        <w:t xml:space="preserve">. В съобщението се подчертава, че бюджетът на Съюза следва да подкрепя уникалната социална </w:t>
      </w:r>
      <w:r>
        <w:rPr>
          <w:noProof/>
        </w:rPr>
        <w:t>пазарна икономика в Европа. По тази причина ще бъде от първостепенно значение да се подобрят възможностите за заетост и да се посрещнат предизвикателствата, отнасящи се до уменията, особено тези, свързани с цифровизацията. Бюджетната гъвкавост ще бъде ключ</w:t>
      </w:r>
      <w:r>
        <w:rPr>
          <w:noProof/>
        </w:rPr>
        <w:t>ов принцип в следващата многогодишна финансова рамка. Ще продължат да съществуват механизми за гъвкавост, които да позволят на Съюза да реагира на непредвидени събития и да гарантира, че бюджетните ресурси се използват там, където има най-спешна нужда от т</w:t>
      </w:r>
      <w:r>
        <w:rPr>
          <w:noProof/>
        </w:rPr>
        <w:t>ях.</w:t>
      </w:r>
    </w:p>
    <w:p w:rsidR="000A3633" w:rsidRDefault="0078004E">
      <w:pPr>
        <w:pStyle w:val="ManualConsidrant"/>
        <w:rPr>
          <w:noProof/>
        </w:rPr>
      </w:pPr>
      <w:r>
        <w:t>(5)</w:t>
      </w:r>
      <w:r>
        <w:tab/>
      </w:r>
      <w:r>
        <w:rPr>
          <w:noProof/>
        </w:rPr>
        <w:t xml:space="preserve">В своята </w:t>
      </w:r>
      <w:hyperlink r:id="rId18" w:history="1">
        <w:r>
          <w:rPr>
            <w:noProof/>
          </w:rPr>
          <w:t>Бяла книга за бъдещето на Европа</w:t>
        </w:r>
      </w:hyperlink>
      <w:r>
        <w:rPr>
          <w:rStyle w:val="FootnoteReference"/>
          <w:noProof/>
        </w:rPr>
        <w:footnoteReference w:id="19"/>
      </w:r>
      <w:r>
        <w:rPr>
          <w:noProof/>
        </w:rPr>
        <w:t xml:space="preserve"> Комисията изразява загриженост във връзка с движенията на изолационизъм, растящите съмн</w:t>
      </w:r>
      <w:r>
        <w:rPr>
          <w:noProof/>
        </w:rPr>
        <w:t>ения относно ползите от отворената търговия и социалната пазарна икономика на ЕС като цяло.</w:t>
      </w:r>
    </w:p>
    <w:p w:rsidR="000A3633" w:rsidRDefault="0078004E">
      <w:pPr>
        <w:pStyle w:val="ManualConsidrant"/>
        <w:rPr>
          <w:noProof/>
        </w:rPr>
      </w:pPr>
      <w:r>
        <w:t>(6)</w:t>
      </w:r>
      <w:r>
        <w:tab/>
      </w:r>
      <w:r>
        <w:rPr>
          <w:noProof/>
        </w:rPr>
        <w:t xml:space="preserve">В своя </w:t>
      </w:r>
      <w:hyperlink r:id="rId19" w:history="1">
        <w:r>
          <w:rPr>
            <w:noProof/>
          </w:rPr>
          <w:t>Документ за размисъл относно извличането на пол</w:t>
        </w:r>
        <w:r>
          <w:rPr>
            <w:noProof/>
          </w:rPr>
          <w:t>зите от глобализацията</w:t>
        </w:r>
      </w:hyperlink>
      <w:r>
        <w:rPr>
          <w:rStyle w:val="FootnoteReference"/>
          <w:noProof/>
        </w:rPr>
        <w:footnoteReference w:id="20"/>
      </w:r>
      <w:r>
        <w:rPr>
          <w:noProof/>
        </w:rPr>
        <w:t xml:space="preserve"> Комисията определя комбинацията от глобализацията на търговията и технологичните промени като основните двигатели на увеличеното търсене на квалифицирана работна ръка и понижения брой на работните места, изискващи по-ниска квалифика</w:t>
      </w:r>
      <w:r>
        <w:rPr>
          <w:noProof/>
        </w:rPr>
        <w:t>ция. Въпреки огромните цялостни преимущества на по-отворената търговия и по-задълбочената интеграция на световните икономики, тези отрицателни странични ефекти трябва да бъдат преодолени. Тъй като настоящите ползи от глобализацията вече са неравномерно раз</w:t>
      </w:r>
      <w:r>
        <w:rPr>
          <w:noProof/>
        </w:rPr>
        <w:t>пределени сред хората и регионите и причиняват значително въздействие върху търпящите неблагоприятните последствия, съществува опасност все по-бързо развиващите се технологични постижения да увеличат още повече тези последствия. Поради това, в съответствие</w:t>
      </w:r>
      <w:r>
        <w:rPr>
          <w:noProof/>
        </w:rPr>
        <w:t xml:space="preserve"> с принципите на солидарност и устойчивост, ще бъде необходимо да се гарантира, че ползите от глобализацията се споделят по-справедливо, чрез съвместяване на икономическото отваряне и технологичния напредък със социалната закрила.</w:t>
      </w:r>
    </w:p>
    <w:p w:rsidR="000A3633" w:rsidRDefault="0078004E">
      <w:pPr>
        <w:pStyle w:val="ManualConsidrant"/>
        <w:rPr>
          <w:noProof/>
        </w:rPr>
      </w:pPr>
      <w:r>
        <w:t>(7)</w:t>
      </w:r>
      <w:r>
        <w:tab/>
      </w:r>
      <w:r>
        <w:rPr>
          <w:noProof/>
        </w:rPr>
        <w:t>В своя Документ за ра</w:t>
      </w:r>
      <w:r>
        <w:rPr>
          <w:noProof/>
        </w:rPr>
        <w:t>змисъл относно бъдещето на финансите на ЕС</w:t>
      </w:r>
      <w:r>
        <w:rPr>
          <w:rStyle w:val="FootnoteReference"/>
          <w:noProof/>
        </w:rPr>
        <w:footnoteReference w:id="21"/>
      </w:r>
      <w:r>
        <w:rPr>
          <w:noProof/>
        </w:rPr>
        <w:t xml:space="preserve"> Комисията подчертава необходимостта от намаляване на икономическите и социалните различия между държавите членки и вътре в тях. Поради това основен приоритет е да се инвестира в равенство, социално приобщаване, о</w:t>
      </w:r>
      <w:r>
        <w:rPr>
          <w:noProof/>
        </w:rPr>
        <w:t>бразование и обучение, както и в здравеопазването.</w:t>
      </w:r>
    </w:p>
    <w:p w:rsidR="000A3633" w:rsidRDefault="0078004E">
      <w:pPr>
        <w:pStyle w:val="ManualConsidrant"/>
        <w:rPr>
          <w:noProof/>
        </w:rPr>
      </w:pPr>
      <w:r>
        <w:t>(8)</w:t>
      </w:r>
      <w:r>
        <w:tab/>
      </w:r>
      <w:r>
        <w:rPr>
          <w:noProof/>
        </w:rPr>
        <w:t>Глобализацията и технологичните промени вероятно допълнително ще увеличат взаимосвързаността и взаимозависимостта на световните икономики. Преразпределянето на труда е неразделна и неизбежна част от та</w:t>
      </w:r>
      <w:r>
        <w:rPr>
          <w:noProof/>
        </w:rPr>
        <w:t>зи икономическа промяна. За да се разпределят справедливо ползите от промяната, от първостепенно значение е да се окаже помощ на съкратените работници и на лицата, застрашени от съкращение. Рамката за качество на ЕС за предвиждане на промените и преструкту</w:t>
      </w:r>
      <w:r>
        <w:rPr>
          <w:noProof/>
        </w:rPr>
        <w:t>риране</w:t>
      </w:r>
      <w:r>
        <w:rPr>
          <w:rStyle w:val="FootnoteReference"/>
          <w:noProof/>
        </w:rPr>
        <w:footnoteReference w:id="22"/>
      </w:r>
      <w:r>
        <w:rPr>
          <w:noProof/>
        </w:rPr>
        <w:t xml:space="preserve"> е инструментът на политиката на Съюза, който задава рамката за най-добри практики за предвиждане на корпоративното преструктуриране и за справяне с него. Тя предлага цялостна рамка за начините за преодоляване на предизвикателствата на икономическот</w:t>
      </w:r>
      <w:r>
        <w:rPr>
          <w:noProof/>
        </w:rPr>
        <w:t>о приспособяване и преструктуриране и на тяхното трудово и социално въздействие с помощта на адекватни средства на политиката. Освен това тя призовава държавите членки да използват европейското и националното финансиране по такъв начин, че социалното възде</w:t>
      </w:r>
      <w:r>
        <w:rPr>
          <w:noProof/>
        </w:rPr>
        <w:t>йствие на преструктурирането, особено неблагоприятните последици върху заетостта, да бъдат смекчавани по-ефективно. Основните инструменти на Съюза за подпомагане на засегнатите работници са Европейският социален фонд плюс (ЕСФ+), чиято цел е изпреварващо о</w:t>
      </w:r>
      <w:r>
        <w:rPr>
          <w:noProof/>
        </w:rPr>
        <w:t>казване на помощ, и ЕФПГ, който е предназначен за оказване на помощ в отговор на неочаквани големи преструктурирания.</w:t>
      </w:r>
    </w:p>
    <w:p w:rsidR="000A3633" w:rsidRDefault="0078004E">
      <w:pPr>
        <w:pStyle w:val="ManualConsidrant"/>
        <w:rPr>
          <w:noProof/>
        </w:rPr>
      </w:pPr>
      <w:r>
        <w:t>(9)</w:t>
      </w:r>
      <w:r>
        <w:tab/>
      </w:r>
      <w:r>
        <w:rPr>
          <w:noProof/>
        </w:rPr>
        <w:t xml:space="preserve">ЕФПГ бе създаден с Регламент (EО) № 1927/2006 на Европейския парламент и на Съвета </w:t>
      </w:r>
      <w:hyperlink r:id="rId20" w:anchor="ntr3-L_2013347EN.01085501-E0003" w:history="1">
        <w:r>
          <w:rPr>
            <w:rStyle w:val="FootnoteReference"/>
            <w:noProof/>
          </w:rPr>
          <w:footnoteReference w:id="23"/>
        </w:r>
      </w:hyperlink>
      <w:r>
        <w:rPr>
          <w:noProof/>
        </w:rPr>
        <w:t xml:space="preserve"> за многогодишната финансова рамка за периода от 1 януари 2007 г. до 31 декември 2013 г. ЕФПГ бе създаден, за да позволи на Съюза да изразява солидарност</w:t>
      </w:r>
      <w:r>
        <w:rPr>
          <w:noProof/>
        </w:rPr>
        <w:t xml:space="preserve"> с работниците, които са загубили работните си места вследствие на големи структурни промени в моделите на световната търговия поради глобализацията.</w:t>
      </w:r>
    </w:p>
    <w:p w:rsidR="000A3633" w:rsidRDefault="0078004E">
      <w:pPr>
        <w:pStyle w:val="ManualConsidrant"/>
        <w:rPr>
          <w:noProof/>
        </w:rPr>
      </w:pPr>
      <w:r>
        <w:t>(10)</w:t>
      </w:r>
      <w:r>
        <w:tab/>
      </w:r>
      <w:r>
        <w:rPr>
          <w:noProof/>
        </w:rPr>
        <w:t>Обхватът на Регламент (ЕО) № 1927/2006 беше разширен през 2009 г. с Регламент (ЕО) № 546/2009 на Евро</w:t>
      </w:r>
      <w:r>
        <w:rPr>
          <w:noProof/>
        </w:rPr>
        <w:t>пейския парламент и на Съвета</w:t>
      </w:r>
      <w:hyperlink r:id="rId21" w:anchor="ntr4-L_2013347EN.01085501-E0004" w:history="1">
        <w:r>
          <w:rPr>
            <w:rStyle w:val="FootnoteReference"/>
            <w:noProof/>
          </w:rPr>
          <w:footnoteReference w:id="24"/>
        </w:r>
      </w:hyperlink>
      <w:r>
        <w:rPr>
          <w:noProof/>
        </w:rPr>
        <w:t xml:space="preserve"> в рамките на Европейския план за икономическо възстановяване, за да бъдат включени ра</w:t>
      </w:r>
      <w:r>
        <w:rPr>
          <w:noProof/>
        </w:rPr>
        <w:t>ботниците, които са загубили работните си места като пряка последица от световната финансова и икономическа криза.</w:t>
      </w:r>
    </w:p>
    <w:p w:rsidR="000A3633" w:rsidRDefault="0078004E">
      <w:pPr>
        <w:pStyle w:val="ManualConsidrant"/>
        <w:rPr>
          <w:noProof/>
        </w:rPr>
      </w:pPr>
      <w:r>
        <w:t>(11)</w:t>
      </w:r>
      <w:r>
        <w:tab/>
      </w:r>
      <w:r>
        <w:rPr>
          <w:noProof/>
        </w:rPr>
        <w:t>През периода на многогодишната финансова рамка от 1 януари 2014 г. до 31 декември 2020 г. Регламент (ЕС) № 1309/2013 на Европейския парл</w:t>
      </w:r>
      <w:r>
        <w:rPr>
          <w:noProof/>
        </w:rPr>
        <w:t>амент и на Съвета</w:t>
      </w:r>
      <w:r>
        <w:rPr>
          <w:rStyle w:val="FootnoteReference"/>
          <w:noProof/>
        </w:rPr>
        <w:footnoteReference w:id="25"/>
      </w:r>
      <w:r>
        <w:rPr>
          <w:noProof/>
        </w:rPr>
        <w:t xml:space="preserve"> разшири обхвата, за да включи не само съкращенията в резултат на сериозни икономически сътресения, предизвикани от продължение на световната финансова и икономическа криза, предмет на Регламент (ЕО) № 546/2009, но и от всяка нова световн</w:t>
      </w:r>
      <w:r>
        <w:rPr>
          <w:noProof/>
        </w:rPr>
        <w:t>а финансова и икономическа криза.</w:t>
      </w:r>
    </w:p>
    <w:p w:rsidR="000A3633" w:rsidRDefault="0078004E">
      <w:pPr>
        <w:pStyle w:val="ManualConsidrant"/>
        <w:rPr>
          <w:noProof/>
        </w:rPr>
      </w:pPr>
      <w:r>
        <w:t>(12)</w:t>
      </w:r>
      <w:r>
        <w:tab/>
      </w:r>
      <w:r>
        <w:rPr>
          <w:noProof/>
        </w:rPr>
        <w:t>Комисията направи междинна оценка на ЕФПГ, за да прецени как и до каква степен ЕФПГ постига целите си. ЕФПГ се оказа, че е ефективен — той постигна по-висока степен на реинтеграция на съкратените работници в сравнение</w:t>
      </w:r>
      <w:r>
        <w:rPr>
          <w:noProof/>
        </w:rPr>
        <w:t xml:space="preserve"> с предходния програмен период. В хода на оценката бе също така установено, че ЕФПГ е създал европейска добавена стойност. Това важи с пълна сила по отношение на ефекта от нейния обем, което означава, че помощта от ЕФПГ увеличава не само броя и разнообрази</w:t>
      </w:r>
      <w:r>
        <w:rPr>
          <w:noProof/>
        </w:rPr>
        <w:t>ето на предлаганите услуги, но и степента на тяхната интензивност. Освен това намесите на ЕФПГ имат висока видимост и демонстрират пряко пред широката общественост европейската добавена стойност на намесата. Констатирани бяха обаче няколко предизвикателств</w:t>
      </w:r>
      <w:r>
        <w:rPr>
          <w:noProof/>
        </w:rPr>
        <w:t>а. От една страна, процедурата за мобилизиране беше счетена за прекалено продължителна. Освен това много държави членки съобщиха за проблеми при изготвянето на обширния анализ на обстоятелствата около събитието, довело до съкращенията. Основната причина, п</w:t>
      </w:r>
      <w:r>
        <w:rPr>
          <w:noProof/>
        </w:rPr>
        <w:t>оради която държавите членки с потенциален случай, нуждаещ се от помощ по ЕФПГ, не кандидатстват за такава помощ, са проблеми, свързани с финансовия и институционалния капацитет. От една страна, това може да се дължи просто на липса на работна ръка — понас</w:t>
      </w:r>
      <w:r>
        <w:rPr>
          <w:noProof/>
        </w:rPr>
        <w:t>тоящем държавите членки могат да поискат техническа помощ само ако изпълняват случай по ЕФПГ. Тъй като съкращенията могат да възникнат неочаквано, е важно държавите членки да имат готовност за незабавно реагиране и да могат да подадат заявление без отлаган</w:t>
      </w:r>
      <w:r>
        <w:rPr>
          <w:noProof/>
        </w:rPr>
        <w:t>е. Освен това в някои държави членки изглежда са необходими по-задълбочени усилия за изграждане на институционален капацитет, за да се обезпечи ефикасното и ефективно изпълнение на случаите, свързани с ЕФПГ. Прагът от 500 съкращения бе разкритикуван като п</w:t>
      </w:r>
      <w:r>
        <w:rPr>
          <w:noProof/>
        </w:rPr>
        <w:t>рекалено висок, особено в по-слабо населените региони</w:t>
      </w:r>
      <w:r>
        <w:rPr>
          <w:rStyle w:val="FootnoteReference"/>
          <w:noProof/>
        </w:rPr>
        <w:footnoteReference w:id="26"/>
      </w:r>
      <w:r>
        <w:rPr>
          <w:noProof/>
        </w:rPr>
        <w:t>.</w:t>
      </w:r>
    </w:p>
    <w:p w:rsidR="000A3633" w:rsidRDefault="0078004E">
      <w:pPr>
        <w:pStyle w:val="ManualConsidrant"/>
        <w:rPr>
          <w:noProof/>
        </w:rPr>
      </w:pPr>
      <w:r>
        <w:t>(13)</w:t>
      </w:r>
      <w:r>
        <w:tab/>
      </w:r>
      <w:r>
        <w:rPr>
          <w:noProof/>
        </w:rPr>
        <w:t>Комисията подчертава колко е важна ролята на ЕФПГ като гъвкав фонд за оказване на подкрепа на работниците, които са загубили работните си места при големи преструктурирания, и за подпомагането им</w:t>
      </w:r>
      <w:r>
        <w:rPr>
          <w:noProof/>
        </w:rPr>
        <w:t xml:space="preserve"> да намерят друга работа възможно най-бързо. Съюзът следва да продължи да предоставя специфична, еднократна помощ, имаща за цел да улесни повторното професионално интегриране на съкратените работници в области, отрасли, територии или пазари на труда, понес</w:t>
      </w:r>
      <w:r>
        <w:rPr>
          <w:noProof/>
        </w:rPr>
        <w:t>ли удара от голям икономически срив. Като се има предвид взаимодействието и взаимното влияние на отворената търговия, технологичните промени или други фактори като прехода към нисковъглеродна икономика, и следователно като се има предвид, че става все по-т</w:t>
      </w:r>
      <w:r>
        <w:rPr>
          <w:noProof/>
        </w:rPr>
        <w:t>рудно да се изтъкне конкретен фактор, който предизвиква съкращаването на работни места, мобилизирането на ЕФПГ в бъдеще ще се основава единствено на значителното въздействие на преструктурирането. Като се има предвид предназначението му, което е да предост</w:t>
      </w:r>
      <w:r>
        <w:rPr>
          <w:noProof/>
        </w:rPr>
        <w:t xml:space="preserve">авя подкрепа в ситуации, характеризиращи се със спешни и неочаквани обстоятелства, като допълва по-изпреварващата помощ, оказвана от ЕСФ+, ЕФПГ остава гъвкав и специален инструмент извън бюджетните тавани в многогодишната финансова рамка, както е посочено </w:t>
      </w:r>
      <w:r>
        <w:rPr>
          <w:noProof/>
        </w:rPr>
        <w:t xml:space="preserve">в съобщението на Комисията. </w:t>
      </w:r>
      <w:hyperlink r:id="rId22" w:history="1">
        <w:r>
          <w:rPr>
            <w:noProof/>
          </w:rPr>
          <w:t>„Модерен бюджет за Съюз, който закриля, предоставя възможности и защитава – многогодишна финансова ра</w:t>
        </w:r>
        <w:r>
          <w:rPr>
            <w:noProof/>
          </w:rPr>
          <w:t>мка за периода 2021—2027 г.“</w:t>
        </w:r>
      </w:hyperlink>
      <w:r>
        <w:rPr>
          <w:noProof/>
        </w:rPr>
        <w:t xml:space="preserve"> и неговото </w:t>
      </w:r>
      <w:hyperlink r:id="rId23" w:history="1">
        <w:r>
          <w:rPr>
            <w:noProof/>
          </w:rPr>
          <w:t>приложение</w:t>
        </w:r>
      </w:hyperlink>
      <w:r>
        <w:rPr>
          <w:rStyle w:val="FootnoteReference"/>
          <w:noProof/>
        </w:rPr>
        <w:footnoteReference w:id="27"/>
      </w:r>
      <w:r>
        <w:rPr>
          <w:noProof/>
        </w:rPr>
        <w:t>.</w:t>
      </w:r>
    </w:p>
    <w:p w:rsidR="000A3633" w:rsidRDefault="0078004E">
      <w:pPr>
        <w:pStyle w:val="ManualConsidrant"/>
        <w:rPr>
          <w:noProof/>
        </w:rPr>
      </w:pPr>
      <w:r>
        <w:t>(14)</w:t>
      </w:r>
      <w:r>
        <w:tab/>
      </w:r>
      <w:r>
        <w:rPr>
          <w:noProof/>
        </w:rPr>
        <w:t>Както беше посочено по-горе, за да се запази европейският характер на ЕФПГ</w:t>
      </w:r>
      <w:r>
        <w:rPr>
          <w:noProof/>
        </w:rPr>
        <w:t xml:space="preserve">, основание за подаване на заявление за помощ следва да възниква, когато голямо преструктуриране окаже значително въздействие върху местната или регионалната икономика. Това въздействие следва да бъде определено от минимален брой на съкращенията в рамките </w:t>
      </w:r>
      <w:r>
        <w:rPr>
          <w:noProof/>
        </w:rPr>
        <w:t>на конкретен референтен период. Като се вземат предвид констатациите от междинната оценка, прагът се определя на 250 съкращения през четиримесечен референтен период (или 6 месеца при секторни случаи). Тъй като вълните от съкращения в различни сектори, но в</w:t>
      </w:r>
      <w:r>
        <w:rPr>
          <w:noProof/>
        </w:rPr>
        <w:t xml:space="preserve"> един и същи регион имат еднакво значимо въздействие върху местния пазар на труда, ще бъде възможно да се подават и регионални заявления. На малките пазари на труда, като например малки държави членки или отдалечени региони, включително най-отдалечените ре</w:t>
      </w:r>
      <w:r>
        <w:rPr>
          <w:noProof/>
        </w:rPr>
        <w:t>гиони по член 349 от ДФЕС, или при изключителни обстоятелства заявления могат да се подават при по-малък брой съкращения.</w:t>
      </w:r>
    </w:p>
    <w:p w:rsidR="000A3633" w:rsidRDefault="0078004E">
      <w:pPr>
        <w:pStyle w:val="ManualConsidrant"/>
        <w:rPr>
          <w:noProof/>
        </w:rPr>
      </w:pPr>
      <w:r>
        <w:t>(15)</w:t>
      </w:r>
      <w:r>
        <w:tab/>
      </w:r>
      <w:r>
        <w:rPr>
          <w:noProof/>
        </w:rPr>
        <w:t>За да се засвидетелства солидарността на Съюза със съкратените работници и самостоятелно заетите лица, чиято дейност е прекратена</w:t>
      </w:r>
      <w:r>
        <w:rPr>
          <w:noProof/>
        </w:rPr>
        <w:t>, процентът на съфинансиране на разходите за пакета от персонализирани услуги и за неговото прилагане следва да бъде равен на този на ЕСФ+ в съответната държава членка.</w:t>
      </w:r>
    </w:p>
    <w:p w:rsidR="000A3633" w:rsidRDefault="0078004E">
      <w:pPr>
        <w:pStyle w:val="ManualConsidrant"/>
        <w:rPr>
          <w:noProof/>
        </w:rPr>
      </w:pPr>
      <w:r>
        <w:t>(16)</w:t>
      </w:r>
      <w:r>
        <w:tab/>
      </w:r>
      <w:r>
        <w:rPr>
          <w:noProof/>
        </w:rPr>
        <w:t xml:space="preserve">Част от бюджета на Съюза, предназначена за ЕФПГ, следва да бъде изпълнена от </w:t>
      </w:r>
      <w:r>
        <w:rPr>
          <w:noProof/>
        </w:rPr>
        <w:t>Комисията при режим споделено управление с държавите членки по смисъла на Регламент (ЕС, Евратом) [</w:t>
      </w:r>
      <w:r>
        <w:rPr>
          <w:i/>
          <w:noProof/>
        </w:rPr>
        <w:t>number of the new Financial Regulation</w:t>
      </w:r>
      <w:r>
        <w:rPr>
          <w:noProof/>
        </w:rPr>
        <w:t>] на Европейския парламент и на Съвета</w:t>
      </w:r>
      <w:r>
        <w:rPr>
          <w:rStyle w:val="FootnoteReference"/>
          <w:noProof/>
        </w:rPr>
        <w:footnoteReference w:id="28"/>
      </w:r>
      <w:r>
        <w:rPr>
          <w:noProof/>
        </w:rPr>
        <w:t xml:space="preserve"> (наричан по-нататък „Финансовият регламент“). Поради това при привеждането на Е</w:t>
      </w:r>
      <w:r>
        <w:rPr>
          <w:noProof/>
        </w:rPr>
        <w:t>ФПГ в действие в рамките на споделено управление Комисията и държавите членки следва да спазват принципите, посочени във Финансовия регламент, като добро финансово управление, прозрачност и недопускане на дискриминация.</w:t>
      </w:r>
    </w:p>
    <w:p w:rsidR="000A3633" w:rsidRDefault="0078004E">
      <w:pPr>
        <w:pStyle w:val="ManualConsidrant"/>
        <w:rPr>
          <w:noProof/>
        </w:rPr>
      </w:pPr>
      <w:r>
        <w:t>(17)</w:t>
      </w:r>
      <w:r>
        <w:tab/>
      </w:r>
      <w:r>
        <w:rPr>
          <w:noProof/>
        </w:rPr>
        <w:t>Европейският център за монитори</w:t>
      </w:r>
      <w:r>
        <w:rPr>
          <w:noProof/>
        </w:rPr>
        <w:t>нг на промените, чието седалище е в Европейската фондация за подобряване на условията на живот и труд (Eurofound) в Дъблин, помага на Комисията и на държавите членки с качествени и количествени анализи, за да се подпомогне оценката на тенденциите в глобали</w:t>
      </w:r>
      <w:r>
        <w:rPr>
          <w:noProof/>
        </w:rPr>
        <w:t>зацията, преструктурирането и използването на ЕФПГ.</w:t>
      </w:r>
    </w:p>
    <w:p w:rsidR="000A3633" w:rsidRDefault="0078004E">
      <w:pPr>
        <w:pStyle w:val="ManualConsidrant"/>
        <w:rPr>
          <w:noProof/>
        </w:rPr>
      </w:pPr>
      <w:r>
        <w:t>(18)</w:t>
      </w:r>
      <w:r>
        <w:tab/>
      </w:r>
      <w:r>
        <w:rPr>
          <w:noProof/>
        </w:rPr>
        <w:t xml:space="preserve">Съкратените работници и самостоятелно заетите лица, чиято дейност е прекратена, следва да имат еднакъв достъп до ЕФПГ независимо от вида на техния трудов договор или техните трудовоправни отношения. </w:t>
      </w:r>
      <w:r>
        <w:rPr>
          <w:noProof/>
        </w:rPr>
        <w:t>По тази причина съкратените работници, както и самостоятелно заетите лица, чиято дейност е прекратена, следва да се считат за потенциални бенефициери по ЕФПГ за целите на настоящия регламент.</w:t>
      </w:r>
    </w:p>
    <w:p w:rsidR="000A3633" w:rsidRDefault="0078004E">
      <w:pPr>
        <w:pStyle w:val="ManualConsidrant"/>
        <w:rPr>
          <w:noProof/>
        </w:rPr>
      </w:pPr>
      <w:r>
        <w:t>(19)</w:t>
      </w:r>
      <w:r>
        <w:tab/>
      </w:r>
      <w:r>
        <w:rPr>
          <w:noProof/>
        </w:rPr>
        <w:t xml:space="preserve">Финансовият принос от ЕФПГ следва да бъде насочен предимно </w:t>
      </w:r>
      <w:r>
        <w:rPr>
          <w:noProof/>
        </w:rPr>
        <w:t>към активни мерки на пазара на труда, целящи бързото реинтегриране на бенефициерите в устойчива заетост — в първоначалния им сектор на дейност или извън него. Мерките следва да отразяват очакваните нужди на местния или регионалния пазар на труда. При все т</w:t>
      </w:r>
      <w:r>
        <w:rPr>
          <w:noProof/>
        </w:rPr>
        <w:t>ова, когато е уместно, мобилността на съкратените работници също трябва да се подкрепя, за да им се помогне да намерят нова работа на друго място. Особено внимание трябва да се обърне на разпространението на уменията, необходими в цифровата епоха. Включван</w:t>
      </w:r>
      <w:r>
        <w:rPr>
          <w:noProof/>
        </w:rPr>
        <w:t>ето на парични помощи в съгласуван пакет от персонализирани услуги следва да бъде ограничено. Предприятията могат да бъдат насърчени да участват в националното съфинансиране на подпомаганите от ЕФПГ мерки.</w:t>
      </w:r>
    </w:p>
    <w:p w:rsidR="000A3633" w:rsidRDefault="0078004E">
      <w:pPr>
        <w:pStyle w:val="ManualConsidrant"/>
        <w:rPr>
          <w:noProof/>
        </w:rPr>
      </w:pPr>
      <w:r>
        <w:t>(20)</w:t>
      </w:r>
      <w:r>
        <w:tab/>
      </w:r>
      <w:r>
        <w:rPr>
          <w:noProof/>
        </w:rPr>
        <w:t>При изготвянето на съгласувания пакет от акти</w:t>
      </w:r>
      <w:r>
        <w:rPr>
          <w:noProof/>
        </w:rPr>
        <w:t>вни мерки на политиката за пазара на труда държавите членки следва да дадат предимство на мерките, които ще допринесат значително за подобряване на пригодността за заетост на бенефициерите. Държавите членки следва да се стремят към реинтегриране в устойчив</w:t>
      </w:r>
      <w:r>
        <w:rPr>
          <w:noProof/>
        </w:rPr>
        <w:t>а заетост на възможно най-голям брой бенефициери, участващи в тези мерки, възможно най-бързо в рамките на шестмесечния период преди крайната дата за представяне на окончателния доклад за изпълнението на финансовия принос.</w:t>
      </w:r>
    </w:p>
    <w:p w:rsidR="000A3633" w:rsidRDefault="0078004E">
      <w:pPr>
        <w:pStyle w:val="ManualConsidrant"/>
        <w:rPr>
          <w:noProof/>
        </w:rPr>
      </w:pPr>
      <w:r>
        <w:t>(21)</w:t>
      </w:r>
      <w:r>
        <w:tab/>
      </w:r>
      <w:r>
        <w:rPr>
          <w:noProof/>
        </w:rPr>
        <w:t xml:space="preserve">Когато изготвят съгласувания </w:t>
      </w:r>
      <w:r>
        <w:rPr>
          <w:noProof/>
        </w:rPr>
        <w:t>пакет от активни мерки на политиката за пазара на труда, държавите членки следва да обръщат особено внимание на бенефициерите в неравностойно положение, включително младите и по-възрастните безработни лица и лицата, изложени на риск от бедност, тъй като те</w:t>
      </w:r>
      <w:r>
        <w:rPr>
          <w:noProof/>
        </w:rPr>
        <w:t>зи групи изпитват особени трудности при повторното интегриране на пазара на труда. Независимо от това, принципите на равенство на половете и недопускане на дискриминация, които са едни от основните ценности на Съюза и са залегнали в Европейския стълб на со</w:t>
      </w:r>
      <w:r>
        <w:rPr>
          <w:noProof/>
        </w:rPr>
        <w:t>циалните права, следва да бъдат спазвани и насърчавани при привеждането на ЕФПГ в действие.</w:t>
      </w:r>
    </w:p>
    <w:p w:rsidR="000A3633" w:rsidRDefault="0078004E">
      <w:pPr>
        <w:pStyle w:val="ManualConsidrant"/>
        <w:rPr>
          <w:noProof/>
        </w:rPr>
      </w:pPr>
      <w:r>
        <w:t>(22)</w:t>
      </w:r>
      <w:r>
        <w:tab/>
      </w:r>
      <w:r>
        <w:rPr>
          <w:noProof/>
        </w:rPr>
        <w:t>За да се помогне ефективно и бързо на бенефициерите, държавите членки следва да полагат максимални усилия да подават пълни заявления за финансов принос от ЕФПГ</w:t>
      </w:r>
      <w:r>
        <w:rPr>
          <w:noProof/>
        </w:rPr>
        <w:t>. Когато Комисията изисква допълнителна информация за разглеждането на дадено заявление, предоставянето на допълнителна информация следва да бъде ограничено във времето.</w:t>
      </w:r>
    </w:p>
    <w:p w:rsidR="000A3633" w:rsidRDefault="0078004E">
      <w:pPr>
        <w:pStyle w:val="ManualConsidrant"/>
        <w:rPr>
          <w:noProof/>
        </w:rPr>
      </w:pPr>
      <w:r>
        <w:t>(23)</w:t>
      </w:r>
      <w:r>
        <w:tab/>
      </w:r>
      <w:r>
        <w:rPr>
          <w:noProof/>
        </w:rPr>
        <w:t xml:space="preserve">В интерес на бенефициерите и на органите, отговарящи за изпълнението на мерките, </w:t>
      </w:r>
      <w:r>
        <w:rPr>
          <w:noProof/>
        </w:rPr>
        <w:t>кандидатстващата държава членка следва да държи всички участници в процеса на кандидатстване за помощ в течение за хода на разглеждането на заявлението.</w:t>
      </w:r>
    </w:p>
    <w:p w:rsidR="000A3633" w:rsidRDefault="0078004E">
      <w:pPr>
        <w:pStyle w:val="ManualConsidrant"/>
        <w:rPr>
          <w:noProof/>
        </w:rPr>
      </w:pPr>
      <w:r>
        <w:t>(24)</w:t>
      </w:r>
      <w:r>
        <w:tab/>
      </w:r>
      <w:r>
        <w:rPr>
          <w:noProof/>
        </w:rPr>
        <w:t>В съответствие с принципа на добро финансово управление финансовият принос от ЕФПГ следва да не за</w:t>
      </w:r>
      <w:r>
        <w:rPr>
          <w:noProof/>
        </w:rPr>
        <w:t>меня, а когато е възможно, следва да допълва мерките за подкрепа, които бенефициерите могат да ползват по линия на фондовете на Съюза или на други политики или програми на Съюза.</w:t>
      </w:r>
    </w:p>
    <w:p w:rsidR="000A3633" w:rsidRDefault="0078004E">
      <w:pPr>
        <w:pStyle w:val="ManualConsidrant"/>
        <w:rPr>
          <w:noProof/>
        </w:rPr>
      </w:pPr>
      <w:r>
        <w:t>(25)</w:t>
      </w:r>
      <w:r>
        <w:tab/>
      </w:r>
      <w:r>
        <w:rPr>
          <w:noProof/>
        </w:rPr>
        <w:t>Следва да бъдат предвидени специални разпоредби за информационните и ком</w:t>
      </w:r>
      <w:r>
        <w:rPr>
          <w:noProof/>
        </w:rPr>
        <w:t>уникационните дейности, свързани със случаите по ЕФПГ и резултатите от тях.</w:t>
      </w:r>
    </w:p>
    <w:p w:rsidR="000A3633" w:rsidRDefault="0078004E">
      <w:pPr>
        <w:pStyle w:val="ManualConsidrant"/>
        <w:rPr>
          <w:noProof/>
        </w:rPr>
      </w:pPr>
      <w:r>
        <w:t>(26)</w:t>
      </w:r>
      <w:r>
        <w:tab/>
      </w:r>
      <w:r>
        <w:rPr>
          <w:noProof/>
        </w:rPr>
        <w:t>За да се улесни прилагането на настоящия регламент, разходите следва да бъдат допустими или от датата, на която съответната държава членка започне да предоставя персонализиран</w:t>
      </w:r>
      <w:r>
        <w:rPr>
          <w:noProof/>
        </w:rPr>
        <w:t>и услуги, или от датата, на която държавата членка направи административни разходи за привеждането на ЕФПГ в действие.</w:t>
      </w:r>
    </w:p>
    <w:p w:rsidR="000A3633" w:rsidRDefault="0078004E">
      <w:pPr>
        <w:pStyle w:val="ManualConsidrant"/>
        <w:rPr>
          <w:noProof/>
        </w:rPr>
      </w:pPr>
      <w:r>
        <w:t>(27)</w:t>
      </w:r>
      <w:r>
        <w:tab/>
      </w:r>
      <w:r>
        <w:rPr>
          <w:noProof/>
        </w:rPr>
        <w:t>За да се покрият възникващите нужди, особено през първите месеци на всяка година, когато възможностите за трансфери от други бюджетн</w:t>
      </w:r>
      <w:r>
        <w:rPr>
          <w:noProof/>
        </w:rPr>
        <w:t>и редове са особено ограничени, за бюджетния ред за ЕФПГ следва да бъде осигурена подходяща сума от бюджетни кредити за плащания в рамките на годишната бюджетна процедура.</w:t>
      </w:r>
    </w:p>
    <w:p w:rsidR="000A3633" w:rsidRDefault="0078004E">
      <w:pPr>
        <w:pStyle w:val="ManualConsidrant"/>
        <w:rPr>
          <w:noProof/>
        </w:rPr>
      </w:pPr>
      <w:r>
        <w:t>(28)</w:t>
      </w:r>
      <w:r>
        <w:tab/>
      </w:r>
      <w:r>
        <w:rPr>
          <w:noProof/>
        </w:rPr>
        <w:t>[Бюджетната рамка на ЕФПГ се определя в многогодишната финансова рамка и Междуи</w:t>
      </w:r>
      <w:r>
        <w:rPr>
          <w:noProof/>
        </w:rPr>
        <w:t>нституционалното споразумение между Европейския парламент, Съвета и Комисията от [future date] относно бюджетната дисциплина, сътрудничеството по бюджетни въпроси и доброто финансово управление</w:t>
      </w:r>
      <w:hyperlink r:id="rId24" w:anchor="ntr5-L_2013347EN.01085501-E0005" w:history="1">
        <w:r>
          <w:rPr>
            <w:rStyle w:val="FootnoteReference"/>
            <w:noProof/>
          </w:rPr>
          <w:footnoteReference w:id="29"/>
        </w:r>
      </w:hyperlink>
      <w:r>
        <w:rPr>
          <w:noProof/>
        </w:rPr>
        <w:t xml:space="preserve"> („Междуинституционалното споразумение“)].</w:t>
      </w:r>
    </w:p>
    <w:p w:rsidR="000A3633" w:rsidRDefault="0078004E">
      <w:pPr>
        <w:pStyle w:val="ManualConsidrant"/>
        <w:rPr>
          <w:noProof/>
        </w:rPr>
      </w:pPr>
      <w:r>
        <w:t>(29)</w:t>
      </w:r>
      <w:r>
        <w:tab/>
      </w:r>
      <w:r>
        <w:rPr>
          <w:noProof/>
        </w:rPr>
        <w:t>В интерес на бенефициерите помощта следва да се предоставя възможно най-бързо и най-ефективно. Държавите членки и институциите н</w:t>
      </w:r>
      <w:r>
        <w:rPr>
          <w:noProof/>
        </w:rPr>
        <w:t>а Съюза, които участват в процеса на вземане на решения във връзка с ЕФПГ, следва да положат максимални усилия да съкратят времето за обработка и да опростят процедурите, за да се гарантира безпроблемното и бързо приемане на решенията за мобилизиране на ЕФ</w:t>
      </w:r>
      <w:r>
        <w:rPr>
          <w:noProof/>
        </w:rPr>
        <w:t>ПГ. Поради това в бъдеще бюджетният орган ще взема решение по подадените от Комисията искания за трансфери, като вече няма да изисква предложение на Комисията за мобилизиране на ЕФПГ.</w:t>
      </w:r>
    </w:p>
    <w:p w:rsidR="000A3633" w:rsidRDefault="0078004E">
      <w:pPr>
        <w:pStyle w:val="ManualConsidrant"/>
        <w:rPr>
          <w:noProof/>
        </w:rPr>
      </w:pPr>
      <w:r>
        <w:t>(30)</w:t>
      </w:r>
      <w:r>
        <w:tab/>
      </w:r>
      <w:r>
        <w:rPr>
          <w:noProof/>
        </w:rPr>
        <w:t xml:space="preserve">При закриване на предприятието на съкратените работници може да се </w:t>
      </w:r>
      <w:r>
        <w:rPr>
          <w:noProof/>
        </w:rPr>
        <w:t>помогне да поемат някои или всички дейности на бившия си работодател.</w:t>
      </w:r>
    </w:p>
    <w:p w:rsidR="000A3633" w:rsidRDefault="0078004E">
      <w:pPr>
        <w:pStyle w:val="ManualConsidrant"/>
        <w:rPr>
          <w:noProof/>
        </w:rPr>
      </w:pPr>
      <w:r>
        <w:t>(31)</w:t>
      </w:r>
      <w:r>
        <w:tab/>
      </w:r>
      <w:r>
        <w:rPr>
          <w:noProof/>
        </w:rPr>
        <w:t xml:space="preserve">За да може Европейският парламент да упражнява политически контрол и за да може Комисията да осъществява непрекъснат мониторинг на постигнатите с помощ от ЕФПГ резултати, държавите </w:t>
      </w:r>
      <w:r>
        <w:rPr>
          <w:noProof/>
        </w:rPr>
        <w:t>членки следва да представят окончателен доклад за изпълнението на ЕФПГ.</w:t>
      </w:r>
    </w:p>
    <w:p w:rsidR="000A3633" w:rsidRDefault="0078004E">
      <w:pPr>
        <w:pStyle w:val="ManualConsidrant"/>
        <w:rPr>
          <w:noProof/>
        </w:rPr>
      </w:pPr>
      <w:r>
        <w:t>(32)</w:t>
      </w:r>
      <w:r>
        <w:tab/>
      </w:r>
      <w:r>
        <w:rPr>
          <w:noProof/>
        </w:rPr>
        <w:t>Държавите членки следва да продължат да носят отговорност за изпълнението на финансовия принос и за управлението и контрола на действията, подпомагани с финансиране от Съюза, в съ</w:t>
      </w:r>
      <w:r>
        <w:rPr>
          <w:noProof/>
        </w:rPr>
        <w:t>ответствие с приложимите разпоредби на Регламент (ЕС, Евратом) № 966/2012 на Европейския парламент и на Съвета („Финансовият регламент“)</w:t>
      </w:r>
      <w:hyperlink r:id="rId25" w:anchor="ntr6-L_2013347EN.01085501-E0006" w:history="1">
        <w:r>
          <w:rPr>
            <w:rStyle w:val="FootnoteReference"/>
            <w:noProof/>
          </w:rPr>
          <w:footnoteReference w:id="30"/>
        </w:r>
      </w:hyperlink>
      <w:r>
        <w:rPr>
          <w:noProof/>
        </w:rPr>
        <w:t xml:space="preserve"> или следващия го регламент. Държавите членки следва да обосноват усвояването на предоставения от ЕФПГ финансов принос. Поради краткия срок за изпълнение на операциите по ЕФПГ задълженията за докладване следва да отразяват спе</w:t>
      </w:r>
      <w:r>
        <w:rPr>
          <w:noProof/>
        </w:rPr>
        <w:t>цифичния характер на намесите по линия на ЕФПГ.</w:t>
      </w:r>
    </w:p>
    <w:p w:rsidR="000A3633" w:rsidRDefault="0078004E">
      <w:pPr>
        <w:pStyle w:val="ManualConsidrant"/>
        <w:rPr>
          <w:noProof/>
        </w:rPr>
      </w:pPr>
      <w:r>
        <w:t>(33)</w:t>
      </w:r>
      <w:r>
        <w:tab/>
      </w:r>
      <w:r>
        <w:rPr>
          <w:noProof/>
        </w:rPr>
        <w:t>Държавите членки следва също да предотвратяват, да откриват и да се справят ефективно с всички нередности, включително измами, извършени от бенефициерите. Освен това, в съответствие с Регламент (ЕС, Евра</w:t>
      </w:r>
      <w:r>
        <w:rPr>
          <w:noProof/>
        </w:rPr>
        <w:t>том) № 883/2013</w:t>
      </w:r>
      <w:r>
        <w:rPr>
          <w:rStyle w:val="FootnoteReference"/>
          <w:noProof/>
        </w:rPr>
        <w:footnoteReference w:id="31"/>
      </w:r>
      <w:r>
        <w:rPr>
          <w:noProof/>
        </w:rPr>
        <w:t xml:space="preserve"> и с регламенти (Евратом, ЕО) № 2988/95</w:t>
      </w:r>
      <w:r>
        <w:rPr>
          <w:rStyle w:val="FootnoteReference"/>
          <w:noProof/>
        </w:rPr>
        <w:footnoteReference w:id="32"/>
      </w:r>
      <w:r>
        <w:rPr>
          <w:noProof/>
        </w:rPr>
        <w:t xml:space="preserve"> и (ЕО) № 2185/96</w:t>
      </w:r>
      <w:r>
        <w:rPr>
          <w:rStyle w:val="FootnoteReference"/>
          <w:noProof/>
        </w:rPr>
        <w:footnoteReference w:id="33"/>
      </w:r>
      <w:r>
        <w:rPr>
          <w:noProof/>
        </w:rPr>
        <w:t>, Европейската служба за борба с измамите (OLAF) може да извършва административни разследвания, включително проверки и инспекции на място, с цел установяване дали е налице измама, ко</w:t>
      </w:r>
      <w:r>
        <w:rPr>
          <w:noProof/>
        </w:rPr>
        <w:t>рупция или друга незаконна дейност, засягаща финансовите интереси на Съюза. В съответствие с Регламент (ЕС) 2017/1939</w:t>
      </w:r>
      <w:r>
        <w:rPr>
          <w:rStyle w:val="FootnoteReference"/>
          <w:noProof/>
        </w:rPr>
        <w:footnoteReference w:id="34"/>
      </w:r>
      <w:r>
        <w:rPr>
          <w:noProof/>
        </w:rPr>
        <w:t xml:space="preserve"> Европейската прокуратура може да разследва и преследва по наказателен ред измами и други престъпления, засягащи финансовите интереси на С</w:t>
      </w:r>
      <w:r>
        <w:rPr>
          <w:noProof/>
        </w:rPr>
        <w:t>ъюза, както е предвидено в Директива (ЕС) 2017/1371</w:t>
      </w:r>
      <w:r>
        <w:rPr>
          <w:rStyle w:val="FootnoteReference"/>
          <w:noProof/>
        </w:rPr>
        <w:footnoteReference w:id="35"/>
      </w:r>
      <w:r>
        <w:rPr>
          <w:noProof/>
        </w:rPr>
        <w:t xml:space="preserve"> относно борбата с измамите, засягащи финансовите интереси на Съюза, по наказателноправен ред. Държавите членки следва да предприемат необходимите мерки всички лица и субекти, получаващи средства от Съюза</w:t>
      </w:r>
      <w:r>
        <w:rPr>
          <w:noProof/>
        </w:rPr>
        <w:t xml:space="preserve">, да сътрудничат изцяло при защитата на финансовите интереси на Съюза, да предоставят необходимите права и достъп на Комисията, Европейската служба за борба с измамите (OLAF), Европейската прокуратура и Европейската сметна палата (ЕСП) и да гарантират, че </w:t>
      </w:r>
      <w:r>
        <w:rPr>
          <w:noProof/>
        </w:rPr>
        <w:t xml:space="preserve">всички трети страни, участващи в усвояването на средства от Съюза, предоставят равностойни права. Държавите членки следва да докладват на Комисията за откритите нередности, включително измами, и за последващите действия, предприети във връзка с тях, както </w:t>
      </w:r>
      <w:r>
        <w:rPr>
          <w:noProof/>
        </w:rPr>
        <w:t>и за последващите действия, предприети във връзка с разследванията на OLAF.</w:t>
      </w:r>
    </w:p>
    <w:p w:rsidR="000A3633" w:rsidRDefault="0078004E">
      <w:pPr>
        <w:pStyle w:val="ManualConsidrant"/>
        <w:rPr>
          <w:rFonts w:eastAsia="Calibri"/>
          <w:noProof/>
        </w:rPr>
      </w:pPr>
      <w:r>
        <w:t>(34)</w:t>
      </w:r>
      <w:r>
        <w:tab/>
      </w:r>
      <w:r>
        <w:rPr>
          <w:noProof/>
        </w:rPr>
        <w:t>В съответствие с Финансовия регламент, Регламент (ЕС, Евратом) № 883/2013 на Европейския парламент и на Съвета[1], Регламент (ЕО, Евратом) № 2988/95[2] на Съвета, Регламент (Е</w:t>
      </w:r>
      <w:r>
        <w:rPr>
          <w:noProof/>
        </w:rPr>
        <w:t>вратом, ЕО) № 2185/96[3] на Съвета и Регламент (ЕС) 2017/1939[4] на Съвета финансовите интереси на Съюза следва да се защитават посредством пропорционални мерки, включително посредством предотвратяване, откриване, коригиране и разследване на нередности и и</w:t>
      </w:r>
      <w:r>
        <w:rPr>
          <w:noProof/>
        </w:rPr>
        <w:t>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w:t>
      </w:r>
      <w:r>
        <w:rPr>
          <w:noProof/>
        </w:rPr>
        <w:t>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w:t>
      </w:r>
      <w:r>
        <w:rPr>
          <w:noProof/>
        </w:rPr>
        <w:t>) 2017/1939 Европейската прокуратура може да разследва и да преследва по наказателен ред измами и други незаконни дейности, засягащи финансовите интереси на Съюза, както е предвидено в Директива (ЕС) 2017/1371 на Европейския парламент и на Съвета[5]. В съо</w:t>
      </w:r>
      <w:r>
        <w:rPr>
          <w:noProof/>
        </w:rPr>
        <w:t>тветствие с Финансовия регламент всички лица или субекти, получаващи средства от Съюза, следва да оказват пълно сътрудничество при защитата на финансовите интереси на Съюза, да предоставят необходимите права и достъп на Комисията, OLAF, Европейската прокур</w:t>
      </w:r>
      <w:r>
        <w:rPr>
          <w:noProof/>
        </w:rPr>
        <w:t>атура и Европейската сметна палата (ЕСП) и да гарантират, че всички трети страни, участващи в усвояването на средства от Съюза, предоставят равностойни права.</w:t>
      </w:r>
    </w:p>
    <w:p w:rsidR="000A3633" w:rsidRDefault="0078004E">
      <w:pPr>
        <w:pStyle w:val="ManualConsidrant"/>
        <w:rPr>
          <w:rFonts w:eastAsia="Calibri"/>
          <w:noProof/>
        </w:rPr>
      </w:pPr>
      <w:r>
        <w:t>(35)</w:t>
      </w:r>
      <w:r>
        <w:tab/>
      </w:r>
      <w:r>
        <w:rPr>
          <w:noProof/>
        </w:rPr>
        <w:t>Хоризонталните финансови правила, приети от Европейския парламент и от Съвета на основание н</w:t>
      </w:r>
      <w:r>
        <w:rPr>
          <w:noProof/>
        </w:rPr>
        <w:t>а член 322 от Договора за функционирането на Европейския съюз, се прилагат за настоящия регламент. Тези правила са установени във Финансовия регламент и определят по-специално процедурата за изготвяне и изпълнение на бюджета чрез безвъзмездни средства, общ</w:t>
      </w:r>
      <w:r>
        <w:rPr>
          <w:noProof/>
        </w:rPr>
        <w:t xml:space="preserve">ествени поръчки, награди и непряко изпълнение и предвиждат извършването на проверки на отговорността на финансовите участници. Правилата, приети на основание на член 322 от ДФЕС, се отнасят и до защитата на бюджета на Съюза в случай на всеобщи слабости по </w:t>
      </w:r>
      <w:r>
        <w:rPr>
          <w:noProof/>
        </w:rPr>
        <w:t>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rsidR="000A3633" w:rsidRDefault="0078004E">
      <w:pPr>
        <w:pStyle w:val="ManualConsidrant"/>
        <w:rPr>
          <w:noProof/>
        </w:rPr>
      </w:pPr>
      <w:r>
        <w:t>(36)</w:t>
      </w:r>
      <w:r>
        <w:tab/>
      </w:r>
      <w:r>
        <w:rPr>
          <w:noProof/>
        </w:rPr>
        <w:t xml:space="preserve">Съгласно точки 22 и 23 от </w:t>
      </w:r>
      <w:r>
        <w:rPr>
          <w:noProof/>
        </w:rPr>
        <w:t>Междуинституционалното споразумение за по-добро законотворчество от 13 април 2016 г. тази програма трябва да бъде оценена въз основа на информацията, събрана чрез специфични изисквания за мониторинг, като се избягват свръхрегулирането и административната т</w:t>
      </w:r>
      <w:r>
        <w:rPr>
          <w:noProof/>
        </w:rPr>
        <w:t>ежест, по-специално по отношение на държавите членки. Когато е целесъобразно, тези изисквания могат да включват измерими показатели като база за оценка на въздействието на програмата на място.</w:t>
      </w:r>
    </w:p>
    <w:p w:rsidR="000A3633" w:rsidRDefault="0078004E">
      <w:pPr>
        <w:pStyle w:val="ManualConsidrant"/>
        <w:rPr>
          <w:noProof/>
        </w:rPr>
      </w:pPr>
      <w:r>
        <w:t>(37)</w:t>
      </w:r>
      <w:r>
        <w:tab/>
      </w:r>
      <w:r>
        <w:rPr>
          <w:noProof/>
        </w:rPr>
        <w:t>Като отразява значението на борбата с изменението на клима</w:t>
      </w:r>
      <w:r>
        <w:rPr>
          <w:noProof/>
        </w:rPr>
        <w:t>та в съответствие с ангажиментите на Съюза за изпълнение на Парижкото споразумение и целите на ООН за устойчиво развитие, тази програма ще допринесе за включването на действията по климата в политиките на Съюза и за постигането на обща цел 25 % от разходит</w:t>
      </w:r>
      <w:r>
        <w:rPr>
          <w:noProof/>
        </w:rPr>
        <w:t>е на бюджета на ЕС да подпомагат постигането на целите в областта на климата. Необходимите действия ще бъдат определени по време на подготвянето на фонда и неговото привеждане в действие и ще бъдат преразгледани в контекста на неговата оценка.</w:t>
      </w:r>
    </w:p>
    <w:p w:rsidR="000A3633" w:rsidRDefault="0078004E">
      <w:pPr>
        <w:pStyle w:val="ManualConsidrant"/>
        <w:rPr>
          <w:noProof/>
        </w:rPr>
      </w:pPr>
      <w:r>
        <w:t>(38)</w:t>
      </w:r>
      <w:r>
        <w:tab/>
      </w:r>
      <w:r>
        <w:rPr>
          <w:noProof/>
        </w:rPr>
        <w:t>Доколко</w:t>
      </w:r>
      <w:r>
        <w:rPr>
          <w:noProof/>
        </w:rPr>
        <w:t>то целите на настоящия регламент не могат да бъдат постигнати в достатъчна степен от държавите членки, а поради мащаба и последиците си могат да бъдат по-добре постигнати на равнището на Съюза, Съюзът може да приеме мерки в съответствие с принципа на субси</w:t>
      </w:r>
      <w:r>
        <w:rPr>
          <w:noProof/>
        </w:rPr>
        <w:t>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0A3633" w:rsidRDefault="0078004E">
      <w:pPr>
        <w:pStyle w:val="ManualConsidrant"/>
        <w:rPr>
          <w:noProof/>
        </w:rPr>
      </w:pPr>
      <w:r>
        <w:t>(39)</w:t>
      </w:r>
      <w:r>
        <w:tab/>
      </w:r>
      <w:r>
        <w:rPr>
          <w:noProof/>
        </w:rPr>
        <w:t>Поради факта, че цифровата трансформация на икон</w:t>
      </w:r>
      <w:r>
        <w:rPr>
          <w:noProof/>
        </w:rPr>
        <w:t>омиката изисква определено ниво на цифрова компетентност на работната сила, разпространението на умения, които се изискват в цифровата епоха, следва да бъде задължителен хоризонтален елемент на всеки съгласуван пакет от персонализирани услуги, който се пре</w:t>
      </w:r>
      <w:r>
        <w:rPr>
          <w:noProof/>
        </w:rPr>
        <w:t>длага,</w:t>
      </w:r>
    </w:p>
    <w:p w:rsidR="000A3633" w:rsidRDefault="0078004E">
      <w:pPr>
        <w:pStyle w:val="Formuledadoption"/>
        <w:rPr>
          <w:noProof/>
        </w:rPr>
      </w:pPr>
      <w:r>
        <w:rPr>
          <w:noProof/>
        </w:rPr>
        <w:t>ПРИЕХА НАСТОЯЩИЯ РЕГЛАМЕНТ:</w:t>
      </w:r>
    </w:p>
    <w:p w:rsidR="000A3633" w:rsidRDefault="0078004E">
      <w:pPr>
        <w:pStyle w:val="Titrearticle"/>
        <w:rPr>
          <w:noProof/>
        </w:rPr>
      </w:pPr>
      <w:r>
        <w:rPr>
          <w:noProof/>
        </w:rPr>
        <w:t>Член 1</w:t>
      </w:r>
    </w:p>
    <w:p w:rsidR="000A3633" w:rsidRDefault="0078004E">
      <w:pPr>
        <w:pStyle w:val="Normalcenteredbold"/>
        <w:rPr>
          <w:noProof/>
        </w:rPr>
      </w:pPr>
      <w:r>
        <w:rPr>
          <w:noProof/>
        </w:rPr>
        <w:t>Предмет</w:t>
      </w:r>
    </w:p>
    <w:p w:rsidR="000A3633" w:rsidRDefault="0078004E">
      <w:pPr>
        <w:rPr>
          <w:noProof/>
        </w:rPr>
      </w:pPr>
      <w:r>
        <w:rPr>
          <w:noProof/>
        </w:rPr>
        <w:t>С настоящия регламент се създава Европейски фонд за приспособяване към глобализацията (ЕФПГ).</w:t>
      </w:r>
    </w:p>
    <w:p w:rsidR="000A3633" w:rsidRDefault="0078004E">
      <w:pPr>
        <w:rPr>
          <w:noProof/>
        </w:rPr>
      </w:pPr>
      <w:r>
        <w:rPr>
          <w:noProof/>
        </w:rPr>
        <w:t>В него се определят целите на ЕФПГ, формите на финансиране от Съюза и правилата за предоставяне на такова финанс</w:t>
      </w:r>
      <w:r>
        <w:rPr>
          <w:noProof/>
        </w:rPr>
        <w:t>иране, включително заявленията от държавите членки за финансов принос от ЕФПГ за мерки, насочени към бенефициерите, посочени в член 7.</w:t>
      </w:r>
    </w:p>
    <w:p w:rsidR="000A3633" w:rsidRDefault="0078004E">
      <w:pPr>
        <w:pStyle w:val="Titrearticle"/>
        <w:rPr>
          <w:noProof/>
        </w:rPr>
      </w:pPr>
      <w:r>
        <w:rPr>
          <w:noProof/>
        </w:rPr>
        <w:t>Член 2</w:t>
      </w:r>
    </w:p>
    <w:p w:rsidR="000A3633" w:rsidRDefault="0078004E">
      <w:pPr>
        <w:pStyle w:val="Normalcenteredbold"/>
        <w:rPr>
          <w:noProof/>
        </w:rPr>
      </w:pPr>
      <w:r>
        <w:rPr>
          <w:noProof/>
        </w:rPr>
        <w:t>Мисия</w:t>
      </w:r>
    </w:p>
    <w:p w:rsidR="000A3633" w:rsidRDefault="0078004E">
      <w:pPr>
        <w:rPr>
          <w:noProof/>
        </w:rPr>
      </w:pPr>
      <w:r>
        <w:rPr>
          <w:noProof/>
        </w:rPr>
        <w:t xml:space="preserve">ЕФПГ допринася за по-добро разпределение на ползите от глобализацията и технологичния напредък, като помага </w:t>
      </w:r>
      <w:r>
        <w:rPr>
          <w:noProof/>
        </w:rPr>
        <w:t xml:space="preserve">на съкратените работници да се адаптират към структурните промени. По този начин ЕФПГ допринася за прилагането на принципите, определени в рамките на Европейския стълб на социалните права, и подобрява социалното и икономическото сближаване между регионите </w:t>
      </w:r>
      <w:r>
        <w:rPr>
          <w:noProof/>
        </w:rPr>
        <w:t>и държавите членки.</w:t>
      </w:r>
    </w:p>
    <w:p w:rsidR="000A3633" w:rsidRDefault="0078004E">
      <w:pPr>
        <w:pStyle w:val="Titrearticle"/>
        <w:rPr>
          <w:noProof/>
        </w:rPr>
      </w:pPr>
      <w:r>
        <w:rPr>
          <w:noProof/>
        </w:rPr>
        <w:t>Член 3</w:t>
      </w:r>
    </w:p>
    <w:p w:rsidR="000A3633" w:rsidRDefault="0078004E">
      <w:pPr>
        <w:pStyle w:val="Normalcenteredbold"/>
        <w:rPr>
          <w:noProof/>
        </w:rPr>
      </w:pPr>
      <w:r>
        <w:rPr>
          <w:noProof/>
        </w:rPr>
        <w:t>Цели</w:t>
      </w:r>
    </w:p>
    <w:p w:rsidR="000A3633" w:rsidRDefault="0078004E">
      <w:pPr>
        <w:pStyle w:val="ManualNumPar1"/>
        <w:rPr>
          <w:noProof/>
        </w:rPr>
      </w:pPr>
      <w:r>
        <w:rPr>
          <w:noProof/>
        </w:rPr>
        <w:t>1.</w:t>
      </w:r>
      <w:r>
        <w:rPr>
          <w:noProof/>
        </w:rPr>
        <w:tab/>
        <w:t>Общата цел на програмата е да демонстрира солидарност и да предложи подкрепа на съкратените работници и на самостоятелно заетите лица, които са преустановили дейността си в хода на неочаквани големи преструктурирания, пос</w:t>
      </w:r>
      <w:r>
        <w:rPr>
          <w:noProof/>
        </w:rPr>
        <w:t>очени в член 5.</w:t>
      </w:r>
    </w:p>
    <w:p w:rsidR="000A3633" w:rsidRDefault="0078004E">
      <w:pPr>
        <w:pStyle w:val="ManualNumPar1"/>
        <w:rPr>
          <w:noProof/>
        </w:rPr>
      </w:pPr>
      <w:r>
        <w:rPr>
          <w:noProof/>
        </w:rPr>
        <w:t>2.</w:t>
      </w:r>
      <w:r>
        <w:rPr>
          <w:noProof/>
        </w:rPr>
        <w:tab/>
        <w:t>Конкретната цел на ЕФПГ е да предложи помощ в случай на неочаквани големи преструктурирания, и по-специално тези, причинени от предизвикателства, свързани с глобализацията, като например промени в моделите на световната търговия, търговс</w:t>
      </w:r>
      <w:r>
        <w:rPr>
          <w:noProof/>
        </w:rPr>
        <w:t>ки спорове, финансови или икономически кризи, прехода към нисковъглеродна икономика или вследствие на цифровизацията или автоматизацията. Особен акцент се поставя върху мерките, които помагат на групите в най-неравностойно положение.</w:t>
      </w:r>
    </w:p>
    <w:p w:rsidR="000A3633" w:rsidRDefault="0078004E">
      <w:pPr>
        <w:pStyle w:val="Titrearticle"/>
        <w:rPr>
          <w:noProof/>
        </w:rPr>
      </w:pPr>
      <w:r>
        <w:rPr>
          <w:noProof/>
        </w:rPr>
        <w:t>Член 4</w:t>
      </w:r>
    </w:p>
    <w:p w:rsidR="000A3633" w:rsidRDefault="0078004E">
      <w:pPr>
        <w:pStyle w:val="Normalcenteredbold"/>
        <w:rPr>
          <w:noProof/>
        </w:rPr>
      </w:pPr>
      <w:r>
        <w:rPr>
          <w:noProof/>
        </w:rPr>
        <w:t>Определения</w:t>
      </w:r>
    </w:p>
    <w:p w:rsidR="000A3633" w:rsidRDefault="0078004E">
      <w:pPr>
        <w:rPr>
          <w:noProof/>
        </w:rPr>
      </w:pPr>
      <w:r>
        <w:rPr>
          <w:noProof/>
        </w:rPr>
        <w:t xml:space="preserve">За </w:t>
      </w:r>
      <w:r>
        <w:rPr>
          <w:noProof/>
        </w:rPr>
        <w:t>целите на настоящия регламент:</w:t>
      </w:r>
    </w:p>
    <w:p w:rsidR="000A3633" w:rsidRDefault="0078004E">
      <w:pPr>
        <w:pStyle w:val="Point0"/>
        <w:rPr>
          <w:noProof/>
        </w:rPr>
      </w:pPr>
      <w:r>
        <w:rPr>
          <w:noProof/>
        </w:rPr>
        <w:t>а)</w:t>
      </w:r>
      <w:r>
        <w:rPr>
          <w:noProof/>
        </w:rPr>
        <w:tab/>
        <w:t>„съкратен работник“ означава работник, чиято заетост е преустановена преждевременно поради съкращаването му или чийто договор не е подновен поради икономически причини;</w:t>
      </w:r>
    </w:p>
    <w:p w:rsidR="000A3633" w:rsidRDefault="0078004E">
      <w:pPr>
        <w:pStyle w:val="Point0"/>
        <w:rPr>
          <w:noProof/>
        </w:rPr>
      </w:pPr>
      <w:r>
        <w:rPr>
          <w:noProof/>
        </w:rPr>
        <w:t>б)</w:t>
      </w:r>
      <w:r>
        <w:rPr>
          <w:noProof/>
        </w:rPr>
        <w:tab/>
        <w:t xml:space="preserve">„самостоятелно заето лице“ означава лице, което е </w:t>
      </w:r>
      <w:r>
        <w:rPr>
          <w:noProof/>
        </w:rPr>
        <w:t>наело по-малко от 10 работници;</w:t>
      </w:r>
    </w:p>
    <w:p w:rsidR="000A3633" w:rsidRDefault="0078004E">
      <w:pPr>
        <w:pStyle w:val="Point0"/>
        <w:rPr>
          <w:noProof/>
        </w:rPr>
      </w:pPr>
      <w:r>
        <w:rPr>
          <w:noProof/>
        </w:rPr>
        <w:t>в)</w:t>
      </w:r>
      <w:r>
        <w:rPr>
          <w:noProof/>
        </w:rPr>
        <w:tab/>
        <w:t>„бенефициер“ означава лице, което участва в мерки, съфинансирани от ЕФПГ;</w:t>
      </w:r>
    </w:p>
    <w:p w:rsidR="000A3633" w:rsidRDefault="0078004E">
      <w:pPr>
        <w:pStyle w:val="Point0"/>
        <w:rPr>
          <w:noProof/>
        </w:rPr>
      </w:pPr>
      <w:r>
        <w:rPr>
          <w:noProof/>
        </w:rPr>
        <w:t>г)</w:t>
      </w:r>
      <w:r>
        <w:rPr>
          <w:noProof/>
        </w:rPr>
        <w:tab/>
        <w:t>„нередност“ означава всяко нарушение на приложимото право, произтичащо от действие или бездействие на икономически оператор, участващ в привежда</w:t>
      </w:r>
      <w:r>
        <w:rPr>
          <w:noProof/>
        </w:rPr>
        <w:t>нето в действие на ЕФПГ, което има или би имало като последица нанасянето на вреда на бюджета на Съюза чрез начисляване на неоправдан разход за този бюджет.</w:t>
      </w:r>
    </w:p>
    <w:p w:rsidR="000A3633" w:rsidRDefault="0078004E">
      <w:pPr>
        <w:pStyle w:val="Titrearticle"/>
        <w:rPr>
          <w:noProof/>
        </w:rPr>
      </w:pPr>
      <w:r>
        <w:rPr>
          <w:noProof/>
        </w:rPr>
        <w:t>Член 5</w:t>
      </w:r>
    </w:p>
    <w:p w:rsidR="000A3633" w:rsidRDefault="0078004E">
      <w:pPr>
        <w:pStyle w:val="Normalcenteredbold"/>
        <w:rPr>
          <w:noProof/>
        </w:rPr>
      </w:pPr>
      <w:r>
        <w:rPr>
          <w:noProof/>
        </w:rPr>
        <w:t>Критерии за намеса</w:t>
      </w:r>
    </w:p>
    <w:p w:rsidR="000A3633" w:rsidRDefault="0078004E">
      <w:pPr>
        <w:pStyle w:val="ManualNumPar1"/>
        <w:rPr>
          <w:noProof/>
        </w:rPr>
      </w:pPr>
      <w:bookmarkStart w:id="1" w:name="_Ref511058494"/>
      <w:r>
        <w:rPr>
          <w:noProof/>
        </w:rPr>
        <w:t>1.</w:t>
      </w:r>
      <w:r>
        <w:rPr>
          <w:noProof/>
        </w:rPr>
        <w:tab/>
        <w:t xml:space="preserve">Държавите членки могат да кандидатстват за финансов принос от ЕФПГ за </w:t>
      </w:r>
      <w:r>
        <w:rPr>
          <w:noProof/>
        </w:rPr>
        <w:t>мерки, насочени към съкратени работници и самостоятелно заети лица, в съответствие с разпоредбите, предвидени в настоящия член.</w:t>
      </w:r>
    </w:p>
    <w:p w:rsidR="000A3633" w:rsidRDefault="0078004E">
      <w:pPr>
        <w:pStyle w:val="ManualNumPar1"/>
        <w:rPr>
          <w:noProof/>
        </w:rPr>
      </w:pPr>
      <w:r>
        <w:rPr>
          <w:noProof/>
        </w:rPr>
        <w:t>2.</w:t>
      </w:r>
      <w:r>
        <w:rPr>
          <w:noProof/>
        </w:rPr>
        <w:tab/>
        <w:t>Финансов принос от ЕФПГ се предоставя в случай на големи преструктурирания, които водят до следното:</w:t>
      </w:r>
      <w:bookmarkEnd w:id="1"/>
    </w:p>
    <w:p w:rsidR="000A3633" w:rsidRDefault="0078004E">
      <w:pPr>
        <w:pStyle w:val="Point1"/>
        <w:rPr>
          <w:noProof/>
        </w:rPr>
      </w:pPr>
      <w:bookmarkStart w:id="2" w:name="_Ref511224499"/>
      <w:r>
        <w:rPr>
          <w:noProof/>
        </w:rPr>
        <w:t>а)</w:t>
      </w:r>
      <w:r>
        <w:rPr>
          <w:noProof/>
        </w:rPr>
        <w:tab/>
        <w:t>прекратяване на дейно</w:t>
      </w:r>
      <w:r>
        <w:rPr>
          <w:noProof/>
        </w:rPr>
        <w:t>стта на над 250 съкратени работници или самостоятелно заети лица за референтен период от четири месеца в предприятие в държава членка, включително когато това прекратяване се случва при негови доставчици или производители надолу по веригата;</w:t>
      </w:r>
      <w:bookmarkEnd w:id="2"/>
    </w:p>
    <w:p w:rsidR="000A3633" w:rsidRDefault="0078004E">
      <w:pPr>
        <w:pStyle w:val="Point1"/>
        <w:rPr>
          <w:noProof/>
        </w:rPr>
      </w:pPr>
      <w:bookmarkStart w:id="3" w:name="_Ref511224507"/>
      <w:r>
        <w:rPr>
          <w:noProof/>
        </w:rPr>
        <w:t>б)</w:t>
      </w:r>
      <w:r>
        <w:rPr>
          <w:noProof/>
        </w:rPr>
        <w:tab/>
        <w:t>прекратяван</w:t>
      </w:r>
      <w:r>
        <w:rPr>
          <w:noProof/>
        </w:rPr>
        <w:t>е на дейността на над 250 работници или самостоятелно заети лица за референтен период от шест месеца, по-специално в МСП, където всички извършват дейност в същия икономически сектор, определен на равнището на разделенията на NACE Rev. 2, и разположени в ед</w:t>
      </w:r>
      <w:r>
        <w:rPr>
          <w:noProof/>
        </w:rPr>
        <w:t>ин регион или в два съседни региона, определени на ниво 2 по NUTS, или в повече от два съседни региона на ниво 2 по NUTS, при условие че има над 250 засегнати работници или самостоятелно заети лица в два от регионите, взети заедно;</w:t>
      </w:r>
      <w:bookmarkEnd w:id="3"/>
    </w:p>
    <w:p w:rsidR="000A3633" w:rsidRDefault="0078004E">
      <w:pPr>
        <w:pStyle w:val="Point1"/>
        <w:rPr>
          <w:noProof/>
        </w:rPr>
      </w:pPr>
      <w:bookmarkStart w:id="4" w:name="_Ref511224516"/>
      <w:r>
        <w:rPr>
          <w:noProof/>
        </w:rPr>
        <w:t>в)</w:t>
      </w:r>
      <w:r>
        <w:rPr>
          <w:noProof/>
        </w:rPr>
        <w:tab/>
        <w:t>прекратяване на дейно</w:t>
      </w:r>
      <w:r>
        <w:rPr>
          <w:noProof/>
        </w:rPr>
        <w:t>стта на над 250 съкратени работници или самостоятелно заети лица за референтен период от четири месеца, особено в МСП, извършващи дейност в същия или различни икономически сектори, определени на равнището на разделенията на NACE Rev. 2, и разположени в еди</w:t>
      </w:r>
      <w:r>
        <w:rPr>
          <w:noProof/>
        </w:rPr>
        <w:t>н и същ регион, определен на ниво 2 по NUTS.</w:t>
      </w:r>
      <w:bookmarkEnd w:id="4"/>
    </w:p>
    <w:p w:rsidR="000A3633" w:rsidRDefault="0078004E">
      <w:pPr>
        <w:pStyle w:val="ManualNumPar1"/>
        <w:rPr>
          <w:noProof/>
        </w:rPr>
      </w:pPr>
      <w:bookmarkStart w:id="5" w:name="_Ref511209332"/>
      <w:r>
        <w:rPr>
          <w:noProof/>
        </w:rPr>
        <w:t>3.</w:t>
      </w:r>
      <w:r>
        <w:rPr>
          <w:noProof/>
        </w:rPr>
        <w:tab/>
        <w:t>На малки пазари на труда или при изключителни обстоятелства, по-конкретно по отношение на заявленията, включващи МСП, при надлежно обосноваване от кандидатстващата държава членка, дадено заявление за финансов</w:t>
      </w:r>
      <w:r>
        <w:rPr>
          <w:noProof/>
        </w:rPr>
        <w:t xml:space="preserve"> принос по смисъла на настоящия член може да се приеме за допустимо, дори ако критериите, определени в параграф 1, букви а), б) или в), не са изпълнени изцяло, когато съкращенията влияят сериозно на заетостта и на местната или регионалната икономика. Канди</w:t>
      </w:r>
      <w:r>
        <w:rPr>
          <w:noProof/>
        </w:rPr>
        <w:t>датстващата държава членка посочва кои от критериите за намеса, посочени в параграф 1, букви а), б) или в), не са изпълнени изцяло. Общият размер на приносите при извънредни обстоятелства не може да надвишава 15 % от годишния таван на ЕФПГ.</w:t>
      </w:r>
      <w:bookmarkEnd w:id="5"/>
    </w:p>
    <w:p w:rsidR="000A3633" w:rsidRDefault="0078004E">
      <w:pPr>
        <w:pStyle w:val="ManualNumPar1"/>
        <w:rPr>
          <w:noProof/>
        </w:rPr>
      </w:pPr>
      <w:r>
        <w:rPr>
          <w:noProof/>
        </w:rPr>
        <w:t>4.</w:t>
      </w:r>
      <w:r>
        <w:rPr>
          <w:noProof/>
        </w:rPr>
        <w:tab/>
        <w:t>ЕФПГ не може</w:t>
      </w:r>
      <w:r>
        <w:rPr>
          <w:noProof/>
        </w:rPr>
        <w:t xml:space="preserve"> да бъде мобилизиран при освобождаване на работниците в резултат на бюджетни съкращения, предприети от държава членка, които засягат сектори, зависещи от публичното финансиране.</w:t>
      </w:r>
    </w:p>
    <w:p w:rsidR="000A3633" w:rsidRDefault="0078004E">
      <w:pPr>
        <w:pStyle w:val="Titrearticle"/>
        <w:rPr>
          <w:noProof/>
        </w:rPr>
      </w:pPr>
      <w:r>
        <w:rPr>
          <w:noProof/>
        </w:rPr>
        <w:t>Член 6</w:t>
      </w:r>
    </w:p>
    <w:p w:rsidR="000A3633" w:rsidRDefault="0078004E">
      <w:pPr>
        <w:pStyle w:val="Normalcenteredbold"/>
        <w:rPr>
          <w:noProof/>
        </w:rPr>
      </w:pPr>
      <w:r>
        <w:rPr>
          <w:noProof/>
        </w:rPr>
        <w:t>Изчисляване на броя на съкращенията и на случаите на прекратяване на де</w:t>
      </w:r>
      <w:r>
        <w:rPr>
          <w:noProof/>
        </w:rPr>
        <w:t>йност</w:t>
      </w:r>
    </w:p>
    <w:p w:rsidR="000A3633" w:rsidRDefault="0078004E">
      <w:pPr>
        <w:pStyle w:val="ManualNumPar1"/>
        <w:rPr>
          <w:noProof/>
        </w:rPr>
      </w:pPr>
      <w:bookmarkStart w:id="6" w:name="_Ref511058245"/>
      <w:r>
        <w:rPr>
          <w:noProof/>
        </w:rPr>
        <w:t>1.</w:t>
      </w:r>
      <w:r>
        <w:rPr>
          <w:noProof/>
        </w:rPr>
        <w:tab/>
        <w:t>Кандидатстващата държава членка посочва използвания метод за изчисляване на броя на работниците и самостоятелно заетите лица, определени в член 4, за целите на член 5.</w:t>
      </w:r>
    </w:p>
    <w:bookmarkEnd w:id="6"/>
    <w:p w:rsidR="000A3633" w:rsidRDefault="0078004E">
      <w:pPr>
        <w:pStyle w:val="ManualNumPar1"/>
        <w:rPr>
          <w:noProof/>
        </w:rPr>
      </w:pPr>
      <w:r>
        <w:rPr>
          <w:noProof/>
        </w:rPr>
        <w:t>2.</w:t>
      </w:r>
      <w:r>
        <w:rPr>
          <w:noProof/>
        </w:rPr>
        <w:tab/>
        <w:t>Кандидатстващата държава членка изчислява броя, посочен в параграф 1, към ед</w:t>
      </w:r>
      <w:r>
        <w:rPr>
          <w:noProof/>
        </w:rPr>
        <w:t>на от следните дати:</w:t>
      </w:r>
    </w:p>
    <w:p w:rsidR="000A3633" w:rsidRDefault="0078004E">
      <w:pPr>
        <w:pStyle w:val="Point1"/>
        <w:rPr>
          <w:noProof/>
        </w:rPr>
      </w:pPr>
      <w:bookmarkStart w:id="7" w:name="_Ref513047586"/>
      <w:r>
        <w:rPr>
          <w:noProof/>
        </w:rPr>
        <w:t>а)</w:t>
      </w:r>
      <w:r>
        <w:rPr>
          <w:noProof/>
        </w:rPr>
        <w:tab/>
        <w:t>датата, на която работодателят, в съответствие с член 3, параграф 1 от Директива 98/59/ЕО на Съвета</w:t>
      </w:r>
      <w:hyperlink r:id="rId26" w:history="1">
        <w:r>
          <w:rPr>
            <w:rStyle w:val="FootnoteReference"/>
            <w:noProof/>
          </w:rPr>
          <w:footnoteReference w:id="36"/>
        </w:r>
      </w:hyperlink>
      <w:r>
        <w:rPr>
          <w:noProof/>
        </w:rPr>
        <w:t>, е уведомил писмено компетентния публ</w:t>
      </w:r>
      <w:r>
        <w:rPr>
          <w:noProof/>
        </w:rPr>
        <w:t>ичен орган за планираните колективни съкращения;</w:t>
      </w:r>
      <w:bookmarkEnd w:id="7"/>
    </w:p>
    <w:p w:rsidR="000A3633" w:rsidRDefault="0078004E">
      <w:pPr>
        <w:pStyle w:val="Point1"/>
        <w:rPr>
          <w:noProof/>
        </w:rPr>
      </w:pPr>
      <w:r>
        <w:rPr>
          <w:noProof/>
        </w:rPr>
        <w:t>б)</w:t>
      </w:r>
      <w:r>
        <w:rPr>
          <w:noProof/>
        </w:rPr>
        <w:tab/>
        <w:t>датата на индивидуалното предизвестие от работодателя за съкращаване или за прекратяване на трудовия договор на работника;</w:t>
      </w:r>
    </w:p>
    <w:p w:rsidR="000A3633" w:rsidRDefault="0078004E">
      <w:pPr>
        <w:pStyle w:val="Point1"/>
        <w:rPr>
          <w:noProof/>
        </w:rPr>
      </w:pPr>
      <w:r>
        <w:rPr>
          <w:noProof/>
        </w:rPr>
        <w:t>в)</w:t>
      </w:r>
      <w:r>
        <w:rPr>
          <w:noProof/>
        </w:rPr>
        <w:tab/>
        <w:t>датата на фактическото прекратяване на трудовия договор или изтичането на него</w:t>
      </w:r>
      <w:r>
        <w:rPr>
          <w:noProof/>
        </w:rPr>
        <w:t>вия срок;</w:t>
      </w:r>
    </w:p>
    <w:p w:rsidR="000A3633" w:rsidRDefault="0078004E">
      <w:pPr>
        <w:pStyle w:val="Point1"/>
        <w:rPr>
          <w:noProof/>
        </w:rPr>
      </w:pPr>
      <w:r>
        <w:rPr>
          <w:noProof/>
        </w:rPr>
        <w:t>г)</w:t>
      </w:r>
      <w:r>
        <w:rPr>
          <w:noProof/>
        </w:rPr>
        <w:tab/>
        <w:t>края на назначението към предприятието ползвател; или</w:t>
      </w:r>
    </w:p>
    <w:p w:rsidR="000A3633" w:rsidRDefault="0078004E">
      <w:pPr>
        <w:pStyle w:val="Point1"/>
        <w:rPr>
          <w:noProof/>
        </w:rPr>
      </w:pPr>
      <w:r>
        <w:rPr>
          <w:noProof/>
        </w:rPr>
        <w:t>д)</w:t>
      </w:r>
      <w:r>
        <w:rPr>
          <w:noProof/>
        </w:rPr>
        <w:tab/>
        <w:t>за самостоятелно заето лице — датата на прекратяване на дейността, определена в съответствие с националното право или административните разпоредби.</w:t>
      </w:r>
    </w:p>
    <w:p w:rsidR="000A3633" w:rsidRDefault="0078004E">
      <w:pPr>
        <w:pStyle w:val="Text1"/>
        <w:rPr>
          <w:noProof/>
        </w:rPr>
      </w:pPr>
      <w:r>
        <w:rPr>
          <w:noProof/>
        </w:rPr>
        <w:t>В случаите по буква а) кандидатстващат</w:t>
      </w:r>
      <w:r>
        <w:rPr>
          <w:noProof/>
        </w:rPr>
        <w:t>а държава членка предоставя на Комисията допълнителна информация за действителния брой на съкращенията, които са извършени съгласно член 5, параграф 1 от настоящия регламент, преди приключването на оценката от страна на Комисията.</w:t>
      </w:r>
    </w:p>
    <w:p w:rsidR="000A3633" w:rsidRDefault="0078004E">
      <w:pPr>
        <w:pStyle w:val="Titrearticle"/>
        <w:rPr>
          <w:noProof/>
        </w:rPr>
      </w:pPr>
      <w:r>
        <w:rPr>
          <w:noProof/>
        </w:rPr>
        <w:t>Член 7</w:t>
      </w:r>
    </w:p>
    <w:p w:rsidR="000A3633" w:rsidRDefault="0078004E">
      <w:pPr>
        <w:pStyle w:val="Normalcenteredbold"/>
        <w:rPr>
          <w:noProof/>
        </w:rPr>
      </w:pPr>
      <w:r>
        <w:rPr>
          <w:noProof/>
        </w:rPr>
        <w:t xml:space="preserve">Бенефициери, </w:t>
      </w:r>
      <w:r>
        <w:rPr>
          <w:noProof/>
        </w:rPr>
        <w:t>отговарящи на критериите</w:t>
      </w:r>
    </w:p>
    <w:p w:rsidR="000A3633" w:rsidRDefault="0078004E">
      <w:pPr>
        <w:rPr>
          <w:noProof/>
        </w:rPr>
      </w:pPr>
      <w:r>
        <w:rPr>
          <w:noProof/>
        </w:rPr>
        <w:t>Кандидатстващата държава членка може да предостави съгласуван пакет от персонализирани, съфинансирани от ЕФПГ услуги, съгласно член 8, на отговарящите на критериите бенефициери, които може да включват:</w:t>
      </w:r>
    </w:p>
    <w:p w:rsidR="000A3633" w:rsidRDefault="0078004E">
      <w:pPr>
        <w:pStyle w:val="Point1"/>
        <w:rPr>
          <w:noProof/>
        </w:rPr>
      </w:pPr>
      <w:r>
        <w:rPr>
          <w:noProof/>
        </w:rPr>
        <w:t>а)</w:t>
      </w:r>
      <w:r>
        <w:rPr>
          <w:noProof/>
        </w:rPr>
        <w:tab/>
        <w:t>съкратени работници и само</w:t>
      </w:r>
      <w:r>
        <w:rPr>
          <w:noProof/>
        </w:rPr>
        <w:t>стоятелно заети лица, чиято дейност е прекратена, изчислени в съответствие с член 6, в рамките на предвидените в член 5 референтни периоди;</w:t>
      </w:r>
    </w:p>
    <w:p w:rsidR="000A3633" w:rsidRDefault="0078004E">
      <w:pPr>
        <w:pStyle w:val="Point1"/>
        <w:rPr>
          <w:noProof/>
        </w:rPr>
      </w:pPr>
      <w:bookmarkStart w:id="8" w:name="_Ref511208889"/>
      <w:r>
        <w:rPr>
          <w:noProof/>
        </w:rPr>
        <w:t>б)</w:t>
      </w:r>
      <w:r>
        <w:rPr>
          <w:noProof/>
        </w:rPr>
        <w:tab/>
        <w:t>съкратени работници и самостоятелно заети лица, чиято дейност е прекратена, изчислени в съответствие с член 6, из</w:t>
      </w:r>
      <w:r>
        <w:rPr>
          <w:noProof/>
        </w:rPr>
        <w:t>вън предвидения в член 5 референтен период; по-конкретно 6 месеца преди началото на референтния период или между края на референтния период и последния ден преди датата на приключване на оценката от страна на Комисията.</w:t>
      </w:r>
      <w:bookmarkEnd w:id="8"/>
    </w:p>
    <w:p w:rsidR="000A3633" w:rsidRDefault="0078004E">
      <w:pPr>
        <w:rPr>
          <w:noProof/>
        </w:rPr>
      </w:pPr>
      <w:r>
        <w:rPr>
          <w:noProof/>
        </w:rPr>
        <w:t xml:space="preserve">Работниците и самостоятелно заетите </w:t>
      </w:r>
      <w:r>
        <w:rPr>
          <w:noProof/>
        </w:rPr>
        <w:t>лица, посочени в първа алинея, буква б), се считат за отговарящи на критериите, при условие че може да бъде установена ясна причинно-следствена връзка със събитието, довело до съкращенията по време на референтния период.</w:t>
      </w:r>
    </w:p>
    <w:p w:rsidR="000A3633" w:rsidRDefault="0078004E">
      <w:pPr>
        <w:pStyle w:val="Titrearticle"/>
        <w:rPr>
          <w:noProof/>
        </w:rPr>
      </w:pPr>
      <w:r>
        <w:rPr>
          <w:noProof/>
        </w:rPr>
        <w:t>Член 8</w:t>
      </w:r>
    </w:p>
    <w:p w:rsidR="000A3633" w:rsidRDefault="0078004E">
      <w:pPr>
        <w:pStyle w:val="Normalcenteredbold"/>
        <w:rPr>
          <w:noProof/>
        </w:rPr>
      </w:pPr>
      <w:r>
        <w:rPr>
          <w:noProof/>
        </w:rPr>
        <w:t>Допустими мерки</w:t>
      </w:r>
    </w:p>
    <w:p w:rsidR="000A3633" w:rsidRDefault="0078004E">
      <w:pPr>
        <w:pStyle w:val="ManualNumPar1"/>
        <w:rPr>
          <w:noProof/>
        </w:rPr>
      </w:pPr>
      <w:bookmarkStart w:id="9" w:name="_Ref511209161"/>
      <w:r>
        <w:rPr>
          <w:noProof/>
        </w:rPr>
        <w:t>1.</w:t>
      </w:r>
      <w:r>
        <w:rPr>
          <w:noProof/>
        </w:rPr>
        <w:tab/>
        <w:t xml:space="preserve">Финансов </w:t>
      </w:r>
      <w:r>
        <w:rPr>
          <w:noProof/>
        </w:rPr>
        <w:t>принос от ЕФПГ може да бъде отпуснат за активни мерки на пазара на труда, които са част от съгласуван пакет от персонализирани услуги, предназначени да улеснят реинтегрирането на попадащите в целевата група бенефициери, и по-специално на най-неравнопоставе</w:t>
      </w:r>
      <w:r>
        <w:rPr>
          <w:noProof/>
        </w:rPr>
        <w:t>ните сред съкратените работници, в заетост или самостоятелна заетост.</w:t>
      </w:r>
      <w:bookmarkEnd w:id="9"/>
    </w:p>
    <w:p w:rsidR="000A3633" w:rsidRDefault="0078004E">
      <w:pPr>
        <w:pStyle w:val="Text1"/>
        <w:rPr>
          <w:noProof/>
        </w:rPr>
      </w:pPr>
      <w:r>
        <w:rPr>
          <w:noProof/>
        </w:rPr>
        <w:t xml:space="preserve">Разпространението на умения, които се изискват в цифровата индустриална епоха, е задължителен хоризонтален елемент на всеки пакет от персонализирани услуги, който се предлага. Равнището </w:t>
      </w:r>
      <w:r>
        <w:rPr>
          <w:noProof/>
        </w:rPr>
        <w:t>на обучение се адаптира спрямо квалификациите и нуждите на съответния бенефициер.</w:t>
      </w:r>
    </w:p>
    <w:p w:rsidR="000A3633" w:rsidRDefault="0078004E">
      <w:pPr>
        <w:pStyle w:val="Text1"/>
        <w:rPr>
          <w:noProof/>
        </w:rPr>
      </w:pPr>
      <w:r>
        <w:rPr>
          <w:noProof/>
        </w:rPr>
        <w:t>Съгласуваният пакет от персонализирани услуги може да включва по-специално:</w:t>
      </w:r>
    </w:p>
    <w:p w:rsidR="000A3633" w:rsidRDefault="0078004E">
      <w:pPr>
        <w:pStyle w:val="Point1"/>
        <w:rPr>
          <w:noProof/>
        </w:rPr>
      </w:pPr>
      <w:bookmarkStart w:id="10" w:name="_Ref511219460"/>
      <w:r>
        <w:rPr>
          <w:noProof/>
        </w:rPr>
        <w:t>а)</w:t>
      </w:r>
      <w:r>
        <w:rPr>
          <w:noProof/>
        </w:rPr>
        <w:tab/>
        <w:t>индивидуализирано обучение и преквалификация, включително в областта на информационните и комун</w:t>
      </w:r>
      <w:r>
        <w:rPr>
          <w:noProof/>
        </w:rPr>
        <w:t>икационните технологии и други умения, необходими в цифровата епоха, сертифициране на придобити умения, съдействие при търсене на работа, професионално ориентиране, консултантски услуги, наставничество, съдействие при пренасочване, насърчаване на предприем</w:t>
      </w:r>
      <w:r>
        <w:rPr>
          <w:noProof/>
        </w:rPr>
        <w:t>ачеството, помощ за самостоятелна заетост, за започване на стопанска дейност и за придобиване от служителите, както и дейности по сътрудничество;</w:t>
      </w:r>
      <w:bookmarkEnd w:id="10"/>
    </w:p>
    <w:p w:rsidR="000A3633" w:rsidRDefault="0078004E">
      <w:pPr>
        <w:pStyle w:val="Point1"/>
        <w:rPr>
          <w:noProof/>
        </w:rPr>
      </w:pPr>
      <w:bookmarkStart w:id="11" w:name="_Ref511209022"/>
      <w:r>
        <w:rPr>
          <w:noProof/>
        </w:rPr>
        <w:t>б)</w:t>
      </w:r>
      <w:r>
        <w:rPr>
          <w:noProof/>
        </w:rPr>
        <w:tab/>
        <w:t>специални мерки с ограничен срок, например помощи за търсене на работа, стимули за наемане на работа, предн</w:t>
      </w:r>
      <w:r>
        <w:rPr>
          <w:noProof/>
        </w:rPr>
        <w:t>азначени за работодателите, помощи за мобилност, помощи за покриване на разходи за обучение и на дневни разходи, включително помощи за лица, които полагат грижи.</w:t>
      </w:r>
      <w:bookmarkEnd w:id="11"/>
    </w:p>
    <w:p w:rsidR="000A3633" w:rsidRDefault="0078004E">
      <w:pPr>
        <w:pStyle w:val="Text1"/>
        <w:rPr>
          <w:noProof/>
        </w:rPr>
      </w:pPr>
      <w:r>
        <w:rPr>
          <w:noProof/>
        </w:rPr>
        <w:t>Разходите за мерките по буква б) не могат да надхвърлят 35 % от общия размер на разходите за с</w:t>
      </w:r>
      <w:r>
        <w:rPr>
          <w:noProof/>
        </w:rPr>
        <w:t>ъгласувания пакет от персонализирани услуги, изброени в настоящия параграф.</w:t>
      </w:r>
    </w:p>
    <w:p w:rsidR="000A3633" w:rsidRDefault="0078004E">
      <w:pPr>
        <w:pStyle w:val="Text1"/>
        <w:rPr>
          <w:noProof/>
        </w:rPr>
      </w:pPr>
      <w:r>
        <w:rPr>
          <w:noProof/>
        </w:rPr>
        <w:t>Инвестициите за самостоятелна заетост, започване на стопанска дейност и придобиване от служителите не могат да надхвърлят 20 000 EUR за всеки съкратен работник.</w:t>
      </w:r>
    </w:p>
    <w:p w:rsidR="000A3633" w:rsidRDefault="0078004E">
      <w:pPr>
        <w:pStyle w:val="Text1"/>
        <w:rPr>
          <w:noProof/>
        </w:rPr>
      </w:pPr>
      <w:r>
        <w:rPr>
          <w:noProof/>
        </w:rPr>
        <w:t>Съгласуваният пакет</w:t>
      </w:r>
      <w:r>
        <w:rPr>
          <w:noProof/>
        </w:rPr>
        <w:t xml:space="preserve"> от персонализирани услуги трябва да бъде проектиран така, че да предвижда бъдещите перспективи за пазара на труда и необходимите умения. Съгласуваният пакет е съвместим с преминаването към ефективна от гледна точка на ресурсите и устойчива икономика и същ</w:t>
      </w:r>
      <w:r>
        <w:rPr>
          <w:noProof/>
        </w:rPr>
        <w:t>о така се съсредоточава върху разпространението на умения, които се изискват в цифровата индустриална епоха, и взема предвид търсенето на местния пазар на труда.</w:t>
      </w:r>
    </w:p>
    <w:p w:rsidR="000A3633" w:rsidRDefault="0078004E">
      <w:pPr>
        <w:pStyle w:val="ManualNumPar1"/>
        <w:rPr>
          <w:noProof/>
        </w:rPr>
      </w:pPr>
      <w:r>
        <w:rPr>
          <w:noProof/>
        </w:rPr>
        <w:t>2.</w:t>
      </w:r>
      <w:r>
        <w:rPr>
          <w:noProof/>
        </w:rPr>
        <w:tab/>
        <w:t>Следните мерки не са допустими за финансов принос от ЕФПГ:</w:t>
      </w:r>
    </w:p>
    <w:p w:rsidR="000A3633" w:rsidRDefault="0078004E">
      <w:pPr>
        <w:pStyle w:val="Point1"/>
        <w:rPr>
          <w:noProof/>
        </w:rPr>
      </w:pPr>
      <w:r>
        <w:rPr>
          <w:noProof/>
        </w:rPr>
        <w:t>а)</w:t>
      </w:r>
      <w:r>
        <w:rPr>
          <w:noProof/>
        </w:rPr>
        <w:tab/>
        <w:t>специални мерки с ограничен с</w:t>
      </w:r>
      <w:r>
        <w:rPr>
          <w:noProof/>
        </w:rPr>
        <w:t>рок, посочени в параграф 1, буква б), които не зависят от активното участие на бенефициерите от целевата група за получаване на помощ в дейности по търсене на работа или обучение;</w:t>
      </w:r>
    </w:p>
    <w:p w:rsidR="000A3633" w:rsidRDefault="0078004E">
      <w:pPr>
        <w:pStyle w:val="Point1"/>
        <w:rPr>
          <w:noProof/>
        </w:rPr>
      </w:pPr>
      <w:r>
        <w:rPr>
          <w:noProof/>
        </w:rPr>
        <w:t>б)</w:t>
      </w:r>
      <w:r>
        <w:rPr>
          <w:noProof/>
        </w:rPr>
        <w:tab/>
        <w:t>мерки, които са отговорност на предприятията по силата на националното пр</w:t>
      </w:r>
      <w:r>
        <w:rPr>
          <w:noProof/>
        </w:rPr>
        <w:t>аво или на колективни трудови договори.</w:t>
      </w:r>
    </w:p>
    <w:p w:rsidR="000A3633" w:rsidRDefault="0078004E">
      <w:pPr>
        <w:pStyle w:val="Text1"/>
        <w:rPr>
          <w:noProof/>
        </w:rPr>
      </w:pPr>
      <w:r>
        <w:rPr>
          <w:noProof/>
        </w:rPr>
        <w:t>Мерките, подкрепяни от ЕФПГ, не заместват пасивните мерки за социална закрила.</w:t>
      </w:r>
    </w:p>
    <w:p w:rsidR="000A3633" w:rsidRDefault="0078004E">
      <w:pPr>
        <w:pStyle w:val="ManualNumPar1"/>
        <w:rPr>
          <w:noProof/>
        </w:rPr>
      </w:pPr>
      <w:r>
        <w:rPr>
          <w:noProof/>
        </w:rPr>
        <w:t>3.</w:t>
      </w:r>
      <w:r>
        <w:rPr>
          <w:noProof/>
        </w:rPr>
        <w:tab/>
        <w:t>Съгласуваният пакет от услуги се изготвя след консултации с бенефициерите от целевата група или техните представители или със социални</w:t>
      </w:r>
      <w:r>
        <w:rPr>
          <w:noProof/>
        </w:rPr>
        <w:t>те партньори.</w:t>
      </w:r>
    </w:p>
    <w:p w:rsidR="000A3633" w:rsidRDefault="0078004E">
      <w:pPr>
        <w:pStyle w:val="ManualNumPar1"/>
        <w:rPr>
          <w:noProof/>
        </w:rPr>
      </w:pPr>
      <w:bookmarkStart w:id="12" w:name="_Ref511211822"/>
      <w:r>
        <w:rPr>
          <w:noProof/>
        </w:rPr>
        <w:t>4.</w:t>
      </w:r>
      <w:r>
        <w:rPr>
          <w:noProof/>
        </w:rPr>
        <w:tab/>
        <w:t>По инициатива на кандидатстващата държава членка може да бъде предоставен финансов принос от ЕФПГ за дейностите по подготовка, управление, информация, публичност, контрол и докладване.</w:t>
      </w:r>
      <w:bookmarkEnd w:id="12"/>
    </w:p>
    <w:p w:rsidR="000A3633" w:rsidRDefault="0078004E">
      <w:pPr>
        <w:pStyle w:val="Titrearticle"/>
        <w:rPr>
          <w:noProof/>
        </w:rPr>
      </w:pPr>
      <w:r>
        <w:rPr>
          <w:noProof/>
        </w:rPr>
        <w:t>Член 9</w:t>
      </w:r>
    </w:p>
    <w:p w:rsidR="000A3633" w:rsidRDefault="0078004E">
      <w:pPr>
        <w:pStyle w:val="Normalcenteredbold"/>
        <w:rPr>
          <w:noProof/>
        </w:rPr>
      </w:pPr>
      <w:r>
        <w:rPr>
          <w:noProof/>
        </w:rPr>
        <w:t>Заявления</w:t>
      </w:r>
    </w:p>
    <w:p w:rsidR="000A3633" w:rsidRDefault="0078004E">
      <w:pPr>
        <w:pStyle w:val="ManualNumPar1"/>
        <w:rPr>
          <w:noProof/>
        </w:rPr>
      </w:pPr>
      <w:bookmarkStart w:id="13" w:name="_Ref511657394"/>
      <w:r>
        <w:rPr>
          <w:noProof/>
        </w:rPr>
        <w:t>1.</w:t>
      </w:r>
      <w:r>
        <w:rPr>
          <w:noProof/>
        </w:rPr>
        <w:tab/>
        <w:t>Кандидатстващата държава членка по</w:t>
      </w:r>
      <w:r>
        <w:rPr>
          <w:noProof/>
        </w:rPr>
        <w:t>дава заявление до Комисията в срок от 12 седмици от датата, на която са изпълнени критериите, определени в член 5, параграф 2 или 3.</w:t>
      </w:r>
      <w:bookmarkEnd w:id="13"/>
    </w:p>
    <w:p w:rsidR="000A3633" w:rsidRDefault="0078004E">
      <w:pPr>
        <w:pStyle w:val="ManualNumPar1"/>
        <w:rPr>
          <w:noProof/>
        </w:rPr>
      </w:pPr>
      <w:r>
        <w:rPr>
          <w:noProof/>
        </w:rPr>
        <w:t>2.</w:t>
      </w:r>
      <w:r>
        <w:rPr>
          <w:noProof/>
        </w:rPr>
        <w:tab/>
        <w:t>В срок от десет работни дни от датата на подаването на заявлението или, ако е приложимо, от датата, на която Комисията е</w:t>
      </w:r>
      <w:r>
        <w:rPr>
          <w:noProof/>
        </w:rPr>
        <w:t xml:space="preserve"> получила преведеното заявление, в зависимост от това кое събитие настъпи по-късно, Комисията информира държавата членка за всяка допълнителна информация, която ѝ е необходима, за да разгледа заявлението.</w:t>
      </w:r>
    </w:p>
    <w:p w:rsidR="000A3633" w:rsidRDefault="0078004E">
      <w:pPr>
        <w:pStyle w:val="ManualNumPar1"/>
        <w:rPr>
          <w:noProof/>
        </w:rPr>
      </w:pPr>
      <w:r>
        <w:rPr>
          <w:noProof/>
        </w:rPr>
        <w:t>3.</w:t>
      </w:r>
      <w:r>
        <w:rPr>
          <w:noProof/>
        </w:rPr>
        <w:tab/>
        <w:t>Когато Комисията е изискала допълнителна информа</w:t>
      </w:r>
      <w:r>
        <w:rPr>
          <w:noProof/>
        </w:rPr>
        <w:t>ция, държавата членка отговаря в срок от десет работни дни от датата на искането. Този краен срок се удължава от Комисията с десет работни дни при надлежно обосновано искане от съответната държава членка.</w:t>
      </w:r>
    </w:p>
    <w:p w:rsidR="000A3633" w:rsidRDefault="0078004E">
      <w:pPr>
        <w:pStyle w:val="ManualNumPar1"/>
        <w:rPr>
          <w:noProof/>
        </w:rPr>
      </w:pPr>
      <w:bookmarkStart w:id="14" w:name="_Ref511212114"/>
      <w:r>
        <w:rPr>
          <w:noProof/>
        </w:rPr>
        <w:t>4.</w:t>
      </w:r>
      <w:r>
        <w:rPr>
          <w:noProof/>
        </w:rPr>
        <w:tab/>
        <w:t>Въз основа на информацията, предоставена от държ</w:t>
      </w:r>
      <w:r>
        <w:rPr>
          <w:noProof/>
        </w:rPr>
        <w:t>авата членка, Комисията приключва проверката на това дали заявлението отговаря на условията за предоставяне на финансов принос в срок от 60 работни дни от получаването на пълното заявление или, когато е приложимо, от получаването на превода на заявлението.</w:t>
      </w:r>
      <w:r>
        <w:rPr>
          <w:noProof/>
        </w:rPr>
        <w:t xml:space="preserve"> Когато по изключение Комисията не е в състояние да спази този срок, тя предоставя писмено обяснение, в което се посочват причините за забавянето.</w:t>
      </w:r>
      <w:bookmarkEnd w:id="14"/>
    </w:p>
    <w:p w:rsidR="000A3633" w:rsidRDefault="0078004E">
      <w:pPr>
        <w:pStyle w:val="ManualNumPar1"/>
        <w:rPr>
          <w:noProof/>
        </w:rPr>
      </w:pPr>
      <w:bookmarkStart w:id="15" w:name="_Ref511211541"/>
      <w:r>
        <w:rPr>
          <w:noProof/>
        </w:rPr>
        <w:t>5.</w:t>
      </w:r>
      <w:r>
        <w:rPr>
          <w:noProof/>
        </w:rPr>
        <w:tab/>
        <w:t>Заявлението трябва да съдържа следната информация:</w:t>
      </w:r>
      <w:bookmarkEnd w:id="15"/>
    </w:p>
    <w:p w:rsidR="000A3633" w:rsidRDefault="0078004E">
      <w:pPr>
        <w:pStyle w:val="Point1"/>
        <w:rPr>
          <w:noProof/>
        </w:rPr>
      </w:pPr>
      <w:r>
        <w:rPr>
          <w:noProof/>
        </w:rPr>
        <w:t>а)</w:t>
      </w:r>
      <w:r>
        <w:rPr>
          <w:noProof/>
        </w:rPr>
        <w:tab/>
        <w:t>оценка на броя на съкращенията в съответствие с член</w:t>
      </w:r>
      <w:r>
        <w:rPr>
          <w:noProof/>
        </w:rPr>
        <w:t> 6, включително използвания метод на изчисление;</w:t>
      </w:r>
    </w:p>
    <w:p w:rsidR="000A3633" w:rsidRDefault="0078004E">
      <w:pPr>
        <w:pStyle w:val="Point1"/>
        <w:rPr>
          <w:noProof/>
        </w:rPr>
      </w:pPr>
      <w:r>
        <w:rPr>
          <w:noProof/>
        </w:rPr>
        <w:t>б)</w:t>
      </w:r>
      <w:r>
        <w:rPr>
          <w:noProof/>
        </w:rPr>
        <w:tab/>
        <w:t>потвърждението че когато извършващото съкращенията предприятие е продължило дейността си след съкращенията, то е спазило правните си задължения във връзка със съкращенията;</w:t>
      </w:r>
    </w:p>
    <w:p w:rsidR="000A3633" w:rsidRDefault="0078004E">
      <w:pPr>
        <w:pStyle w:val="Point1"/>
        <w:rPr>
          <w:noProof/>
        </w:rPr>
      </w:pPr>
      <w:r>
        <w:rPr>
          <w:noProof/>
        </w:rPr>
        <w:t>в)</w:t>
      </w:r>
      <w:r>
        <w:rPr>
          <w:noProof/>
        </w:rPr>
        <w:tab/>
        <w:t>кратко описание на събитията</w:t>
      </w:r>
      <w:r>
        <w:rPr>
          <w:noProof/>
        </w:rPr>
        <w:t>, които са довели до съкращаването на работниците;</w:t>
      </w:r>
    </w:p>
    <w:p w:rsidR="000A3633" w:rsidRDefault="0078004E">
      <w:pPr>
        <w:pStyle w:val="Point1"/>
        <w:rPr>
          <w:noProof/>
        </w:rPr>
      </w:pPr>
      <w:r>
        <w:rPr>
          <w:noProof/>
        </w:rPr>
        <w:t>г)</w:t>
      </w:r>
      <w:r>
        <w:rPr>
          <w:noProof/>
        </w:rPr>
        <w:tab/>
        <w:t>посочване, когато е приложимо, на извършващите съкращенията предприятия, доставчици или производители надолу по веригата, на отраслите и на категориите на бенефициерите от целевата група, разбити по пол</w:t>
      </w:r>
      <w:r>
        <w:rPr>
          <w:noProof/>
        </w:rPr>
        <w:t>, възрастова група и образователно равнище;</w:t>
      </w:r>
    </w:p>
    <w:p w:rsidR="000A3633" w:rsidRDefault="0078004E">
      <w:pPr>
        <w:pStyle w:val="Point1"/>
        <w:rPr>
          <w:noProof/>
        </w:rPr>
      </w:pPr>
      <w:r>
        <w:rPr>
          <w:noProof/>
        </w:rPr>
        <w:t>д)</w:t>
      </w:r>
      <w:r>
        <w:rPr>
          <w:noProof/>
        </w:rPr>
        <w:tab/>
        <w:t>очакваното въздействие на съкращенията върху местната, регионалната или националната икономика и заетост;</w:t>
      </w:r>
    </w:p>
    <w:p w:rsidR="000A3633" w:rsidRDefault="0078004E">
      <w:pPr>
        <w:pStyle w:val="Point1"/>
        <w:rPr>
          <w:noProof/>
        </w:rPr>
      </w:pPr>
      <w:r>
        <w:rPr>
          <w:noProof/>
        </w:rPr>
        <w:t>е)</w:t>
      </w:r>
      <w:r>
        <w:rPr>
          <w:noProof/>
        </w:rPr>
        <w:tab/>
        <w:t>подробно описание на съгласувания пакет от персонализирани услуги и свързаните с него разходи, включ</w:t>
      </w:r>
      <w:r>
        <w:rPr>
          <w:noProof/>
        </w:rPr>
        <w:t>ително по-конкретно всички мерки, които подпомагат инициативи за заетост на бенефициери в неравностойно положение, на по-възрастни бенефициери и на млади бенефициери;</w:t>
      </w:r>
    </w:p>
    <w:p w:rsidR="000A3633" w:rsidRDefault="0078004E">
      <w:pPr>
        <w:pStyle w:val="Point1"/>
        <w:rPr>
          <w:noProof/>
        </w:rPr>
      </w:pPr>
      <w:r>
        <w:rPr>
          <w:noProof/>
        </w:rPr>
        <w:t>ж)</w:t>
      </w:r>
      <w:r>
        <w:rPr>
          <w:noProof/>
        </w:rPr>
        <w:tab/>
        <w:t>обяснение до каква степен са взети предвид препоръките, изложени в Рамката за качество</w:t>
      </w:r>
      <w:r>
        <w:rPr>
          <w:noProof/>
        </w:rPr>
        <w:t xml:space="preserve"> на ЕС за предвиждане на промените и преструктуриране, и как съгласуваният пакет от персонализирани услуги допълва действията, финансирани от други национални фондове или фондове на Съюза, включително информация за мерките, които са задължителни за извършв</w:t>
      </w:r>
      <w:r>
        <w:rPr>
          <w:noProof/>
        </w:rPr>
        <w:t>ащите съкращенията предприятия по силата на националното законодателство или на колективни трудови договори;</w:t>
      </w:r>
    </w:p>
    <w:p w:rsidR="000A3633" w:rsidRDefault="0078004E">
      <w:pPr>
        <w:pStyle w:val="Point1"/>
        <w:rPr>
          <w:noProof/>
        </w:rPr>
      </w:pPr>
      <w:r>
        <w:rPr>
          <w:noProof/>
        </w:rPr>
        <w:t>з)</w:t>
      </w:r>
      <w:r>
        <w:rPr>
          <w:noProof/>
        </w:rPr>
        <w:tab/>
        <w:t>прогнозния бюджет за всеки от компонентите на съгласувания пакет от персонализирани услуги в подкрепа на бенефициерите от целевата група и за вс</w:t>
      </w:r>
      <w:r>
        <w:rPr>
          <w:noProof/>
        </w:rPr>
        <w:t>ички дейности по подготовка, управление, информация, публичност, контрол и докладване;</w:t>
      </w:r>
    </w:p>
    <w:p w:rsidR="000A3633" w:rsidRDefault="0078004E">
      <w:pPr>
        <w:pStyle w:val="Point1"/>
        <w:rPr>
          <w:noProof/>
        </w:rPr>
      </w:pPr>
      <w:r>
        <w:rPr>
          <w:noProof/>
        </w:rPr>
        <w:t>и)</w:t>
      </w:r>
      <w:r>
        <w:rPr>
          <w:noProof/>
        </w:rPr>
        <w:tab/>
        <w:t xml:space="preserve">за целите на оценката — индикативни и специфични за случая цели, определени от държавата членка, относно равнището на повторна заетост на бенефициерите 6 месеца след </w:t>
      </w:r>
      <w:r>
        <w:rPr>
          <w:noProof/>
        </w:rPr>
        <w:t>края на периода на изпълнение;</w:t>
      </w:r>
    </w:p>
    <w:p w:rsidR="000A3633" w:rsidRDefault="0078004E">
      <w:pPr>
        <w:pStyle w:val="Point1"/>
        <w:rPr>
          <w:noProof/>
        </w:rPr>
      </w:pPr>
      <w:bookmarkStart w:id="16" w:name="_Ref511211558"/>
      <w:r>
        <w:rPr>
          <w:noProof/>
        </w:rPr>
        <w:t>й)</w:t>
      </w:r>
      <w:r>
        <w:rPr>
          <w:noProof/>
        </w:rPr>
        <w:tab/>
        <w:t>датите, на които персонализираните услуги за бенефициерите от целевата група и дейностите по привеждането на ЕФПГ в действие, посочени в член 8, са започнали или трябва да започнат;</w:t>
      </w:r>
      <w:bookmarkEnd w:id="16"/>
    </w:p>
    <w:p w:rsidR="000A3633" w:rsidRDefault="0078004E">
      <w:pPr>
        <w:pStyle w:val="Point1"/>
        <w:rPr>
          <w:noProof/>
        </w:rPr>
      </w:pPr>
      <w:r>
        <w:rPr>
          <w:noProof/>
        </w:rPr>
        <w:t>к)</w:t>
      </w:r>
      <w:r>
        <w:rPr>
          <w:noProof/>
        </w:rPr>
        <w:tab/>
        <w:t>процедурите, които се спазват, за кон</w:t>
      </w:r>
      <w:r>
        <w:rPr>
          <w:noProof/>
        </w:rPr>
        <w:t>султация с бенефициерите от целевата група или техните представители или със социалните партньори, както и с местните и регионалните органи или други засегнати заинтересовани страни, когато това е приложимо;</w:t>
      </w:r>
    </w:p>
    <w:p w:rsidR="000A3633" w:rsidRDefault="0078004E">
      <w:pPr>
        <w:pStyle w:val="Point1"/>
        <w:rPr>
          <w:noProof/>
        </w:rPr>
      </w:pPr>
      <w:r>
        <w:rPr>
          <w:noProof/>
        </w:rPr>
        <w:t>л)</w:t>
      </w:r>
      <w:r>
        <w:rPr>
          <w:noProof/>
        </w:rPr>
        <w:tab/>
        <w:t>декларация за съответствие на поисканата подк</w:t>
      </w:r>
      <w:r>
        <w:rPr>
          <w:noProof/>
        </w:rPr>
        <w:t>репа от ЕФПГ с процедурните и материалноправните разпоредби на Съюза относно държавните помощи, както и декларация, посочваща защо съгласуваният пакет от персонализирани услуги не заменя мерките, които са отговорност на предприятията по силата на националн</w:t>
      </w:r>
      <w:r>
        <w:rPr>
          <w:noProof/>
        </w:rPr>
        <w:t>ото право или на колективни трудови договори;</w:t>
      </w:r>
    </w:p>
    <w:p w:rsidR="000A3633" w:rsidRDefault="0078004E">
      <w:pPr>
        <w:pStyle w:val="Point1"/>
        <w:rPr>
          <w:noProof/>
        </w:rPr>
      </w:pPr>
      <w:r>
        <w:rPr>
          <w:noProof/>
        </w:rPr>
        <w:t>м)</w:t>
      </w:r>
      <w:r>
        <w:rPr>
          <w:noProof/>
        </w:rPr>
        <w:tab/>
        <w:t>източниците на национално предварително финансиране или съфинансиране, както и на друго съфинансиране, когато това е приложимо.</w:t>
      </w:r>
    </w:p>
    <w:p w:rsidR="000A3633" w:rsidRDefault="0078004E">
      <w:pPr>
        <w:pStyle w:val="Titrearticle"/>
        <w:rPr>
          <w:noProof/>
        </w:rPr>
      </w:pPr>
      <w:r>
        <w:rPr>
          <w:noProof/>
        </w:rPr>
        <w:t>Член 10</w:t>
      </w:r>
    </w:p>
    <w:p w:rsidR="000A3633" w:rsidRDefault="0078004E">
      <w:pPr>
        <w:pStyle w:val="Normalcenteredbold"/>
        <w:rPr>
          <w:noProof/>
        </w:rPr>
      </w:pPr>
      <w:r>
        <w:rPr>
          <w:noProof/>
        </w:rPr>
        <w:t>Допълване, съответствие и координация</w:t>
      </w:r>
    </w:p>
    <w:p w:rsidR="000A3633" w:rsidRDefault="0078004E">
      <w:pPr>
        <w:pStyle w:val="ManualNumPar1"/>
        <w:rPr>
          <w:noProof/>
        </w:rPr>
      </w:pPr>
      <w:r>
        <w:rPr>
          <w:noProof/>
        </w:rPr>
        <w:t>1.</w:t>
      </w:r>
      <w:r>
        <w:rPr>
          <w:noProof/>
        </w:rPr>
        <w:tab/>
        <w:t xml:space="preserve">Финансовият принос от ЕФПГ не </w:t>
      </w:r>
      <w:r>
        <w:rPr>
          <w:noProof/>
        </w:rPr>
        <w:t>замества мерките, които са отговорност на предприятията по силата на националното право или на колективни трудови договори.</w:t>
      </w:r>
    </w:p>
    <w:p w:rsidR="000A3633" w:rsidRDefault="0078004E">
      <w:pPr>
        <w:pStyle w:val="ManualNumPar1"/>
        <w:rPr>
          <w:noProof/>
        </w:rPr>
      </w:pPr>
      <w:r>
        <w:rPr>
          <w:noProof/>
        </w:rPr>
        <w:t>2.</w:t>
      </w:r>
      <w:r>
        <w:rPr>
          <w:noProof/>
        </w:rPr>
        <w:tab/>
        <w:t>Подкрепата за бенефициерите от целевата група допълва мерките, предприемани от държавите членки на национално, регионално и местн</w:t>
      </w:r>
      <w:r>
        <w:rPr>
          <w:noProof/>
        </w:rPr>
        <w:t>о равнище, включително тези, съфинансирани от фондове на Съюза, в съответствие с препоръките, изложени в Рамката за качество на ЕС за предвиждане на промените и преструктуриране.</w:t>
      </w:r>
    </w:p>
    <w:p w:rsidR="000A3633" w:rsidRDefault="0078004E">
      <w:pPr>
        <w:pStyle w:val="ManualNumPar1"/>
        <w:rPr>
          <w:noProof/>
        </w:rPr>
      </w:pPr>
      <w:r>
        <w:rPr>
          <w:noProof/>
        </w:rPr>
        <w:t>3.</w:t>
      </w:r>
      <w:r>
        <w:rPr>
          <w:noProof/>
        </w:rPr>
        <w:tab/>
        <w:t>Финансовият принос от ЕФПГ е ограничен до това, което е необходимо за оказ</w:t>
      </w:r>
      <w:r>
        <w:rPr>
          <w:noProof/>
        </w:rPr>
        <w:t>ване на временна, еднократна подкрепа на бенефициерите от целевата група. Мерките, подпомагани от ЕФПГ, са в съответствие с правото на Съюза и с националното право, включително с правилата за държавните помощи.</w:t>
      </w:r>
    </w:p>
    <w:p w:rsidR="000A3633" w:rsidRDefault="0078004E">
      <w:pPr>
        <w:pStyle w:val="ManualNumPar1"/>
        <w:rPr>
          <w:noProof/>
        </w:rPr>
      </w:pPr>
      <w:r>
        <w:rPr>
          <w:noProof/>
        </w:rPr>
        <w:t>4.</w:t>
      </w:r>
      <w:r>
        <w:rPr>
          <w:noProof/>
        </w:rPr>
        <w:tab/>
        <w:t>В съответствие със съответните си отговорн</w:t>
      </w:r>
      <w:r>
        <w:rPr>
          <w:noProof/>
        </w:rPr>
        <w:t>ости Комисията и кандидатстващата държава членка осигуряват координиране на помощта от фондовете на Съюза.</w:t>
      </w:r>
    </w:p>
    <w:p w:rsidR="000A3633" w:rsidRDefault="0078004E">
      <w:pPr>
        <w:pStyle w:val="ManualNumPar1"/>
        <w:rPr>
          <w:noProof/>
        </w:rPr>
      </w:pPr>
      <w:r>
        <w:rPr>
          <w:noProof/>
        </w:rPr>
        <w:t>5.</w:t>
      </w:r>
      <w:r>
        <w:rPr>
          <w:noProof/>
        </w:rPr>
        <w:tab/>
        <w:t>Кандидатстващата държава членка гарантира, че специфичните мерки, които получават финансов принос от ЕФПГ, не получават помощ и по други финансови</w:t>
      </w:r>
      <w:r>
        <w:rPr>
          <w:noProof/>
        </w:rPr>
        <w:t xml:space="preserve"> инструменти на Съюза.</w:t>
      </w:r>
    </w:p>
    <w:p w:rsidR="000A3633" w:rsidRDefault="0078004E">
      <w:pPr>
        <w:pStyle w:val="Titrearticle"/>
        <w:rPr>
          <w:noProof/>
        </w:rPr>
      </w:pPr>
      <w:r>
        <w:rPr>
          <w:noProof/>
        </w:rPr>
        <w:t>Член 11</w:t>
      </w:r>
    </w:p>
    <w:p w:rsidR="000A3633" w:rsidRDefault="0078004E">
      <w:pPr>
        <w:pStyle w:val="Normalcenteredbold"/>
        <w:rPr>
          <w:noProof/>
        </w:rPr>
      </w:pPr>
      <w:r>
        <w:rPr>
          <w:noProof/>
        </w:rPr>
        <w:t>Равенство между мъжете и жените и недопускане на дискриминация</w:t>
      </w:r>
    </w:p>
    <w:p w:rsidR="000A3633" w:rsidRDefault="0078004E">
      <w:pPr>
        <w:rPr>
          <w:noProof/>
        </w:rPr>
      </w:pPr>
      <w:r>
        <w:rPr>
          <w:noProof/>
        </w:rPr>
        <w:t>Комисията и държавите членки гарантират, че равенството между мъжете и жените и интегрирането на спецификите на пола са неделима част от различните етапи на усвоя</w:t>
      </w:r>
      <w:r>
        <w:rPr>
          <w:noProof/>
        </w:rPr>
        <w:t>ване на финансовия принос от ЕФПГ и че се насърчават през тези етапи.</w:t>
      </w:r>
    </w:p>
    <w:p w:rsidR="000A3633" w:rsidRDefault="0078004E">
      <w:pPr>
        <w:rPr>
          <w:noProof/>
        </w:rPr>
      </w:pPr>
      <w:r>
        <w:rPr>
          <w:noProof/>
        </w:rPr>
        <w:t>Комисията и държавите членки предприемат всички необходими мерки за предотвратяване на всякаква дискриминация, основаваща се пол, полова идентичност, раса или етнически произход, религия</w:t>
      </w:r>
      <w:r>
        <w:rPr>
          <w:noProof/>
        </w:rPr>
        <w:t xml:space="preserve"> или убеждения, увреждане, възраст или сексуална ориентация, при достъпа до ЕФПГ и през различните етапи на усвояване на финансовия принос.</w:t>
      </w:r>
    </w:p>
    <w:p w:rsidR="000A3633" w:rsidRDefault="0078004E">
      <w:pPr>
        <w:pStyle w:val="Titrearticle"/>
        <w:rPr>
          <w:noProof/>
        </w:rPr>
      </w:pPr>
      <w:r>
        <w:rPr>
          <w:noProof/>
        </w:rPr>
        <w:t>Член 12</w:t>
      </w:r>
    </w:p>
    <w:p w:rsidR="000A3633" w:rsidRDefault="0078004E">
      <w:pPr>
        <w:pStyle w:val="Normalcenteredbold"/>
        <w:rPr>
          <w:noProof/>
        </w:rPr>
      </w:pPr>
      <w:r>
        <w:rPr>
          <w:noProof/>
        </w:rPr>
        <w:t>Техническа помощ по инициатива на Комисията</w:t>
      </w:r>
    </w:p>
    <w:p w:rsidR="000A3633" w:rsidRDefault="0078004E">
      <w:pPr>
        <w:pStyle w:val="ManualNumPar1"/>
        <w:rPr>
          <w:noProof/>
        </w:rPr>
      </w:pPr>
      <w:bookmarkStart w:id="17" w:name="_Ref511210385"/>
      <w:r>
        <w:rPr>
          <w:noProof/>
        </w:rPr>
        <w:t>1.</w:t>
      </w:r>
      <w:r>
        <w:rPr>
          <w:noProof/>
        </w:rPr>
        <w:tab/>
        <w:t>По инициатива на Комисията максимум 0,5 % от годишния таван н</w:t>
      </w:r>
      <w:r>
        <w:rPr>
          <w:noProof/>
        </w:rPr>
        <w:t>а ЕФПГ могат да бъдат използвани за техническа и административна помощ за неговото привеждане в действие, като например дейности по подготовка, мониторинг, контрол, одит и оценка, включително корпоративни информационни системи, комуникационни дейности и де</w:t>
      </w:r>
      <w:r>
        <w:rPr>
          <w:noProof/>
        </w:rPr>
        <w:t>йности за повишаване на видимостта на ЕФПГ, както и други мерки за административна и техническа помощ. Тези мерки могат да обхващат бъдещи и предходни програмни периоди.</w:t>
      </w:r>
      <w:bookmarkEnd w:id="17"/>
    </w:p>
    <w:p w:rsidR="000A3633" w:rsidRDefault="0078004E">
      <w:pPr>
        <w:pStyle w:val="ManualNumPar1"/>
        <w:rPr>
          <w:noProof/>
        </w:rPr>
      </w:pPr>
      <w:r>
        <w:rPr>
          <w:noProof/>
        </w:rPr>
        <w:t>2.</w:t>
      </w:r>
      <w:r>
        <w:rPr>
          <w:noProof/>
        </w:rPr>
        <w:tab/>
        <w:t xml:space="preserve">При спазване на тавана, определен в параграф 1, Комисията внася искане за трансфер </w:t>
      </w:r>
      <w:r>
        <w:rPr>
          <w:noProof/>
        </w:rPr>
        <w:t>на бюджетни кредити за техническа помощ към съответните бюджетни редове в съответствие с член 31 от Финансовия регламент.</w:t>
      </w:r>
    </w:p>
    <w:p w:rsidR="000A3633" w:rsidRDefault="0078004E">
      <w:pPr>
        <w:pStyle w:val="ManualNumPar1"/>
        <w:rPr>
          <w:noProof/>
        </w:rPr>
      </w:pPr>
      <w:r>
        <w:rPr>
          <w:noProof/>
        </w:rPr>
        <w:t>3.</w:t>
      </w:r>
      <w:r>
        <w:rPr>
          <w:noProof/>
        </w:rPr>
        <w:tab/>
        <w:t>Комисията оказва техническа помощ по собствена инициатива при пряко или непряко управление в съответствие с [член 62, параграф 1, б</w:t>
      </w:r>
      <w:r>
        <w:rPr>
          <w:noProof/>
        </w:rPr>
        <w:t>укви а) и в)] от Финансовия регламент.</w:t>
      </w:r>
    </w:p>
    <w:p w:rsidR="000A3633" w:rsidRDefault="0078004E">
      <w:pPr>
        <w:pStyle w:val="ManualNumPar1"/>
        <w:rPr>
          <w:noProof/>
        </w:rPr>
      </w:pPr>
      <w:r>
        <w:rPr>
          <w:noProof/>
        </w:rPr>
        <w:t>4.</w:t>
      </w:r>
      <w:r>
        <w:rPr>
          <w:noProof/>
        </w:rPr>
        <w:tab/>
        <w:t>Техническата помощ от Комисията включва предоставянето на информация и насоки на държавите членки за използването, мониторинга и оценяването на ЕФПГ. Комисията предоставя също информация и ясни насоки за използване</w:t>
      </w:r>
      <w:r>
        <w:rPr>
          <w:noProof/>
        </w:rPr>
        <w:t>то на ЕФПГ на европейските и националните социални партньори. Мерките, свързани с даването на насоки, могат да включват и създаването на работни групи в случай на сериозни икономически сътресения в дадена държава членка.</w:t>
      </w:r>
    </w:p>
    <w:p w:rsidR="000A3633" w:rsidRDefault="0078004E">
      <w:pPr>
        <w:pStyle w:val="Titrearticle"/>
        <w:rPr>
          <w:noProof/>
        </w:rPr>
      </w:pPr>
      <w:r>
        <w:rPr>
          <w:noProof/>
        </w:rPr>
        <w:t>Член 13</w:t>
      </w:r>
    </w:p>
    <w:p w:rsidR="000A3633" w:rsidRDefault="0078004E">
      <w:pPr>
        <w:pStyle w:val="Normalcenteredbold"/>
        <w:rPr>
          <w:noProof/>
        </w:rPr>
      </w:pPr>
      <w:r>
        <w:rPr>
          <w:noProof/>
        </w:rPr>
        <w:t>Информация, комуникация и п</w:t>
      </w:r>
      <w:r>
        <w:rPr>
          <w:noProof/>
        </w:rPr>
        <w:t>убличност</w:t>
      </w:r>
    </w:p>
    <w:p w:rsidR="000A3633" w:rsidRDefault="0078004E">
      <w:pPr>
        <w:pStyle w:val="ManualNumPar1"/>
        <w:rPr>
          <w:noProof/>
        </w:rPr>
      </w:pPr>
      <w:r>
        <w:rPr>
          <w:noProof/>
        </w:rPr>
        <w:t>1.</w:t>
      </w:r>
      <w:r>
        <w:rPr>
          <w:noProof/>
        </w:rPr>
        <w:tab/>
        <w:t>Държавите членки посочват произхода и гарантират видимостта на финансирането от Съюза, като осигуряват последователна, ефективна и целенасочена информация за различни видове публика, включително целенасочена информация за бенефициерите, местни</w:t>
      </w:r>
      <w:r>
        <w:rPr>
          <w:noProof/>
        </w:rPr>
        <w:t>те и регионалните органи, социалните партньори, медиите и обществеността.</w:t>
      </w:r>
    </w:p>
    <w:p w:rsidR="000A3633" w:rsidRDefault="0078004E">
      <w:pPr>
        <w:pStyle w:val="Text1"/>
        <w:rPr>
          <w:noProof/>
        </w:rPr>
      </w:pPr>
      <w:r>
        <w:rPr>
          <w:noProof/>
        </w:rPr>
        <w:t>Държавите членки следва да използват емблемата на ЕС в съответствие с [приложение VIII от Регламента за общоприложимите разпоредби] заедно с прост текст за финансирането („финансиран</w:t>
      </w:r>
      <w:r>
        <w:rPr>
          <w:noProof/>
        </w:rPr>
        <w:t>о/съфинансирано от Европейския съюз“).</w:t>
      </w:r>
    </w:p>
    <w:p w:rsidR="000A3633" w:rsidRDefault="0078004E">
      <w:pPr>
        <w:pStyle w:val="ManualNumPar1"/>
        <w:rPr>
          <w:noProof/>
        </w:rPr>
      </w:pPr>
      <w:r>
        <w:rPr>
          <w:noProof/>
        </w:rPr>
        <w:t>2.</w:t>
      </w:r>
      <w:r>
        <w:rPr>
          <w:noProof/>
        </w:rPr>
        <w:tab/>
        <w:t>Комисията поддържа и редовно актуализира своето онлайн присъствие, което е достъпно на всички официални езици на институциите на Съюза, за да предоставя актуализирана информация за ЕФПГ, насоки за подаването на зая</w:t>
      </w:r>
      <w:r>
        <w:rPr>
          <w:noProof/>
        </w:rPr>
        <w:t>вления, както и информация за приетите и отхвърлените заявления и за ролята на Европейския парламент и на Съвета в бюджетната процедура.</w:t>
      </w:r>
    </w:p>
    <w:p w:rsidR="000A3633" w:rsidRDefault="0078004E">
      <w:pPr>
        <w:pStyle w:val="ManualNumPar1"/>
        <w:rPr>
          <w:noProof/>
        </w:rPr>
      </w:pPr>
      <w:r>
        <w:rPr>
          <w:noProof/>
        </w:rPr>
        <w:t>3.</w:t>
      </w:r>
      <w:r>
        <w:rPr>
          <w:noProof/>
        </w:rPr>
        <w:tab/>
        <w:t>Комисията изпълнява информационни и комуникационни дейности, свързани със случаите по ЕФПГ и резултатите от тях, въз</w:t>
      </w:r>
      <w:r>
        <w:rPr>
          <w:noProof/>
        </w:rPr>
        <w:t xml:space="preserve"> основа на своя опит с цел подобряване на ефективността на ЕФПГ и гарантиране на това, че гражданите и работниците на Съюза знаят за съществуването на ЕФПГ. </w:t>
      </w:r>
    </w:p>
    <w:p w:rsidR="000A3633" w:rsidRDefault="0078004E">
      <w:pPr>
        <w:pStyle w:val="Text1"/>
        <w:rPr>
          <w:noProof/>
        </w:rPr>
      </w:pPr>
      <w:r>
        <w:rPr>
          <w:noProof/>
        </w:rPr>
        <w:t xml:space="preserve">Държавите членки гарантират, че всички материали за комуникация и видимост се предоставят при </w:t>
      </w:r>
      <w:r>
        <w:rPr>
          <w:noProof/>
        </w:rPr>
        <w:t>поискване на институциите, органите и агенциите на Съюза и че на Съюза се предоставя безвъзмезден, неизключителен и неотменим лиценз за използването на тези материали и всички вече съществуващи права, свързани с тях. Лицензът предоставя на Съюза следните п</w:t>
      </w:r>
      <w:r>
        <w:rPr>
          <w:noProof/>
        </w:rPr>
        <w:t>рава:</w:t>
      </w:r>
    </w:p>
    <w:p w:rsidR="000A3633" w:rsidRDefault="0078004E">
      <w:pPr>
        <w:pStyle w:val="Text1"/>
        <w:rPr>
          <w:noProof/>
        </w:rPr>
      </w:pPr>
      <w:r>
        <w:rPr>
          <w:noProof/>
        </w:rPr>
        <w:t>•</w:t>
      </w:r>
      <w:r>
        <w:rPr>
          <w:noProof/>
        </w:rPr>
        <w:tab/>
        <w:t>вътрешно ползване, т.е. правото на възпроизвеждане, копиране и предоставяне на материалите за комуникация и видимост на институциите и агенциите на ЕС и техните служители и на институциите и агенциите на държавите — членки на ЕС, и техните служител</w:t>
      </w:r>
      <w:r>
        <w:rPr>
          <w:noProof/>
        </w:rPr>
        <w:t>и;</w:t>
      </w:r>
    </w:p>
    <w:p w:rsidR="000A3633" w:rsidRDefault="0078004E">
      <w:pPr>
        <w:pStyle w:val="Text1"/>
        <w:rPr>
          <w:noProof/>
        </w:rPr>
      </w:pPr>
      <w:r>
        <w:rPr>
          <w:noProof/>
        </w:rPr>
        <w:t>•</w:t>
      </w:r>
      <w:r>
        <w:rPr>
          <w:noProof/>
        </w:rPr>
        <w:tab/>
        <w:t>възпроизвеждане на материалите за комуникация и видимост по какъвто и да е начин и в каквато и да е форма, изцяло или отчасти;</w:t>
      </w:r>
    </w:p>
    <w:p w:rsidR="000A3633" w:rsidRDefault="0078004E">
      <w:pPr>
        <w:pStyle w:val="Text1"/>
        <w:rPr>
          <w:noProof/>
        </w:rPr>
      </w:pPr>
      <w:r>
        <w:rPr>
          <w:noProof/>
        </w:rPr>
        <w:t>•</w:t>
      </w:r>
      <w:r>
        <w:rPr>
          <w:noProof/>
        </w:rPr>
        <w:tab/>
        <w:t>публично разгласяване на материалите за комуникация и видимост чрез използването на всички средства за комуникация;</w:t>
      </w:r>
    </w:p>
    <w:p w:rsidR="000A3633" w:rsidRDefault="0078004E">
      <w:pPr>
        <w:pStyle w:val="Text1"/>
        <w:rPr>
          <w:noProof/>
        </w:rPr>
      </w:pPr>
      <w:r>
        <w:rPr>
          <w:noProof/>
        </w:rPr>
        <w:t>•</w:t>
      </w:r>
      <w:r>
        <w:rPr>
          <w:noProof/>
        </w:rPr>
        <w:tab/>
        <w:t>публ</w:t>
      </w:r>
      <w:r>
        <w:rPr>
          <w:noProof/>
        </w:rPr>
        <w:t>ично разпространение на материалите за комуникация и видимост (или на копия от тях) във всички форми;</w:t>
      </w:r>
    </w:p>
    <w:p w:rsidR="000A3633" w:rsidRDefault="0078004E">
      <w:pPr>
        <w:pStyle w:val="Text1"/>
        <w:rPr>
          <w:noProof/>
        </w:rPr>
      </w:pPr>
      <w:r>
        <w:rPr>
          <w:noProof/>
        </w:rPr>
        <w:t>•</w:t>
      </w:r>
      <w:r>
        <w:rPr>
          <w:noProof/>
        </w:rPr>
        <w:tab/>
        <w:t>съхранение и архивиране на материалите за комуникация и видимост;</w:t>
      </w:r>
    </w:p>
    <w:p w:rsidR="000A3633" w:rsidRDefault="0078004E">
      <w:pPr>
        <w:pStyle w:val="Text1"/>
        <w:rPr>
          <w:noProof/>
        </w:rPr>
      </w:pPr>
      <w:r>
        <w:rPr>
          <w:noProof/>
        </w:rPr>
        <w:t>•</w:t>
      </w:r>
      <w:r>
        <w:rPr>
          <w:noProof/>
        </w:rPr>
        <w:tab/>
        <w:t>преотстъпване на правата във връзка с материалите за комуникация и видимост на трети</w:t>
      </w:r>
      <w:r>
        <w:rPr>
          <w:noProof/>
        </w:rPr>
        <w:t xml:space="preserve"> страни.</w:t>
      </w:r>
    </w:p>
    <w:p w:rsidR="000A3633" w:rsidRDefault="0078004E">
      <w:pPr>
        <w:pStyle w:val="Text1"/>
        <w:rPr>
          <w:noProof/>
        </w:rPr>
      </w:pPr>
      <w:r>
        <w:rPr>
          <w:noProof/>
        </w:rPr>
        <w:t>На Съюза могат да бъдат предоставени допълнителни права.</w:t>
      </w:r>
    </w:p>
    <w:p w:rsidR="000A3633" w:rsidRDefault="0078004E">
      <w:pPr>
        <w:pStyle w:val="ManualNumPar1"/>
        <w:rPr>
          <w:noProof/>
        </w:rPr>
      </w:pPr>
      <w:r>
        <w:rPr>
          <w:noProof/>
        </w:rPr>
        <w:t>4.</w:t>
      </w:r>
      <w:r>
        <w:rPr>
          <w:noProof/>
        </w:rPr>
        <w:tab/>
        <w:t>Средствата, отпуснати за комуникационни дейности съгласно настоящия регламент, допринасят също за обхващане на институционалната комуникация на политическите приоритети на Съюза, при усло</w:t>
      </w:r>
      <w:r>
        <w:rPr>
          <w:noProof/>
        </w:rPr>
        <w:t xml:space="preserve">вие че те са свързани с общите цели, посочени в член 3. </w:t>
      </w:r>
    </w:p>
    <w:p w:rsidR="000A3633" w:rsidRDefault="0078004E">
      <w:pPr>
        <w:pStyle w:val="Titrearticle"/>
        <w:rPr>
          <w:noProof/>
        </w:rPr>
      </w:pPr>
      <w:r>
        <w:rPr>
          <w:noProof/>
        </w:rPr>
        <w:t>Член 14</w:t>
      </w:r>
    </w:p>
    <w:p w:rsidR="000A3633" w:rsidRDefault="0078004E">
      <w:pPr>
        <w:pStyle w:val="Normalcenteredbold"/>
        <w:rPr>
          <w:noProof/>
        </w:rPr>
      </w:pPr>
      <w:r>
        <w:rPr>
          <w:noProof/>
        </w:rPr>
        <w:t>Определяне на финансовия принос</w:t>
      </w:r>
    </w:p>
    <w:p w:rsidR="000A3633" w:rsidRDefault="0078004E">
      <w:pPr>
        <w:pStyle w:val="ManualNumPar1"/>
        <w:rPr>
          <w:noProof/>
        </w:rPr>
      </w:pPr>
      <w:r>
        <w:rPr>
          <w:noProof/>
        </w:rPr>
        <w:t>1.</w:t>
      </w:r>
      <w:r>
        <w:rPr>
          <w:noProof/>
        </w:rPr>
        <w:tab/>
        <w:t>Въз основа на оценката, извършена в съответствие с член 9, и по-специално като взема предвид броя на бенефициерите от целевата група, предложените мерки и о</w:t>
      </w:r>
      <w:r>
        <w:rPr>
          <w:noProof/>
        </w:rPr>
        <w:t>чакваните разходи, Комисията оценява и предлага във възможно най-кратък срок размера на финансовия принос от ЕФПГ, ако има такъв, който може да бъде предоставен в рамките на наличните средства.</w:t>
      </w:r>
    </w:p>
    <w:p w:rsidR="000A3633" w:rsidRDefault="0078004E">
      <w:pPr>
        <w:pStyle w:val="ManualNumPar1"/>
        <w:rPr>
          <w:noProof/>
        </w:rPr>
      </w:pPr>
      <w:r>
        <w:rPr>
          <w:noProof/>
        </w:rPr>
        <w:t>2.</w:t>
      </w:r>
      <w:r>
        <w:rPr>
          <w:noProof/>
        </w:rPr>
        <w:tab/>
        <w:t>Процентът на съфинансиране по ЕФПГ за предложените мерки се</w:t>
      </w:r>
      <w:r>
        <w:rPr>
          <w:noProof/>
        </w:rPr>
        <w:t xml:space="preserve"> изравнява с най-високия процент на съфинансиране по ЕСФ+ в съответната държава членка.</w:t>
      </w:r>
    </w:p>
    <w:p w:rsidR="000A3633" w:rsidRDefault="0078004E">
      <w:pPr>
        <w:pStyle w:val="ManualNumPar1"/>
        <w:rPr>
          <w:noProof/>
        </w:rPr>
      </w:pPr>
      <w:r>
        <w:rPr>
          <w:noProof/>
        </w:rPr>
        <w:t>3.</w:t>
      </w:r>
      <w:r>
        <w:rPr>
          <w:noProof/>
        </w:rPr>
        <w:tab/>
        <w:t>Когато въз основа на оценката, извършена в съответствие с член 9, Комисията заключи, че условията за финансов принос съгласно настоящия регламент са изпълнени, тя не</w:t>
      </w:r>
      <w:r>
        <w:rPr>
          <w:noProof/>
        </w:rPr>
        <w:t>забавно започва процедурата, определена в член 16.</w:t>
      </w:r>
    </w:p>
    <w:p w:rsidR="000A3633" w:rsidRDefault="0078004E">
      <w:pPr>
        <w:pStyle w:val="ManualNumPar1"/>
        <w:rPr>
          <w:noProof/>
        </w:rPr>
      </w:pPr>
      <w:r>
        <w:rPr>
          <w:noProof/>
        </w:rPr>
        <w:t>4.</w:t>
      </w:r>
      <w:r>
        <w:rPr>
          <w:noProof/>
        </w:rPr>
        <w:tab/>
        <w:t>Когато въз основа на оценката, извършена в съответствие с член 9, Комисията заключи, че условията за финансов принос съгласно настоящия регламент не са изпълнени, тя незабавно уведомява кандидатстващата</w:t>
      </w:r>
      <w:r>
        <w:rPr>
          <w:noProof/>
        </w:rPr>
        <w:t xml:space="preserve"> държава членка.</w:t>
      </w:r>
    </w:p>
    <w:p w:rsidR="000A3633" w:rsidRDefault="0078004E">
      <w:pPr>
        <w:pStyle w:val="Titrearticle"/>
        <w:rPr>
          <w:noProof/>
        </w:rPr>
      </w:pPr>
      <w:r>
        <w:rPr>
          <w:noProof/>
        </w:rPr>
        <w:t>Член 15</w:t>
      </w:r>
    </w:p>
    <w:p w:rsidR="000A3633" w:rsidRDefault="0078004E">
      <w:pPr>
        <w:pStyle w:val="Normalcenteredbold"/>
        <w:rPr>
          <w:noProof/>
        </w:rPr>
      </w:pPr>
      <w:r>
        <w:rPr>
          <w:noProof/>
        </w:rPr>
        <w:t>Период на допустимост</w:t>
      </w:r>
    </w:p>
    <w:p w:rsidR="000A3633" w:rsidRDefault="0078004E">
      <w:pPr>
        <w:pStyle w:val="ManualNumPar1"/>
        <w:rPr>
          <w:noProof/>
        </w:rPr>
      </w:pPr>
      <w:r>
        <w:rPr>
          <w:noProof/>
        </w:rPr>
        <w:t>1.</w:t>
      </w:r>
      <w:r>
        <w:rPr>
          <w:noProof/>
        </w:rPr>
        <w:tab/>
        <w:t>За финансов принос от ЕФПГ са допустими разходите, направени от датите, посочени в заявлението съгласно член 9, параграф 5, буква й), на които съответната държава членка започва или трябва да започне да пре</w:t>
      </w:r>
      <w:r>
        <w:rPr>
          <w:noProof/>
        </w:rPr>
        <w:t>доставя персонализираните услуги на бенефициерите от целевата група или извършва административните разходи по привеждането на ЕФПГ в действие в съответствие с член 8, параграфи 1 и 4.</w:t>
      </w:r>
    </w:p>
    <w:p w:rsidR="000A3633" w:rsidRDefault="0078004E">
      <w:pPr>
        <w:pStyle w:val="ManualNumPar1"/>
        <w:rPr>
          <w:noProof/>
        </w:rPr>
      </w:pPr>
      <w:r>
        <w:rPr>
          <w:noProof/>
        </w:rPr>
        <w:t>2.</w:t>
      </w:r>
      <w:r>
        <w:rPr>
          <w:noProof/>
        </w:rPr>
        <w:tab/>
        <w:t>Държавата членка изпълнява допустимите мерки, посочени в член 8, възм</w:t>
      </w:r>
      <w:r>
        <w:rPr>
          <w:noProof/>
        </w:rPr>
        <w:t>ожно най-скоро и не по-късно от 24 месеца след датата на влизане в сила на решението за финансов принос.</w:t>
      </w:r>
    </w:p>
    <w:p w:rsidR="000A3633" w:rsidRDefault="0078004E">
      <w:pPr>
        <w:pStyle w:val="ManualNumPar1"/>
        <w:rPr>
          <w:noProof/>
        </w:rPr>
      </w:pPr>
      <w:r>
        <w:rPr>
          <w:noProof/>
        </w:rPr>
        <w:t>3.</w:t>
      </w:r>
      <w:r>
        <w:rPr>
          <w:noProof/>
        </w:rPr>
        <w:tab/>
        <w:t xml:space="preserve">Периодът на изпълнение започва да тече от датите, посочени в заявлението съгласно член 9, параграф 5, буква ѝ), на които съответната държава членка </w:t>
      </w:r>
      <w:r>
        <w:rPr>
          <w:noProof/>
        </w:rPr>
        <w:t>започва да предоставя персонализираните услуги на бенефициерите от целевата група и започва да изпълнява посочените в член 8 дейности по привеждането на ЕФПГ в действие, и приключва 24 месеца след датата на влизане в сила на решението за финансов принос.</w:t>
      </w:r>
    </w:p>
    <w:p w:rsidR="000A3633" w:rsidRDefault="0078004E">
      <w:pPr>
        <w:pStyle w:val="ManualNumPar1"/>
        <w:rPr>
          <w:noProof/>
        </w:rPr>
      </w:pPr>
      <w:r>
        <w:rPr>
          <w:noProof/>
        </w:rPr>
        <w:t>4</w:t>
      </w:r>
      <w:r>
        <w:rPr>
          <w:noProof/>
        </w:rPr>
        <w:t>.</w:t>
      </w:r>
      <w:r>
        <w:rPr>
          <w:noProof/>
        </w:rPr>
        <w:tab/>
        <w:t>Когато бенефициер получи достъп до курс за образование или обучение с продължителност две или повече години, разходите за този курс отговарят на условията за съфинансиране по ЕФПГ до датата, на която трябва да бъде представен окончателният доклад по член</w:t>
      </w:r>
      <w:r>
        <w:rPr>
          <w:noProof/>
        </w:rPr>
        <w:t> 20, параграф 1, при условие че съответните разходи са направени преди тази дата.</w:t>
      </w:r>
    </w:p>
    <w:p w:rsidR="000A3633" w:rsidRDefault="0078004E">
      <w:pPr>
        <w:pStyle w:val="ManualNumPar1"/>
        <w:rPr>
          <w:noProof/>
        </w:rPr>
      </w:pPr>
      <w:r>
        <w:rPr>
          <w:noProof/>
        </w:rPr>
        <w:t>5.</w:t>
      </w:r>
      <w:r>
        <w:rPr>
          <w:noProof/>
        </w:rPr>
        <w:tab/>
        <w:t>Разходите по член 8, параграф 4 са допустими до крайния срок за подаване на окончателния доклад съгласно член 20, параграф 1.</w:t>
      </w:r>
    </w:p>
    <w:p w:rsidR="000A3633" w:rsidRDefault="0078004E">
      <w:pPr>
        <w:pStyle w:val="Titrearticle"/>
        <w:rPr>
          <w:noProof/>
        </w:rPr>
      </w:pPr>
      <w:r>
        <w:rPr>
          <w:noProof/>
        </w:rPr>
        <w:t>Член 16</w:t>
      </w:r>
    </w:p>
    <w:p w:rsidR="000A3633" w:rsidRDefault="0078004E">
      <w:pPr>
        <w:pStyle w:val="Normalcenteredbold"/>
        <w:rPr>
          <w:noProof/>
        </w:rPr>
      </w:pPr>
      <w:r>
        <w:rPr>
          <w:noProof/>
        </w:rPr>
        <w:t>Бюджетна процедура и изпълнение</w:t>
      </w:r>
    </w:p>
    <w:p w:rsidR="000A3633" w:rsidRDefault="0078004E">
      <w:pPr>
        <w:pStyle w:val="ManualNumPar1"/>
        <w:rPr>
          <w:noProof/>
        </w:rPr>
      </w:pPr>
      <w:r>
        <w:rPr>
          <w:noProof/>
        </w:rPr>
        <w:t>1.</w:t>
      </w:r>
      <w:r>
        <w:rPr>
          <w:noProof/>
        </w:rPr>
        <w:tab/>
        <w:t>Ко</w:t>
      </w:r>
      <w:r>
        <w:rPr>
          <w:noProof/>
        </w:rPr>
        <w:t>гато Комисията заключи, че условията за предоставяне на финансов принос от ЕФПГ са изпълнени, тя внася искане за трансфер към съответните бюджетни редове в съответствие с член 31 от Финансовия регламент.</w:t>
      </w:r>
    </w:p>
    <w:p w:rsidR="000A3633" w:rsidRDefault="0078004E">
      <w:pPr>
        <w:pStyle w:val="ManualNumPar1"/>
        <w:rPr>
          <w:noProof/>
        </w:rPr>
      </w:pPr>
      <w:r>
        <w:rPr>
          <w:noProof/>
        </w:rPr>
        <w:t>2.</w:t>
      </w:r>
      <w:r>
        <w:rPr>
          <w:noProof/>
        </w:rPr>
        <w:tab/>
        <w:t>Искането за трансфер трябва да се придружава от р</w:t>
      </w:r>
      <w:r>
        <w:rPr>
          <w:noProof/>
        </w:rPr>
        <w:t>езюме на проверката на допустимостта на заявлението.</w:t>
      </w:r>
    </w:p>
    <w:p w:rsidR="000A3633" w:rsidRDefault="0078004E">
      <w:pPr>
        <w:pStyle w:val="ManualNumPar1"/>
        <w:rPr>
          <w:noProof/>
        </w:rPr>
      </w:pPr>
      <w:bookmarkStart w:id="18" w:name="_Ref512878230"/>
      <w:r>
        <w:rPr>
          <w:noProof/>
        </w:rPr>
        <w:t>3.</w:t>
      </w:r>
      <w:r>
        <w:rPr>
          <w:noProof/>
        </w:rPr>
        <w:tab/>
        <w:t xml:space="preserve">Комисията приема решение за финансов принос — чрез акт за изпълнение — което влиза в сила на датата, на която Комисията бъде уведомена за одобряването на бюджетния трансфер от Европейския парламент и </w:t>
      </w:r>
      <w:r>
        <w:rPr>
          <w:noProof/>
        </w:rPr>
        <w:t>от Съвета. Решението представлява решение за финансиране по смисъла на член 110 от Финансовия регламент.</w:t>
      </w:r>
      <w:bookmarkEnd w:id="18"/>
    </w:p>
    <w:p w:rsidR="000A3633" w:rsidRDefault="0078004E">
      <w:pPr>
        <w:pStyle w:val="Titrearticle"/>
        <w:rPr>
          <w:noProof/>
        </w:rPr>
      </w:pPr>
      <w:r>
        <w:rPr>
          <w:noProof/>
        </w:rPr>
        <w:t>Член 17</w:t>
      </w:r>
    </w:p>
    <w:p w:rsidR="000A3633" w:rsidRDefault="0078004E">
      <w:pPr>
        <w:pStyle w:val="Normalcenteredbold"/>
        <w:rPr>
          <w:noProof/>
        </w:rPr>
      </w:pPr>
      <w:r>
        <w:rPr>
          <w:noProof/>
        </w:rPr>
        <w:t>Изплащане и използване на финансовия принос</w:t>
      </w:r>
    </w:p>
    <w:p w:rsidR="000A3633" w:rsidRDefault="0078004E">
      <w:pPr>
        <w:pStyle w:val="ManualNumPar1"/>
        <w:rPr>
          <w:noProof/>
        </w:rPr>
      </w:pPr>
      <w:bookmarkStart w:id="19" w:name="_Ref511214075"/>
      <w:r>
        <w:rPr>
          <w:noProof/>
        </w:rPr>
        <w:t>1.</w:t>
      </w:r>
      <w:r>
        <w:rPr>
          <w:noProof/>
        </w:rPr>
        <w:tab/>
        <w:t xml:space="preserve">След влизането в сила на решение за финансов принос в съответствие с член 16, параграф 3, </w:t>
      </w:r>
      <w:r>
        <w:rPr>
          <w:noProof/>
        </w:rPr>
        <w:t>Комисията изплаща финансовия принос на съответната държава членка посредством едно 100 %-во плащане за авансово финансиране, по принцип в срок от 15 работни дни. Предварителното финансиране се уравнява, когато държавата членка представи заверен отчет за ра</w:t>
      </w:r>
      <w:r>
        <w:rPr>
          <w:noProof/>
        </w:rPr>
        <w:t>зходите в съответствие с член 20, параграф 1. Неизразходваната сума се възстановява на Комисията.</w:t>
      </w:r>
      <w:bookmarkEnd w:id="19"/>
    </w:p>
    <w:p w:rsidR="000A3633" w:rsidRDefault="0078004E">
      <w:pPr>
        <w:pStyle w:val="ManualNumPar1"/>
        <w:rPr>
          <w:noProof/>
        </w:rPr>
      </w:pPr>
      <w:r>
        <w:rPr>
          <w:noProof/>
        </w:rPr>
        <w:t>2.</w:t>
      </w:r>
      <w:r>
        <w:rPr>
          <w:noProof/>
        </w:rPr>
        <w:tab/>
        <w:t>Финансовият принос по параграф 1 се усвоява под режим споделено управление в съответствие с член 63 от Финансовия регламент.</w:t>
      </w:r>
    </w:p>
    <w:p w:rsidR="000A3633" w:rsidRDefault="0078004E">
      <w:pPr>
        <w:pStyle w:val="ManualNumPar1"/>
        <w:rPr>
          <w:noProof/>
        </w:rPr>
      </w:pPr>
      <w:bookmarkStart w:id="20" w:name="_Ref512867055"/>
      <w:r>
        <w:rPr>
          <w:noProof/>
        </w:rPr>
        <w:t>3.</w:t>
      </w:r>
      <w:r>
        <w:rPr>
          <w:noProof/>
        </w:rPr>
        <w:tab/>
        <w:t>Подробните технически ред и</w:t>
      </w:r>
      <w:r>
        <w:rPr>
          <w:noProof/>
        </w:rPr>
        <w:t xml:space="preserve"> условия за финансирането се определят от Комисията в решението за финансов принос, посочено в член 16, параграф 3.</w:t>
      </w:r>
      <w:bookmarkEnd w:id="20"/>
    </w:p>
    <w:p w:rsidR="000A3633" w:rsidRDefault="0078004E">
      <w:pPr>
        <w:pStyle w:val="ManualNumPar1"/>
        <w:rPr>
          <w:noProof/>
        </w:rPr>
      </w:pPr>
      <w:r>
        <w:rPr>
          <w:noProof/>
        </w:rPr>
        <w:t>4.</w:t>
      </w:r>
      <w:r>
        <w:rPr>
          <w:noProof/>
        </w:rPr>
        <w:tab/>
        <w:t xml:space="preserve">При осъществяването на мерките, включени в съгласувания пакет от персонализирани услуги, съответната държава членка може да представи на </w:t>
      </w:r>
      <w:r>
        <w:rPr>
          <w:noProof/>
        </w:rPr>
        <w:t>Комисията предложение за изменение на включените мерки, като добави други допустими мерки, изброени в член 8, параграф 1, букви а) и б), при условие че тези изменения са надлежно обосновани и че общата сума не надхвърля размера на финансовия принос, посоче</w:t>
      </w:r>
      <w:r>
        <w:rPr>
          <w:noProof/>
        </w:rPr>
        <w:t>н в член 16, параграф 3. Комисията разглежда предложените изменения и ако е съгласна с тях, изменя по съответния начин решението за финансов принос.</w:t>
      </w:r>
    </w:p>
    <w:p w:rsidR="000A3633" w:rsidRDefault="0078004E">
      <w:pPr>
        <w:pStyle w:val="ManualNumPar1"/>
        <w:rPr>
          <w:noProof/>
        </w:rPr>
      </w:pPr>
      <w:r>
        <w:rPr>
          <w:noProof/>
        </w:rPr>
        <w:t>5.</w:t>
      </w:r>
      <w:r>
        <w:rPr>
          <w:noProof/>
        </w:rPr>
        <w:tab/>
        <w:t>Съответната държава членка разполага с гъвкавостта да преразпределя сумите между бюджетните позиции, опр</w:t>
      </w:r>
      <w:r>
        <w:rPr>
          <w:noProof/>
        </w:rPr>
        <w:t>еделени в решението за финансов принос в съответствие с член 16, параграф 3. Ако дадено преразпределение надхвърли увеличение с 20 % за една или повече от посочените позиции, държавата членка уведомява Комисията предварително за това.</w:t>
      </w:r>
    </w:p>
    <w:p w:rsidR="000A3633" w:rsidRDefault="0078004E">
      <w:pPr>
        <w:pStyle w:val="Titrearticle"/>
        <w:rPr>
          <w:noProof/>
        </w:rPr>
      </w:pPr>
      <w:r>
        <w:rPr>
          <w:noProof/>
        </w:rPr>
        <w:t>Член 18</w:t>
      </w:r>
    </w:p>
    <w:p w:rsidR="000A3633" w:rsidRDefault="0078004E">
      <w:pPr>
        <w:pStyle w:val="Normalcenteredbold"/>
        <w:rPr>
          <w:noProof/>
        </w:rPr>
      </w:pPr>
      <w:r>
        <w:rPr>
          <w:noProof/>
        </w:rPr>
        <w:t>Използване на</w:t>
      </w:r>
      <w:r>
        <w:rPr>
          <w:noProof/>
        </w:rPr>
        <w:t xml:space="preserve"> еврото</w:t>
      </w:r>
    </w:p>
    <w:p w:rsidR="000A3633" w:rsidRDefault="0078004E">
      <w:pPr>
        <w:rPr>
          <w:noProof/>
        </w:rPr>
      </w:pPr>
      <w:r>
        <w:rPr>
          <w:noProof/>
        </w:rPr>
        <w:t>В заявленията, решенията за финансов принос и докладите съгласно настоящия регламент, както и във всички други документи, свързани с тях, всички суми се представят в евро.</w:t>
      </w:r>
    </w:p>
    <w:p w:rsidR="000A3633" w:rsidRDefault="0078004E">
      <w:pPr>
        <w:pStyle w:val="Titrearticle"/>
        <w:rPr>
          <w:noProof/>
        </w:rPr>
      </w:pPr>
      <w:r>
        <w:rPr>
          <w:noProof/>
        </w:rPr>
        <w:t>Член 19</w:t>
      </w:r>
    </w:p>
    <w:p w:rsidR="000A3633" w:rsidRDefault="0078004E">
      <w:pPr>
        <w:pStyle w:val="Normalcenteredbold"/>
        <w:rPr>
          <w:noProof/>
        </w:rPr>
      </w:pPr>
      <w:r>
        <w:rPr>
          <w:noProof/>
        </w:rPr>
        <w:t>Показатели</w:t>
      </w:r>
    </w:p>
    <w:p w:rsidR="000A3633" w:rsidRDefault="0078004E">
      <w:pPr>
        <w:rPr>
          <w:noProof/>
        </w:rPr>
      </w:pPr>
      <w:r>
        <w:rPr>
          <w:noProof/>
        </w:rPr>
        <w:t>1.</w:t>
      </w:r>
      <w:r>
        <w:rPr>
          <w:noProof/>
        </w:rPr>
        <w:tab/>
        <w:t xml:space="preserve">Показателите за докладване на напредъка на програмата </w:t>
      </w:r>
      <w:r>
        <w:rPr>
          <w:noProof/>
        </w:rPr>
        <w:t>по отношение на постигането на целите, определени в член 3, са посочени в приложението.</w:t>
      </w:r>
    </w:p>
    <w:p w:rsidR="000A3633" w:rsidRDefault="0078004E">
      <w:pPr>
        <w:rPr>
          <w:noProof/>
        </w:rPr>
      </w:pPr>
      <w:r>
        <w:rPr>
          <w:noProof/>
        </w:rPr>
        <w:t>2.</w:t>
      </w:r>
      <w:r>
        <w:rPr>
          <w:noProof/>
        </w:rPr>
        <w:tab/>
        <w:t>Системата за докладване на изпълнението гарантира ефикасното, ефективно и навременно събиране на данните за мониторинга на изпълнението на програмата и на резултатит</w:t>
      </w:r>
      <w:r>
        <w:rPr>
          <w:noProof/>
        </w:rPr>
        <w:t>е от нея. За тази цел на държавите членки се налагат пропорционални изисквания за докладване.</w:t>
      </w:r>
    </w:p>
    <w:p w:rsidR="000A3633" w:rsidRDefault="0078004E">
      <w:pPr>
        <w:rPr>
          <w:noProof/>
        </w:rPr>
      </w:pPr>
      <w:r>
        <w:rPr>
          <w:noProof/>
        </w:rPr>
        <w:t>3.</w:t>
      </w:r>
      <w:r>
        <w:rPr>
          <w:noProof/>
        </w:rPr>
        <w:tab/>
        <w:t>На Комисията се предоставя правомощието да приема делегирани актове в съответствие с член 25, за да изменя показателите в приложението, когато това се счита за</w:t>
      </w:r>
      <w:r>
        <w:rPr>
          <w:noProof/>
        </w:rPr>
        <w:t xml:space="preserve"> необходимо, за да се гарантира ефективна оценка на използването на фонда.</w:t>
      </w:r>
    </w:p>
    <w:p w:rsidR="000A3633" w:rsidRDefault="0078004E">
      <w:pPr>
        <w:pStyle w:val="Titrearticle"/>
        <w:rPr>
          <w:noProof/>
        </w:rPr>
      </w:pPr>
      <w:r>
        <w:rPr>
          <w:noProof/>
        </w:rPr>
        <w:t>Член 20</w:t>
      </w:r>
    </w:p>
    <w:p w:rsidR="000A3633" w:rsidRDefault="0078004E">
      <w:pPr>
        <w:pStyle w:val="Normalcenteredbold"/>
        <w:rPr>
          <w:noProof/>
        </w:rPr>
      </w:pPr>
      <w:r>
        <w:rPr>
          <w:noProof/>
        </w:rPr>
        <w:t>Окончателен доклад и приключване</w:t>
      </w:r>
    </w:p>
    <w:p w:rsidR="000A3633" w:rsidRDefault="0078004E">
      <w:pPr>
        <w:pStyle w:val="ManualNumPar1"/>
        <w:rPr>
          <w:noProof/>
        </w:rPr>
      </w:pPr>
      <w:bookmarkStart w:id="21" w:name="_Ref511213964"/>
      <w:r>
        <w:rPr>
          <w:noProof/>
        </w:rPr>
        <w:t>1.</w:t>
      </w:r>
      <w:r>
        <w:rPr>
          <w:noProof/>
        </w:rPr>
        <w:tab/>
        <w:t>Не по-късно от края на седмия месец след изтичането на срока, определен в член 15, параграф 3, съответната държава членка представя на Ко</w:t>
      </w:r>
      <w:r>
        <w:rPr>
          <w:noProof/>
        </w:rPr>
        <w:t>мисията окончателен доклад за усвояването на финансовия принос, като докладът включва също информация за:</w:t>
      </w:r>
      <w:bookmarkEnd w:id="21"/>
    </w:p>
    <w:p w:rsidR="000A3633" w:rsidRDefault="0078004E">
      <w:pPr>
        <w:pStyle w:val="Point1"/>
        <w:rPr>
          <w:noProof/>
        </w:rPr>
      </w:pPr>
      <w:r>
        <w:rPr>
          <w:noProof/>
        </w:rPr>
        <w:t>а)</w:t>
      </w:r>
      <w:r>
        <w:rPr>
          <w:noProof/>
        </w:rPr>
        <w:tab/>
        <w:t>видовете мерки и основните резултати, обясняващи предизвикателствата, извлечените поуки, синергиите и допълването с други фондове на ЕС и посочващи</w:t>
      </w:r>
      <w:r>
        <w:rPr>
          <w:noProof/>
        </w:rPr>
        <w:t>, когато е възможно, допълването на мерките с тези, финансирани от други програми на Съюза или национални програми в съответствие с Рамката за качество на ЕС за предвиждане на промените и преструктуриране;</w:t>
      </w:r>
    </w:p>
    <w:p w:rsidR="000A3633" w:rsidRDefault="0078004E">
      <w:pPr>
        <w:pStyle w:val="Point1"/>
        <w:rPr>
          <w:noProof/>
        </w:rPr>
      </w:pPr>
      <w:r>
        <w:rPr>
          <w:noProof/>
        </w:rPr>
        <w:t>б)</w:t>
      </w:r>
      <w:r>
        <w:rPr>
          <w:noProof/>
        </w:rPr>
        <w:tab/>
        <w:t>имената на органите, предоставящи пакета от мер</w:t>
      </w:r>
      <w:r>
        <w:rPr>
          <w:noProof/>
        </w:rPr>
        <w:t>ки в държавата членка;</w:t>
      </w:r>
    </w:p>
    <w:p w:rsidR="000A3633" w:rsidRDefault="0078004E">
      <w:pPr>
        <w:pStyle w:val="Point1"/>
        <w:rPr>
          <w:noProof/>
        </w:rPr>
      </w:pPr>
      <w:r>
        <w:rPr>
          <w:noProof/>
        </w:rPr>
        <w:t>в)</w:t>
      </w:r>
      <w:r>
        <w:rPr>
          <w:noProof/>
        </w:rPr>
        <w:tab/>
        <w:t>показателите, предвидени в член 19;</w:t>
      </w:r>
    </w:p>
    <w:p w:rsidR="000A3633" w:rsidRDefault="0078004E">
      <w:pPr>
        <w:pStyle w:val="Point1"/>
        <w:rPr>
          <w:noProof/>
        </w:rPr>
      </w:pPr>
      <w:r>
        <w:rPr>
          <w:noProof/>
        </w:rPr>
        <w:t>г)</w:t>
      </w:r>
      <w:r>
        <w:rPr>
          <w:noProof/>
        </w:rPr>
        <w:tab/>
        <w:t>резултатите от проучване на бенефициер, проведено шест месеца след края на периода на изпълнение, което обхваща възприеманата промяна в пригодността за заетост на бенефициерите или за тези, к</w:t>
      </w:r>
      <w:r>
        <w:rPr>
          <w:noProof/>
        </w:rPr>
        <w:t>оито вече са намерили работа, повече информация за качеството на намерената работа, като например промяната в работното време, нивото на отговорност или промяната на равнището на заплащане в сравнение с предишната работа, сектора, в който лицето е намерило</w:t>
      </w:r>
      <w:r>
        <w:rPr>
          <w:noProof/>
        </w:rPr>
        <w:t xml:space="preserve"> работа, както и разбивка на тази информация по пол, възрастова група и образователно равнище;</w:t>
      </w:r>
    </w:p>
    <w:p w:rsidR="000A3633" w:rsidRDefault="0078004E">
      <w:pPr>
        <w:pStyle w:val="Point1"/>
        <w:rPr>
          <w:noProof/>
        </w:rPr>
      </w:pPr>
      <w:r>
        <w:rPr>
          <w:noProof/>
        </w:rPr>
        <w:t>д)</w:t>
      </w:r>
      <w:r>
        <w:rPr>
          <w:noProof/>
        </w:rPr>
        <w:tab/>
        <w:t>това дали извършващото съкращенията предприятие, с изключение на микропредприятията и МСП, е било бенефициер на държавна помощ или на предходно финансиране от</w:t>
      </w:r>
      <w:r>
        <w:rPr>
          <w:noProof/>
        </w:rPr>
        <w:t xml:space="preserve"> Кохезионния фонд или от структурните фондове на Съюза през предходните пет години;</w:t>
      </w:r>
    </w:p>
    <w:p w:rsidR="000A3633" w:rsidRDefault="0078004E">
      <w:pPr>
        <w:pStyle w:val="Point1"/>
        <w:rPr>
          <w:noProof/>
        </w:rPr>
      </w:pPr>
      <w:r>
        <w:rPr>
          <w:noProof/>
        </w:rPr>
        <w:t>е)</w:t>
      </w:r>
      <w:r>
        <w:rPr>
          <w:noProof/>
        </w:rPr>
        <w:tab/>
        <w:t>декларация, обосноваваща разходите.</w:t>
      </w:r>
    </w:p>
    <w:p w:rsidR="000A3633" w:rsidRDefault="0078004E">
      <w:pPr>
        <w:pStyle w:val="ManualNumPar1"/>
        <w:rPr>
          <w:noProof/>
        </w:rPr>
      </w:pPr>
      <w:bookmarkStart w:id="22" w:name="_Ref511213735"/>
      <w:r>
        <w:rPr>
          <w:noProof/>
        </w:rPr>
        <w:t>2.</w:t>
      </w:r>
      <w:r>
        <w:rPr>
          <w:noProof/>
        </w:rPr>
        <w:tab/>
        <w:t xml:space="preserve">Не по-късно от края на деветнадесетия месец след изтичането на срока, определен в член 15, параграф 3, съответната държава членка </w:t>
      </w:r>
      <w:r>
        <w:rPr>
          <w:noProof/>
        </w:rPr>
        <w:t>предоставя простия набор от данни, съдържащ информация за по-дългосрочния показател за резултатите по точка 3 от приложението.</w:t>
      </w:r>
    </w:p>
    <w:p w:rsidR="000A3633" w:rsidRDefault="0078004E">
      <w:pPr>
        <w:pStyle w:val="ManualNumPar1"/>
        <w:rPr>
          <w:noProof/>
        </w:rPr>
      </w:pPr>
      <w:r>
        <w:rPr>
          <w:noProof/>
        </w:rPr>
        <w:t>3.</w:t>
      </w:r>
      <w:r>
        <w:rPr>
          <w:noProof/>
        </w:rPr>
        <w:tab/>
        <w:t>Не по-късно от шест месеца след като Комисията получи цялата информация, изисквана по параграф 1, тя приключва финансовия прин</w:t>
      </w:r>
      <w:r>
        <w:rPr>
          <w:noProof/>
        </w:rPr>
        <w:t>ос, като определя окончателния размер на финансовия принос от ЕФПГ и остатъка, дължим от съответната държава членка, ако има такъв, в съответствие с член 24.</w:t>
      </w:r>
      <w:bookmarkEnd w:id="22"/>
      <w:r>
        <w:rPr>
          <w:noProof/>
        </w:rPr>
        <w:t xml:space="preserve"> Приключването зависи от предоставянето на по-дългосрочния показател за резултатите в съответствие </w:t>
      </w:r>
      <w:r>
        <w:rPr>
          <w:noProof/>
        </w:rPr>
        <w:t>с параграф 2.</w:t>
      </w:r>
    </w:p>
    <w:p w:rsidR="000A3633" w:rsidRDefault="0078004E">
      <w:pPr>
        <w:pStyle w:val="Titrearticle"/>
        <w:rPr>
          <w:noProof/>
        </w:rPr>
      </w:pPr>
      <w:r>
        <w:rPr>
          <w:noProof/>
        </w:rPr>
        <w:t>Член 21</w:t>
      </w:r>
    </w:p>
    <w:p w:rsidR="000A3633" w:rsidRDefault="0078004E">
      <w:pPr>
        <w:pStyle w:val="Normalcenteredbold"/>
        <w:rPr>
          <w:noProof/>
        </w:rPr>
      </w:pPr>
      <w:r>
        <w:rPr>
          <w:noProof/>
        </w:rPr>
        <w:t>Двугодишен доклад</w:t>
      </w:r>
    </w:p>
    <w:p w:rsidR="000A3633" w:rsidRDefault="0078004E">
      <w:pPr>
        <w:pStyle w:val="ManualNumPar1"/>
        <w:rPr>
          <w:noProof/>
        </w:rPr>
      </w:pPr>
      <w:r>
        <w:rPr>
          <w:noProof/>
        </w:rPr>
        <w:t>1.</w:t>
      </w:r>
      <w:r>
        <w:rPr>
          <w:noProof/>
        </w:rPr>
        <w:tab/>
        <w:t>До 1 август 2021 г. и на всеки две години след това Комисията представя на Европейския парламент и на Съвета цялостен количествен и качествен доклад за дейностите по настоящия регламент и по Регламент (ЕС) № 1309/</w:t>
      </w:r>
      <w:r>
        <w:rPr>
          <w:noProof/>
        </w:rPr>
        <w:t>2013 през предходните две години. Докладът се съсредоточава основно върху резултатите, постигнати от ЕФПГ, и съдържа по-специално информация за подадените заявления, приетите решения, финансираните мерки, включително статистически данни относно показателит</w:t>
      </w:r>
      <w:r>
        <w:rPr>
          <w:noProof/>
        </w:rPr>
        <w:t>е, посочени в приложението, и допълването на тези мерки с мерките, финансирани от други фондове на Съюза, по-конкретно от ЕСФ+, и информация за приключването на предоставяния финансов принос и също така документира заявленията, които са били отхвърлени или</w:t>
      </w:r>
      <w:r>
        <w:rPr>
          <w:noProof/>
        </w:rPr>
        <w:t xml:space="preserve"> чийто размер е бил намален поради липса на достатъчно бюджетни кредити или поради недопустимост.</w:t>
      </w:r>
    </w:p>
    <w:p w:rsidR="000A3633" w:rsidRDefault="0078004E">
      <w:pPr>
        <w:pStyle w:val="ManualNumPar1"/>
        <w:rPr>
          <w:noProof/>
        </w:rPr>
      </w:pPr>
      <w:r>
        <w:rPr>
          <w:noProof/>
        </w:rPr>
        <w:t>2.</w:t>
      </w:r>
      <w:r>
        <w:rPr>
          <w:noProof/>
        </w:rPr>
        <w:tab/>
        <w:t>Докладът се предава за информация на Сметната палата, Европейския икономически и социален комитет, Комитета на регионите и социалните партньори.</w:t>
      </w:r>
    </w:p>
    <w:p w:rsidR="000A3633" w:rsidRDefault="0078004E">
      <w:pPr>
        <w:pStyle w:val="Titrearticle"/>
        <w:rPr>
          <w:noProof/>
        </w:rPr>
      </w:pPr>
      <w:r>
        <w:rPr>
          <w:noProof/>
        </w:rPr>
        <w:t>Член 22</w:t>
      </w:r>
    </w:p>
    <w:p w:rsidR="000A3633" w:rsidRDefault="0078004E">
      <w:pPr>
        <w:pStyle w:val="Normalcenteredbold"/>
        <w:rPr>
          <w:noProof/>
        </w:rPr>
      </w:pPr>
      <w:r>
        <w:rPr>
          <w:noProof/>
        </w:rPr>
        <w:t>Оценка</w:t>
      </w:r>
    </w:p>
    <w:p w:rsidR="000A3633" w:rsidRDefault="0078004E">
      <w:pPr>
        <w:pStyle w:val="ManualNumPar1"/>
        <w:rPr>
          <w:noProof/>
        </w:rPr>
      </w:pPr>
      <w:r>
        <w:rPr>
          <w:noProof/>
        </w:rPr>
        <w:t>1.</w:t>
      </w:r>
      <w:r>
        <w:rPr>
          <w:noProof/>
        </w:rPr>
        <w:tab/>
      </w:r>
      <w:bookmarkStart w:id="23" w:name="_Ref511222669"/>
      <w:r>
        <w:rPr>
          <w:noProof/>
        </w:rPr>
        <w:t>На всеки четири години Комисията прави по своя инициатива и в тясно сътрудничество с държавите членки</w:t>
      </w:r>
      <w:bookmarkEnd w:id="23"/>
      <w:r>
        <w:rPr>
          <w:noProof/>
        </w:rPr>
        <w:t xml:space="preserve"> оценка на финансовите приноси от ЕФПГ.</w:t>
      </w:r>
    </w:p>
    <w:p w:rsidR="000A3633" w:rsidRDefault="0078004E">
      <w:pPr>
        <w:pStyle w:val="ManualNumPar1"/>
        <w:rPr>
          <w:noProof/>
        </w:rPr>
      </w:pPr>
      <w:r>
        <w:rPr>
          <w:noProof/>
        </w:rPr>
        <w:t>2.</w:t>
      </w:r>
      <w:r>
        <w:rPr>
          <w:noProof/>
        </w:rPr>
        <w:tab/>
        <w:t>Резултатите от оценките, посочени в параграф 1, се предават за информация на Европейския парламент, Съ</w:t>
      </w:r>
      <w:r>
        <w:rPr>
          <w:noProof/>
        </w:rPr>
        <w:t xml:space="preserve">вета, Сметната палата, Европейския икономически и социален комитет, Комитета на регионите и социалните партньори. Препоръките, съдържащи се в оценките, се вземат под внимание при разработването на нови програми в областта на заетостта и социалните въпроси </w:t>
      </w:r>
      <w:r>
        <w:rPr>
          <w:noProof/>
        </w:rPr>
        <w:t>или при по-нататъшното развитие на съществуващите програми.</w:t>
      </w:r>
    </w:p>
    <w:p w:rsidR="000A3633" w:rsidRDefault="0078004E">
      <w:pPr>
        <w:pStyle w:val="ManualNumPar1"/>
        <w:rPr>
          <w:noProof/>
        </w:rPr>
      </w:pPr>
      <w:r>
        <w:rPr>
          <w:noProof/>
        </w:rPr>
        <w:t>3.</w:t>
      </w:r>
      <w:r>
        <w:rPr>
          <w:noProof/>
        </w:rPr>
        <w:tab/>
        <w:t>Оценките, посочени в параграф 1, включват приложими статистически данни за финансовите приноси с разбивка по държави членки.</w:t>
      </w:r>
    </w:p>
    <w:p w:rsidR="000A3633" w:rsidRDefault="0078004E">
      <w:pPr>
        <w:pStyle w:val="ManualNumPar1"/>
        <w:rPr>
          <w:noProof/>
        </w:rPr>
      </w:pPr>
      <w:r>
        <w:rPr>
          <w:noProof/>
        </w:rPr>
        <w:t>4.</w:t>
      </w:r>
      <w:r>
        <w:rPr>
          <w:noProof/>
        </w:rPr>
        <w:tab/>
        <w:t>За да се гарантира ефективна оценка на напредъка на ЕФПГ по пости</w:t>
      </w:r>
      <w:r>
        <w:rPr>
          <w:noProof/>
        </w:rPr>
        <w:t>гането на неговите цели, на Комисията се предоставя правомощието да приема делегирани актове в съответствие с член 25, за да изменя приложението с цел преразглеждане или допълване на показателите, когато това се счита за необходимо, и за да допълва настоящ</w:t>
      </w:r>
      <w:r>
        <w:rPr>
          <w:noProof/>
        </w:rPr>
        <w:t>ия регламент с разпоредби относно създаването на рамка за мониторинг и оценка.</w:t>
      </w:r>
    </w:p>
    <w:p w:rsidR="000A3633" w:rsidRDefault="0078004E">
      <w:pPr>
        <w:pStyle w:val="Titrearticle"/>
        <w:rPr>
          <w:noProof/>
        </w:rPr>
      </w:pPr>
      <w:r>
        <w:rPr>
          <w:noProof/>
        </w:rPr>
        <w:t>Член 23</w:t>
      </w:r>
    </w:p>
    <w:p w:rsidR="000A3633" w:rsidRDefault="0078004E">
      <w:pPr>
        <w:pStyle w:val="Normalcenteredbold"/>
        <w:rPr>
          <w:noProof/>
        </w:rPr>
      </w:pPr>
      <w:r>
        <w:rPr>
          <w:noProof/>
        </w:rPr>
        <w:t>Управление и финансов контрол</w:t>
      </w:r>
    </w:p>
    <w:p w:rsidR="000A3633" w:rsidRDefault="0078004E">
      <w:pPr>
        <w:pStyle w:val="ManualNumPar1"/>
        <w:rPr>
          <w:noProof/>
        </w:rPr>
      </w:pPr>
      <w:bookmarkStart w:id="24" w:name="_Ref511223416"/>
      <w:r>
        <w:rPr>
          <w:noProof/>
        </w:rPr>
        <w:t>1.</w:t>
      </w:r>
      <w:r>
        <w:rPr>
          <w:noProof/>
        </w:rPr>
        <w:tab/>
        <w:t>Без да се засяга отговорността на Комисията за изпълнението на общия бюджет на Съюза, държавите членки поемат отговорност за управлениет</w:t>
      </w:r>
      <w:r>
        <w:rPr>
          <w:noProof/>
        </w:rPr>
        <w:t>о на мерките, подкрепени от ЕФПГ, и за финансовия контрол върху мерките. Мерките, които те предприемат, включват:</w:t>
      </w:r>
      <w:bookmarkEnd w:id="24"/>
    </w:p>
    <w:p w:rsidR="000A3633" w:rsidRDefault="0078004E">
      <w:pPr>
        <w:pStyle w:val="Point1"/>
        <w:rPr>
          <w:noProof/>
        </w:rPr>
      </w:pPr>
      <w:r>
        <w:rPr>
          <w:noProof/>
        </w:rPr>
        <w:t>а)</w:t>
      </w:r>
      <w:r>
        <w:rPr>
          <w:noProof/>
        </w:rPr>
        <w:tab/>
        <w:t>проверка дали са налични механизми за управление и контрол и дали те се прилагат по начин, който гарантира, че средствата на Съюза се изпол</w:t>
      </w:r>
      <w:r>
        <w:rPr>
          <w:noProof/>
        </w:rPr>
        <w:t>зват ефикасно и правилно, в съответствие с принципа на добро финансово управление;</w:t>
      </w:r>
    </w:p>
    <w:p w:rsidR="000A3633" w:rsidRDefault="0078004E">
      <w:pPr>
        <w:pStyle w:val="Point1"/>
        <w:rPr>
          <w:noProof/>
        </w:rPr>
      </w:pPr>
      <w:r>
        <w:rPr>
          <w:noProof/>
        </w:rPr>
        <w:t>б)</w:t>
      </w:r>
      <w:r>
        <w:rPr>
          <w:noProof/>
        </w:rPr>
        <w:tab/>
        <w:t>гарантиране, че предоставянето на данни от мониторинг е задължително изискване за договорите с органи, предоставящи съгласувания пакет от персонализирани услуги;</w:t>
      </w:r>
    </w:p>
    <w:p w:rsidR="000A3633" w:rsidRDefault="0078004E">
      <w:pPr>
        <w:pStyle w:val="Point1"/>
        <w:rPr>
          <w:noProof/>
        </w:rPr>
      </w:pPr>
      <w:r>
        <w:rPr>
          <w:noProof/>
        </w:rPr>
        <w:t>в)</w:t>
      </w:r>
      <w:r>
        <w:rPr>
          <w:noProof/>
        </w:rPr>
        <w:tab/>
        <w:t>прове</w:t>
      </w:r>
      <w:r>
        <w:rPr>
          <w:noProof/>
        </w:rPr>
        <w:t>рка дали финансираните мерки са извършени правилно;</w:t>
      </w:r>
    </w:p>
    <w:p w:rsidR="000A3633" w:rsidRDefault="0078004E">
      <w:pPr>
        <w:pStyle w:val="Point1"/>
        <w:rPr>
          <w:noProof/>
        </w:rPr>
      </w:pPr>
      <w:r>
        <w:rPr>
          <w:noProof/>
        </w:rPr>
        <w:t>г)</w:t>
      </w:r>
      <w:r>
        <w:rPr>
          <w:noProof/>
        </w:rPr>
        <w:tab/>
        <w:t>гарантиране, че финансираните разходи се базират на проверими оправдателни документи и че са законни и редовни;</w:t>
      </w:r>
    </w:p>
    <w:p w:rsidR="000A3633" w:rsidRDefault="0078004E">
      <w:pPr>
        <w:pStyle w:val="Point1"/>
        <w:rPr>
          <w:noProof/>
        </w:rPr>
      </w:pPr>
      <w:r>
        <w:rPr>
          <w:noProof/>
        </w:rPr>
        <w:t>д)</w:t>
      </w:r>
      <w:r>
        <w:rPr>
          <w:noProof/>
        </w:rPr>
        <w:tab/>
        <w:t xml:space="preserve">предотвратяване, откриване и коригиране на нередности, включително измами, и събиране </w:t>
      </w:r>
      <w:r>
        <w:rPr>
          <w:noProof/>
        </w:rPr>
        <w:t>на недължимо платените суми заедно с лихвите за забава, когато е уместно. Държавите членки докладват на Комисията за нередностите, включително измамите.</w:t>
      </w:r>
    </w:p>
    <w:p w:rsidR="000A3633" w:rsidRDefault="0078004E">
      <w:pPr>
        <w:pStyle w:val="ManualNumPar1"/>
        <w:rPr>
          <w:noProof/>
        </w:rPr>
      </w:pPr>
      <w:r>
        <w:rPr>
          <w:noProof/>
        </w:rPr>
        <w:t>2.</w:t>
      </w:r>
      <w:r>
        <w:rPr>
          <w:noProof/>
        </w:rPr>
        <w:tab/>
        <w:t>За целите на член [63, параграф 3?] от Финансовия регламент държавите членки определят органи, които</w:t>
      </w:r>
      <w:r>
        <w:rPr>
          <w:noProof/>
        </w:rPr>
        <w:t xml:space="preserve"> отговарят за управлението и контрола на подкрепяните по линия на ЕФПГ мерки. Тези органи предоставят на Комисията информацията по член [63, параграфи 5, 6 и 7?]. от Финансовия регламент във връзка с изпълнението на финансовия принос при представяне на око</w:t>
      </w:r>
      <w:r>
        <w:rPr>
          <w:noProof/>
        </w:rPr>
        <w:t>нчателния доклад по член 20, параграф 1 от настоящия регламент.</w:t>
      </w:r>
    </w:p>
    <w:p w:rsidR="000A3633" w:rsidRDefault="0078004E">
      <w:pPr>
        <w:pStyle w:val="Text1"/>
        <w:rPr>
          <w:noProof/>
        </w:rPr>
      </w:pPr>
      <w:r>
        <w:rPr>
          <w:noProof/>
        </w:rPr>
        <w:t xml:space="preserve">Когато органите, определени в съответствие с Регламент (ЕС) № 1309/2013, са предоставили достатъчно гаранции, че плащанията са законосъобразни и редовни и че са правилно отчетени, съответната </w:t>
      </w:r>
      <w:r>
        <w:rPr>
          <w:noProof/>
        </w:rPr>
        <w:t>държава членка може да уведоми Комисията, че тези органи се потвърждават съгласно настоящия регламент. В този случай съответната държава членка посочва кои органи са потвърдени и каква е тяхната функция.</w:t>
      </w:r>
    </w:p>
    <w:p w:rsidR="000A3633" w:rsidRDefault="0078004E">
      <w:pPr>
        <w:pStyle w:val="ManualNumPar1"/>
        <w:rPr>
          <w:noProof/>
        </w:rPr>
      </w:pPr>
      <w:r>
        <w:rPr>
          <w:noProof/>
        </w:rPr>
        <w:t>3.</w:t>
      </w:r>
      <w:r>
        <w:rPr>
          <w:noProof/>
        </w:rPr>
        <w:tab/>
        <w:t>Държавите членки правят необходимите финансови ко</w:t>
      </w:r>
      <w:r>
        <w:rPr>
          <w:noProof/>
        </w:rPr>
        <w:t>рекции при констатирани нередности. Извършваните от държавите членки корекции се състоят в цялостна или частична отмяна на финансовия принос. Държавите членки събират всяка недължимо платена сума в резултат на открита нередност, връщат я на Комисията, а ко</w:t>
      </w:r>
      <w:r>
        <w:rPr>
          <w:noProof/>
        </w:rPr>
        <w:t>гато сумата не бъде върната от съответната държава членка в определения срок, се дължи лихва за забава.</w:t>
      </w:r>
    </w:p>
    <w:p w:rsidR="000A3633" w:rsidRDefault="0078004E">
      <w:pPr>
        <w:pStyle w:val="ManualNumPar1"/>
        <w:rPr>
          <w:noProof/>
        </w:rPr>
      </w:pPr>
      <w:r>
        <w:rPr>
          <w:noProof/>
        </w:rPr>
        <w:t>4.</w:t>
      </w:r>
      <w:r>
        <w:rPr>
          <w:noProof/>
        </w:rPr>
        <w:tab/>
        <w:t>В качеството си на институцията, отговорна за изпълнението на общия бюджет на Съюза, Комисията предприема всички мерки, необходими за проверка на тов</w:t>
      </w:r>
      <w:r>
        <w:rPr>
          <w:noProof/>
        </w:rPr>
        <w:t xml:space="preserve">а дали финансираните действия се осъществяват в съответствие с принципа на добро финансово управление. Кандидатстващата държава членка е задължена да гарантира, че притежава гладко функциониращи системи за управление и контрол. Комисията се убеждава сама, </w:t>
      </w:r>
      <w:r>
        <w:rPr>
          <w:noProof/>
        </w:rPr>
        <w:t>че се прилагат такива системи.</w:t>
      </w:r>
    </w:p>
    <w:p w:rsidR="000A3633" w:rsidRDefault="0078004E">
      <w:pPr>
        <w:pStyle w:val="Text1"/>
        <w:rPr>
          <w:noProof/>
        </w:rPr>
      </w:pPr>
      <w:r>
        <w:rPr>
          <w:noProof/>
        </w:rPr>
        <w:t>За тази цел, без да се засягат правомощията на Сметната палата или проверките, извършвани от държавата членка в съответствие с националните законови, подзаконови и административни разпоредби, длъжностните лица или служителите</w:t>
      </w:r>
      <w:r>
        <w:rPr>
          <w:noProof/>
        </w:rPr>
        <w:t xml:space="preserve"> на Комисията могат да извършват проверки на място, включително извадкови проверки, на мерките, финансирани от ЕФПГ, с предизвестие от най-малко един работен ден. Комисията известява кандидатстващата държава членка, за да получи необходимото съдействие. В </w:t>
      </w:r>
      <w:r>
        <w:rPr>
          <w:noProof/>
        </w:rPr>
        <w:t>тези проверки могат да участват длъжностни лица или служители от съответната държава членка.</w:t>
      </w:r>
    </w:p>
    <w:p w:rsidR="000A3633" w:rsidRDefault="0078004E">
      <w:pPr>
        <w:pStyle w:val="ManualNumPar1"/>
        <w:rPr>
          <w:noProof/>
        </w:rPr>
      </w:pPr>
      <w:r>
        <w:rPr>
          <w:noProof/>
        </w:rPr>
        <w:t>5.</w:t>
      </w:r>
      <w:r>
        <w:rPr>
          <w:noProof/>
        </w:rPr>
        <w:tab/>
        <w:t>На Комисията се предоставя правомощието да приема делегирани актове в съответствие с член 25 с цел допълване на параграф 1, буква д), като определя критериите з</w:t>
      </w:r>
      <w:r>
        <w:rPr>
          <w:noProof/>
        </w:rPr>
        <w:t>а определяне на случаите на нередност, които трябва да бъдат докладвани, и данните, които трябва да бъдат предоставени.</w:t>
      </w:r>
    </w:p>
    <w:p w:rsidR="000A3633" w:rsidRDefault="0078004E">
      <w:pPr>
        <w:pStyle w:val="ManualNumPar1"/>
        <w:rPr>
          <w:noProof/>
        </w:rPr>
      </w:pPr>
      <w:r>
        <w:rPr>
          <w:noProof/>
        </w:rPr>
        <w:t>6.</w:t>
      </w:r>
      <w:r>
        <w:rPr>
          <w:noProof/>
        </w:rPr>
        <w:tab/>
        <w:t>Комисията приема акт за изпълнение за определяне на формата, който следва да бъде използван за докладване на нередности в съответстви</w:t>
      </w:r>
      <w:r>
        <w:rPr>
          <w:noProof/>
        </w:rPr>
        <w:t>е с процедурата за консултиране, посочена в член 26, параграф 2, за да се осигурят еднакви условия за прилагането на настоящия член.</w:t>
      </w:r>
    </w:p>
    <w:p w:rsidR="000A3633" w:rsidRDefault="0078004E">
      <w:pPr>
        <w:pStyle w:val="ManualNumPar1"/>
        <w:rPr>
          <w:noProof/>
        </w:rPr>
      </w:pPr>
      <w:r>
        <w:rPr>
          <w:noProof/>
        </w:rPr>
        <w:t>7.</w:t>
      </w:r>
      <w:r>
        <w:rPr>
          <w:noProof/>
        </w:rPr>
        <w:tab/>
        <w:t>Държавите членки гарантират, че всички оправдателни документи за извършените разходи са на разположение на Комисията и С</w:t>
      </w:r>
      <w:r>
        <w:rPr>
          <w:noProof/>
        </w:rPr>
        <w:t>метната палата за срок от три години след приключването на финансов принос, получен от ЕФПГ.</w:t>
      </w:r>
    </w:p>
    <w:p w:rsidR="000A3633" w:rsidRDefault="0078004E">
      <w:pPr>
        <w:pStyle w:val="Titrearticle"/>
        <w:rPr>
          <w:noProof/>
        </w:rPr>
      </w:pPr>
      <w:r>
        <w:rPr>
          <w:noProof/>
        </w:rPr>
        <w:t>Член 24</w:t>
      </w:r>
    </w:p>
    <w:p w:rsidR="000A3633" w:rsidRDefault="0078004E">
      <w:pPr>
        <w:pStyle w:val="Normalcenteredbold"/>
        <w:rPr>
          <w:noProof/>
        </w:rPr>
      </w:pPr>
      <w:r>
        <w:rPr>
          <w:noProof/>
        </w:rPr>
        <w:t>Събиране на финансовия принос</w:t>
      </w:r>
    </w:p>
    <w:p w:rsidR="000A3633" w:rsidRDefault="0078004E">
      <w:pPr>
        <w:pStyle w:val="ManualNumPar1"/>
        <w:rPr>
          <w:noProof/>
        </w:rPr>
      </w:pPr>
      <w:bookmarkStart w:id="25" w:name="_Ref511223142"/>
      <w:r>
        <w:rPr>
          <w:noProof/>
        </w:rPr>
        <w:t>1.</w:t>
      </w:r>
      <w:r>
        <w:rPr>
          <w:noProof/>
        </w:rPr>
        <w:tab/>
        <w:t xml:space="preserve">В случаите, когато реалната цена на съгласувания пакет от персонализирани услуги е по-малка от размера на финансовия </w:t>
      </w:r>
      <w:r>
        <w:rPr>
          <w:noProof/>
        </w:rPr>
        <w:t>принос съгласно член 16, Комисията събира съответната сума, след като предостави на съответната държава членка възможност да представи своите забележки.</w:t>
      </w:r>
      <w:bookmarkEnd w:id="25"/>
    </w:p>
    <w:p w:rsidR="000A3633" w:rsidRDefault="0078004E">
      <w:pPr>
        <w:pStyle w:val="ManualNumPar1"/>
        <w:rPr>
          <w:noProof/>
        </w:rPr>
      </w:pPr>
      <w:r>
        <w:rPr>
          <w:noProof/>
        </w:rPr>
        <w:t xml:space="preserve">2. </w:t>
      </w:r>
      <w:r>
        <w:rPr>
          <w:noProof/>
        </w:rPr>
        <w:tab/>
        <w:t>Ако, след като направи необходимите проверки, Комисията заключи, че дадена държава членка не е изпъ</w:t>
      </w:r>
      <w:r>
        <w:rPr>
          <w:noProof/>
        </w:rPr>
        <w:t>лнила задълженията, посочени в решението за финансов принос, или не изпълнява задълженията си по член 23, параграф 1, тя дава на съответната държава членка възможност да представи своите забележки. Ако не бъде постигнато споразумение, Комисията приема реше</w:t>
      </w:r>
      <w:r>
        <w:rPr>
          <w:noProof/>
        </w:rPr>
        <w:t>ние посредством акт за изпълнение, за да направи финансовите корекции, наложени от отмяната на целия принос или на част от приноса на ЕФПГ по съответната мярка. Това решение се взема в срок от 12 месеца след получаване на забележките на държавата членка. С</w:t>
      </w:r>
      <w:r>
        <w:rPr>
          <w:noProof/>
        </w:rPr>
        <w:t>ъответната държава членка събира всяка недължимо платена сума в резултат на нередност, а когато сумата не бъде върната от кандидатстващата държава членка в определения срок, се дължи лихва за забава.</w:t>
      </w:r>
    </w:p>
    <w:p w:rsidR="000A3633" w:rsidRDefault="0078004E">
      <w:pPr>
        <w:pStyle w:val="Titrearticle"/>
        <w:rPr>
          <w:b/>
          <w:noProof/>
        </w:rPr>
      </w:pPr>
      <w:r>
        <w:rPr>
          <w:noProof/>
        </w:rPr>
        <w:t>Член 25</w:t>
      </w:r>
      <w:r>
        <w:rPr>
          <w:noProof/>
        </w:rPr>
        <w:br/>
      </w:r>
      <w:r>
        <w:rPr>
          <w:b/>
          <w:noProof/>
        </w:rPr>
        <w:t>Упражняване на делегирането</w:t>
      </w:r>
    </w:p>
    <w:p w:rsidR="000A3633" w:rsidRDefault="0078004E">
      <w:pPr>
        <w:pStyle w:val="ManualNumPar1"/>
        <w:rPr>
          <w:noProof/>
        </w:rPr>
      </w:pPr>
      <w:r>
        <w:rPr>
          <w:noProof/>
        </w:rPr>
        <w:t>1.</w:t>
      </w:r>
      <w:r>
        <w:rPr>
          <w:noProof/>
        </w:rP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rsidR="000A3633" w:rsidRDefault="0078004E">
      <w:pPr>
        <w:pStyle w:val="ManualNumPar1"/>
        <w:rPr>
          <w:noProof/>
        </w:rPr>
      </w:pPr>
      <w:r>
        <w:rPr>
          <w:noProof/>
        </w:rPr>
        <w:t>2.</w:t>
      </w:r>
      <w:r>
        <w:rPr>
          <w:noProof/>
        </w:rPr>
        <w:tab/>
        <w:t>Правомощието да приема делегирани актове, посочено в член 19, параграф 3 и член 23, параграф 5, се предоставя на Комисията за нео</w:t>
      </w:r>
      <w:r>
        <w:rPr>
          <w:noProof/>
        </w:rPr>
        <w:t>пределен срок, считано от датата на влизане в сила на настоящия регламент.</w:t>
      </w:r>
    </w:p>
    <w:p w:rsidR="000A3633" w:rsidRDefault="0078004E">
      <w:pPr>
        <w:pStyle w:val="ManualNumPar1"/>
        <w:rPr>
          <w:noProof/>
        </w:rPr>
      </w:pPr>
      <w:r>
        <w:rPr>
          <w:noProof/>
        </w:rPr>
        <w:t>3.</w:t>
      </w:r>
      <w:r>
        <w:rPr>
          <w:noProof/>
        </w:rPr>
        <w:tab/>
        <w:t>Делегирането на правомощие, посочено в член 19, параграф 3 и член 23, параграф 5, може да бъде оттеглено по всяко време от Европейския парламент или от Съвета. С решението за отт</w:t>
      </w:r>
      <w:r>
        <w:rPr>
          <w:noProof/>
        </w:rPr>
        <w:t xml:space="preserve">егляне се прекратява посоченото в него делегиране на правомощие.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w:t>
      </w:r>
      <w:r>
        <w:rPr>
          <w:noProof/>
        </w:rPr>
        <w:t xml:space="preserve">раните актове, които вече са в сила. </w:t>
      </w:r>
    </w:p>
    <w:p w:rsidR="000A3633" w:rsidRDefault="0078004E">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w:t>
      </w:r>
      <w:r>
        <w:rPr>
          <w:noProof/>
        </w:rPr>
        <w:t>3 април 2016 г.</w:t>
      </w:r>
    </w:p>
    <w:p w:rsidR="000A3633" w:rsidRDefault="0078004E">
      <w:pPr>
        <w:pStyle w:val="ManualNumPar1"/>
        <w:rPr>
          <w:noProof/>
        </w:rPr>
      </w:pPr>
      <w:r>
        <w:rPr>
          <w:noProof/>
        </w:rPr>
        <w:t>5.</w:t>
      </w:r>
      <w:r>
        <w:rPr>
          <w:noProof/>
        </w:rPr>
        <w:tab/>
        <w:t xml:space="preserve">Веднага след като приеме делегиран акт, Комисията нотифицира акта едновременно на Европейския парламент и на Съвета. </w:t>
      </w:r>
    </w:p>
    <w:p w:rsidR="000A3633" w:rsidRDefault="0078004E">
      <w:pPr>
        <w:pStyle w:val="ManualNumPar1"/>
        <w:rPr>
          <w:noProof/>
        </w:rPr>
      </w:pPr>
      <w:r>
        <w:rPr>
          <w:noProof/>
        </w:rPr>
        <w:t>6.</w:t>
      </w:r>
      <w:r>
        <w:rPr>
          <w:noProof/>
        </w:rPr>
        <w:tab/>
        <w:t>Делегиран акт, приет съгласно член 19, параграф 3 и член 23, параграф 5, влиза в сила единствено ако няма изразено в</w:t>
      </w:r>
      <w:r>
        <w:rPr>
          <w:noProof/>
        </w:rPr>
        <w:t>ъзражение от страна на Европейския парламент или на Съвета в срок от два месеца от уведомяването на Европейския парламент и на Съвета за този акт или ако преди изтичането на този срок Европейският парламент и Съветът уведомят Комисията, че нямат възражения</w:t>
      </w:r>
      <w:r>
        <w:rPr>
          <w:noProof/>
        </w:rPr>
        <w:t>. Посоченият срок се удължава с два месеца по инициатива на Европейския парламент или на Съвета.</w:t>
      </w:r>
    </w:p>
    <w:p w:rsidR="000A3633" w:rsidRDefault="0078004E">
      <w:pPr>
        <w:pStyle w:val="Titrearticle"/>
        <w:rPr>
          <w:b/>
          <w:noProof/>
        </w:rPr>
      </w:pPr>
      <w:r>
        <w:rPr>
          <w:noProof/>
        </w:rPr>
        <w:t>Член 26</w:t>
      </w:r>
      <w:r>
        <w:rPr>
          <w:noProof/>
        </w:rPr>
        <w:br/>
      </w:r>
      <w:r>
        <w:rPr>
          <w:b/>
          <w:noProof/>
        </w:rPr>
        <w:t>Процедура на комитета</w:t>
      </w:r>
    </w:p>
    <w:p w:rsidR="000A3633" w:rsidRDefault="0078004E">
      <w:pPr>
        <w:pStyle w:val="ManualNumPar1"/>
        <w:rPr>
          <w:noProof/>
        </w:rPr>
      </w:pPr>
      <w:r>
        <w:rPr>
          <w:noProof/>
        </w:rPr>
        <w:t>1.</w:t>
      </w:r>
      <w:r>
        <w:rPr>
          <w:noProof/>
        </w:rPr>
        <w:tab/>
        <w:t xml:space="preserve">Комисията се подпомага от комитет. Този комитет е комитет по смисъла на Регламент (ЕС) № 182/2011. </w:t>
      </w:r>
    </w:p>
    <w:p w:rsidR="000A3633" w:rsidRDefault="0078004E">
      <w:pPr>
        <w:pStyle w:val="ManualNumPar1"/>
        <w:rPr>
          <w:noProof/>
        </w:rPr>
      </w:pPr>
      <w:r>
        <w:rPr>
          <w:noProof/>
        </w:rPr>
        <w:t>2.</w:t>
      </w:r>
      <w:r>
        <w:rPr>
          <w:noProof/>
        </w:rPr>
        <w:tab/>
        <w:t>При позоваване на насто</w:t>
      </w:r>
      <w:r>
        <w:rPr>
          <w:noProof/>
        </w:rPr>
        <w:t>ящия параграф се прилага член 4 от Регламент (ЕС) № 182/2011.</w:t>
      </w:r>
    </w:p>
    <w:p w:rsidR="000A3633" w:rsidRDefault="0078004E">
      <w:pPr>
        <w:pStyle w:val="Titrearticle"/>
        <w:rPr>
          <w:noProof/>
        </w:rPr>
      </w:pPr>
      <w:r>
        <w:rPr>
          <w:noProof/>
        </w:rPr>
        <w:t>Член 27</w:t>
      </w:r>
    </w:p>
    <w:p w:rsidR="000A3633" w:rsidRDefault="0078004E">
      <w:pPr>
        <w:pStyle w:val="Normalcenteredbold"/>
        <w:rPr>
          <w:noProof/>
        </w:rPr>
      </w:pPr>
      <w:r>
        <w:rPr>
          <w:noProof/>
        </w:rPr>
        <w:t>Преходна разпоредба</w:t>
      </w:r>
    </w:p>
    <w:p w:rsidR="000A3633" w:rsidRDefault="0078004E">
      <w:pPr>
        <w:rPr>
          <w:noProof/>
        </w:rPr>
      </w:pPr>
      <w:bookmarkStart w:id="26" w:name="_Ref512616117"/>
      <w:r>
        <w:rPr>
          <w:noProof/>
        </w:rPr>
        <w:t xml:space="preserve">Регламент (ЕС) № 1309/2013 продължава да </w:t>
      </w:r>
      <w:bookmarkEnd w:id="26"/>
      <w:r>
        <w:rPr>
          <w:noProof/>
        </w:rPr>
        <w:t>се прилага за заявленията, подадени до 31 декември 2020 г. Той се прилага до приключването на съответните случаи.</w:t>
      </w:r>
    </w:p>
    <w:p w:rsidR="000A3633" w:rsidRDefault="0078004E">
      <w:pPr>
        <w:pStyle w:val="Titrearticle"/>
        <w:rPr>
          <w:noProof/>
        </w:rPr>
      </w:pPr>
      <w:r>
        <w:rPr>
          <w:noProof/>
        </w:rPr>
        <w:t>Член 28</w:t>
      </w:r>
    </w:p>
    <w:p w:rsidR="000A3633" w:rsidRDefault="0078004E">
      <w:pPr>
        <w:pStyle w:val="Normalcenteredbold"/>
        <w:rPr>
          <w:noProof/>
        </w:rPr>
      </w:pPr>
      <w:r>
        <w:rPr>
          <w:noProof/>
        </w:rPr>
        <w:t>Вли</w:t>
      </w:r>
      <w:r>
        <w:rPr>
          <w:noProof/>
        </w:rPr>
        <w:t>зане в сила</w:t>
      </w:r>
    </w:p>
    <w:p w:rsidR="000A3633" w:rsidRDefault="0078004E">
      <w:pPr>
        <w:rPr>
          <w:noProof/>
        </w:rPr>
      </w:pPr>
      <w:r>
        <w:rPr>
          <w:noProof/>
        </w:rPr>
        <w:t>Настоящият регламент влиза в сила в деня след деня на публикуването му в Официален вестник на Европейския съюз.</w:t>
      </w:r>
    </w:p>
    <w:p w:rsidR="000A3633" w:rsidRDefault="0078004E">
      <w:pPr>
        <w:rPr>
          <w:noProof/>
        </w:rPr>
      </w:pPr>
      <w:r>
        <w:rPr>
          <w:noProof/>
        </w:rPr>
        <w:t>Той се прилага за заявленията, подадени от 1 януари 2021 г. нататък.</w:t>
      </w:r>
    </w:p>
    <w:p w:rsidR="000A3633" w:rsidRDefault="0078004E">
      <w:pPr>
        <w:pStyle w:val="Applicationdirecte"/>
        <w:keepNext/>
        <w:keepLines/>
        <w:rPr>
          <w:noProof/>
        </w:rPr>
      </w:pPr>
      <w:r>
        <w:rPr>
          <w:noProof/>
        </w:rPr>
        <w:t>Настоящият регламент е задължителен в своята цялост и се прилаг</w:t>
      </w:r>
      <w:r>
        <w:rPr>
          <w:noProof/>
        </w:rPr>
        <w:t>а пряко във всички държави членки.</w:t>
      </w:r>
    </w:p>
    <w:p w:rsidR="000A3633" w:rsidRDefault="0078004E" w:rsidP="0078004E">
      <w:pPr>
        <w:pStyle w:val="Fait"/>
        <w:rPr>
          <w:noProof/>
        </w:rPr>
      </w:pPr>
      <w:r w:rsidRPr="0078004E">
        <w:t xml:space="preserve">Съставено в Брюксел на </w:t>
      </w:r>
      <w:r w:rsidRPr="0078004E">
        <w:rPr>
          <w:rStyle w:val="Marker"/>
        </w:rPr>
        <w:t>[…]</w:t>
      </w:r>
      <w:r w:rsidRPr="0078004E">
        <w:t xml:space="preserve"> година.</w:t>
      </w:r>
    </w:p>
    <w:p w:rsidR="000A3633" w:rsidRDefault="0078004E">
      <w:pPr>
        <w:pStyle w:val="Institutionquisigne"/>
        <w:rPr>
          <w:noProof/>
        </w:rPr>
      </w:pPr>
      <w:r>
        <w:rPr>
          <w:noProof/>
        </w:rPr>
        <w:t xml:space="preserve">За Европейския парламент </w:t>
      </w:r>
      <w:r>
        <w:rPr>
          <w:noProof/>
        </w:rPr>
        <w:tab/>
        <w:t>За Съвета</w:t>
      </w:r>
    </w:p>
    <w:p w:rsidR="000A3633" w:rsidRDefault="0078004E">
      <w:pPr>
        <w:pStyle w:val="Personnequisigne"/>
        <w:rPr>
          <w:noProof/>
        </w:rPr>
      </w:pPr>
      <w:r>
        <w:rPr>
          <w:noProof/>
        </w:rPr>
        <w:t xml:space="preserve">Председател </w:t>
      </w:r>
      <w:r>
        <w:rPr>
          <w:noProof/>
        </w:rPr>
        <w:tab/>
        <w:t>Председател</w:t>
      </w:r>
    </w:p>
    <w:p w:rsidR="000A3633" w:rsidRDefault="000A3633">
      <w:pPr>
        <w:rPr>
          <w:noProof/>
        </w:rPr>
        <w:sectPr w:rsidR="000A3633" w:rsidSect="0078004E">
          <w:pgSz w:w="11907" w:h="16839"/>
          <w:pgMar w:top="1134" w:right="1417" w:bottom="1134" w:left="1417" w:header="709" w:footer="709" w:gutter="0"/>
          <w:cols w:space="708"/>
          <w:docGrid w:linePitch="360"/>
        </w:sectPr>
      </w:pPr>
    </w:p>
    <w:p w:rsidR="000A3633" w:rsidRDefault="0078004E">
      <w:pPr>
        <w:pStyle w:val="Fichefinanciretitre"/>
        <w:rPr>
          <w:noProof/>
        </w:rPr>
      </w:pPr>
      <w:r>
        <w:rPr>
          <w:noProof/>
        </w:rPr>
        <w:t>ЗАКОНОДАТЕЛНА ФИНАНСОВА ОБОСНОВКА ЗА ПРЕДЛОЖЕНИЕТО</w:t>
      </w:r>
    </w:p>
    <w:p w:rsidR="000A3633" w:rsidRDefault="000A3633">
      <w:pPr>
        <w:spacing w:before="0" w:after="0"/>
        <w:jc w:val="left"/>
        <w:rPr>
          <w:noProof/>
        </w:rPr>
      </w:pPr>
    </w:p>
    <w:p w:rsidR="000A3633" w:rsidRDefault="0078004E">
      <w:pPr>
        <w:pStyle w:val="ManualHeading1"/>
        <w:rPr>
          <w:noProof/>
        </w:rPr>
      </w:pPr>
      <w:r>
        <w:rPr>
          <w:noProof/>
        </w:rPr>
        <w:t>1.</w:t>
      </w:r>
      <w:r>
        <w:rPr>
          <w:noProof/>
        </w:rPr>
        <w:tab/>
        <w:t xml:space="preserve">РАМКА НА ПРЕДЛОЖЕНИЕТО/ИНИЦИАТИВАТА </w:t>
      </w:r>
    </w:p>
    <w:p w:rsidR="000A3633" w:rsidRDefault="0078004E">
      <w:pPr>
        <w:pStyle w:val="ManualHeading2"/>
        <w:rPr>
          <w:b w:val="0"/>
          <w:noProof/>
        </w:rPr>
      </w:pPr>
      <w:r>
        <w:rPr>
          <w:noProof/>
        </w:rPr>
        <w:tab/>
      </w:r>
      <w:r>
        <w:rPr>
          <w:b w:val="0"/>
          <w:noProof/>
        </w:rPr>
        <w:t>1.1.</w:t>
      </w:r>
      <w:r>
        <w:rPr>
          <w:b w:val="0"/>
          <w:noProof/>
        </w:rPr>
        <w:tab/>
        <w:t>Наиме</w:t>
      </w:r>
      <w:r>
        <w:rPr>
          <w:b w:val="0"/>
          <w:noProof/>
        </w:rPr>
        <w:t xml:space="preserve">нование на предложението/инициативата </w:t>
      </w:r>
    </w:p>
    <w:p w:rsidR="000A3633" w:rsidRDefault="0078004E">
      <w:pPr>
        <w:pStyle w:val="ManualHeading2"/>
        <w:rPr>
          <w:b w:val="0"/>
          <w:noProof/>
        </w:rPr>
      </w:pPr>
      <w:r>
        <w:rPr>
          <w:b w:val="0"/>
          <w:noProof/>
        </w:rPr>
        <w:tab/>
        <w:t>1.2.</w:t>
      </w:r>
      <w:r>
        <w:rPr>
          <w:b w:val="0"/>
          <w:noProof/>
        </w:rPr>
        <w:tab/>
        <w:t>Съответни области на политиката (програмен клъстер)</w:t>
      </w:r>
    </w:p>
    <w:p w:rsidR="000A3633" w:rsidRDefault="0078004E">
      <w:pPr>
        <w:pStyle w:val="ManualHeading2"/>
        <w:rPr>
          <w:b w:val="0"/>
          <w:noProof/>
        </w:rPr>
      </w:pPr>
      <w:r>
        <w:rPr>
          <w:b w:val="0"/>
          <w:noProof/>
        </w:rPr>
        <w:tab/>
        <w:t>1.3.</w:t>
      </w:r>
      <w:r>
        <w:rPr>
          <w:b w:val="0"/>
          <w:noProof/>
        </w:rPr>
        <w:tab/>
        <w:t xml:space="preserve">Естество на предложението/инициативата </w:t>
      </w:r>
    </w:p>
    <w:p w:rsidR="000A3633" w:rsidRDefault="0078004E">
      <w:pPr>
        <w:pStyle w:val="ManualHeading2"/>
        <w:rPr>
          <w:b w:val="0"/>
          <w:noProof/>
        </w:rPr>
      </w:pPr>
      <w:r>
        <w:rPr>
          <w:b w:val="0"/>
          <w:noProof/>
        </w:rPr>
        <w:tab/>
        <w:t>1.4.</w:t>
      </w:r>
      <w:r>
        <w:rPr>
          <w:b w:val="0"/>
          <w:noProof/>
        </w:rPr>
        <w:tab/>
        <w:t xml:space="preserve">Мотиви за предложението/инициативата </w:t>
      </w:r>
    </w:p>
    <w:p w:rsidR="000A3633" w:rsidRDefault="0078004E">
      <w:pPr>
        <w:pStyle w:val="ManualHeading2"/>
        <w:rPr>
          <w:b w:val="0"/>
          <w:noProof/>
        </w:rPr>
      </w:pPr>
      <w:r>
        <w:rPr>
          <w:b w:val="0"/>
          <w:noProof/>
        </w:rPr>
        <w:tab/>
        <w:t>1.5.</w:t>
      </w:r>
      <w:r>
        <w:rPr>
          <w:b w:val="0"/>
          <w:noProof/>
        </w:rPr>
        <w:tab/>
        <w:t xml:space="preserve">Срок на действие и финансово отражение </w:t>
      </w:r>
    </w:p>
    <w:p w:rsidR="000A3633" w:rsidRDefault="0078004E">
      <w:pPr>
        <w:pStyle w:val="ManualHeading2"/>
        <w:rPr>
          <w:b w:val="0"/>
          <w:noProof/>
        </w:rPr>
      </w:pPr>
      <w:r>
        <w:rPr>
          <w:b w:val="0"/>
          <w:noProof/>
        </w:rPr>
        <w:tab/>
        <w:t>1.6.</w:t>
      </w:r>
      <w:r>
        <w:rPr>
          <w:b w:val="0"/>
          <w:noProof/>
        </w:rPr>
        <w:tab/>
      </w:r>
      <w:r>
        <w:rPr>
          <w:b w:val="0"/>
          <w:noProof/>
        </w:rPr>
        <w:t xml:space="preserve">Планирани методи на управление </w:t>
      </w:r>
    </w:p>
    <w:p w:rsidR="000A3633" w:rsidRDefault="0078004E">
      <w:pPr>
        <w:pStyle w:val="ManualHeading1"/>
        <w:rPr>
          <w:noProof/>
        </w:rPr>
      </w:pPr>
      <w:r>
        <w:rPr>
          <w:noProof/>
        </w:rPr>
        <w:t>2.</w:t>
      </w:r>
      <w:r>
        <w:rPr>
          <w:noProof/>
        </w:rPr>
        <w:tab/>
        <w:t xml:space="preserve">МЕРКИ ЗА УПРАВЛЕНИЕ </w:t>
      </w:r>
    </w:p>
    <w:p w:rsidR="000A3633" w:rsidRDefault="0078004E">
      <w:pPr>
        <w:pStyle w:val="ManualHeading2"/>
        <w:rPr>
          <w:b w:val="0"/>
          <w:noProof/>
        </w:rPr>
      </w:pPr>
      <w:r>
        <w:rPr>
          <w:b w:val="0"/>
          <w:noProof/>
        </w:rPr>
        <w:tab/>
        <w:t>2.1.</w:t>
      </w:r>
      <w:r>
        <w:rPr>
          <w:b w:val="0"/>
          <w:noProof/>
        </w:rPr>
        <w:tab/>
        <w:t xml:space="preserve">Правила за мониторинг и докладване </w:t>
      </w:r>
    </w:p>
    <w:p w:rsidR="000A3633" w:rsidRDefault="0078004E">
      <w:pPr>
        <w:pStyle w:val="ManualHeading2"/>
        <w:rPr>
          <w:b w:val="0"/>
          <w:noProof/>
        </w:rPr>
      </w:pPr>
      <w:r>
        <w:rPr>
          <w:b w:val="0"/>
          <w:noProof/>
        </w:rPr>
        <w:tab/>
        <w:t>2.2.</w:t>
      </w:r>
      <w:r>
        <w:rPr>
          <w:b w:val="0"/>
          <w:noProof/>
        </w:rPr>
        <w:tab/>
        <w:t xml:space="preserve">Система за управление и контрол </w:t>
      </w:r>
    </w:p>
    <w:p w:rsidR="000A3633" w:rsidRDefault="0078004E">
      <w:pPr>
        <w:pStyle w:val="ManualHeading2"/>
        <w:rPr>
          <w:b w:val="0"/>
          <w:noProof/>
        </w:rPr>
      </w:pPr>
      <w:r>
        <w:rPr>
          <w:b w:val="0"/>
          <w:noProof/>
        </w:rPr>
        <w:tab/>
        <w:t>2.3.</w:t>
      </w:r>
      <w:r>
        <w:rPr>
          <w:b w:val="0"/>
          <w:noProof/>
        </w:rPr>
        <w:tab/>
        <w:t xml:space="preserve">Мерки за предотвратяване на измами и нередности </w:t>
      </w:r>
    </w:p>
    <w:p w:rsidR="000A3633" w:rsidRDefault="0078004E">
      <w:pPr>
        <w:pStyle w:val="ManualHeading1"/>
        <w:rPr>
          <w:noProof/>
        </w:rPr>
      </w:pPr>
      <w:r>
        <w:rPr>
          <w:noProof/>
        </w:rPr>
        <w:t>3.</w:t>
      </w:r>
      <w:r>
        <w:rPr>
          <w:noProof/>
        </w:rPr>
        <w:tab/>
        <w:t xml:space="preserve">ОЧАКВАНО ФИНАНСОВО ОТРАЖЕНИЕ НА ПРЕДЛОЖЕНИЕТО/ИНИЦИАТИВАТА </w:t>
      </w:r>
    </w:p>
    <w:p w:rsidR="000A3633" w:rsidRDefault="0078004E">
      <w:pPr>
        <w:pStyle w:val="ManualHeading2"/>
        <w:rPr>
          <w:b w:val="0"/>
          <w:noProof/>
        </w:rPr>
      </w:pPr>
      <w:r>
        <w:rPr>
          <w:b w:val="0"/>
          <w:noProof/>
        </w:rPr>
        <w:tab/>
      </w:r>
      <w:r>
        <w:rPr>
          <w:b w:val="0"/>
          <w:noProof/>
        </w:rPr>
        <w:t>3.1.</w:t>
      </w:r>
      <w:r>
        <w:rPr>
          <w:b w:val="0"/>
          <w:noProof/>
        </w:rPr>
        <w:tab/>
        <w:t xml:space="preserve">Съответни функции от многогодишната финансова рамка и разходни бюджетни редове </w:t>
      </w:r>
    </w:p>
    <w:p w:rsidR="000A3633" w:rsidRDefault="0078004E">
      <w:pPr>
        <w:pStyle w:val="ManualHeading2"/>
        <w:rPr>
          <w:noProof/>
        </w:rPr>
      </w:pPr>
      <w:r>
        <w:rPr>
          <w:b w:val="0"/>
          <w:noProof/>
        </w:rPr>
        <w:tab/>
        <w:t>3.2.</w:t>
      </w:r>
      <w:r>
        <w:rPr>
          <w:b w:val="0"/>
          <w:noProof/>
        </w:rPr>
        <w:tab/>
        <w:t>Очаквано отражение върху разходите</w:t>
      </w:r>
      <w:r>
        <w:rPr>
          <w:noProof/>
        </w:rPr>
        <w:t xml:space="preserve"> </w:t>
      </w:r>
    </w:p>
    <w:p w:rsidR="000A3633" w:rsidRDefault="0078004E">
      <w:pPr>
        <w:pStyle w:val="ManualHeading3"/>
        <w:rPr>
          <w:noProof/>
        </w:rPr>
      </w:pPr>
      <w:r>
        <w:rPr>
          <w:noProof/>
        </w:rPr>
        <w:tab/>
        <w:t>3.2.1.</w:t>
      </w:r>
      <w:r>
        <w:rPr>
          <w:noProof/>
        </w:rPr>
        <w:tab/>
        <w:t xml:space="preserve">Обобщение на очакваното отражение върху разходите </w:t>
      </w:r>
    </w:p>
    <w:p w:rsidR="000A3633" w:rsidRDefault="0078004E">
      <w:pPr>
        <w:pStyle w:val="ManualHeading3"/>
        <w:rPr>
          <w:noProof/>
        </w:rPr>
      </w:pPr>
      <w:r>
        <w:rPr>
          <w:noProof/>
        </w:rPr>
        <w:tab/>
        <w:t>3.2.2.</w:t>
      </w:r>
      <w:r>
        <w:rPr>
          <w:noProof/>
        </w:rPr>
        <w:tab/>
        <w:t>Очаквано отражение върху бюджетните кредити за административни</w:t>
      </w:r>
      <w:r>
        <w:rPr>
          <w:noProof/>
        </w:rPr>
        <w:t xml:space="preserve"> разходи</w:t>
      </w:r>
    </w:p>
    <w:p w:rsidR="000A3633" w:rsidRDefault="0078004E">
      <w:pPr>
        <w:pStyle w:val="ManualHeading3"/>
        <w:rPr>
          <w:noProof/>
        </w:rPr>
      </w:pPr>
      <w:r>
        <w:rPr>
          <w:noProof/>
        </w:rPr>
        <w:tab/>
        <w:t>3.2.3.</w:t>
      </w:r>
      <w:r>
        <w:rPr>
          <w:noProof/>
        </w:rPr>
        <w:tab/>
        <w:t xml:space="preserve">Финансов принос от трети страни </w:t>
      </w:r>
    </w:p>
    <w:p w:rsidR="000A3633" w:rsidRDefault="0078004E">
      <w:pPr>
        <w:pStyle w:val="ManualHeading2"/>
        <w:jc w:val="left"/>
        <w:rPr>
          <w:b w:val="0"/>
          <w:noProof/>
        </w:rPr>
        <w:sectPr w:rsidR="000A3633" w:rsidSect="0078004E">
          <w:headerReference w:type="default" r:id="rId27"/>
          <w:footerReference w:type="default" r:id="rId28"/>
          <w:headerReference w:type="first" r:id="rId29"/>
          <w:footerReference w:type="first" r:id="rId30"/>
          <w:pgSz w:w="11907" w:h="16840" w:code="9"/>
          <w:pgMar w:top="709" w:right="992" w:bottom="851" w:left="993" w:header="709" w:footer="709" w:gutter="0"/>
          <w:pgNumType w:start="1"/>
          <w:cols w:space="720"/>
          <w:docGrid w:linePitch="360"/>
        </w:sectPr>
      </w:pPr>
      <w:r>
        <w:rPr>
          <w:b w:val="0"/>
          <w:noProof/>
        </w:rPr>
        <w:tab/>
        <w:t>3.3.</w:t>
      </w:r>
      <w:r>
        <w:rPr>
          <w:b w:val="0"/>
          <w:noProof/>
        </w:rPr>
        <w:tab/>
        <w:t>Очаквано отражение върху приходите</w:t>
      </w:r>
    </w:p>
    <w:p w:rsidR="000A3633" w:rsidRDefault="0078004E">
      <w:pPr>
        <w:jc w:val="center"/>
        <w:rPr>
          <w:b/>
          <w:noProof/>
          <w:u w:val="single"/>
        </w:rPr>
      </w:pPr>
      <w:r>
        <w:rPr>
          <w:b/>
          <w:noProof/>
          <w:u w:val="single"/>
        </w:rPr>
        <w:t>ЗАКОНОДАТЕЛНА ФИНАНСОВА ОБОСНОВКА</w:t>
      </w:r>
    </w:p>
    <w:p w:rsidR="000A3633" w:rsidRDefault="0078004E">
      <w:pPr>
        <w:pStyle w:val="ManualHeading1"/>
        <w:rPr>
          <w:noProof/>
        </w:rPr>
      </w:pPr>
      <w:r>
        <w:rPr>
          <w:noProof/>
        </w:rPr>
        <w:t>1.</w:t>
      </w:r>
      <w:r>
        <w:rPr>
          <w:noProof/>
        </w:rPr>
        <w:tab/>
        <w:t xml:space="preserve">РАМКА НА ПРЕДЛОЖЕНИЕТО/ИНИЦИАТИВАТА </w:t>
      </w:r>
    </w:p>
    <w:p w:rsidR="000A3633" w:rsidRDefault="0078004E">
      <w:pPr>
        <w:pStyle w:val="ManualHeading2"/>
        <w:rPr>
          <w:noProof/>
        </w:rPr>
      </w:pPr>
      <w:r>
        <w:rPr>
          <w:noProof/>
        </w:rPr>
        <w:t>1.1.</w:t>
      </w:r>
      <w:r>
        <w:rPr>
          <w:noProof/>
        </w:rPr>
        <w:tab/>
        <w:t>Наименование на предл</w:t>
      </w:r>
      <w:r>
        <w:rPr>
          <w:noProof/>
        </w:rPr>
        <w:t xml:space="preserve">ожението/инициативата </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Европейския фонд за приспособяване към глобализацията (ЕФПГ).</w:t>
      </w:r>
    </w:p>
    <w:p w:rsidR="000A3633" w:rsidRDefault="0078004E">
      <w:pPr>
        <w:pStyle w:val="ManualHeading2"/>
        <w:rPr>
          <w:noProof/>
          <w:szCs w:val="24"/>
        </w:rPr>
      </w:pPr>
      <w:r>
        <w:rPr>
          <w:noProof/>
        </w:rPr>
        <w:t>1.2.</w:t>
      </w:r>
      <w:r>
        <w:rPr>
          <w:noProof/>
        </w:rPr>
        <w:tab/>
        <w:t>Съответни области на политиката (програмен клъстер)</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 xml:space="preserve">Европейски фонд за приспособяване към </w:t>
      </w:r>
      <w:r>
        <w:rPr>
          <w:noProof/>
        </w:rPr>
        <w:t>глобализацията, включен в плана за управление на ГД „Трудова заетост, социални въпроси и приобщаване“ за 2018 г.</w:t>
      </w:r>
    </w:p>
    <w:p w:rsidR="000A3633" w:rsidRDefault="0078004E">
      <w:pPr>
        <w:pStyle w:val="ManualHeading2"/>
        <w:rPr>
          <w:bCs/>
          <w:noProof/>
          <w:szCs w:val="24"/>
        </w:rPr>
      </w:pPr>
      <w:r>
        <w:rPr>
          <w:noProof/>
        </w:rPr>
        <w:t>1.3.</w:t>
      </w:r>
      <w:r>
        <w:rPr>
          <w:noProof/>
        </w:rPr>
        <w:tab/>
        <w:t xml:space="preserve">Предложението/инициативата е във връзка с: </w:t>
      </w:r>
    </w:p>
    <w:p w:rsidR="000A3633" w:rsidRDefault="0078004E">
      <w:pPr>
        <w:pStyle w:val="Text1"/>
        <w:rPr>
          <w:b/>
          <w:noProof/>
          <w:sz w:val="22"/>
        </w:rPr>
      </w:pPr>
      <w:r>
        <w:rPr>
          <w:noProof/>
          <w:sz w:val="22"/>
        </w:rPr>
        <w:sym w:font="Wingdings" w:char="F0A8"/>
      </w:r>
      <w:r>
        <w:rPr>
          <w:noProof/>
        </w:rPr>
        <w:t xml:space="preserve"> ново действие</w:t>
      </w:r>
      <w:r>
        <w:rPr>
          <w:b/>
          <w:noProof/>
          <w:sz w:val="22"/>
        </w:rPr>
        <w:t xml:space="preserve"> </w:t>
      </w:r>
    </w:p>
    <w:p w:rsidR="000A3633" w:rsidRDefault="0078004E">
      <w:pPr>
        <w:pStyle w:val="Text1"/>
        <w:rPr>
          <w:noProof/>
          <w:sz w:val="22"/>
        </w:rPr>
      </w:pPr>
      <w:r>
        <w:rPr>
          <w:noProof/>
          <w:sz w:val="22"/>
        </w:rPr>
        <w:sym w:font="Wingdings" w:char="F0A8"/>
      </w:r>
      <w:r>
        <w:rPr>
          <w:noProof/>
        </w:rPr>
        <w:t xml:space="preserve"> </w:t>
      </w:r>
      <w:r>
        <w:rPr>
          <w:b/>
          <w:noProof/>
        </w:rPr>
        <w:t>ново действие след пилотен проект/подготвително действие</w:t>
      </w:r>
      <w:r>
        <w:rPr>
          <w:rStyle w:val="FootnoteReference"/>
          <w:b/>
          <w:noProof/>
        </w:rPr>
        <w:footnoteReference w:id="37"/>
      </w:r>
      <w:r>
        <w:rPr>
          <w:noProof/>
          <w:sz w:val="22"/>
        </w:rPr>
        <w:t xml:space="preserve"> </w:t>
      </w:r>
    </w:p>
    <w:p w:rsidR="000A3633" w:rsidRDefault="0078004E">
      <w:pPr>
        <w:pStyle w:val="Text1"/>
        <w:rPr>
          <w:noProof/>
          <w:sz w:val="22"/>
        </w:rPr>
      </w:pPr>
      <w:r>
        <w:rPr>
          <w:noProof/>
        </w:rPr>
        <w:sym w:font="Wingdings" w:char="F0FE"/>
      </w:r>
      <w:r>
        <w:rPr>
          <w:noProof/>
        </w:rPr>
        <w:t xml:space="preserve"> продължаване на съществуващо действие</w:t>
      </w:r>
      <w:r>
        <w:rPr>
          <w:noProof/>
          <w:sz w:val="22"/>
        </w:rPr>
        <w:t xml:space="preserve"> </w:t>
      </w:r>
    </w:p>
    <w:p w:rsidR="000A3633" w:rsidRDefault="0078004E">
      <w:pPr>
        <w:pStyle w:val="Text1"/>
        <w:rPr>
          <w:noProof/>
        </w:rPr>
      </w:pPr>
      <w:r>
        <w:rPr>
          <w:noProof/>
          <w:sz w:val="22"/>
        </w:rPr>
        <w:sym w:font="Wingdings" w:char="F0A8"/>
      </w:r>
      <w:r>
        <w:rPr>
          <w:noProof/>
        </w:rPr>
        <w:t xml:space="preserve"> сливане или пренасочване на едно или няколко действия към друго/ново действие </w:t>
      </w:r>
    </w:p>
    <w:p w:rsidR="000A3633" w:rsidRDefault="0078004E">
      <w:pPr>
        <w:pStyle w:val="ManualHeading2"/>
        <w:rPr>
          <w:bCs/>
          <w:noProof/>
          <w:szCs w:val="24"/>
        </w:rPr>
      </w:pPr>
      <w:r>
        <w:rPr>
          <w:noProof/>
        </w:rPr>
        <w:t>1.4.</w:t>
      </w:r>
      <w:r>
        <w:rPr>
          <w:noProof/>
        </w:rPr>
        <w:tab/>
        <w:t xml:space="preserve">Мотиви за предложението/инициативата </w:t>
      </w:r>
    </w:p>
    <w:p w:rsidR="000A3633" w:rsidRDefault="0078004E">
      <w:pPr>
        <w:pStyle w:val="ManualHeading3"/>
        <w:rPr>
          <w:noProof/>
        </w:rPr>
      </w:pPr>
      <w:r>
        <w:rPr>
          <w:noProof/>
        </w:rPr>
        <w:t>1.4.1.</w:t>
      </w:r>
      <w:r>
        <w:rPr>
          <w:noProof/>
        </w:rPr>
        <w:tab/>
        <w:t>Изисквания, които трябва да бъдат изпълнени в краткосрочна или дългосрочна перспектив</w:t>
      </w:r>
      <w:r>
        <w:rPr>
          <w:noProof/>
        </w:rPr>
        <w:t>а, включително подробен график за изпълнението на инициативата</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Регламент (ЕС) № 1309/2013 трябва да бъде преразгледан до края на 2020 г. Преразглеждането, което се извършва посредством предложение за регламент, позволява на фонда да продължи да функционира</w:t>
      </w:r>
      <w:r>
        <w:rPr>
          <w:noProof/>
        </w:rPr>
        <w:t>, да разшири целта си да предлага подкрепа на съкратените работници и самостоятелно заетите лица, чиято дейност е прекратена по време на неочаквани големи преструктурирания, и да промени някои технически подробности, за да осигури повече съгласуваност и си</w:t>
      </w:r>
      <w:r>
        <w:rPr>
          <w:noProof/>
        </w:rPr>
        <w:t>нергии, гъвкавост, акцент върху резултатите и опростяване.</w:t>
      </w:r>
    </w:p>
    <w:p w:rsidR="000A3633" w:rsidRDefault="0078004E">
      <w:pPr>
        <w:pStyle w:val="ManualHeading3"/>
        <w:rPr>
          <w:bCs/>
          <w:noProof/>
          <w:szCs w:val="24"/>
        </w:rPr>
      </w:pPr>
      <w:r>
        <w:rPr>
          <w:noProof/>
        </w:rPr>
        <w:t>1.4.2.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w:t>
      </w:r>
      <w:r>
        <w:rPr>
          <w:noProof/>
        </w:rPr>
        <w:t>.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Очакваното генериране на добавена стойност (e</w:t>
      </w:r>
      <w:r>
        <w:rPr>
          <w:noProof/>
        </w:rPr>
        <w:t>x-post) от страна на Съюза посредством ЕФПГ дава възможност да се допълнят националните мерки, за да се реинтегрират уволнените работници, като се предлага уникална комбинация от мерки, които водят до по-устойчиви резултати, уважение към бенефициентите, ко</w:t>
      </w:r>
      <w:r>
        <w:rPr>
          <w:noProof/>
        </w:rPr>
        <w:t>ито най-накрая имат по-активен подход към търсенето на работа и подобряват възможностите си за наемане на работа. От натрупания до момента опит по ЕФПГ се вижда, че предлаганата помощ не би била налична без участието на ЕФПГ.</w:t>
      </w:r>
    </w:p>
    <w:p w:rsidR="000A3633" w:rsidRDefault="0078004E">
      <w:pPr>
        <w:pStyle w:val="ManualHeading3"/>
        <w:rPr>
          <w:bCs/>
          <w:noProof/>
          <w:szCs w:val="24"/>
        </w:rPr>
      </w:pPr>
      <w:r>
        <w:rPr>
          <w:noProof/>
        </w:rPr>
        <w:t>1.4.3.</w:t>
      </w:r>
      <w:r>
        <w:rPr>
          <w:noProof/>
        </w:rPr>
        <w:tab/>
        <w:t xml:space="preserve">Изводи от подобен опит </w:t>
      </w:r>
      <w:r>
        <w:rPr>
          <w:noProof/>
        </w:rPr>
        <w:t>в миналото</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Вж. опита, натрупан в рамките на Регламент (ЕО) № 1309/2013, изложен в обяснителния меморандум към предложението за регламент.</w:t>
      </w:r>
    </w:p>
    <w:p w:rsidR="000A3633" w:rsidRDefault="0078004E">
      <w:pPr>
        <w:pStyle w:val="ManualHeading3"/>
        <w:rPr>
          <w:bCs/>
          <w:noProof/>
          <w:szCs w:val="24"/>
        </w:rPr>
      </w:pPr>
      <w:r>
        <w:rPr>
          <w:noProof/>
        </w:rPr>
        <w:t>1.4.4.</w:t>
      </w:r>
      <w:r>
        <w:rPr>
          <w:noProof/>
        </w:rPr>
        <w:tab/>
        <w:t>Съгласуваност и евентуална синергия с други актове</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ЕСФ+ и ЕФПГ ще продължат да се допълват взаимно, тъй като ЕС</w:t>
      </w:r>
      <w:r>
        <w:rPr>
          <w:noProof/>
        </w:rPr>
        <w:t xml:space="preserve">Ф+ ще продължи да функционира като превантивен и изпреварващ фонд, а ЕФПГ ще остане фонд за реагиране на извънредни ситуации, който се намира извън МФР. ЕСФ+ например ще допълни ЕФПГ чрез проактивна подкрепа на адекватни мерки в области, които са изложени </w:t>
      </w:r>
      <w:r>
        <w:rPr>
          <w:noProof/>
        </w:rPr>
        <w:t>на риск поради предвидими икономически предизвикателства. Подкрепата за бенефициерите от целевата група допълва мерките, предприемани от държавите членки на национално, регионално и местно равнище, включително тези, съфинансирани от фондове на Съюза, в съо</w:t>
      </w:r>
      <w:r>
        <w:rPr>
          <w:noProof/>
        </w:rPr>
        <w:t>тветствие с препоръките, изложени в Рамката за качество на ЕС за предвиждане на промените и преструктуриране (QFR).</w:t>
      </w:r>
    </w:p>
    <w:p w:rsidR="000A3633" w:rsidRDefault="0078004E">
      <w:pPr>
        <w:pStyle w:val="ManualHeading2"/>
        <w:rPr>
          <w:bCs/>
          <w:noProof/>
          <w:szCs w:val="24"/>
        </w:rPr>
      </w:pPr>
      <w:r>
        <w:rPr>
          <w:noProof/>
        </w:rPr>
        <w:br w:type="page"/>
        <w:t>1.5.</w:t>
      </w:r>
      <w:r>
        <w:rPr>
          <w:noProof/>
        </w:rPr>
        <w:tab/>
        <w:t xml:space="preserve">Срок на действие и финансово отражение </w:t>
      </w:r>
    </w:p>
    <w:p w:rsidR="000A3633" w:rsidRDefault="0078004E">
      <w:pPr>
        <w:pStyle w:val="Text1"/>
        <w:rPr>
          <w:noProof/>
        </w:rPr>
      </w:pPr>
      <w:r>
        <w:rPr>
          <w:noProof/>
        </w:rPr>
        <w:sym w:font="Wingdings" w:char="F0FE"/>
      </w:r>
      <w:r>
        <w:rPr>
          <w:noProof/>
        </w:rPr>
        <w:t xml:space="preserve"> ограничен срок на действие</w:t>
      </w:r>
      <w:r>
        <w:rPr>
          <w:b/>
          <w:noProof/>
        </w:rPr>
        <w:t xml:space="preserve"> </w:t>
      </w:r>
    </w:p>
    <w:p w:rsidR="000A3633" w:rsidRDefault="0078004E">
      <w:pPr>
        <w:pStyle w:val="ListDash2"/>
        <w:rPr>
          <w:noProof/>
        </w:rPr>
      </w:pPr>
      <w:r>
        <w:rPr>
          <w:noProof/>
        </w:rPr>
        <w:sym w:font="Wingdings" w:char="F0FE"/>
      </w:r>
      <w:r>
        <w:rPr>
          <w:noProof/>
        </w:rPr>
        <w:tab/>
        <w:t xml:space="preserve">в сила от 1.1.2021 г. </w:t>
      </w:r>
    </w:p>
    <w:p w:rsidR="000A3633" w:rsidRDefault="0078004E">
      <w:pPr>
        <w:pStyle w:val="ListDash2"/>
        <w:rPr>
          <w:noProof/>
        </w:rPr>
      </w:pPr>
      <w:r>
        <w:rPr>
          <w:noProof/>
        </w:rPr>
        <w:sym w:font="Wingdings" w:char="F0FE"/>
      </w:r>
      <w:r>
        <w:rPr>
          <w:noProof/>
        </w:rPr>
        <w:tab/>
        <w:t>Финансово отражение от 2021 г. до 202</w:t>
      </w:r>
      <w:r>
        <w:rPr>
          <w:noProof/>
        </w:rPr>
        <w:t xml:space="preserve">7 г. за бюджетните кредити за поети задължения и от 2021 г. до 2031 г. за бюджетните кредити за плащания. </w:t>
      </w:r>
    </w:p>
    <w:p w:rsidR="000A3633" w:rsidRDefault="0078004E">
      <w:pPr>
        <w:pStyle w:val="Text1"/>
        <w:rPr>
          <w:noProof/>
        </w:rPr>
      </w:pPr>
      <w:r>
        <w:rPr>
          <w:noProof/>
        </w:rPr>
        <w:sym w:font="Wingdings" w:char="F0A8"/>
      </w:r>
      <w:r>
        <w:rPr>
          <w:noProof/>
        </w:rPr>
        <w:t xml:space="preserve"> неограничен срок на действие</w:t>
      </w:r>
    </w:p>
    <w:p w:rsidR="000A3633" w:rsidRDefault="0078004E">
      <w:pPr>
        <w:pStyle w:val="ListDash2"/>
        <w:rPr>
          <w:noProof/>
        </w:rPr>
      </w:pPr>
      <w:r>
        <w:rPr>
          <w:noProof/>
        </w:rPr>
        <w:t>Осъществяване с период на започване на дейност от ГГГГ г. до ГГГГ г., последван от функциониране с пълен капацитет.</w:t>
      </w:r>
    </w:p>
    <w:p w:rsidR="000A3633" w:rsidRDefault="0078004E">
      <w:pPr>
        <w:pStyle w:val="ManualHeading2"/>
        <w:rPr>
          <w:bCs/>
          <w:noProof/>
          <w:szCs w:val="24"/>
        </w:rPr>
      </w:pPr>
      <w:r>
        <w:rPr>
          <w:noProof/>
        </w:rPr>
        <w:t>1.</w:t>
      </w:r>
      <w:r>
        <w:rPr>
          <w:noProof/>
        </w:rPr>
        <w:t>6.</w:t>
      </w:r>
      <w:r>
        <w:rPr>
          <w:noProof/>
        </w:rPr>
        <w:tab/>
        <w:t>Планирани методи на управление</w:t>
      </w:r>
      <w:r>
        <w:rPr>
          <w:rStyle w:val="FootnoteReference"/>
          <w:noProof/>
        </w:rPr>
        <w:footnoteReference w:id="38"/>
      </w:r>
      <w:r>
        <w:rPr>
          <w:rStyle w:val="FootnoteReference"/>
          <w:noProof/>
        </w:rPr>
        <w:t xml:space="preserve"> </w:t>
      </w:r>
    </w:p>
    <w:p w:rsidR="000A3633" w:rsidRDefault="0078004E">
      <w:pPr>
        <w:pStyle w:val="Text1"/>
        <w:rPr>
          <w:noProof/>
        </w:rPr>
      </w:pPr>
      <w:r>
        <w:rPr>
          <w:noProof/>
        </w:rPr>
        <w:sym w:font="Wingdings" w:char="F0FE"/>
      </w:r>
      <w:r>
        <w:rPr>
          <w:noProof/>
        </w:rPr>
        <w:t xml:space="preserve"> Пряко управление от Комисията</w:t>
      </w:r>
    </w:p>
    <w:p w:rsidR="000A3633" w:rsidRDefault="0078004E">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rsidR="000A3633" w:rsidRDefault="0078004E">
      <w:pPr>
        <w:pStyle w:val="ListDash2"/>
        <w:rPr>
          <w:noProof/>
        </w:rPr>
      </w:pPr>
      <w:r>
        <w:rPr>
          <w:noProof/>
        </w:rPr>
        <w:sym w:font="Wingdings" w:char="F0A8"/>
      </w:r>
      <w:r>
        <w:rPr>
          <w:noProof/>
        </w:rPr>
        <w:tab/>
        <w:t xml:space="preserve">от изпълнителните агенции </w:t>
      </w:r>
    </w:p>
    <w:p w:rsidR="000A3633" w:rsidRDefault="0078004E">
      <w:pPr>
        <w:pStyle w:val="Text1"/>
        <w:rPr>
          <w:noProof/>
        </w:rPr>
      </w:pPr>
      <w:r>
        <w:rPr>
          <w:noProof/>
        </w:rPr>
        <w:sym w:font="Wingdings" w:char="F0FE"/>
      </w:r>
      <w:r>
        <w:rPr>
          <w:noProof/>
        </w:rPr>
        <w:t xml:space="preserve"> Споделено управление с държавите членки </w:t>
      </w:r>
    </w:p>
    <w:p w:rsidR="000A3633" w:rsidRDefault="0078004E">
      <w:pPr>
        <w:pStyle w:val="Text1"/>
        <w:rPr>
          <w:noProof/>
        </w:rPr>
      </w:pPr>
      <w:r>
        <w:rPr>
          <w:noProof/>
        </w:rPr>
        <w:sym w:font="Wingdings" w:char="F0A8"/>
      </w:r>
      <w:r>
        <w:rPr>
          <w:noProof/>
        </w:rPr>
        <w:t xml:space="preserve"> Непряко управление чрез възлагане на задачи по изпълнението на бюджета на:</w:t>
      </w:r>
    </w:p>
    <w:p w:rsidR="000A3633" w:rsidRDefault="0078004E">
      <w:pPr>
        <w:pStyle w:val="ListDash2"/>
        <w:rPr>
          <w:noProof/>
        </w:rPr>
      </w:pPr>
      <w:r>
        <w:rPr>
          <w:noProof/>
        </w:rPr>
        <w:sym w:font="Wingdings" w:char="F0A8"/>
      </w:r>
      <w:r>
        <w:rPr>
          <w:noProof/>
        </w:rPr>
        <w:t xml:space="preserve"> трети държави или на органите, определени от тях;</w:t>
      </w:r>
    </w:p>
    <w:p w:rsidR="000A3633" w:rsidRDefault="0078004E">
      <w:pPr>
        <w:pStyle w:val="ListDash2"/>
        <w:rPr>
          <w:noProof/>
        </w:rPr>
      </w:pPr>
      <w:r>
        <w:rPr>
          <w:noProof/>
        </w:rPr>
        <w:sym w:font="Wingdings" w:char="F0A8"/>
      </w:r>
      <w:r>
        <w:rPr>
          <w:noProof/>
        </w:rPr>
        <w:t xml:space="preserve"> международни организации и техните агенции (да се уточни);</w:t>
      </w:r>
    </w:p>
    <w:p w:rsidR="000A3633" w:rsidRDefault="0078004E">
      <w:pPr>
        <w:pStyle w:val="ListDash2"/>
        <w:rPr>
          <w:noProof/>
        </w:rPr>
      </w:pPr>
      <w:r>
        <w:rPr>
          <w:noProof/>
        </w:rPr>
        <w:sym w:font="Wingdings" w:char="F0A8"/>
      </w:r>
      <w:r>
        <w:rPr>
          <w:noProof/>
        </w:rPr>
        <w:t xml:space="preserve"> ЕИБ и Европейския инвестиционен фонд;</w:t>
      </w:r>
    </w:p>
    <w:p w:rsidR="000A3633" w:rsidRDefault="0078004E">
      <w:pPr>
        <w:pStyle w:val="ListDash2"/>
        <w:rPr>
          <w:noProof/>
        </w:rPr>
      </w:pPr>
      <w:r>
        <w:rPr>
          <w:noProof/>
        </w:rPr>
        <w:sym w:font="Wingdings" w:char="F0A8"/>
      </w:r>
      <w:r>
        <w:rPr>
          <w:noProof/>
        </w:rPr>
        <w:t xml:space="preserve"> органите, посочени в членове 70 и 71 от Финансовия регламент;</w:t>
      </w:r>
    </w:p>
    <w:p w:rsidR="000A3633" w:rsidRDefault="0078004E">
      <w:pPr>
        <w:pStyle w:val="ListDash2"/>
        <w:rPr>
          <w:noProof/>
        </w:rPr>
      </w:pPr>
      <w:r>
        <w:rPr>
          <w:noProof/>
        </w:rPr>
        <w:sym w:font="Wingdings" w:char="F0A8"/>
      </w:r>
      <w:r>
        <w:rPr>
          <w:noProof/>
        </w:rPr>
        <w:t xml:space="preserve"> публичноправни органи;</w:t>
      </w:r>
    </w:p>
    <w:p w:rsidR="000A3633" w:rsidRDefault="0078004E">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0A3633" w:rsidRDefault="0078004E">
      <w:pPr>
        <w:pStyle w:val="ListDash2"/>
        <w:rPr>
          <w:noProof/>
        </w:rPr>
      </w:pPr>
      <w:r>
        <w:rPr>
          <w:noProof/>
        </w:rPr>
        <w:sym w:font="Wingdings" w:char="F0A8"/>
      </w:r>
      <w:r>
        <w:rPr>
          <w:noProof/>
        </w:rPr>
        <w:t xml:space="preserve"> органи, уредени в частното право на държава членка, на </w:t>
      </w:r>
      <w:r>
        <w:rPr>
          <w:noProof/>
        </w:rPr>
        <w:t>които е възложено осъществяването на публично-частно партньорство и които предоставят подходящи финансови гаранции;</w:t>
      </w:r>
    </w:p>
    <w:p w:rsidR="000A3633" w:rsidRDefault="0078004E">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w:t>
      </w:r>
      <w:r>
        <w:rPr>
          <w:noProof/>
        </w:rPr>
        <w:t>основен акт.</w:t>
      </w:r>
    </w:p>
    <w:p w:rsidR="000A3633" w:rsidRDefault="0078004E">
      <w:pPr>
        <w:pStyle w:val="ListDash2"/>
        <w:rPr>
          <w:i/>
          <w:noProof/>
          <w:sz w:val="18"/>
          <w:u w:val="single"/>
        </w:rPr>
      </w:pPr>
      <w:r>
        <w:rPr>
          <w:i/>
          <w:noProof/>
          <w:sz w:val="18"/>
        </w:rPr>
        <w:t>Ако е посочен повече от един метод на управление, пояснете в частта „Забележки“.</w:t>
      </w:r>
    </w:p>
    <w:p w:rsidR="000A3633" w:rsidRDefault="0078004E">
      <w:pPr>
        <w:rPr>
          <w:noProof/>
        </w:rPr>
      </w:pPr>
      <w:r>
        <w:rPr>
          <w:noProof/>
        </w:rPr>
        <w:t xml:space="preserve">Забележки </w:t>
      </w:r>
    </w:p>
    <w:p w:rsidR="000A3633" w:rsidRDefault="0078004E">
      <w:pPr>
        <w:pBdr>
          <w:top w:val="single" w:sz="4" w:space="1" w:color="auto"/>
          <w:left w:val="single" w:sz="4" w:space="4" w:color="auto"/>
          <w:bottom w:val="single" w:sz="4" w:space="1" w:color="auto"/>
          <w:right w:val="single" w:sz="4" w:space="4" w:color="auto"/>
        </w:pBdr>
        <w:rPr>
          <w:noProof/>
        </w:rPr>
      </w:pPr>
      <w:r>
        <w:rPr>
          <w:noProof/>
        </w:rPr>
        <w:t>[…]</w:t>
      </w:r>
    </w:p>
    <w:p w:rsidR="000A3633" w:rsidRDefault="0078004E">
      <w:pPr>
        <w:pBdr>
          <w:top w:val="single" w:sz="4" w:space="1" w:color="auto"/>
          <w:left w:val="single" w:sz="4" w:space="4" w:color="auto"/>
          <w:bottom w:val="single" w:sz="4" w:space="1" w:color="auto"/>
          <w:right w:val="single" w:sz="4" w:space="4" w:color="auto"/>
        </w:pBdr>
        <w:rPr>
          <w:noProof/>
        </w:rPr>
      </w:pPr>
      <w:r>
        <w:rPr>
          <w:noProof/>
        </w:rPr>
        <w:t>[…]</w:t>
      </w:r>
    </w:p>
    <w:p w:rsidR="000A3633" w:rsidRDefault="000A3633">
      <w:pPr>
        <w:rPr>
          <w:noProof/>
        </w:rPr>
        <w:sectPr w:rsidR="000A3633" w:rsidSect="0078004E">
          <w:headerReference w:type="default" r:id="rId31"/>
          <w:footerReference w:type="default" r:id="rId32"/>
          <w:headerReference w:type="first" r:id="rId33"/>
          <w:footerReference w:type="first" r:id="rId34"/>
          <w:pgSz w:w="11907" w:h="16840" w:code="9"/>
          <w:pgMar w:top="1134" w:right="1418" w:bottom="1134" w:left="1418" w:header="709" w:footer="709" w:gutter="0"/>
          <w:cols w:space="708"/>
          <w:docGrid w:linePitch="360"/>
        </w:sectPr>
      </w:pPr>
    </w:p>
    <w:p w:rsidR="000A3633" w:rsidRDefault="0078004E">
      <w:pPr>
        <w:pStyle w:val="ManualHeading1"/>
        <w:rPr>
          <w:bCs/>
          <w:noProof/>
          <w:szCs w:val="24"/>
        </w:rPr>
      </w:pPr>
      <w:r>
        <w:rPr>
          <w:noProof/>
        </w:rPr>
        <w:t>2.</w:t>
      </w:r>
      <w:r>
        <w:rPr>
          <w:noProof/>
        </w:rPr>
        <w:tab/>
        <w:t xml:space="preserve">МЕРКИ ЗА УПРАВЛЕНИЕ </w:t>
      </w:r>
    </w:p>
    <w:p w:rsidR="000A3633" w:rsidRDefault="0078004E">
      <w:pPr>
        <w:pStyle w:val="ManualHeading2"/>
        <w:rPr>
          <w:noProof/>
        </w:rPr>
      </w:pPr>
      <w:r>
        <w:rPr>
          <w:noProof/>
        </w:rPr>
        <w:t>2.1.</w:t>
      </w:r>
      <w:r>
        <w:rPr>
          <w:noProof/>
        </w:rPr>
        <w:tab/>
        <w:t xml:space="preserve">Правила за мониторинг и докладване </w:t>
      </w:r>
    </w:p>
    <w:p w:rsidR="000A3633" w:rsidRDefault="0078004E">
      <w:pPr>
        <w:pStyle w:val="Text1"/>
        <w:rPr>
          <w:i/>
          <w:noProof/>
          <w:sz w:val="20"/>
          <w:u w:val="single"/>
        </w:rPr>
      </w:pPr>
      <w:r>
        <w:rPr>
          <w:i/>
          <w:noProof/>
          <w:sz w:val="20"/>
        </w:rPr>
        <w:t xml:space="preserve">Да се посочат </w:t>
      </w:r>
      <w:r>
        <w:rPr>
          <w:i/>
          <w:noProof/>
          <w:sz w:val="20"/>
        </w:rPr>
        <w:t>честотата и условията.</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В член 21 от предложения регламент се съдържа изискването Комисията на всеки две години да представя на Европейския парламент и на Съвета количествен и качествен доклад относно дейностите, проведени по силата на предложения регламент</w:t>
      </w:r>
      <w:r>
        <w:rPr>
          <w:noProof/>
        </w:rPr>
        <w:t xml:space="preserve"> и по силата на Регламент (ЕС) № 1309/2013 през предходните две години. Този доклад се фокусира главно върху постигнатите от ЕФПГ резултати и по-специално съдържа информация относно подадените заявления, приетите решения и финансираните мерки.</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Съгласно чле</w:t>
      </w:r>
      <w:r>
        <w:rPr>
          <w:noProof/>
        </w:rPr>
        <w:t>н 22 от предложения регламент до края на 30 юни 2025 г. Комисията трябва да направи междинна оценка на мобилизираното финансиране от ЕФПГ. До 31 декември 2029 г. от Комисията се изисква да направи последваща оценка на мобилизираното финансиране от ЕФПГ.</w:t>
      </w:r>
    </w:p>
    <w:p w:rsidR="000A3633" w:rsidRDefault="0078004E">
      <w:pPr>
        <w:pStyle w:val="ManualHeading2"/>
        <w:rPr>
          <w:bCs/>
          <w:noProof/>
          <w:szCs w:val="24"/>
        </w:rPr>
      </w:pPr>
      <w:r>
        <w:rPr>
          <w:noProof/>
        </w:rPr>
        <w:t>2.</w:t>
      </w:r>
      <w:r>
        <w:rPr>
          <w:noProof/>
        </w:rPr>
        <w:t>2.</w:t>
      </w:r>
      <w:r>
        <w:rPr>
          <w:noProof/>
        </w:rPr>
        <w:tab/>
        <w:t xml:space="preserve">Системи за управление и контрол </w:t>
      </w:r>
    </w:p>
    <w:p w:rsidR="000A3633" w:rsidRDefault="0078004E">
      <w:pPr>
        <w:pStyle w:val="ManualHeading3"/>
        <w:rPr>
          <w:noProof/>
        </w:rPr>
      </w:pPr>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Приложимите изисквания за управление и финансов контрол са посочени в член 23 от п</w:t>
      </w:r>
      <w:r>
        <w:rPr>
          <w:noProof/>
        </w:rPr>
        <w:t>редложения регламент.</w:t>
      </w:r>
    </w:p>
    <w:p w:rsidR="000A3633" w:rsidRDefault="0078004E">
      <w:pPr>
        <w:pStyle w:val="Text1"/>
        <w:pBdr>
          <w:top w:val="single" w:sz="4" w:space="1" w:color="auto"/>
          <w:left w:val="single" w:sz="4" w:space="4" w:color="auto"/>
          <w:bottom w:val="single" w:sz="4" w:space="1" w:color="auto"/>
          <w:right w:val="single" w:sz="4" w:space="4" w:color="auto"/>
        </w:pBdr>
        <w:rPr>
          <w:noProof/>
          <w:szCs w:val="24"/>
        </w:rPr>
      </w:pPr>
      <w:r>
        <w:rPr>
          <w:noProof/>
        </w:rPr>
        <w:t>ЕФПГ е и ще остане под споделено управление. Опитът показва, че индивидуализиран пакет от персонализирани услуги трябва да бъде разработен от най-близкия до гражданите орган. В зависимост от държавата членка и вида на преструктуриране</w:t>
      </w:r>
      <w:r>
        <w:rPr>
          <w:noProof/>
        </w:rPr>
        <w:t>то, това обикновено е местен, регионален или национален орган. Затова задачите по изпълнението ще бъдат делегирани на органите на държавите членки. Необходима е намеса от страна на ЕС поради мащаба на въздействието на съкращенията, но в съответствие с прин</w:t>
      </w:r>
      <w:r>
        <w:rPr>
          <w:noProof/>
        </w:rPr>
        <w:t>ципа на субсидиарност той ще бъде ограничен до това, което е необходимо за постигане на целите за демонстриране на солидарността на Съюза със съкратените работници.</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Предвид целта на фонда, която е предоставянето на подкрепа в спешни случаи и при неочаквани</w:t>
      </w:r>
      <w:r>
        <w:rPr>
          <w:noProof/>
        </w:rPr>
        <w:t xml:space="preserve"> обстоятелства, ЕФПГ трябва да остане гъвкав и специален инструмент извън бюджетните тавани на многогодишната финансова рамка.</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 xml:space="preserve">Механизмът за мобилизация е предвиден в член 16 от предложения регламент. Комисията изплаща финансовия принос на съответната </w:t>
      </w:r>
      <w:r>
        <w:rPr>
          <w:noProof/>
        </w:rPr>
        <w:t>държава членка чрез еднократна 100 % вноска за предварително финансиране.</w:t>
      </w:r>
    </w:p>
    <w:p w:rsidR="000A3633" w:rsidRDefault="0078004E">
      <w:pPr>
        <w:pStyle w:val="ManualHeading3"/>
        <w:rPr>
          <w:bCs/>
          <w:noProof/>
          <w:szCs w:val="24"/>
        </w:rPr>
      </w:pPr>
      <w:r>
        <w:rPr>
          <w:noProof/>
        </w:rPr>
        <w:t>2.2.2.</w:t>
      </w:r>
      <w:r>
        <w:rPr>
          <w:noProof/>
        </w:rPr>
        <w:tab/>
        <w:t>Информация относно установените рискове и системите за вътрешен контрол, създадени с цел намаляването им</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със споделеното управление на финансови средства</w:t>
      </w:r>
      <w:r>
        <w:rPr>
          <w:noProof/>
        </w:rPr>
        <w:t xml:space="preserve"> на Общността.</w:t>
      </w:r>
    </w:p>
    <w:p w:rsidR="000A3633" w:rsidRDefault="0078004E">
      <w:pPr>
        <w:pStyle w:val="ManualHeading3"/>
        <w:rPr>
          <w:noProof/>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 xml:space="preserve">Приложимите </w:t>
      </w:r>
      <w:r>
        <w:rPr>
          <w:noProof/>
        </w:rPr>
        <w:t>изисквания за управление и финансов контрол са посочени в член 23 от предложения регламент.</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очаквания процент на грешки, на етапа на законодателните предложения целта е да се поддържа процентът на грешки под прага от 2 %. Друг праг на същес</w:t>
      </w:r>
      <w:r>
        <w:rPr>
          <w:noProof/>
        </w:rPr>
        <w:t>твеност може да бъде обсъждан само за всеки отделен случай в контекста на законодателния дебат, особено когато законодателният орган няма (изцяло) подкрепа за предложените опростявания на програмата и / или би ограничил контрола, което би имало последици в</w:t>
      </w:r>
      <w:r>
        <w:rPr>
          <w:noProof/>
        </w:rPr>
        <w:t>ърху очаквания процент на грешките. Това би изисквало координиран подход.]</w:t>
      </w:r>
    </w:p>
    <w:p w:rsidR="000A3633" w:rsidRDefault="0078004E">
      <w:pPr>
        <w:pStyle w:val="ManualHeading2"/>
        <w:rPr>
          <w:bCs/>
          <w:noProof/>
          <w:szCs w:val="24"/>
        </w:rPr>
      </w:pPr>
      <w:r>
        <w:rPr>
          <w:noProof/>
        </w:rPr>
        <w:t>2.3.</w:t>
      </w:r>
      <w:r>
        <w:rPr>
          <w:noProof/>
        </w:rPr>
        <w:tab/>
        <w:t xml:space="preserve">Мерки за предотвратяване на измами и нередности </w:t>
      </w:r>
    </w:p>
    <w:p w:rsidR="000A3633" w:rsidRDefault="0078004E">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 xml:space="preserve">Мерките </w:t>
      </w:r>
      <w:r>
        <w:rPr>
          <w:noProof/>
        </w:rPr>
        <w:t>за предотвратяване, откриване и коригиране на нередности са посочени в член 23, параграф 1, буква д) и член 23, параграф 2 от предложения регламент.</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В случая на фондовете за съвместно управление, съществува по-конкретна Съвместна стратегия за борба с измам</w:t>
      </w:r>
      <w:r>
        <w:rPr>
          <w:noProof/>
        </w:rPr>
        <w:t>ите (JAFS) 2015–2020 г. на ГД „Регионална и градска политика“, ГД „Заетост, социални въпроси и приобщаване“ и ГД „Морско дело и рибарство“.</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Съобщението на Комисията относно стратегия за борба с измамите (COM(2011) 376 final от 24.6.2011 г.) приветства съще</w:t>
      </w:r>
      <w:r>
        <w:rPr>
          <w:noProof/>
        </w:rPr>
        <w:t>ствуващата стратегия като инициатива за най-добри практики и предвижда допълнителни действия по нея, най-важното от които е предложението на Комисията за регламентите за периода 2014—2020 г. да поиска от държавите членки да въведат мерки за предотвратяване</w:t>
      </w:r>
      <w:r>
        <w:rPr>
          <w:noProof/>
        </w:rPr>
        <w:t xml:space="preserve"> на измами. Настоящото предложение на Комисията включва изрично изискване за въвеждане на такива мерки. Това следва допълнително да повиши бдителността по отношение на измамите на всички органи в държавите членки, които участват в управлението и контрола н</w:t>
      </w:r>
      <w:r>
        <w:rPr>
          <w:noProof/>
        </w:rPr>
        <w:t>а средства, и по този начин да намали риска от измами.</w:t>
      </w:r>
    </w:p>
    <w:p w:rsidR="000A3633" w:rsidRDefault="000A3633">
      <w:pPr>
        <w:rPr>
          <w:noProof/>
        </w:rPr>
        <w:sectPr w:rsidR="000A3633" w:rsidSect="0078004E">
          <w:pgSz w:w="11907" w:h="16840" w:code="9"/>
          <w:pgMar w:top="1134" w:right="1418" w:bottom="1134" w:left="1418" w:header="709" w:footer="709" w:gutter="0"/>
          <w:cols w:space="708"/>
          <w:docGrid w:linePitch="360"/>
        </w:sectPr>
      </w:pPr>
    </w:p>
    <w:p w:rsidR="000A3633" w:rsidRDefault="0078004E">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0A3633" w:rsidRDefault="0078004E">
      <w:pPr>
        <w:pStyle w:val="ManualHeading2"/>
        <w:rPr>
          <w:noProof/>
        </w:rPr>
      </w:pPr>
      <w:r>
        <w:rPr>
          <w:noProof/>
        </w:rPr>
        <w:t>3.1.</w:t>
      </w:r>
      <w:r>
        <w:rPr>
          <w:noProof/>
        </w:rPr>
        <w:tab/>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0"/>
        <w:gridCol w:w="1440"/>
        <w:gridCol w:w="956"/>
        <w:gridCol w:w="964"/>
        <w:gridCol w:w="1072"/>
        <w:gridCol w:w="1448"/>
      </w:tblGrid>
      <w:tr w:rsidR="000A3633">
        <w:tc>
          <w:tcPr>
            <w:tcW w:w="1080" w:type="dxa"/>
            <w:vMerge w:val="restart"/>
            <w:vAlign w:val="center"/>
          </w:tcPr>
          <w:p w:rsidR="000A3633" w:rsidRDefault="0078004E">
            <w:pPr>
              <w:spacing w:before="60" w:after="60"/>
              <w:jc w:val="center"/>
              <w:rPr>
                <w:noProof/>
              </w:rPr>
            </w:pPr>
            <w:r>
              <w:rPr>
                <w:noProof/>
                <w:sz w:val="18"/>
              </w:rPr>
              <w:t xml:space="preserve">Функция от </w:t>
            </w:r>
            <w:r>
              <w:rPr>
                <w:noProof/>
                <w:sz w:val="18"/>
              </w:rPr>
              <w:t>многогодишната финансова рамка</w:t>
            </w:r>
          </w:p>
        </w:tc>
        <w:tc>
          <w:tcPr>
            <w:tcW w:w="3600" w:type="dxa"/>
            <w:vAlign w:val="center"/>
          </w:tcPr>
          <w:p w:rsidR="000A3633" w:rsidRDefault="0078004E">
            <w:pPr>
              <w:spacing w:before="60" w:after="60"/>
              <w:jc w:val="center"/>
              <w:rPr>
                <w:noProof/>
              </w:rPr>
            </w:pPr>
            <w:r>
              <w:rPr>
                <w:noProof/>
                <w:sz w:val="20"/>
              </w:rPr>
              <w:t>Бюджетен ред</w:t>
            </w:r>
          </w:p>
        </w:tc>
        <w:tc>
          <w:tcPr>
            <w:tcW w:w="1440" w:type="dxa"/>
            <w:vAlign w:val="center"/>
          </w:tcPr>
          <w:p w:rsidR="000A3633" w:rsidRDefault="0078004E">
            <w:pPr>
              <w:spacing w:before="60" w:after="60"/>
              <w:jc w:val="center"/>
              <w:rPr>
                <w:noProof/>
                <w:sz w:val="18"/>
                <w:szCs w:val="18"/>
              </w:rPr>
            </w:pPr>
            <w:r>
              <w:rPr>
                <w:noProof/>
                <w:sz w:val="18"/>
                <w:szCs w:val="18"/>
              </w:rPr>
              <w:t xml:space="preserve">Вид на </w:t>
            </w:r>
            <w:r>
              <w:rPr>
                <w:noProof/>
                <w:sz w:val="18"/>
                <w:szCs w:val="18"/>
              </w:rPr>
              <w:br/>
              <w:t>разхода</w:t>
            </w:r>
          </w:p>
        </w:tc>
        <w:tc>
          <w:tcPr>
            <w:tcW w:w="4440" w:type="dxa"/>
            <w:gridSpan w:val="4"/>
            <w:vAlign w:val="center"/>
          </w:tcPr>
          <w:p w:rsidR="000A3633" w:rsidRDefault="0078004E">
            <w:pPr>
              <w:spacing w:before="60" w:after="60"/>
              <w:jc w:val="center"/>
              <w:rPr>
                <w:noProof/>
              </w:rPr>
            </w:pPr>
            <w:r>
              <w:rPr>
                <w:noProof/>
                <w:sz w:val="20"/>
              </w:rPr>
              <w:t xml:space="preserve">Финансов принос </w:t>
            </w:r>
          </w:p>
        </w:tc>
      </w:tr>
      <w:tr w:rsidR="000A3633">
        <w:tc>
          <w:tcPr>
            <w:tcW w:w="1080" w:type="dxa"/>
            <w:vMerge/>
            <w:vAlign w:val="center"/>
          </w:tcPr>
          <w:p w:rsidR="000A3633" w:rsidRDefault="000A3633">
            <w:pPr>
              <w:jc w:val="center"/>
              <w:rPr>
                <w:noProof/>
              </w:rPr>
            </w:pPr>
          </w:p>
        </w:tc>
        <w:tc>
          <w:tcPr>
            <w:tcW w:w="3600" w:type="dxa"/>
            <w:vAlign w:val="center"/>
          </w:tcPr>
          <w:p w:rsidR="000A3633" w:rsidRDefault="0078004E">
            <w:pPr>
              <w:rPr>
                <w:noProof/>
              </w:rPr>
            </w:pPr>
            <w:r>
              <w:rPr>
                <w:noProof/>
                <w:sz w:val="20"/>
              </w:rPr>
              <w:t>Инструмент, който е извън Многогодишната финансова рамка 2021—2027 г.</w:t>
            </w:r>
          </w:p>
        </w:tc>
        <w:tc>
          <w:tcPr>
            <w:tcW w:w="1440" w:type="dxa"/>
            <w:vAlign w:val="center"/>
          </w:tcPr>
          <w:p w:rsidR="000A3633" w:rsidRDefault="0078004E">
            <w:pPr>
              <w:jc w:val="center"/>
              <w:rPr>
                <w:noProof/>
                <w:sz w:val="18"/>
                <w:szCs w:val="18"/>
              </w:rPr>
            </w:pPr>
            <w:r>
              <w:rPr>
                <w:noProof/>
                <w:sz w:val="18"/>
                <w:szCs w:val="18"/>
              </w:rPr>
              <w:t>Многогод./Едногод.</w:t>
            </w:r>
            <w:r>
              <w:rPr>
                <w:rStyle w:val="FootnoteReference"/>
                <w:noProof/>
                <w:sz w:val="18"/>
                <w:szCs w:val="18"/>
              </w:rPr>
              <w:footnoteReference w:id="39"/>
            </w:r>
          </w:p>
        </w:tc>
        <w:tc>
          <w:tcPr>
            <w:tcW w:w="956" w:type="dxa"/>
            <w:vAlign w:val="center"/>
          </w:tcPr>
          <w:p w:rsidR="000A3633" w:rsidRDefault="0078004E">
            <w:pPr>
              <w:jc w:val="center"/>
              <w:rPr>
                <w:noProof/>
              </w:rPr>
            </w:pPr>
            <w:r>
              <w:rPr>
                <w:noProof/>
                <w:sz w:val="18"/>
              </w:rPr>
              <w:t>от държави от ЕАСТ</w:t>
            </w:r>
            <w:r>
              <w:rPr>
                <w:rStyle w:val="FootnoteReference"/>
                <w:noProof/>
                <w:sz w:val="18"/>
              </w:rPr>
              <w:footnoteReference w:id="40"/>
            </w:r>
          </w:p>
          <w:p w:rsidR="000A3633" w:rsidRDefault="000A3633">
            <w:pPr>
              <w:spacing w:before="0" w:after="0"/>
              <w:jc w:val="center"/>
              <w:rPr>
                <w:b/>
                <w:noProof/>
                <w:sz w:val="18"/>
              </w:rPr>
            </w:pPr>
          </w:p>
        </w:tc>
        <w:tc>
          <w:tcPr>
            <w:tcW w:w="964" w:type="dxa"/>
            <w:vAlign w:val="center"/>
          </w:tcPr>
          <w:p w:rsidR="000A3633" w:rsidRDefault="0078004E">
            <w:pPr>
              <w:jc w:val="center"/>
              <w:rPr>
                <w:noProof/>
              </w:rPr>
            </w:pPr>
            <w:r>
              <w:rPr>
                <w:noProof/>
                <w:sz w:val="18"/>
              </w:rPr>
              <w:t>от държави кандидатки</w:t>
            </w:r>
            <w:r>
              <w:rPr>
                <w:rStyle w:val="FootnoteReference"/>
                <w:noProof/>
                <w:sz w:val="18"/>
              </w:rPr>
              <w:footnoteReference w:id="41"/>
            </w:r>
          </w:p>
          <w:p w:rsidR="000A3633" w:rsidRDefault="000A3633">
            <w:pPr>
              <w:spacing w:before="0" w:after="0"/>
              <w:jc w:val="center"/>
              <w:rPr>
                <w:noProof/>
                <w:sz w:val="18"/>
              </w:rPr>
            </w:pPr>
          </w:p>
        </w:tc>
        <w:tc>
          <w:tcPr>
            <w:tcW w:w="1072" w:type="dxa"/>
            <w:vAlign w:val="center"/>
          </w:tcPr>
          <w:p w:rsidR="000A3633" w:rsidRDefault="0078004E">
            <w:pPr>
              <w:jc w:val="center"/>
              <w:rPr>
                <w:noProof/>
                <w:sz w:val="18"/>
              </w:rPr>
            </w:pPr>
            <w:r>
              <w:rPr>
                <w:noProof/>
                <w:sz w:val="18"/>
              </w:rPr>
              <w:t>от трети държави</w:t>
            </w:r>
          </w:p>
        </w:tc>
        <w:tc>
          <w:tcPr>
            <w:tcW w:w="1448" w:type="dxa"/>
            <w:vAlign w:val="center"/>
          </w:tcPr>
          <w:p w:rsidR="000A3633" w:rsidRDefault="0078004E">
            <w:pPr>
              <w:jc w:val="center"/>
              <w:rPr>
                <w:noProof/>
              </w:rPr>
            </w:pPr>
            <w:r>
              <w:rPr>
                <w:noProof/>
                <w:sz w:val="16"/>
              </w:rPr>
              <w:t xml:space="preserve">по смисъла на член [21, параграф 2, буква б)] от Финансовия регламент </w:t>
            </w:r>
          </w:p>
        </w:tc>
      </w:tr>
      <w:tr w:rsidR="000A3633">
        <w:tc>
          <w:tcPr>
            <w:tcW w:w="1080" w:type="dxa"/>
            <w:vAlign w:val="center"/>
          </w:tcPr>
          <w:p w:rsidR="000A3633" w:rsidRDefault="0078004E">
            <w:pPr>
              <w:jc w:val="center"/>
              <w:rPr>
                <w:noProof/>
              </w:rPr>
            </w:pPr>
            <w:r>
              <w:rPr>
                <w:noProof/>
              </w:rPr>
              <w:t>не се прилага</w:t>
            </w:r>
          </w:p>
        </w:tc>
        <w:tc>
          <w:tcPr>
            <w:tcW w:w="3600" w:type="dxa"/>
            <w:vAlign w:val="center"/>
          </w:tcPr>
          <w:p w:rsidR="000A3633" w:rsidRDefault="0078004E">
            <w:pPr>
              <w:rPr>
                <w:noProof/>
              </w:rPr>
            </w:pPr>
            <w:r>
              <w:rPr>
                <w:noProof/>
              </w:rPr>
              <w:t>17.01.01 Разходи за подкрепа на Европейския фонд за приспособяване към глобализацията</w:t>
            </w:r>
          </w:p>
        </w:tc>
        <w:tc>
          <w:tcPr>
            <w:tcW w:w="1440" w:type="dxa"/>
            <w:vAlign w:val="center"/>
          </w:tcPr>
          <w:p w:rsidR="000A3633" w:rsidRDefault="0078004E">
            <w:pPr>
              <w:jc w:val="center"/>
              <w:rPr>
                <w:noProof/>
                <w:sz w:val="22"/>
              </w:rPr>
            </w:pPr>
            <w:r>
              <w:rPr>
                <w:noProof/>
                <w:sz w:val="22"/>
              </w:rPr>
              <w:t>Едногод.</w:t>
            </w:r>
          </w:p>
        </w:tc>
        <w:tc>
          <w:tcPr>
            <w:tcW w:w="956" w:type="dxa"/>
            <w:vAlign w:val="center"/>
          </w:tcPr>
          <w:p w:rsidR="000A3633" w:rsidRDefault="0078004E">
            <w:pPr>
              <w:jc w:val="center"/>
              <w:rPr>
                <w:noProof/>
                <w:sz w:val="22"/>
              </w:rPr>
            </w:pPr>
            <w:r>
              <w:rPr>
                <w:noProof/>
                <w:sz w:val="22"/>
              </w:rPr>
              <w:t>НЕ</w:t>
            </w:r>
          </w:p>
        </w:tc>
        <w:tc>
          <w:tcPr>
            <w:tcW w:w="964" w:type="dxa"/>
            <w:vAlign w:val="center"/>
          </w:tcPr>
          <w:p w:rsidR="000A3633" w:rsidRDefault="0078004E">
            <w:pPr>
              <w:jc w:val="center"/>
              <w:rPr>
                <w:noProof/>
                <w:sz w:val="22"/>
              </w:rPr>
            </w:pPr>
            <w:r>
              <w:rPr>
                <w:noProof/>
                <w:sz w:val="22"/>
              </w:rPr>
              <w:t>НЕ</w:t>
            </w:r>
          </w:p>
        </w:tc>
        <w:tc>
          <w:tcPr>
            <w:tcW w:w="1072" w:type="dxa"/>
            <w:vAlign w:val="center"/>
          </w:tcPr>
          <w:p w:rsidR="000A3633" w:rsidRDefault="0078004E">
            <w:pPr>
              <w:jc w:val="center"/>
              <w:rPr>
                <w:noProof/>
                <w:sz w:val="22"/>
              </w:rPr>
            </w:pPr>
            <w:r>
              <w:rPr>
                <w:noProof/>
                <w:sz w:val="22"/>
              </w:rPr>
              <w:t>НЕ</w:t>
            </w:r>
          </w:p>
        </w:tc>
        <w:tc>
          <w:tcPr>
            <w:tcW w:w="1448" w:type="dxa"/>
            <w:vAlign w:val="center"/>
          </w:tcPr>
          <w:p w:rsidR="000A3633" w:rsidRDefault="0078004E">
            <w:pPr>
              <w:jc w:val="center"/>
              <w:rPr>
                <w:noProof/>
                <w:sz w:val="22"/>
              </w:rPr>
            </w:pPr>
            <w:r>
              <w:rPr>
                <w:noProof/>
                <w:sz w:val="22"/>
              </w:rPr>
              <w:t>НЕ</w:t>
            </w:r>
          </w:p>
        </w:tc>
      </w:tr>
      <w:tr w:rsidR="000A3633">
        <w:tc>
          <w:tcPr>
            <w:tcW w:w="1080" w:type="dxa"/>
            <w:vAlign w:val="center"/>
          </w:tcPr>
          <w:p w:rsidR="000A3633" w:rsidRDefault="0078004E">
            <w:pPr>
              <w:jc w:val="center"/>
              <w:rPr>
                <w:noProof/>
              </w:rPr>
            </w:pPr>
            <w:r>
              <w:rPr>
                <w:noProof/>
              </w:rPr>
              <w:t>не се прилага</w:t>
            </w:r>
          </w:p>
        </w:tc>
        <w:tc>
          <w:tcPr>
            <w:tcW w:w="3600" w:type="dxa"/>
            <w:vAlign w:val="center"/>
          </w:tcPr>
          <w:p w:rsidR="000A3633" w:rsidRDefault="0078004E">
            <w:pPr>
              <w:rPr>
                <w:noProof/>
              </w:rPr>
            </w:pPr>
            <w:r>
              <w:rPr>
                <w:noProof/>
              </w:rPr>
              <w:t xml:space="preserve">17.04 Оперативен ред за Европейския фонд за </w:t>
            </w:r>
            <w:r>
              <w:rPr>
                <w:noProof/>
              </w:rPr>
              <w:t>приспособяване към глобализацията</w:t>
            </w:r>
          </w:p>
        </w:tc>
        <w:tc>
          <w:tcPr>
            <w:tcW w:w="1440" w:type="dxa"/>
            <w:vAlign w:val="center"/>
          </w:tcPr>
          <w:p w:rsidR="000A3633" w:rsidRDefault="0078004E">
            <w:pPr>
              <w:jc w:val="center"/>
              <w:rPr>
                <w:noProof/>
              </w:rPr>
            </w:pPr>
            <w:r>
              <w:rPr>
                <w:noProof/>
                <w:sz w:val="22"/>
              </w:rPr>
              <w:t>Многогод.</w:t>
            </w:r>
          </w:p>
        </w:tc>
        <w:tc>
          <w:tcPr>
            <w:tcW w:w="956" w:type="dxa"/>
            <w:vAlign w:val="center"/>
          </w:tcPr>
          <w:p w:rsidR="000A3633" w:rsidRDefault="0078004E">
            <w:pPr>
              <w:jc w:val="center"/>
              <w:rPr>
                <w:noProof/>
              </w:rPr>
            </w:pPr>
            <w:r>
              <w:rPr>
                <w:noProof/>
                <w:sz w:val="22"/>
              </w:rPr>
              <w:t>НЕ</w:t>
            </w:r>
          </w:p>
        </w:tc>
        <w:tc>
          <w:tcPr>
            <w:tcW w:w="964" w:type="dxa"/>
            <w:vAlign w:val="center"/>
          </w:tcPr>
          <w:p w:rsidR="000A3633" w:rsidRDefault="0078004E">
            <w:pPr>
              <w:jc w:val="center"/>
              <w:rPr>
                <w:noProof/>
              </w:rPr>
            </w:pPr>
            <w:r>
              <w:rPr>
                <w:noProof/>
                <w:sz w:val="22"/>
              </w:rPr>
              <w:t>НЕ</w:t>
            </w:r>
          </w:p>
        </w:tc>
        <w:tc>
          <w:tcPr>
            <w:tcW w:w="1072" w:type="dxa"/>
            <w:vAlign w:val="center"/>
          </w:tcPr>
          <w:p w:rsidR="000A3633" w:rsidRDefault="0078004E">
            <w:pPr>
              <w:jc w:val="center"/>
              <w:rPr>
                <w:noProof/>
              </w:rPr>
            </w:pPr>
            <w:r>
              <w:rPr>
                <w:noProof/>
                <w:sz w:val="22"/>
              </w:rPr>
              <w:t>НЕ</w:t>
            </w:r>
          </w:p>
        </w:tc>
        <w:tc>
          <w:tcPr>
            <w:tcW w:w="1448" w:type="dxa"/>
            <w:vAlign w:val="center"/>
          </w:tcPr>
          <w:p w:rsidR="000A3633" w:rsidRDefault="0078004E">
            <w:pPr>
              <w:jc w:val="center"/>
              <w:rPr>
                <w:noProof/>
              </w:rPr>
            </w:pPr>
            <w:r>
              <w:rPr>
                <w:noProof/>
                <w:sz w:val="22"/>
              </w:rPr>
              <w:t>НЕ</w:t>
            </w:r>
          </w:p>
        </w:tc>
      </w:tr>
      <w:tr w:rsidR="000A3633">
        <w:tc>
          <w:tcPr>
            <w:tcW w:w="1080" w:type="dxa"/>
            <w:vAlign w:val="center"/>
          </w:tcPr>
          <w:p w:rsidR="000A3633" w:rsidRDefault="0078004E">
            <w:pPr>
              <w:jc w:val="center"/>
              <w:rPr>
                <w:noProof/>
              </w:rPr>
            </w:pPr>
            <w:r>
              <w:rPr>
                <w:noProof/>
              </w:rPr>
              <w:t>не се прилага</w:t>
            </w:r>
          </w:p>
        </w:tc>
        <w:tc>
          <w:tcPr>
            <w:tcW w:w="3600" w:type="dxa"/>
            <w:vAlign w:val="center"/>
          </w:tcPr>
          <w:p w:rsidR="000A3633" w:rsidRDefault="0078004E">
            <w:pPr>
              <w:spacing w:before="60"/>
              <w:rPr>
                <w:noProof/>
              </w:rPr>
            </w:pPr>
            <w:r>
              <w:rPr>
                <w:noProof/>
              </w:rPr>
              <w:t>30.03 Резерв за Европейския фонд за приспособяване към глобализацията</w:t>
            </w:r>
          </w:p>
        </w:tc>
        <w:tc>
          <w:tcPr>
            <w:tcW w:w="1440" w:type="dxa"/>
            <w:vAlign w:val="center"/>
          </w:tcPr>
          <w:p w:rsidR="000A3633" w:rsidRDefault="0078004E">
            <w:pPr>
              <w:jc w:val="center"/>
              <w:rPr>
                <w:noProof/>
                <w:sz w:val="22"/>
              </w:rPr>
            </w:pPr>
            <w:r>
              <w:rPr>
                <w:noProof/>
                <w:sz w:val="22"/>
              </w:rPr>
              <w:t>Многогод.</w:t>
            </w:r>
          </w:p>
        </w:tc>
        <w:tc>
          <w:tcPr>
            <w:tcW w:w="956" w:type="dxa"/>
            <w:vAlign w:val="center"/>
          </w:tcPr>
          <w:p w:rsidR="000A3633" w:rsidRDefault="0078004E">
            <w:pPr>
              <w:jc w:val="center"/>
              <w:rPr>
                <w:noProof/>
                <w:sz w:val="22"/>
              </w:rPr>
            </w:pPr>
            <w:r>
              <w:rPr>
                <w:noProof/>
                <w:sz w:val="22"/>
              </w:rPr>
              <w:t>НЕ</w:t>
            </w:r>
          </w:p>
        </w:tc>
        <w:tc>
          <w:tcPr>
            <w:tcW w:w="964" w:type="dxa"/>
            <w:vAlign w:val="center"/>
          </w:tcPr>
          <w:p w:rsidR="000A3633" w:rsidRDefault="0078004E">
            <w:pPr>
              <w:jc w:val="center"/>
              <w:rPr>
                <w:noProof/>
                <w:sz w:val="22"/>
              </w:rPr>
            </w:pPr>
            <w:r>
              <w:rPr>
                <w:noProof/>
                <w:sz w:val="22"/>
              </w:rPr>
              <w:t>НЕ</w:t>
            </w:r>
          </w:p>
        </w:tc>
        <w:tc>
          <w:tcPr>
            <w:tcW w:w="1072" w:type="dxa"/>
            <w:vAlign w:val="center"/>
          </w:tcPr>
          <w:p w:rsidR="000A3633" w:rsidRDefault="0078004E">
            <w:pPr>
              <w:jc w:val="center"/>
              <w:rPr>
                <w:noProof/>
                <w:sz w:val="22"/>
              </w:rPr>
            </w:pPr>
            <w:r>
              <w:rPr>
                <w:noProof/>
                <w:sz w:val="22"/>
              </w:rPr>
              <w:t>НЕ</w:t>
            </w:r>
          </w:p>
        </w:tc>
        <w:tc>
          <w:tcPr>
            <w:tcW w:w="1448" w:type="dxa"/>
            <w:vAlign w:val="center"/>
          </w:tcPr>
          <w:p w:rsidR="000A3633" w:rsidRDefault="0078004E">
            <w:pPr>
              <w:jc w:val="center"/>
              <w:rPr>
                <w:noProof/>
                <w:sz w:val="22"/>
              </w:rPr>
            </w:pPr>
            <w:r>
              <w:rPr>
                <w:noProof/>
                <w:sz w:val="22"/>
              </w:rPr>
              <w:t>НЕ</w:t>
            </w:r>
          </w:p>
        </w:tc>
      </w:tr>
    </w:tbl>
    <w:p w:rsidR="000A3633" w:rsidRDefault="000A3633">
      <w:pPr>
        <w:rPr>
          <w:noProof/>
        </w:rPr>
        <w:sectPr w:rsidR="000A3633" w:rsidSect="0078004E">
          <w:pgSz w:w="11907" w:h="16840" w:code="1"/>
          <w:pgMar w:top="1134" w:right="1418" w:bottom="1134" w:left="1418" w:header="709" w:footer="709" w:gutter="0"/>
          <w:cols w:space="708"/>
          <w:docGrid w:linePitch="360"/>
        </w:sectPr>
      </w:pPr>
    </w:p>
    <w:p w:rsidR="000A3633" w:rsidRDefault="0078004E">
      <w:pPr>
        <w:pStyle w:val="ManualHeading2"/>
        <w:rPr>
          <w:bCs/>
          <w:noProof/>
          <w:szCs w:val="24"/>
        </w:rPr>
      </w:pPr>
      <w:r>
        <w:rPr>
          <w:noProof/>
        </w:rPr>
        <w:t>3.2.</w:t>
      </w:r>
      <w:r>
        <w:rPr>
          <w:noProof/>
        </w:rPr>
        <w:tab/>
        <w:t xml:space="preserve">Очаквано отражение върху разходите </w:t>
      </w:r>
    </w:p>
    <w:p w:rsidR="000A3633" w:rsidRDefault="0078004E">
      <w:pPr>
        <w:pStyle w:val="ManualHeading3"/>
        <w:rPr>
          <w:noProof/>
          <w:u w:val="single"/>
        </w:rPr>
      </w:pPr>
      <w:r>
        <w:rPr>
          <w:noProof/>
        </w:rPr>
        <w:t>3.2.1.</w:t>
      </w:r>
      <w:r>
        <w:rPr>
          <w:noProof/>
        </w:rPr>
        <w:tab/>
      </w:r>
      <w:r>
        <w:rPr>
          <w:noProof/>
        </w:rPr>
        <w:t xml:space="preserve">Обобщение на очакваното отражение върху разходите </w:t>
      </w:r>
    </w:p>
    <w:p w:rsidR="000A3633" w:rsidRDefault="0078004E">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A3633">
        <w:trPr>
          <w:jc w:val="center"/>
        </w:trPr>
        <w:tc>
          <w:tcPr>
            <w:tcW w:w="4744" w:type="dxa"/>
            <w:shd w:val="thinDiagStripe" w:color="C0C0C0" w:fill="auto"/>
            <w:vAlign w:val="center"/>
          </w:tcPr>
          <w:p w:rsidR="000A3633" w:rsidRDefault="0078004E">
            <w:pPr>
              <w:spacing w:before="60" w:after="60"/>
              <w:jc w:val="center"/>
              <w:rPr>
                <w:b/>
                <w:noProof/>
              </w:rPr>
            </w:pPr>
            <w:r>
              <w:rPr>
                <w:b/>
                <w:noProof/>
                <w:sz w:val="22"/>
              </w:rPr>
              <w:t>Функция от многогодишната финансова</w:t>
            </w:r>
            <w:r>
              <w:rPr>
                <w:noProof/>
                <w:sz w:val="22"/>
              </w:rPr>
              <w:t xml:space="preserve"> </w:t>
            </w:r>
            <w:r>
              <w:rPr>
                <w:noProof/>
                <w:sz w:val="22"/>
              </w:rPr>
              <w:br/>
            </w:r>
            <w:r>
              <w:rPr>
                <w:b/>
                <w:noProof/>
                <w:sz w:val="22"/>
              </w:rPr>
              <w:t xml:space="preserve">рамка </w:t>
            </w:r>
          </w:p>
        </w:tc>
        <w:tc>
          <w:tcPr>
            <w:tcW w:w="1080" w:type="dxa"/>
            <w:vAlign w:val="center"/>
          </w:tcPr>
          <w:p w:rsidR="000A3633" w:rsidRDefault="0078004E">
            <w:pPr>
              <w:spacing w:before="60" w:after="60"/>
              <w:jc w:val="center"/>
              <w:rPr>
                <w:noProof/>
              </w:rPr>
            </w:pPr>
            <w:r>
              <w:rPr>
                <w:b/>
                <w:noProof/>
                <w:sz w:val="22"/>
              </w:rPr>
              <w:t>&lt;…&gt;</w:t>
            </w:r>
          </w:p>
        </w:tc>
        <w:tc>
          <w:tcPr>
            <w:tcW w:w="7817" w:type="dxa"/>
            <w:vAlign w:val="center"/>
          </w:tcPr>
          <w:p w:rsidR="000A3633" w:rsidRDefault="0078004E">
            <w:pPr>
              <w:spacing w:before="60" w:after="60"/>
              <w:rPr>
                <w:noProof/>
              </w:rPr>
            </w:pPr>
            <w:r>
              <w:rPr>
                <w:noProof/>
              </w:rPr>
              <w:t>Специален инструмент, попадащ извън таваните на МФР</w:t>
            </w:r>
          </w:p>
        </w:tc>
      </w:tr>
    </w:tbl>
    <w:p w:rsidR="000A3633" w:rsidRDefault="000A3633">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0A3633">
        <w:trPr>
          <w:jc w:val="center"/>
        </w:trPr>
        <w:tc>
          <w:tcPr>
            <w:tcW w:w="6197" w:type="dxa"/>
            <w:gridSpan w:val="3"/>
            <w:tcBorders>
              <w:top w:val="nil"/>
              <w:left w:val="nil"/>
              <w:bottom w:val="nil"/>
              <w:right w:val="single" w:sz="4" w:space="0" w:color="auto"/>
            </w:tcBorders>
            <w:vAlign w:val="center"/>
          </w:tcPr>
          <w:p w:rsidR="000A3633" w:rsidRDefault="000A3633">
            <w:pPr>
              <w:jc w:val="center"/>
              <w:rPr>
                <w:b/>
                <w:noProof/>
                <w:sz w:val="20"/>
              </w:rPr>
            </w:pPr>
          </w:p>
        </w:tc>
        <w:tc>
          <w:tcPr>
            <w:tcW w:w="868" w:type="dxa"/>
            <w:tcBorders>
              <w:left w:val="single" w:sz="4" w:space="0" w:color="auto"/>
            </w:tcBorders>
            <w:vAlign w:val="center"/>
          </w:tcPr>
          <w:p w:rsidR="000A3633" w:rsidRDefault="0078004E">
            <w:pPr>
              <w:jc w:val="center"/>
              <w:rPr>
                <w:b/>
                <w:noProof/>
                <w:sz w:val="20"/>
              </w:rPr>
            </w:pPr>
            <w:r>
              <w:rPr>
                <w:b/>
                <w:noProof/>
                <w:sz w:val="20"/>
              </w:rPr>
              <w:t>2021 г.</w:t>
            </w:r>
          </w:p>
        </w:tc>
        <w:tc>
          <w:tcPr>
            <w:tcW w:w="868" w:type="dxa"/>
            <w:vAlign w:val="center"/>
          </w:tcPr>
          <w:p w:rsidR="000A3633" w:rsidRDefault="0078004E">
            <w:pPr>
              <w:jc w:val="center"/>
              <w:rPr>
                <w:b/>
                <w:noProof/>
                <w:sz w:val="20"/>
              </w:rPr>
            </w:pPr>
            <w:r>
              <w:rPr>
                <w:b/>
                <w:noProof/>
                <w:sz w:val="20"/>
              </w:rPr>
              <w:t>2022 г.</w:t>
            </w:r>
          </w:p>
        </w:tc>
        <w:tc>
          <w:tcPr>
            <w:tcW w:w="868" w:type="dxa"/>
            <w:vAlign w:val="center"/>
          </w:tcPr>
          <w:p w:rsidR="000A3633" w:rsidRDefault="0078004E">
            <w:pPr>
              <w:jc w:val="center"/>
              <w:rPr>
                <w:b/>
                <w:noProof/>
                <w:sz w:val="20"/>
              </w:rPr>
            </w:pPr>
            <w:r>
              <w:rPr>
                <w:b/>
                <w:noProof/>
                <w:sz w:val="20"/>
              </w:rPr>
              <w:t>2023 г.</w:t>
            </w:r>
          </w:p>
        </w:tc>
        <w:tc>
          <w:tcPr>
            <w:tcW w:w="868" w:type="dxa"/>
            <w:vAlign w:val="center"/>
          </w:tcPr>
          <w:p w:rsidR="000A3633" w:rsidRDefault="0078004E">
            <w:pPr>
              <w:jc w:val="center"/>
              <w:rPr>
                <w:b/>
                <w:noProof/>
                <w:sz w:val="20"/>
              </w:rPr>
            </w:pPr>
            <w:r>
              <w:rPr>
                <w:b/>
                <w:noProof/>
                <w:sz w:val="20"/>
              </w:rPr>
              <w:t>2024 г.</w:t>
            </w:r>
          </w:p>
        </w:tc>
        <w:tc>
          <w:tcPr>
            <w:tcW w:w="868" w:type="dxa"/>
            <w:vAlign w:val="center"/>
          </w:tcPr>
          <w:p w:rsidR="000A3633" w:rsidRDefault="0078004E">
            <w:pPr>
              <w:jc w:val="center"/>
              <w:rPr>
                <w:b/>
                <w:noProof/>
                <w:sz w:val="18"/>
              </w:rPr>
            </w:pPr>
            <w:r>
              <w:rPr>
                <w:b/>
                <w:noProof/>
                <w:sz w:val="18"/>
              </w:rPr>
              <w:t>2025 г.</w:t>
            </w:r>
          </w:p>
        </w:tc>
        <w:tc>
          <w:tcPr>
            <w:tcW w:w="868" w:type="dxa"/>
            <w:vAlign w:val="center"/>
          </w:tcPr>
          <w:p w:rsidR="000A3633" w:rsidRDefault="0078004E">
            <w:pPr>
              <w:jc w:val="center"/>
              <w:rPr>
                <w:b/>
                <w:noProof/>
                <w:sz w:val="18"/>
              </w:rPr>
            </w:pPr>
            <w:r>
              <w:rPr>
                <w:b/>
                <w:noProof/>
                <w:sz w:val="18"/>
              </w:rPr>
              <w:t>2026 г.</w:t>
            </w:r>
          </w:p>
        </w:tc>
        <w:tc>
          <w:tcPr>
            <w:tcW w:w="868" w:type="dxa"/>
            <w:vAlign w:val="center"/>
          </w:tcPr>
          <w:p w:rsidR="000A3633" w:rsidRDefault="0078004E">
            <w:pPr>
              <w:jc w:val="center"/>
              <w:rPr>
                <w:b/>
                <w:noProof/>
                <w:sz w:val="18"/>
              </w:rPr>
            </w:pPr>
            <w:r>
              <w:rPr>
                <w:b/>
                <w:noProof/>
                <w:sz w:val="18"/>
              </w:rPr>
              <w:t>2027 г.</w:t>
            </w:r>
          </w:p>
        </w:tc>
        <w:tc>
          <w:tcPr>
            <w:tcW w:w="909" w:type="dxa"/>
          </w:tcPr>
          <w:p w:rsidR="000A3633" w:rsidRDefault="0078004E">
            <w:pPr>
              <w:jc w:val="center"/>
              <w:rPr>
                <w:b/>
                <w:i/>
                <w:noProof/>
                <w:sz w:val="20"/>
              </w:rPr>
            </w:pPr>
            <w:r>
              <w:rPr>
                <w:b/>
                <w:i/>
                <w:noProof/>
                <w:sz w:val="20"/>
              </w:rPr>
              <w:t>След 2027 г.</w:t>
            </w:r>
          </w:p>
        </w:tc>
        <w:tc>
          <w:tcPr>
            <w:tcW w:w="1289" w:type="dxa"/>
            <w:vAlign w:val="center"/>
          </w:tcPr>
          <w:p w:rsidR="000A3633" w:rsidRDefault="0078004E">
            <w:pPr>
              <w:jc w:val="center"/>
              <w:rPr>
                <w:b/>
                <w:noProof/>
                <w:sz w:val="20"/>
              </w:rPr>
            </w:pPr>
            <w:r>
              <w:rPr>
                <w:b/>
                <w:noProof/>
                <w:sz w:val="20"/>
              </w:rPr>
              <w:t>ОБЩО</w:t>
            </w:r>
          </w:p>
        </w:tc>
      </w:tr>
      <w:tr w:rsidR="000A3633">
        <w:trPr>
          <w:trHeight w:val="433"/>
          <w:jc w:val="center"/>
        </w:trPr>
        <w:tc>
          <w:tcPr>
            <w:tcW w:w="4103" w:type="dxa"/>
            <w:vMerge w:val="restart"/>
            <w:vAlign w:val="center"/>
          </w:tcPr>
          <w:p w:rsidR="000A3633" w:rsidRDefault="0078004E">
            <w:pPr>
              <w:rPr>
                <w:noProof/>
              </w:rPr>
            </w:pPr>
            <w:r>
              <w:rPr>
                <w:noProof/>
                <w:sz w:val="20"/>
              </w:rPr>
              <w:t>17.04 Оперативен ред за Европейския фонд за приспособяване към глобализацията</w:t>
            </w:r>
          </w:p>
        </w:tc>
        <w:tc>
          <w:tcPr>
            <w:tcW w:w="1440" w:type="dxa"/>
            <w:vAlign w:val="center"/>
          </w:tcPr>
          <w:p w:rsidR="000A3633" w:rsidRDefault="0078004E">
            <w:pPr>
              <w:spacing w:before="20" w:after="20"/>
              <w:jc w:val="left"/>
              <w:rPr>
                <w:noProof/>
                <w:sz w:val="18"/>
              </w:rPr>
            </w:pPr>
            <w:r>
              <w:rPr>
                <w:noProof/>
                <w:sz w:val="18"/>
              </w:rPr>
              <w:t>Поети задължения</w:t>
            </w:r>
          </w:p>
        </w:tc>
        <w:tc>
          <w:tcPr>
            <w:tcW w:w="654" w:type="dxa"/>
            <w:vAlign w:val="center"/>
          </w:tcPr>
          <w:p w:rsidR="000A3633" w:rsidRDefault="0078004E">
            <w:pPr>
              <w:spacing w:before="20" w:after="20"/>
              <w:jc w:val="center"/>
              <w:rPr>
                <w:noProof/>
                <w:sz w:val="14"/>
              </w:rPr>
            </w:pPr>
            <w:r>
              <w:rPr>
                <w:noProof/>
                <w:sz w:val="14"/>
              </w:rPr>
              <w:t>(1)</w:t>
            </w:r>
          </w:p>
        </w:tc>
        <w:tc>
          <w:tcPr>
            <w:tcW w:w="868" w:type="dxa"/>
          </w:tcPr>
          <w:p w:rsidR="000A3633" w:rsidRDefault="0078004E">
            <w:pPr>
              <w:spacing w:before="20" w:after="20"/>
              <w:jc w:val="right"/>
              <w:rPr>
                <w:noProof/>
                <w:sz w:val="20"/>
              </w:rPr>
            </w:pPr>
            <w:r>
              <w:rPr>
                <w:noProof/>
                <w:sz w:val="20"/>
              </w:rPr>
              <w:t xml:space="preserve">пл. </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b/>
                <w:noProof/>
                <w:sz w:val="20"/>
              </w:rPr>
            </w:pPr>
            <w:r>
              <w:rPr>
                <w:noProof/>
                <w:sz w:val="20"/>
              </w:rPr>
              <w:t>пл.</w:t>
            </w:r>
          </w:p>
        </w:tc>
        <w:tc>
          <w:tcPr>
            <w:tcW w:w="909" w:type="dxa"/>
            <w:shd w:val="clear" w:color="auto" w:fill="A6A6A6" w:themeFill="background1" w:themeFillShade="A6"/>
          </w:tcPr>
          <w:p w:rsidR="000A3633" w:rsidRDefault="000A3633">
            <w:pPr>
              <w:spacing w:before="20" w:after="20"/>
              <w:jc w:val="right"/>
              <w:rPr>
                <w:b/>
                <w:noProof/>
                <w:sz w:val="20"/>
              </w:rPr>
            </w:pPr>
          </w:p>
        </w:tc>
        <w:tc>
          <w:tcPr>
            <w:tcW w:w="1289" w:type="dxa"/>
          </w:tcPr>
          <w:p w:rsidR="000A3633" w:rsidRDefault="0078004E">
            <w:pPr>
              <w:spacing w:before="20" w:after="20"/>
              <w:jc w:val="right"/>
              <w:rPr>
                <w:b/>
                <w:noProof/>
                <w:sz w:val="20"/>
              </w:rPr>
            </w:pPr>
            <w:r>
              <w:rPr>
                <w:noProof/>
                <w:sz w:val="20"/>
              </w:rPr>
              <w:t>пл.</w:t>
            </w:r>
          </w:p>
        </w:tc>
      </w:tr>
      <w:tr w:rsidR="000A3633">
        <w:trPr>
          <w:trHeight w:val="411"/>
          <w:jc w:val="center"/>
        </w:trPr>
        <w:tc>
          <w:tcPr>
            <w:tcW w:w="4103" w:type="dxa"/>
            <w:vMerge/>
          </w:tcPr>
          <w:p w:rsidR="000A3633" w:rsidRDefault="000A3633">
            <w:pPr>
              <w:jc w:val="center"/>
              <w:rPr>
                <w:noProof/>
                <w:sz w:val="20"/>
              </w:rPr>
            </w:pPr>
          </w:p>
        </w:tc>
        <w:tc>
          <w:tcPr>
            <w:tcW w:w="1440" w:type="dxa"/>
            <w:vAlign w:val="center"/>
          </w:tcPr>
          <w:p w:rsidR="000A3633" w:rsidRDefault="0078004E">
            <w:pPr>
              <w:spacing w:before="20" w:after="20"/>
              <w:jc w:val="left"/>
              <w:rPr>
                <w:noProof/>
                <w:sz w:val="18"/>
              </w:rPr>
            </w:pPr>
            <w:r>
              <w:rPr>
                <w:noProof/>
                <w:sz w:val="18"/>
              </w:rPr>
              <w:t>Плащания</w:t>
            </w:r>
          </w:p>
        </w:tc>
        <w:tc>
          <w:tcPr>
            <w:tcW w:w="654" w:type="dxa"/>
            <w:vAlign w:val="center"/>
          </w:tcPr>
          <w:p w:rsidR="000A3633" w:rsidRDefault="0078004E">
            <w:pPr>
              <w:spacing w:before="20" w:after="20"/>
              <w:jc w:val="center"/>
              <w:rPr>
                <w:noProof/>
                <w:sz w:val="14"/>
              </w:rPr>
            </w:pPr>
            <w:r>
              <w:rPr>
                <w:noProof/>
                <w:sz w:val="14"/>
              </w:rPr>
              <w:t>(2)</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noProof/>
                <w:spacing w:val="-4"/>
                <w:sz w:val="20"/>
              </w:rPr>
            </w:pPr>
            <w:r>
              <w:rPr>
                <w:noProof/>
                <w:spacing w:val="-4"/>
                <w:sz w:val="20"/>
              </w:rPr>
              <w:t xml:space="preserve">не се прилага </w:t>
            </w:r>
          </w:p>
        </w:tc>
        <w:tc>
          <w:tcPr>
            <w:tcW w:w="868" w:type="dxa"/>
          </w:tcPr>
          <w:p w:rsidR="000A3633" w:rsidRDefault="0078004E">
            <w:pPr>
              <w:spacing w:before="20" w:after="20"/>
              <w:jc w:val="right"/>
              <w:rPr>
                <w:b/>
                <w:noProof/>
                <w:spacing w:val="-4"/>
                <w:sz w:val="20"/>
              </w:rPr>
            </w:pPr>
            <w:r>
              <w:rPr>
                <w:noProof/>
                <w:spacing w:val="-4"/>
                <w:sz w:val="20"/>
              </w:rPr>
              <w:t xml:space="preserve">не се прилага </w:t>
            </w:r>
          </w:p>
        </w:tc>
        <w:tc>
          <w:tcPr>
            <w:tcW w:w="909" w:type="dxa"/>
          </w:tcPr>
          <w:p w:rsidR="000A3633" w:rsidRDefault="0078004E">
            <w:pPr>
              <w:spacing w:before="20" w:after="20"/>
              <w:jc w:val="right"/>
              <w:rPr>
                <w:b/>
                <w:noProof/>
                <w:sz w:val="20"/>
              </w:rPr>
            </w:pPr>
            <w:r>
              <w:rPr>
                <w:noProof/>
                <w:sz w:val="20"/>
              </w:rPr>
              <w:t>не се прилага</w:t>
            </w:r>
          </w:p>
        </w:tc>
        <w:tc>
          <w:tcPr>
            <w:tcW w:w="1289" w:type="dxa"/>
          </w:tcPr>
          <w:p w:rsidR="000A3633" w:rsidRDefault="0078004E">
            <w:pPr>
              <w:spacing w:before="20" w:after="20"/>
              <w:jc w:val="right"/>
              <w:rPr>
                <w:b/>
                <w:noProof/>
                <w:sz w:val="20"/>
              </w:rPr>
            </w:pPr>
            <w:r>
              <w:rPr>
                <w:noProof/>
                <w:sz w:val="20"/>
              </w:rPr>
              <w:t xml:space="preserve">не се прилага </w:t>
            </w:r>
          </w:p>
        </w:tc>
      </w:tr>
      <w:tr w:rsidR="000A3633">
        <w:trPr>
          <w:trHeight w:val="319"/>
          <w:jc w:val="center"/>
        </w:trPr>
        <w:tc>
          <w:tcPr>
            <w:tcW w:w="4103" w:type="dxa"/>
            <w:vMerge w:val="restart"/>
            <w:vAlign w:val="center"/>
          </w:tcPr>
          <w:p w:rsidR="000A3633" w:rsidRDefault="0078004E">
            <w:pPr>
              <w:spacing w:before="20" w:after="20"/>
              <w:jc w:val="left"/>
              <w:rPr>
                <w:noProof/>
                <w:sz w:val="20"/>
              </w:rPr>
            </w:pPr>
            <w:r>
              <w:rPr>
                <w:noProof/>
                <w:sz w:val="20"/>
              </w:rPr>
              <w:t>30.03 Резерв за Европейския фонд за приспособяване към глобализацията</w:t>
            </w:r>
            <w:r>
              <w:rPr>
                <w:rStyle w:val="FootnoteReference"/>
                <w:noProof/>
                <w:sz w:val="20"/>
              </w:rPr>
              <w:footnoteReference w:id="42"/>
            </w:r>
          </w:p>
          <w:p w:rsidR="000A3633" w:rsidRDefault="000A3633">
            <w:pPr>
              <w:spacing w:before="20" w:after="20"/>
              <w:jc w:val="left"/>
              <w:rPr>
                <w:noProof/>
                <w:sz w:val="20"/>
              </w:rPr>
            </w:pPr>
          </w:p>
        </w:tc>
        <w:tc>
          <w:tcPr>
            <w:tcW w:w="1440" w:type="dxa"/>
            <w:vAlign w:val="center"/>
          </w:tcPr>
          <w:p w:rsidR="000A3633" w:rsidRDefault="0078004E">
            <w:pPr>
              <w:spacing w:before="40" w:after="40"/>
              <w:jc w:val="left"/>
              <w:rPr>
                <w:noProof/>
                <w:sz w:val="18"/>
              </w:rPr>
            </w:pPr>
            <w:r>
              <w:rPr>
                <w:noProof/>
                <w:sz w:val="18"/>
              </w:rPr>
              <w:t>Поети задължения</w:t>
            </w:r>
          </w:p>
        </w:tc>
        <w:tc>
          <w:tcPr>
            <w:tcW w:w="654" w:type="dxa"/>
            <w:vAlign w:val="center"/>
          </w:tcPr>
          <w:p w:rsidR="000A3633" w:rsidRDefault="0078004E">
            <w:pPr>
              <w:spacing w:before="40" w:after="40"/>
              <w:jc w:val="center"/>
              <w:rPr>
                <w:noProof/>
                <w:sz w:val="14"/>
              </w:rPr>
            </w:pPr>
            <w:r>
              <w:rPr>
                <w:noProof/>
                <w:sz w:val="14"/>
              </w:rPr>
              <w:t>(1)</w:t>
            </w:r>
          </w:p>
        </w:tc>
        <w:tc>
          <w:tcPr>
            <w:tcW w:w="868" w:type="dxa"/>
          </w:tcPr>
          <w:p w:rsidR="000A3633" w:rsidRDefault="0078004E">
            <w:pPr>
              <w:spacing w:before="40" w:after="40"/>
              <w:jc w:val="right"/>
              <w:rPr>
                <w:noProof/>
                <w:sz w:val="20"/>
              </w:rPr>
            </w:pPr>
            <w:r>
              <w:rPr>
                <w:noProof/>
                <w:sz w:val="20"/>
              </w:rPr>
              <w:t>212</w:t>
            </w:r>
          </w:p>
        </w:tc>
        <w:tc>
          <w:tcPr>
            <w:tcW w:w="868" w:type="dxa"/>
          </w:tcPr>
          <w:p w:rsidR="000A3633" w:rsidRDefault="0078004E">
            <w:pPr>
              <w:spacing w:before="40" w:after="40"/>
              <w:jc w:val="right"/>
              <w:rPr>
                <w:noProof/>
                <w:sz w:val="20"/>
              </w:rPr>
            </w:pPr>
            <w:r>
              <w:rPr>
                <w:noProof/>
                <w:sz w:val="20"/>
              </w:rPr>
              <w:t>216</w:t>
            </w:r>
          </w:p>
        </w:tc>
        <w:tc>
          <w:tcPr>
            <w:tcW w:w="868" w:type="dxa"/>
          </w:tcPr>
          <w:p w:rsidR="000A3633" w:rsidRDefault="0078004E">
            <w:pPr>
              <w:spacing w:before="40" w:after="40"/>
              <w:jc w:val="right"/>
              <w:rPr>
                <w:noProof/>
                <w:sz w:val="20"/>
              </w:rPr>
            </w:pPr>
            <w:r>
              <w:rPr>
                <w:noProof/>
                <w:sz w:val="20"/>
              </w:rPr>
              <w:t>221</w:t>
            </w:r>
          </w:p>
        </w:tc>
        <w:tc>
          <w:tcPr>
            <w:tcW w:w="868" w:type="dxa"/>
          </w:tcPr>
          <w:p w:rsidR="000A3633" w:rsidRDefault="0078004E">
            <w:pPr>
              <w:spacing w:before="40" w:after="40"/>
              <w:jc w:val="right"/>
              <w:rPr>
                <w:noProof/>
                <w:sz w:val="20"/>
              </w:rPr>
            </w:pPr>
            <w:r>
              <w:rPr>
                <w:noProof/>
                <w:sz w:val="20"/>
              </w:rPr>
              <w:t>225</w:t>
            </w:r>
          </w:p>
        </w:tc>
        <w:tc>
          <w:tcPr>
            <w:tcW w:w="868" w:type="dxa"/>
          </w:tcPr>
          <w:p w:rsidR="000A3633" w:rsidRDefault="0078004E">
            <w:pPr>
              <w:spacing w:before="40" w:after="40"/>
              <w:jc w:val="right"/>
              <w:rPr>
                <w:noProof/>
                <w:sz w:val="20"/>
              </w:rPr>
            </w:pPr>
            <w:r>
              <w:rPr>
                <w:noProof/>
                <w:sz w:val="20"/>
              </w:rPr>
              <w:t>230</w:t>
            </w:r>
          </w:p>
        </w:tc>
        <w:tc>
          <w:tcPr>
            <w:tcW w:w="868" w:type="dxa"/>
          </w:tcPr>
          <w:p w:rsidR="000A3633" w:rsidRDefault="0078004E">
            <w:pPr>
              <w:spacing w:before="40" w:after="40"/>
              <w:jc w:val="right"/>
              <w:rPr>
                <w:noProof/>
                <w:sz w:val="20"/>
              </w:rPr>
            </w:pPr>
            <w:r>
              <w:rPr>
                <w:noProof/>
                <w:sz w:val="20"/>
              </w:rPr>
              <w:t>234</w:t>
            </w:r>
          </w:p>
        </w:tc>
        <w:tc>
          <w:tcPr>
            <w:tcW w:w="868" w:type="dxa"/>
          </w:tcPr>
          <w:p w:rsidR="000A3633" w:rsidRDefault="0078004E">
            <w:pPr>
              <w:spacing w:before="40" w:after="40"/>
              <w:jc w:val="right"/>
              <w:rPr>
                <w:noProof/>
                <w:sz w:val="20"/>
              </w:rPr>
            </w:pPr>
            <w:r>
              <w:rPr>
                <w:noProof/>
                <w:sz w:val="20"/>
              </w:rPr>
              <w:t>239</w:t>
            </w:r>
          </w:p>
        </w:tc>
        <w:tc>
          <w:tcPr>
            <w:tcW w:w="909" w:type="dxa"/>
            <w:shd w:val="clear" w:color="auto" w:fill="A6A6A6" w:themeFill="background1" w:themeFillShade="A6"/>
          </w:tcPr>
          <w:p w:rsidR="000A3633" w:rsidRDefault="000A3633">
            <w:pPr>
              <w:spacing w:before="40" w:after="40"/>
              <w:jc w:val="right"/>
              <w:rPr>
                <w:b/>
                <w:noProof/>
                <w:sz w:val="20"/>
              </w:rPr>
            </w:pPr>
          </w:p>
        </w:tc>
        <w:tc>
          <w:tcPr>
            <w:tcW w:w="1289" w:type="dxa"/>
          </w:tcPr>
          <w:p w:rsidR="000A3633" w:rsidRDefault="0078004E">
            <w:pPr>
              <w:spacing w:before="40" w:after="40"/>
              <w:jc w:val="right"/>
              <w:rPr>
                <w:noProof/>
                <w:sz w:val="20"/>
              </w:rPr>
            </w:pPr>
            <w:r>
              <w:rPr>
                <w:noProof/>
                <w:sz w:val="20"/>
              </w:rPr>
              <w:t>1,578</w:t>
            </w:r>
          </w:p>
        </w:tc>
      </w:tr>
      <w:tr w:rsidR="000A3633">
        <w:trPr>
          <w:trHeight w:val="319"/>
          <w:jc w:val="center"/>
        </w:trPr>
        <w:tc>
          <w:tcPr>
            <w:tcW w:w="4103" w:type="dxa"/>
            <w:vMerge/>
            <w:vAlign w:val="center"/>
          </w:tcPr>
          <w:p w:rsidR="000A3633" w:rsidRDefault="000A3633">
            <w:pPr>
              <w:spacing w:before="20" w:after="20"/>
              <w:jc w:val="left"/>
              <w:rPr>
                <w:noProof/>
                <w:sz w:val="20"/>
              </w:rPr>
            </w:pPr>
          </w:p>
        </w:tc>
        <w:tc>
          <w:tcPr>
            <w:tcW w:w="1440" w:type="dxa"/>
            <w:vAlign w:val="center"/>
          </w:tcPr>
          <w:p w:rsidR="000A3633" w:rsidRDefault="0078004E">
            <w:pPr>
              <w:spacing w:before="40" w:after="40"/>
              <w:jc w:val="left"/>
              <w:rPr>
                <w:noProof/>
                <w:sz w:val="18"/>
              </w:rPr>
            </w:pPr>
            <w:r>
              <w:rPr>
                <w:noProof/>
                <w:sz w:val="18"/>
              </w:rPr>
              <w:t>Плащания</w:t>
            </w:r>
          </w:p>
        </w:tc>
        <w:tc>
          <w:tcPr>
            <w:tcW w:w="654" w:type="dxa"/>
            <w:vAlign w:val="center"/>
          </w:tcPr>
          <w:p w:rsidR="000A3633" w:rsidRDefault="0078004E">
            <w:pPr>
              <w:spacing w:before="40" w:after="40"/>
              <w:jc w:val="center"/>
              <w:rPr>
                <w:noProof/>
                <w:sz w:val="14"/>
              </w:rPr>
            </w:pPr>
            <w:r>
              <w:rPr>
                <w:noProof/>
                <w:sz w:val="14"/>
              </w:rPr>
              <w:t>(2)</w:t>
            </w:r>
          </w:p>
        </w:tc>
        <w:tc>
          <w:tcPr>
            <w:tcW w:w="868" w:type="dxa"/>
          </w:tcPr>
          <w:p w:rsidR="000A3633" w:rsidRDefault="0078004E">
            <w:pPr>
              <w:spacing w:before="40" w:after="40"/>
              <w:jc w:val="right"/>
              <w:rPr>
                <w:noProof/>
                <w:sz w:val="20"/>
              </w:rPr>
            </w:pPr>
            <w:r>
              <w:rPr>
                <w:noProof/>
                <w:sz w:val="20"/>
              </w:rPr>
              <w:t xml:space="preserve">пл. </w:t>
            </w:r>
          </w:p>
        </w:tc>
        <w:tc>
          <w:tcPr>
            <w:tcW w:w="868" w:type="dxa"/>
          </w:tcPr>
          <w:p w:rsidR="000A3633" w:rsidRDefault="0078004E">
            <w:pPr>
              <w:spacing w:before="40" w:after="40"/>
              <w:jc w:val="right"/>
              <w:rPr>
                <w:noProof/>
                <w:sz w:val="20"/>
              </w:rPr>
            </w:pPr>
            <w:r>
              <w:rPr>
                <w:noProof/>
                <w:sz w:val="20"/>
              </w:rPr>
              <w:t>пл.</w:t>
            </w:r>
          </w:p>
        </w:tc>
        <w:tc>
          <w:tcPr>
            <w:tcW w:w="868" w:type="dxa"/>
          </w:tcPr>
          <w:p w:rsidR="000A3633" w:rsidRDefault="0078004E">
            <w:pPr>
              <w:spacing w:before="40" w:after="40"/>
              <w:jc w:val="right"/>
              <w:rPr>
                <w:noProof/>
                <w:sz w:val="20"/>
              </w:rPr>
            </w:pPr>
            <w:r>
              <w:rPr>
                <w:noProof/>
                <w:sz w:val="20"/>
              </w:rPr>
              <w:t>пл.</w:t>
            </w:r>
          </w:p>
        </w:tc>
        <w:tc>
          <w:tcPr>
            <w:tcW w:w="868" w:type="dxa"/>
          </w:tcPr>
          <w:p w:rsidR="000A3633" w:rsidRDefault="0078004E">
            <w:pPr>
              <w:spacing w:before="40" w:after="40"/>
              <w:jc w:val="right"/>
              <w:rPr>
                <w:noProof/>
                <w:sz w:val="20"/>
              </w:rPr>
            </w:pPr>
            <w:r>
              <w:rPr>
                <w:noProof/>
                <w:sz w:val="20"/>
              </w:rPr>
              <w:t>пл.</w:t>
            </w:r>
          </w:p>
        </w:tc>
        <w:tc>
          <w:tcPr>
            <w:tcW w:w="868" w:type="dxa"/>
          </w:tcPr>
          <w:p w:rsidR="000A3633" w:rsidRDefault="0078004E">
            <w:pPr>
              <w:spacing w:before="40" w:after="40"/>
              <w:jc w:val="right"/>
              <w:rPr>
                <w:noProof/>
                <w:sz w:val="20"/>
              </w:rPr>
            </w:pPr>
            <w:r>
              <w:rPr>
                <w:noProof/>
                <w:sz w:val="20"/>
              </w:rPr>
              <w:t>пл.</w:t>
            </w:r>
          </w:p>
        </w:tc>
        <w:tc>
          <w:tcPr>
            <w:tcW w:w="868" w:type="dxa"/>
          </w:tcPr>
          <w:p w:rsidR="000A3633" w:rsidRDefault="0078004E">
            <w:pPr>
              <w:spacing w:before="40" w:after="40"/>
              <w:jc w:val="right"/>
              <w:rPr>
                <w:noProof/>
                <w:sz w:val="20"/>
              </w:rPr>
            </w:pPr>
            <w:r>
              <w:rPr>
                <w:noProof/>
                <w:sz w:val="20"/>
              </w:rPr>
              <w:t>пл.</w:t>
            </w:r>
          </w:p>
        </w:tc>
        <w:tc>
          <w:tcPr>
            <w:tcW w:w="868" w:type="dxa"/>
          </w:tcPr>
          <w:p w:rsidR="000A3633" w:rsidRDefault="0078004E">
            <w:pPr>
              <w:spacing w:before="40" w:after="40"/>
              <w:jc w:val="right"/>
              <w:rPr>
                <w:noProof/>
                <w:sz w:val="20"/>
              </w:rPr>
            </w:pPr>
            <w:r>
              <w:rPr>
                <w:noProof/>
                <w:sz w:val="20"/>
              </w:rPr>
              <w:t>пл.</w:t>
            </w:r>
          </w:p>
        </w:tc>
        <w:tc>
          <w:tcPr>
            <w:tcW w:w="909" w:type="dxa"/>
            <w:shd w:val="clear" w:color="auto" w:fill="A6A6A6" w:themeFill="background1" w:themeFillShade="A6"/>
          </w:tcPr>
          <w:p w:rsidR="000A3633" w:rsidRDefault="000A3633">
            <w:pPr>
              <w:spacing w:before="40" w:after="40"/>
              <w:jc w:val="right"/>
              <w:rPr>
                <w:b/>
                <w:noProof/>
                <w:sz w:val="20"/>
              </w:rPr>
            </w:pPr>
          </w:p>
        </w:tc>
        <w:tc>
          <w:tcPr>
            <w:tcW w:w="1289" w:type="dxa"/>
          </w:tcPr>
          <w:p w:rsidR="000A3633" w:rsidRDefault="0078004E">
            <w:pPr>
              <w:spacing w:before="40" w:after="40"/>
              <w:jc w:val="right"/>
              <w:rPr>
                <w:noProof/>
                <w:sz w:val="20"/>
              </w:rPr>
            </w:pPr>
            <w:r>
              <w:rPr>
                <w:noProof/>
                <w:sz w:val="20"/>
              </w:rPr>
              <w:t>пл.</w:t>
            </w:r>
          </w:p>
        </w:tc>
      </w:tr>
      <w:tr w:rsidR="000A3633">
        <w:trPr>
          <w:trHeight w:val="319"/>
          <w:jc w:val="center"/>
        </w:trPr>
        <w:tc>
          <w:tcPr>
            <w:tcW w:w="4103" w:type="dxa"/>
            <w:vAlign w:val="center"/>
          </w:tcPr>
          <w:p w:rsidR="000A3633" w:rsidRDefault="0078004E">
            <w:pPr>
              <w:spacing w:before="20" w:after="20"/>
              <w:jc w:val="left"/>
              <w:rPr>
                <w:noProof/>
              </w:rPr>
            </w:pPr>
            <w:r>
              <w:rPr>
                <w:noProof/>
                <w:sz w:val="20"/>
              </w:rPr>
              <w:t xml:space="preserve">Бюджетни кредити </w:t>
            </w:r>
            <w:r>
              <w:rPr>
                <w:noProof/>
                <w:sz w:val="20"/>
              </w:rPr>
              <w:t>за административни разходи, финансирани от пакета за програмата</w:t>
            </w:r>
            <w:r>
              <w:rPr>
                <w:rStyle w:val="FootnoteReference"/>
                <w:noProof/>
                <w:sz w:val="20"/>
              </w:rPr>
              <w:footnoteReference w:id="43"/>
            </w:r>
            <w:r>
              <w:rPr>
                <w:noProof/>
                <w:sz w:val="21"/>
              </w:rPr>
              <w:t xml:space="preserve"> </w:t>
            </w:r>
          </w:p>
        </w:tc>
        <w:tc>
          <w:tcPr>
            <w:tcW w:w="1440" w:type="dxa"/>
            <w:vAlign w:val="center"/>
          </w:tcPr>
          <w:p w:rsidR="000A3633" w:rsidRDefault="0078004E">
            <w:pPr>
              <w:spacing w:before="40" w:after="40"/>
              <w:jc w:val="left"/>
              <w:rPr>
                <w:noProof/>
                <w:sz w:val="18"/>
              </w:rPr>
            </w:pPr>
            <w:r>
              <w:rPr>
                <w:noProof/>
                <w:sz w:val="18"/>
              </w:rPr>
              <w:t>Поети задължения = Плащания</w:t>
            </w:r>
          </w:p>
        </w:tc>
        <w:tc>
          <w:tcPr>
            <w:tcW w:w="654" w:type="dxa"/>
            <w:vAlign w:val="center"/>
          </w:tcPr>
          <w:p w:rsidR="000A3633" w:rsidRDefault="0078004E">
            <w:pPr>
              <w:spacing w:before="40" w:after="40"/>
              <w:jc w:val="center"/>
              <w:rPr>
                <w:noProof/>
                <w:sz w:val="14"/>
              </w:rPr>
            </w:pPr>
            <w:r>
              <w:rPr>
                <w:noProof/>
                <w:sz w:val="14"/>
              </w:rPr>
              <w:t>(3)</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868" w:type="dxa"/>
          </w:tcPr>
          <w:p w:rsidR="000A3633" w:rsidRDefault="0078004E">
            <w:pPr>
              <w:spacing w:before="40" w:after="40"/>
              <w:jc w:val="right"/>
              <w:rPr>
                <w:b/>
                <w:noProof/>
                <w:sz w:val="20"/>
              </w:rPr>
            </w:pPr>
            <w:r>
              <w:rPr>
                <w:noProof/>
                <w:sz w:val="20"/>
              </w:rPr>
              <w:t>пл.</w:t>
            </w:r>
          </w:p>
        </w:tc>
        <w:tc>
          <w:tcPr>
            <w:tcW w:w="909" w:type="dxa"/>
            <w:shd w:val="clear" w:color="auto" w:fill="A6A6A6" w:themeFill="background1" w:themeFillShade="A6"/>
          </w:tcPr>
          <w:p w:rsidR="000A3633" w:rsidRDefault="000A3633">
            <w:pPr>
              <w:spacing w:before="40" w:after="40"/>
              <w:jc w:val="right"/>
              <w:rPr>
                <w:b/>
                <w:noProof/>
                <w:sz w:val="20"/>
              </w:rPr>
            </w:pPr>
          </w:p>
        </w:tc>
        <w:tc>
          <w:tcPr>
            <w:tcW w:w="1289" w:type="dxa"/>
          </w:tcPr>
          <w:p w:rsidR="000A3633" w:rsidRDefault="0078004E">
            <w:pPr>
              <w:spacing w:before="40" w:after="40"/>
              <w:jc w:val="right"/>
              <w:rPr>
                <w:b/>
                <w:noProof/>
                <w:sz w:val="20"/>
              </w:rPr>
            </w:pPr>
            <w:r>
              <w:rPr>
                <w:noProof/>
                <w:sz w:val="20"/>
              </w:rPr>
              <w:t xml:space="preserve">не се прилага </w:t>
            </w:r>
          </w:p>
        </w:tc>
      </w:tr>
      <w:tr w:rsidR="000A3633">
        <w:trPr>
          <w:jc w:val="center"/>
        </w:trPr>
        <w:tc>
          <w:tcPr>
            <w:tcW w:w="4103" w:type="dxa"/>
            <w:vMerge w:val="restart"/>
            <w:vAlign w:val="center"/>
          </w:tcPr>
          <w:p w:rsidR="000A3633" w:rsidRDefault="0078004E">
            <w:pPr>
              <w:jc w:val="left"/>
              <w:rPr>
                <w:b/>
                <w:noProof/>
              </w:rPr>
            </w:pPr>
            <w:r>
              <w:rPr>
                <w:b/>
                <w:noProof/>
                <w:sz w:val="22"/>
              </w:rPr>
              <w:t xml:space="preserve">ОБЩО бюджетни кредити </w:t>
            </w:r>
          </w:p>
        </w:tc>
        <w:tc>
          <w:tcPr>
            <w:tcW w:w="1440" w:type="dxa"/>
            <w:vAlign w:val="center"/>
          </w:tcPr>
          <w:p w:rsidR="000A3633" w:rsidRDefault="0078004E">
            <w:pPr>
              <w:jc w:val="left"/>
              <w:rPr>
                <w:noProof/>
                <w:sz w:val="18"/>
              </w:rPr>
            </w:pPr>
            <w:r>
              <w:rPr>
                <w:noProof/>
                <w:sz w:val="18"/>
              </w:rPr>
              <w:t>Поети задължения</w:t>
            </w:r>
          </w:p>
        </w:tc>
        <w:tc>
          <w:tcPr>
            <w:tcW w:w="654" w:type="dxa"/>
            <w:vAlign w:val="center"/>
          </w:tcPr>
          <w:p w:rsidR="000A3633" w:rsidRDefault="0078004E">
            <w:pPr>
              <w:jc w:val="center"/>
              <w:rPr>
                <w:noProof/>
                <w:sz w:val="14"/>
              </w:rPr>
            </w:pPr>
            <w:r>
              <w:rPr>
                <w:noProof/>
                <w:sz w:val="14"/>
              </w:rPr>
              <w:t>=1+3</w:t>
            </w:r>
          </w:p>
        </w:tc>
        <w:tc>
          <w:tcPr>
            <w:tcW w:w="868" w:type="dxa"/>
          </w:tcPr>
          <w:p w:rsidR="000A3633" w:rsidRDefault="0078004E">
            <w:pPr>
              <w:spacing w:before="20" w:after="20"/>
              <w:jc w:val="right"/>
              <w:rPr>
                <w:noProof/>
                <w:sz w:val="20"/>
              </w:rPr>
            </w:pPr>
            <w:r>
              <w:rPr>
                <w:noProof/>
                <w:sz w:val="20"/>
              </w:rPr>
              <w:t>212</w:t>
            </w:r>
          </w:p>
        </w:tc>
        <w:tc>
          <w:tcPr>
            <w:tcW w:w="868" w:type="dxa"/>
          </w:tcPr>
          <w:p w:rsidR="000A3633" w:rsidRDefault="0078004E">
            <w:pPr>
              <w:spacing w:before="20" w:after="20"/>
              <w:jc w:val="right"/>
              <w:rPr>
                <w:noProof/>
                <w:sz w:val="20"/>
              </w:rPr>
            </w:pPr>
            <w:r>
              <w:rPr>
                <w:noProof/>
                <w:sz w:val="20"/>
              </w:rPr>
              <w:t>216</w:t>
            </w:r>
          </w:p>
        </w:tc>
        <w:tc>
          <w:tcPr>
            <w:tcW w:w="868" w:type="dxa"/>
          </w:tcPr>
          <w:p w:rsidR="000A3633" w:rsidRDefault="0078004E">
            <w:pPr>
              <w:spacing w:before="20" w:after="20"/>
              <w:jc w:val="right"/>
              <w:rPr>
                <w:noProof/>
                <w:sz w:val="20"/>
              </w:rPr>
            </w:pPr>
            <w:r>
              <w:rPr>
                <w:noProof/>
                <w:sz w:val="20"/>
              </w:rPr>
              <w:t>221</w:t>
            </w:r>
          </w:p>
        </w:tc>
        <w:tc>
          <w:tcPr>
            <w:tcW w:w="868" w:type="dxa"/>
          </w:tcPr>
          <w:p w:rsidR="000A3633" w:rsidRDefault="0078004E">
            <w:pPr>
              <w:spacing w:before="20" w:after="20"/>
              <w:jc w:val="right"/>
              <w:rPr>
                <w:noProof/>
                <w:sz w:val="20"/>
              </w:rPr>
            </w:pPr>
            <w:r>
              <w:rPr>
                <w:noProof/>
                <w:sz w:val="20"/>
              </w:rPr>
              <w:t>225</w:t>
            </w:r>
          </w:p>
        </w:tc>
        <w:tc>
          <w:tcPr>
            <w:tcW w:w="868" w:type="dxa"/>
          </w:tcPr>
          <w:p w:rsidR="000A3633" w:rsidRDefault="0078004E">
            <w:pPr>
              <w:spacing w:before="20" w:after="20"/>
              <w:jc w:val="right"/>
              <w:rPr>
                <w:noProof/>
                <w:sz w:val="20"/>
              </w:rPr>
            </w:pPr>
            <w:r>
              <w:rPr>
                <w:noProof/>
                <w:sz w:val="20"/>
              </w:rPr>
              <w:t>230</w:t>
            </w:r>
          </w:p>
        </w:tc>
        <w:tc>
          <w:tcPr>
            <w:tcW w:w="868" w:type="dxa"/>
          </w:tcPr>
          <w:p w:rsidR="000A3633" w:rsidRDefault="0078004E">
            <w:pPr>
              <w:spacing w:before="20" w:after="20"/>
              <w:jc w:val="right"/>
              <w:rPr>
                <w:noProof/>
                <w:sz w:val="20"/>
              </w:rPr>
            </w:pPr>
            <w:r>
              <w:rPr>
                <w:noProof/>
                <w:sz w:val="20"/>
              </w:rPr>
              <w:t>234</w:t>
            </w:r>
          </w:p>
        </w:tc>
        <w:tc>
          <w:tcPr>
            <w:tcW w:w="868" w:type="dxa"/>
          </w:tcPr>
          <w:p w:rsidR="000A3633" w:rsidRDefault="0078004E">
            <w:pPr>
              <w:spacing w:before="20" w:after="20"/>
              <w:jc w:val="right"/>
              <w:rPr>
                <w:b/>
                <w:noProof/>
                <w:sz w:val="20"/>
              </w:rPr>
            </w:pPr>
            <w:r>
              <w:rPr>
                <w:noProof/>
                <w:sz w:val="20"/>
              </w:rPr>
              <w:t>239</w:t>
            </w:r>
          </w:p>
        </w:tc>
        <w:tc>
          <w:tcPr>
            <w:tcW w:w="909" w:type="dxa"/>
            <w:shd w:val="clear" w:color="auto" w:fill="A6A6A6" w:themeFill="background1" w:themeFillShade="A6"/>
          </w:tcPr>
          <w:p w:rsidR="000A3633" w:rsidRDefault="000A3633">
            <w:pPr>
              <w:spacing w:before="20" w:after="20"/>
              <w:jc w:val="right"/>
              <w:rPr>
                <w:b/>
                <w:noProof/>
                <w:sz w:val="20"/>
              </w:rPr>
            </w:pPr>
          </w:p>
        </w:tc>
        <w:tc>
          <w:tcPr>
            <w:tcW w:w="1289" w:type="dxa"/>
          </w:tcPr>
          <w:p w:rsidR="000A3633" w:rsidRDefault="0078004E">
            <w:pPr>
              <w:spacing w:before="20" w:after="20"/>
              <w:jc w:val="right"/>
              <w:rPr>
                <w:b/>
                <w:noProof/>
                <w:sz w:val="20"/>
              </w:rPr>
            </w:pPr>
            <w:r>
              <w:rPr>
                <w:noProof/>
                <w:sz w:val="20"/>
              </w:rPr>
              <w:t>1,578</w:t>
            </w:r>
          </w:p>
        </w:tc>
      </w:tr>
      <w:tr w:rsidR="000A3633">
        <w:trPr>
          <w:jc w:val="center"/>
        </w:trPr>
        <w:tc>
          <w:tcPr>
            <w:tcW w:w="4103" w:type="dxa"/>
            <w:vMerge/>
          </w:tcPr>
          <w:p w:rsidR="000A3633" w:rsidRDefault="000A3633">
            <w:pPr>
              <w:rPr>
                <w:noProof/>
                <w:sz w:val="20"/>
              </w:rPr>
            </w:pPr>
          </w:p>
        </w:tc>
        <w:tc>
          <w:tcPr>
            <w:tcW w:w="1440" w:type="dxa"/>
            <w:vAlign w:val="center"/>
          </w:tcPr>
          <w:p w:rsidR="000A3633" w:rsidRDefault="0078004E">
            <w:pPr>
              <w:jc w:val="left"/>
              <w:rPr>
                <w:noProof/>
                <w:sz w:val="18"/>
              </w:rPr>
            </w:pPr>
            <w:r>
              <w:rPr>
                <w:noProof/>
                <w:sz w:val="18"/>
              </w:rPr>
              <w:t>Плащания</w:t>
            </w:r>
          </w:p>
        </w:tc>
        <w:tc>
          <w:tcPr>
            <w:tcW w:w="654" w:type="dxa"/>
            <w:vAlign w:val="center"/>
          </w:tcPr>
          <w:p w:rsidR="000A3633" w:rsidRDefault="0078004E">
            <w:pPr>
              <w:jc w:val="center"/>
              <w:rPr>
                <w:noProof/>
                <w:sz w:val="14"/>
              </w:rPr>
            </w:pPr>
            <w:r>
              <w:rPr>
                <w:noProof/>
                <w:sz w:val="14"/>
              </w:rPr>
              <w:t>=2+3</w:t>
            </w:r>
          </w:p>
        </w:tc>
        <w:tc>
          <w:tcPr>
            <w:tcW w:w="868" w:type="dxa"/>
          </w:tcPr>
          <w:p w:rsidR="000A3633" w:rsidRDefault="0078004E">
            <w:pPr>
              <w:spacing w:before="20" w:after="20"/>
              <w:jc w:val="right"/>
              <w:rPr>
                <w:noProof/>
                <w:sz w:val="20"/>
              </w:rPr>
            </w:pPr>
            <w:r>
              <w:rPr>
                <w:noProof/>
                <w:sz w:val="20"/>
              </w:rPr>
              <w:t xml:space="preserve">пл. </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noProof/>
                <w:sz w:val="20"/>
              </w:rPr>
            </w:pPr>
            <w:r>
              <w:rPr>
                <w:noProof/>
                <w:sz w:val="20"/>
              </w:rPr>
              <w:t>пл.</w:t>
            </w:r>
          </w:p>
        </w:tc>
        <w:tc>
          <w:tcPr>
            <w:tcW w:w="868" w:type="dxa"/>
          </w:tcPr>
          <w:p w:rsidR="000A3633" w:rsidRDefault="0078004E">
            <w:pPr>
              <w:spacing w:before="20" w:after="20"/>
              <w:jc w:val="right"/>
              <w:rPr>
                <w:b/>
                <w:noProof/>
                <w:sz w:val="20"/>
              </w:rPr>
            </w:pPr>
            <w:r>
              <w:rPr>
                <w:noProof/>
                <w:sz w:val="20"/>
              </w:rPr>
              <w:t>пл.</w:t>
            </w:r>
          </w:p>
        </w:tc>
        <w:tc>
          <w:tcPr>
            <w:tcW w:w="909" w:type="dxa"/>
          </w:tcPr>
          <w:p w:rsidR="000A3633" w:rsidRDefault="000A3633">
            <w:pPr>
              <w:spacing w:before="20" w:after="20"/>
              <w:jc w:val="right"/>
              <w:rPr>
                <w:b/>
                <w:noProof/>
                <w:sz w:val="20"/>
              </w:rPr>
            </w:pPr>
          </w:p>
        </w:tc>
        <w:tc>
          <w:tcPr>
            <w:tcW w:w="1289" w:type="dxa"/>
          </w:tcPr>
          <w:p w:rsidR="000A3633" w:rsidRDefault="0078004E">
            <w:pPr>
              <w:spacing w:before="20" w:after="20"/>
              <w:jc w:val="right"/>
              <w:rPr>
                <w:b/>
                <w:noProof/>
                <w:sz w:val="20"/>
              </w:rPr>
            </w:pPr>
            <w:r>
              <w:rPr>
                <w:noProof/>
                <w:sz w:val="20"/>
              </w:rPr>
              <w:t>пл.</w:t>
            </w:r>
          </w:p>
        </w:tc>
      </w:tr>
    </w:tbl>
    <w:p w:rsidR="000A3633" w:rsidRDefault="000A3633">
      <w:pPr>
        <w:spacing w:before="0" w:after="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A3633">
        <w:trPr>
          <w:jc w:val="center"/>
        </w:trPr>
        <w:tc>
          <w:tcPr>
            <w:tcW w:w="4744" w:type="dxa"/>
            <w:shd w:val="thinDiagStripe" w:color="C0C0C0" w:fill="auto"/>
            <w:vAlign w:val="center"/>
          </w:tcPr>
          <w:p w:rsidR="000A3633" w:rsidRDefault="0078004E">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0A3633" w:rsidRDefault="0078004E">
            <w:pPr>
              <w:spacing w:before="60" w:after="60"/>
              <w:jc w:val="center"/>
              <w:rPr>
                <w:noProof/>
              </w:rPr>
            </w:pPr>
            <w:r>
              <w:rPr>
                <w:noProof/>
              </w:rPr>
              <w:t>7</w:t>
            </w:r>
          </w:p>
        </w:tc>
        <w:tc>
          <w:tcPr>
            <w:tcW w:w="7817" w:type="dxa"/>
            <w:vAlign w:val="center"/>
          </w:tcPr>
          <w:p w:rsidR="000A3633" w:rsidRDefault="0078004E">
            <w:pPr>
              <w:spacing w:before="60" w:after="60"/>
              <w:rPr>
                <w:noProof/>
              </w:rPr>
            </w:pPr>
            <w:r>
              <w:rPr>
                <w:noProof/>
                <w:sz w:val="22"/>
              </w:rPr>
              <w:t>„Административни разходи“</w:t>
            </w:r>
          </w:p>
        </w:tc>
      </w:tr>
    </w:tbl>
    <w:p w:rsidR="000A3633" w:rsidRDefault="0078004E">
      <w:pPr>
        <w:spacing w:before="0" w:after="0"/>
        <w:jc w:val="left"/>
        <w:rPr>
          <w:noProof/>
        </w:rPr>
      </w:pPr>
      <w:r>
        <w:rPr>
          <w:noProof/>
        </w:rPr>
        <w:br w:type="page"/>
      </w:r>
    </w:p>
    <w:p w:rsidR="000A3633" w:rsidRDefault="000A3633">
      <w:pPr>
        <w:jc w:val="left"/>
        <w:rPr>
          <w:noProof/>
        </w:rPr>
      </w:pPr>
    </w:p>
    <w:p w:rsidR="000A3633" w:rsidRDefault="000A3633">
      <w:pPr>
        <w:jc w:val="right"/>
        <w:rPr>
          <w:noProof/>
          <w:sz w:val="20"/>
        </w:rPr>
      </w:pPr>
    </w:p>
    <w:p w:rsidR="000A3633" w:rsidRDefault="0078004E">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0A3633">
        <w:trPr>
          <w:jc w:val="center"/>
        </w:trPr>
        <w:tc>
          <w:tcPr>
            <w:tcW w:w="6245" w:type="dxa"/>
            <w:gridSpan w:val="2"/>
            <w:tcBorders>
              <w:top w:val="nil"/>
              <w:left w:val="nil"/>
            </w:tcBorders>
            <w:vAlign w:val="center"/>
          </w:tcPr>
          <w:p w:rsidR="000A3633" w:rsidRDefault="000A3633">
            <w:pPr>
              <w:jc w:val="center"/>
              <w:rPr>
                <w:noProof/>
                <w:sz w:val="20"/>
              </w:rPr>
            </w:pPr>
          </w:p>
        </w:tc>
        <w:tc>
          <w:tcPr>
            <w:tcW w:w="868" w:type="dxa"/>
            <w:vAlign w:val="center"/>
          </w:tcPr>
          <w:p w:rsidR="000A3633" w:rsidRDefault="0078004E">
            <w:pPr>
              <w:jc w:val="center"/>
              <w:rPr>
                <w:b/>
                <w:noProof/>
                <w:sz w:val="20"/>
              </w:rPr>
            </w:pPr>
            <w:r>
              <w:rPr>
                <w:b/>
                <w:noProof/>
                <w:sz w:val="20"/>
              </w:rPr>
              <w:t>2021 г.</w:t>
            </w:r>
          </w:p>
        </w:tc>
        <w:tc>
          <w:tcPr>
            <w:tcW w:w="868" w:type="dxa"/>
            <w:vAlign w:val="center"/>
          </w:tcPr>
          <w:p w:rsidR="000A3633" w:rsidRDefault="0078004E">
            <w:pPr>
              <w:jc w:val="center"/>
              <w:rPr>
                <w:b/>
                <w:noProof/>
                <w:sz w:val="20"/>
              </w:rPr>
            </w:pPr>
            <w:r>
              <w:rPr>
                <w:b/>
                <w:noProof/>
                <w:sz w:val="20"/>
              </w:rPr>
              <w:t>2022 г.</w:t>
            </w:r>
          </w:p>
        </w:tc>
        <w:tc>
          <w:tcPr>
            <w:tcW w:w="868" w:type="dxa"/>
            <w:vAlign w:val="center"/>
          </w:tcPr>
          <w:p w:rsidR="000A3633" w:rsidRDefault="0078004E">
            <w:pPr>
              <w:jc w:val="center"/>
              <w:rPr>
                <w:b/>
                <w:noProof/>
                <w:sz w:val="20"/>
              </w:rPr>
            </w:pPr>
            <w:r>
              <w:rPr>
                <w:b/>
                <w:noProof/>
                <w:sz w:val="20"/>
              </w:rPr>
              <w:t>2023 г.</w:t>
            </w:r>
          </w:p>
        </w:tc>
        <w:tc>
          <w:tcPr>
            <w:tcW w:w="868" w:type="dxa"/>
            <w:vAlign w:val="center"/>
          </w:tcPr>
          <w:p w:rsidR="000A3633" w:rsidRDefault="0078004E">
            <w:pPr>
              <w:jc w:val="center"/>
              <w:rPr>
                <w:b/>
                <w:noProof/>
                <w:sz w:val="20"/>
              </w:rPr>
            </w:pPr>
            <w:r>
              <w:rPr>
                <w:b/>
                <w:noProof/>
                <w:sz w:val="20"/>
              </w:rPr>
              <w:t>2024 г.</w:t>
            </w:r>
          </w:p>
        </w:tc>
        <w:tc>
          <w:tcPr>
            <w:tcW w:w="868" w:type="dxa"/>
            <w:vAlign w:val="center"/>
          </w:tcPr>
          <w:p w:rsidR="000A3633" w:rsidRDefault="0078004E">
            <w:pPr>
              <w:jc w:val="center"/>
              <w:rPr>
                <w:b/>
                <w:noProof/>
                <w:sz w:val="18"/>
              </w:rPr>
            </w:pPr>
            <w:r>
              <w:rPr>
                <w:b/>
                <w:noProof/>
                <w:sz w:val="18"/>
              </w:rPr>
              <w:t>2025 г.</w:t>
            </w:r>
          </w:p>
        </w:tc>
        <w:tc>
          <w:tcPr>
            <w:tcW w:w="868" w:type="dxa"/>
            <w:vAlign w:val="center"/>
          </w:tcPr>
          <w:p w:rsidR="000A3633" w:rsidRDefault="0078004E">
            <w:pPr>
              <w:jc w:val="center"/>
              <w:rPr>
                <w:b/>
                <w:noProof/>
                <w:sz w:val="18"/>
              </w:rPr>
            </w:pPr>
            <w:r>
              <w:rPr>
                <w:b/>
                <w:noProof/>
                <w:sz w:val="18"/>
              </w:rPr>
              <w:t>2026 г.</w:t>
            </w:r>
          </w:p>
        </w:tc>
        <w:tc>
          <w:tcPr>
            <w:tcW w:w="868" w:type="dxa"/>
            <w:vAlign w:val="center"/>
          </w:tcPr>
          <w:p w:rsidR="000A3633" w:rsidRDefault="0078004E">
            <w:pPr>
              <w:jc w:val="center"/>
              <w:rPr>
                <w:b/>
                <w:noProof/>
                <w:sz w:val="18"/>
              </w:rPr>
            </w:pPr>
            <w:r>
              <w:rPr>
                <w:b/>
                <w:noProof/>
                <w:sz w:val="18"/>
              </w:rPr>
              <w:t>2027 г.</w:t>
            </w:r>
          </w:p>
        </w:tc>
        <w:tc>
          <w:tcPr>
            <w:tcW w:w="887" w:type="dxa"/>
          </w:tcPr>
          <w:p w:rsidR="000A3633" w:rsidRDefault="0078004E">
            <w:pPr>
              <w:jc w:val="center"/>
              <w:rPr>
                <w:b/>
                <w:noProof/>
                <w:sz w:val="20"/>
              </w:rPr>
            </w:pPr>
            <w:r>
              <w:rPr>
                <w:b/>
                <w:i/>
                <w:noProof/>
                <w:sz w:val="20"/>
              </w:rPr>
              <w:t>След 2027 г.</w:t>
            </w:r>
          </w:p>
        </w:tc>
        <w:tc>
          <w:tcPr>
            <w:tcW w:w="1291" w:type="dxa"/>
            <w:vAlign w:val="center"/>
          </w:tcPr>
          <w:p w:rsidR="000A3633" w:rsidRDefault="0078004E">
            <w:pPr>
              <w:jc w:val="center"/>
              <w:rPr>
                <w:b/>
                <w:noProof/>
                <w:sz w:val="20"/>
              </w:rPr>
            </w:pPr>
            <w:r>
              <w:rPr>
                <w:b/>
                <w:noProof/>
                <w:sz w:val="20"/>
              </w:rPr>
              <w:t>ОБЩО</w:t>
            </w:r>
          </w:p>
        </w:tc>
      </w:tr>
      <w:tr w:rsidR="000A3633">
        <w:trPr>
          <w:trHeight w:val="313"/>
          <w:jc w:val="center"/>
        </w:trPr>
        <w:tc>
          <w:tcPr>
            <w:tcW w:w="6245" w:type="dxa"/>
            <w:gridSpan w:val="2"/>
            <w:vAlign w:val="center"/>
          </w:tcPr>
          <w:p w:rsidR="000A3633" w:rsidRDefault="0078004E">
            <w:pPr>
              <w:spacing w:before="20" w:after="20"/>
              <w:rPr>
                <w:noProof/>
              </w:rPr>
            </w:pPr>
            <w:r>
              <w:rPr>
                <w:noProof/>
                <w:sz w:val="22"/>
              </w:rPr>
              <w:t xml:space="preserve">Човешки ресурси </w:t>
            </w:r>
          </w:p>
        </w:tc>
        <w:tc>
          <w:tcPr>
            <w:tcW w:w="868" w:type="dxa"/>
            <w:vAlign w:val="center"/>
          </w:tcPr>
          <w:p w:rsidR="000A3633" w:rsidRDefault="0078004E">
            <w:pPr>
              <w:spacing w:before="20" w:after="20"/>
              <w:jc w:val="right"/>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68" w:type="dxa"/>
            <w:vAlign w:val="center"/>
          </w:tcPr>
          <w:p w:rsidR="000A3633" w:rsidRDefault="0078004E">
            <w:pPr>
              <w:spacing w:before="20" w:after="20"/>
              <w:jc w:val="center"/>
              <w:rPr>
                <w:noProof/>
                <w:sz w:val="22"/>
              </w:rPr>
            </w:pPr>
            <w:r>
              <w:rPr>
                <w:noProof/>
                <w:sz w:val="22"/>
              </w:rPr>
              <w:t>1,435</w:t>
            </w:r>
          </w:p>
        </w:tc>
        <w:tc>
          <w:tcPr>
            <w:tcW w:w="887" w:type="dxa"/>
            <w:shd w:val="clear" w:color="auto" w:fill="A6A6A6" w:themeFill="background1" w:themeFillShade="A6"/>
            <w:vAlign w:val="center"/>
          </w:tcPr>
          <w:p w:rsidR="000A3633" w:rsidRDefault="000A3633">
            <w:pPr>
              <w:spacing w:before="20" w:after="20"/>
              <w:jc w:val="center"/>
              <w:rPr>
                <w:noProof/>
                <w:sz w:val="22"/>
              </w:rPr>
            </w:pPr>
          </w:p>
        </w:tc>
        <w:tc>
          <w:tcPr>
            <w:tcW w:w="1291" w:type="dxa"/>
            <w:vAlign w:val="center"/>
          </w:tcPr>
          <w:p w:rsidR="000A3633" w:rsidRDefault="0078004E">
            <w:pPr>
              <w:spacing w:before="20" w:after="20"/>
              <w:jc w:val="center"/>
              <w:rPr>
                <w:b/>
                <w:noProof/>
                <w:sz w:val="22"/>
              </w:rPr>
            </w:pPr>
            <w:r>
              <w:rPr>
                <w:b/>
                <w:noProof/>
                <w:sz w:val="22"/>
              </w:rPr>
              <w:t>10,045</w:t>
            </w:r>
          </w:p>
        </w:tc>
      </w:tr>
      <w:tr w:rsidR="000A3633">
        <w:trPr>
          <w:trHeight w:val="351"/>
          <w:jc w:val="center"/>
        </w:trPr>
        <w:tc>
          <w:tcPr>
            <w:tcW w:w="6245" w:type="dxa"/>
            <w:gridSpan w:val="2"/>
            <w:vAlign w:val="center"/>
          </w:tcPr>
          <w:p w:rsidR="000A3633" w:rsidRDefault="0078004E">
            <w:pPr>
              <w:spacing w:before="20" w:after="20"/>
              <w:rPr>
                <w:noProof/>
              </w:rPr>
            </w:pPr>
            <w:r>
              <w:rPr>
                <w:noProof/>
                <w:sz w:val="22"/>
              </w:rPr>
              <w:t xml:space="preserve">Други административни разходи </w:t>
            </w:r>
          </w:p>
        </w:tc>
        <w:tc>
          <w:tcPr>
            <w:tcW w:w="868" w:type="dxa"/>
          </w:tcPr>
          <w:p w:rsidR="000A3633" w:rsidRDefault="0078004E">
            <w:pPr>
              <w:spacing w:before="20" w:after="20"/>
              <w:jc w:val="right"/>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68" w:type="dxa"/>
          </w:tcPr>
          <w:p w:rsidR="000A3633" w:rsidRDefault="0078004E">
            <w:pPr>
              <w:spacing w:before="20" w:after="20"/>
              <w:jc w:val="center"/>
              <w:rPr>
                <w:noProof/>
                <w:spacing w:val="-4"/>
                <w:sz w:val="22"/>
              </w:rPr>
            </w:pPr>
            <w:r>
              <w:rPr>
                <w:noProof/>
                <w:spacing w:val="-4"/>
                <w:sz w:val="20"/>
              </w:rPr>
              <w:t xml:space="preserve">не се прилага </w:t>
            </w:r>
          </w:p>
        </w:tc>
        <w:tc>
          <w:tcPr>
            <w:tcW w:w="887" w:type="dxa"/>
            <w:shd w:val="clear" w:color="auto" w:fill="A6A6A6" w:themeFill="background1" w:themeFillShade="A6"/>
            <w:vAlign w:val="center"/>
          </w:tcPr>
          <w:p w:rsidR="000A3633" w:rsidRDefault="000A3633">
            <w:pPr>
              <w:spacing w:before="20" w:after="20"/>
              <w:jc w:val="center"/>
              <w:rPr>
                <w:noProof/>
                <w:sz w:val="22"/>
              </w:rPr>
            </w:pPr>
          </w:p>
        </w:tc>
        <w:tc>
          <w:tcPr>
            <w:tcW w:w="1291" w:type="dxa"/>
            <w:vAlign w:val="center"/>
          </w:tcPr>
          <w:p w:rsidR="000A3633" w:rsidRDefault="0078004E">
            <w:pPr>
              <w:spacing w:before="20" w:after="20"/>
              <w:jc w:val="center"/>
              <w:rPr>
                <w:b/>
                <w:noProof/>
                <w:sz w:val="22"/>
              </w:rPr>
            </w:pPr>
            <w:r>
              <w:rPr>
                <w:noProof/>
                <w:sz w:val="20"/>
              </w:rPr>
              <w:t xml:space="preserve">не се прилага </w:t>
            </w:r>
          </w:p>
        </w:tc>
      </w:tr>
      <w:tr w:rsidR="000A3633">
        <w:trPr>
          <w:trHeight w:val="351"/>
          <w:jc w:val="center"/>
        </w:trPr>
        <w:tc>
          <w:tcPr>
            <w:tcW w:w="4199" w:type="dxa"/>
            <w:vAlign w:val="center"/>
          </w:tcPr>
          <w:p w:rsidR="000A3633" w:rsidRDefault="0078004E">
            <w:pPr>
              <w:spacing w:before="20" w:after="20"/>
              <w:jc w:val="left"/>
              <w:rPr>
                <w:b/>
                <w:noProof/>
                <w:sz w:val="22"/>
              </w:rPr>
            </w:pPr>
            <w:r>
              <w:rPr>
                <w:b/>
                <w:noProof/>
                <w:sz w:val="22"/>
              </w:rPr>
              <w:t xml:space="preserve">ОБЩО бюджетни кредити за ФУНКЦИЯ 7 от многогодишната финансова </w:t>
            </w:r>
            <w:r>
              <w:rPr>
                <w:b/>
                <w:noProof/>
                <w:sz w:val="22"/>
              </w:rPr>
              <w:t>рамка</w:t>
            </w:r>
          </w:p>
        </w:tc>
        <w:tc>
          <w:tcPr>
            <w:tcW w:w="2046" w:type="dxa"/>
            <w:vAlign w:val="center"/>
          </w:tcPr>
          <w:p w:rsidR="000A3633" w:rsidRDefault="0078004E">
            <w:pPr>
              <w:spacing w:before="20" w:after="20"/>
              <w:rPr>
                <w:noProof/>
                <w:sz w:val="22"/>
              </w:rPr>
            </w:pPr>
            <w:r>
              <w:rPr>
                <w:noProof/>
                <w:sz w:val="18"/>
              </w:rPr>
              <w:t>(Общо поети задължения = Общо плащания)</w:t>
            </w:r>
          </w:p>
        </w:tc>
        <w:tc>
          <w:tcPr>
            <w:tcW w:w="868" w:type="dxa"/>
            <w:vAlign w:val="center"/>
          </w:tcPr>
          <w:p w:rsidR="000A3633" w:rsidRDefault="0078004E">
            <w:pPr>
              <w:spacing w:before="20" w:after="20"/>
              <w:jc w:val="right"/>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68" w:type="dxa"/>
            <w:vAlign w:val="center"/>
          </w:tcPr>
          <w:p w:rsidR="000A3633" w:rsidRDefault="0078004E">
            <w:pPr>
              <w:spacing w:before="20" w:after="20"/>
              <w:jc w:val="center"/>
              <w:rPr>
                <w:b/>
                <w:noProof/>
                <w:sz w:val="22"/>
              </w:rPr>
            </w:pPr>
            <w:r>
              <w:rPr>
                <w:noProof/>
                <w:sz w:val="22"/>
              </w:rPr>
              <w:t>1,435</w:t>
            </w:r>
          </w:p>
        </w:tc>
        <w:tc>
          <w:tcPr>
            <w:tcW w:w="887" w:type="dxa"/>
            <w:shd w:val="clear" w:color="auto" w:fill="A6A6A6" w:themeFill="background1" w:themeFillShade="A6"/>
            <w:vAlign w:val="center"/>
          </w:tcPr>
          <w:p w:rsidR="000A3633" w:rsidRDefault="000A3633">
            <w:pPr>
              <w:spacing w:before="20" w:after="20"/>
              <w:jc w:val="center"/>
              <w:rPr>
                <w:b/>
                <w:noProof/>
                <w:sz w:val="22"/>
              </w:rPr>
            </w:pPr>
          </w:p>
        </w:tc>
        <w:tc>
          <w:tcPr>
            <w:tcW w:w="1291" w:type="dxa"/>
            <w:vAlign w:val="center"/>
          </w:tcPr>
          <w:p w:rsidR="000A3633" w:rsidRDefault="0078004E">
            <w:pPr>
              <w:spacing w:before="20" w:after="20"/>
              <w:jc w:val="center"/>
              <w:rPr>
                <w:b/>
                <w:noProof/>
                <w:sz w:val="22"/>
              </w:rPr>
            </w:pPr>
            <w:r>
              <w:rPr>
                <w:b/>
                <w:noProof/>
                <w:sz w:val="22"/>
              </w:rPr>
              <w:t>10,045</w:t>
            </w:r>
          </w:p>
        </w:tc>
      </w:tr>
    </w:tbl>
    <w:p w:rsidR="000A3633" w:rsidRDefault="0078004E">
      <w:pPr>
        <w:jc w:val="right"/>
        <w:rPr>
          <w:noProof/>
          <w:sz w:val="20"/>
        </w:rPr>
      </w:pPr>
      <w:r>
        <w:rPr>
          <w:noProof/>
          <w:sz w:val="20"/>
        </w:rPr>
        <w:t>млн. евро (до 3-тия знак след десетичната запетая)</w:t>
      </w:r>
    </w:p>
    <w:p w:rsidR="000A3633" w:rsidRDefault="000A3633">
      <w:pPr>
        <w:jc w:val="right"/>
        <w:rPr>
          <w:noProof/>
          <w:sz w:val="20"/>
        </w:rPr>
      </w:pPr>
    </w:p>
    <w:tbl>
      <w:tblPr>
        <w:tblpPr w:leftFromText="180" w:rightFromText="180" w:vertAnchor="text" w:horzAnchor="margin" w:tblpY="18"/>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0A3633">
        <w:tc>
          <w:tcPr>
            <w:tcW w:w="4173" w:type="dxa"/>
            <w:tcBorders>
              <w:top w:val="nil"/>
              <w:left w:val="nil"/>
              <w:right w:val="nil"/>
            </w:tcBorders>
            <w:vAlign w:val="center"/>
          </w:tcPr>
          <w:p w:rsidR="000A3633" w:rsidRDefault="000A3633">
            <w:pPr>
              <w:jc w:val="center"/>
              <w:rPr>
                <w:noProof/>
              </w:rPr>
            </w:pPr>
          </w:p>
        </w:tc>
        <w:tc>
          <w:tcPr>
            <w:tcW w:w="1560" w:type="dxa"/>
            <w:tcBorders>
              <w:top w:val="nil"/>
              <w:left w:val="nil"/>
              <w:right w:val="nil"/>
            </w:tcBorders>
          </w:tcPr>
          <w:p w:rsidR="000A3633" w:rsidRDefault="000A3633">
            <w:pPr>
              <w:rPr>
                <w:noProof/>
                <w:sz w:val="20"/>
              </w:rPr>
            </w:pPr>
          </w:p>
        </w:tc>
        <w:tc>
          <w:tcPr>
            <w:tcW w:w="534" w:type="dxa"/>
            <w:tcBorders>
              <w:top w:val="nil"/>
              <w:left w:val="nil"/>
            </w:tcBorders>
          </w:tcPr>
          <w:p w:rsidR="000A3633" w:rsidRDefault="000A3633">
            <w:pPr>
              <w:jc w:val="center"/>
              <w:rPr>
                <w:noProof/>
                <w:sz w:val="20"/>
              </w:rPr>
            </w:pPr>
          </w:p>
        </w:tc>
        <w:tc>
          <w:tcPr>
            <w:tcW w:w="868" w:type="dxa"/>
            <w:vAlign w:val="center"/>
          </w:tcPr>
          <w:p w:rsidR="000A3633" w:rsidRDefault="0078004E">
            <w:pPr>
              <w:jc w:val="center"/>
              <w:rPr>
                <w:noProof/>
                <w:sz w:val="20"/>
              </w:rPr>
            </w:pPr>
            <w:r>
              <w:rPr>
                <w:b/>
                <w:noProof/>
                <w:sz w:val="20"/>
              </w:rPr>
              <w:t>2021 г.</w:t>
            </w:r>
          </w:p>
        </w:tc>
        <w:tc>
          <w:tcPr>
            <w:tcW w:w="868" w:type="dxa"/>
            <w:vAlign w:val="center"/>
          </w:tcPr>
          <w:p w:rsidR="000A3633" w:rsidRDefault="0078004E">
            <w:pPr>
              <w:jc w:val="center"/>
              <w:rPr>
                <w:noProof/>
                <w:sz w:val="20"/>
              </w:rPr>
            </w:pPr>
            <w:r>
              <w:rPr>
                <w:b/>
                <w:noProof/>
                <w:sz w:val="20"/>
              </w:rPr>
              <w:t>2022 г.</w:t>
            </w:r>
          </w:p>
        </w:tc>
        <w:tc>
          <w:tcPr>
            <w:tcW w:w="868" w:type="dxa"/>
            <w:vAlign w:val="center"/>
          </w:tcPr>
          <w:p w:rsidR="000A3633" w:rsidRDefault="0078004E">
            <w:pPr>
              <w:jc w:val="center"/>
              <w:rPr>
                <w:noProof/>
                <w:sz w:val="20"/>
              </w:rPr>
            </w:pPr>
            <w:r>
              <w:rPr>
                <w:b/>
                <w:noProof/>
                <w:sz w:val="20"/>
              </w:rPr>
              <w:t>2023 г.</w:t>
            </w:r>
          </w:p>
        </w:tc>
        <w:tc>
          <w:tcPr>
            <w:tcW w:w="868" w:type="dxa"/>
            <w:vAlign w:val="center"/>
          </w:tcPr>
          <w:p w:rsidR="000A3633" w:rsidRDefault="0078004E">
            <w:pPr>
              <w:jc w:val="center"/>
              <w:rPr>
                <w:noProof/>
                <w:sz w:val="20"/>
              </w:rPr>
            </w:pPr>
            <w:r>
              <w:rPr>
                <w:b/>
                <w:noProof/>
                <w:sz w:val="20"/>
              </w:rPr>
              <w:t>2024 г.</w:t>
            </w:r>
          </w:p>
        </w:tc>
        <w:tc>
          <w:tcPr>
            <w:tcW w:w="868" w:type="dxa"/>
            <w:vAlign w:val="center"/>
          </w:tcPr>
          <w:p w:rsidR="000A3633" w:rsidRDefault="0078004E">
            <w:pPr>
              <w:jc w:val="center"/>
              <w:rPr>
                <w:b/>
                <w:noProof/>
                <w:sz w:val="18"/>
              </w:rPr>
            </w:pPr>
            <w:r>
              <w:rPr>
                <w:b/>
                <w:noProof/>
                <w:sz w:val="18"/>
              </w:rPr>
              <w:t>2025 г.</w:t>
            </w:r>
          </w:p>
        </w:tc>
        <w:tc>
          <w:tcPr>
            <w:tcW w:w="868" w:type="dxa"/>
            <w:vAlign w:val="center"/>
          </w:tcPr>
          <w:p w:rsidR="000A3633" w:rsidRDefault="0078004E">
            <w:pPr>
              <w:jc w:val="center"/>
              <w:rPr>
                <w:b/>
                <w:noProof/>
                <w:sz w:val="18"/>
              </w:rPr>
            </w:pPr>
            <w:r>
              <w:rPr>
                <w:b/>
                <w:noProof/>
                <w:sz w:val="18"/>
              </w:rPr>
              <w:t>2026 г.</w:t>
            </w:r>
          </w:p>
        </w:tc>
        <w:tc>
          <w:tcPr>
            <w:tcW w:w="868" w:type="dxa"/>
            <w:vAlign w:val="center"/>
          </w:tcPr>
          <w:p w:rsidR="000A3633" w:rsidRDefault="0078004E">
            <w:pPr>
              <w:jc w:val="center"/>
              <w:rPr>
                <w:b/>
                <w:noProof/>
                <w:sz w:val="18"/>
              </w:rPr>
            </w:pPr>
            <w:r>
              <w:rPr>
                <w:b/>
                <w:noProof/>
                <w:sz w:val="18"/>
              </w:rPr>
              <w:t>2027 г.</w:t>
            </w:r>
          </w:p>
        </w:tc>
        <w:tc>
          <w:tcPr>
            <w:tcW w:w="877" w:type="dxa"/>
          </w:tcPr>
          <w:p w:rsidR="000A3633" w:rsidRDefault="0078004E">
            <w:pPr>
              <w:jc w:val="center"/>
              <w:rPr>
                <w:b/>
                <w:noProof/>
                <w:sz w:val="20"/>
              </w:rPr>
            </w:pPr>
            <w:r>
              <w:rPr>
                <w:b/>
                <w:i/>
                <w:noProof/>
                <w:sz w:val="20"/>
              </w:rPr>
              <w:t>След 2027 г.</w:t>
            </w:r>
          </w:p>
        </w:tc>
        <w:tc>
          <w:tcPr>
            <w:tcW w:w="1292" w:type="dxa"/>
            <w:vAlign w:val="center"/>
          </w:tcPr>
          <w:p w:rsidR="000A3633" w:rsidRDefault="0078004E">
            <w:pPr>
              <w:jc w:val="center"/>
              <w:rPr>
                <w:b/>
                <w:noProof/>
                <w:sz w:val="20"/>
              </w:rPr>
            </w:pPr>
            <w:r>
              <w:rPr>
                <w:b/>
                <w:noProof/>
                <w:sz w:val="20"/>
              </w:rPr>
              <w:t>ОБЩО</w:t>
            </w:r>
          </w:p>
        </w:tc>
      </w:tr>
      <w:tr w:rsidR="000A3633">
        <w:tc>
          <w:tcPr>
            <w:tcW w:w="4173" w:type="dxa"/>
            <w:vMerge w:val="restart"/>
            <w:shd w:val="clear" w:color="auto" w:fill="C0C0C0"/>
            <w:vAlign w:val="center"/>
          </w:tcPr>
          <w:p w:rsidR="000A3633" w:rsidRDefault="0078004E">
            <w:pPr>
              <w:jc w:val="center"/>
              <w:rPr>
                <w:b/>
                <w:noProof/>
              </w:rPr>
            </w:pPr>
            <w:r>
              <w:rPr>
                <w:b/>
                <w:noProof/>
                <w:sz w:val="22"/>
              </w:rPr>
              <w:t>ОБЩО бюджетни кредити</w:t>
            </w:r>
            <w:r>
              <w:rPr>
                <w:noProof/>
                <w:sz w:val="22"/>
              </w:rPr>
              <w:t xml:space="preserve">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rsidR="000A3633" w:rsidRDefault="0078004E">
            <w:pPr>
              <w:rPr>
                <w:noProof/>
                <w:sz w:val="14"/>
              </w:rPr>
            </w:pPr>
            <w:r>
              <w:rPr>
                <w:noProof/>
                <w:sz w:val="18"/>
              </w:rPr>
              <w:t>Поети задължения</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noProof/>
                <w:sz w:val="20"/>
              </w:rPr>
            </w:pPr>
            <w:r>
              <w:rPr>
                <w:noProof/>
                <w:sz w:val="22"/>
              </w:rPr>
              <w:t>1,435</w:t>
            </w:r>
          </w:p>
        </w:tc>
        <w:tc>
          <w:tcPr>
            <w:tcW w:w="868" w:type="dxa"/>
            <w:vAlign w:val="center"/>
          </w:tcPr>
          <w:p w:rsidR="000A3633" w:rsidRDefault="0078004E">
            <w:pPr>
              <w:spacing w:before="60" w:after="60"/>
              <w:jc w:val="right"/>
              <w:rPr>
                <w:b/>
                <w:noProof/>
                <w:sz w:val="20"/>
              </w:rPr>
            </w:pPr>
            <w:r>
              <w:rPr>
                <w:noProof/>
                <w:sz w:val="22"/>
              </w:rPr>
              <w:t>1,435</w:t>
            </w:r>
          </w:p>
        </w:tc>
        <w:tc>
          <w:tcPr>
            <w:tcW w:w="877" w:type="dxa"/>
            <w:shd w:val="clear" w:color="auto" w:fill="A6A6A6" w:themeFill="background1" w:themeFillShade="A6"/>
            <w:vAlign w:val="center"/>
          </w:tcPr>
          <w:p w:rsidR="000A3633" w:rsidRDefault="000A3633">
            <w:pPr>
              <w:spacing w:before="60" w:after="60"/>
              <w:jc w:val="right"/>
              <w:rPr>
                <w:b/>
                <w:noProof/>
                <w:sz w:val="20"/>
              </w:rPr>
            </w:pPr>
          </w:p>
        </w:tc>
        <w:tc>
          <w:tcPr>
            <w:tcW w:w="1292" w:type="dxa"/>
            <w:vAlign w:val="center"/>
          </w:tcPr>
          <w:p w:rsidR="000A3633" w:rsidRDefault="0078004E">
            <w:pPr>
              <w:spacing w:before="60" w:after="60"/>
              <w:jc w:val="right"/>
              <w:rPr>
                <w:b/>
                <w:noProof/>
                <w:sz w:val="20"/>
              </w:rPr>
            </w:pPr>
            <w:r>
              <w:rPr>
                <w:b/>
                <w:noProof/>
                <w:sz w:val="22"/>
              </w:rPr>
              <w:t>10,045</w:t>
            </w:r>
          </w:p>
        </w:tc>
      </w:tr>
      <w:tr w:rsidR="000A3633">
        <w:tc>
          <w:tcPr>
            <w:tcW w:w="4173" w:type="dxa"/>
            <w:vMerge/>
            <w:shd w:val="clear" w:color="auto" w:fill="C0C0C0"/>
          </w:tcPr>
          <w:p w:rsidR="000A3633" w:rsidRDefault="000A3633">
            <w:pPr>
              <w:rPr>
                <w:noProof/>
                <w:sz w:val="20"/>
              </w:rPr>
            </w:pPr>
          </w:p>
        </w:tc>
        <w:tc>
          <w:tcPr>
            <w:tcW w:w="2094" w:type="dxa"/>
            <w:gridSpan w:val="2"/>
            <w:vAlign w:val="center"/>
          </w:tcPr>
          <w:p w:rsidR="000A3633" w:rsidRDefault="0078004E">
            <w:pPr>
              <w:rPr>
                <w:noProof/>
                <w:sz w:val="14"/>
              </w:rPr>
            </w:pPr>
            <w:r>
              <w:rPr>
                <w:noProof/>
                <w:sz w:val="18"/>
              </w:rPr>
              <w:t>Плащания</w:t>
            </w: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noProof/>
                <w:sz w:val="20"/>
              </w:rPr>
            </w:pPr>
          </w:p>
        </w:tc>
        <w:tc>
          <w:tcPr>
            <w:tcW w:w="868" w:type="dxa"/>
            <w:vAlign w:val="center"/>
          </w:tcPr>
          <w:p w:rsidR="000A3633" w:rsidRDefault="000A3633">
            <w:pPr>
              <w:spacing w:before="60" w:after="60"/>
              <w:jc w:val="right"/>
              <w:rPr>
                <w:b/>
                <w:noProof/>
                <w:sz w:val="20"/>
              </w:rPr>
            </w:pPr>
          </w:p>
        </w:tc>
        <w:tc>
          <w:tcPr>
            <w:tcW w:w="877" w:type="dxa"/>
          </w:tcPr>
          <w:p w:rsidR="000A3633" w:rsidRDefault="000A3633">
            <w:pPr>
              <w:spacing w:before="60" w:after="60"/>
              <w:jc w:val="right"/>
              <w:rPr>
                <w:b/>
                <w:noProof/>
                <w:sz w:val="20"/>
              </w:rPr>
            </w:pPr>
          </w:p>
        </w:tc>
        <w:tc>
          <w:tcPr>
            <w:tcW w:w="1292" w:type="dxa"/>
            <w:vAlign w:val="center"/>
          </w:tcPr>
          <w:p w:rsidR="000A3633" w:rsidRDefault="000A3633">
            <w:pPr>
              <w:spacing w:before="60" w:after="60"/>
              <w:jc w:val="right"/>
              <w:rPr>
                <w:b/>
                <w:noProof/>
                <w:sz w:val="20"/>
              </w:rPr>
            </w:pPr>
          </w:p>
        </w:tc>
      </w:tr>
    </w:tbl>
    <w:p w:rsidR="000A3633" w:rsidRDefault="000A3633">
      <w:pPr>
        <w:jc w:val="right"/>
        <w:rPr>
          <w:noProof/>
          <w:sz w:val="20"/>
        </w:rPr>
      </w:pPr>
    </w:p>
    <w:p w:rsidR="000A3633" w:rsidRDefault="0078004E">
      <w:pPr>
        <w:spacing w:line="200" w:lineRule="exact"/>
        <w:rPr>
          <w:noProof/>
          <w:szCs w:val="24"/>
        </w:rPr>
      </w:pPr>
      <w:r>
        <w:rPr>
          <w:noProof/>
        </w:rPr>
        <w:t xml:space="preserve">За други административни разходи целият общ пакет е показан в законодателния финансов отчет на ЕСФ+. </w:t>
      </w:r>
    </w:p>
    <w:p w:rsidR="000A3633" w:rsidRDefault="000A3633">
      <w:pPr>
        <w:jc w:val="left"/>
        <w:rPr>
          <w:noProof/>
          <w:sz w:val="20"/>
        </w:rPr>
      </w:pPr>
    </w:p>
    <w:p w:rsidR="000A3633" w:rsidRDefault="000A3633">
      <w:pPr>
        <w:jc w:val="right"/>
        <w:rPr>
          <w:noProof/>
          <w:sz w:val="20"/>
        </w:rPr>
      </w:pPr>
    </w:p>
    <w:p w:rsidR="000A3633" w:rsidRDefault="000A3633">
      <w:pPr>
        <w:jc w:val="right"/>
        <w:rPr>
          <w:noProof/>
          <w:sz w:val="20"/>
        </w:rPr>
      </w:pPr>
    </w:p>
    <w:p w:rsidR="000A3633" w:rsidRDefault="000A3633">
      <w:pPr>
        <w:jc w:val="right"/>
        <w:rPr>
          <w:noProof/>
          <w:sz w:val="20"/>
        </w:rPr>
      </w:pPr>
    </w:p>
    <w:p w:rsidR="000A3633" w:rsidRDefault="000A3633">
      <w:pPr>
        <w:jc w:val="right"/>
        <w:rPr>
          <w:noProof/>
          <w:sz w:val="20"/>
        </w:rPr>
      </w:pPr>
    </w:p>
    <w:p w:rsidR="000A3633" w:rsidRDefault="000A3633">
      <w:pPr>
        <w:jc w:val="right"/>
        <w:rPr>
          <w:noProof/>
          <w:sz w:val="20"/>
        </w:rPr>
      </w:pPr>
    </w:p>
    <w:p w:rsidR="000A3633" w:rsidRDefault="000A3633">
      <w:pPr>
        <w:rPr>
          <w:noProof/>
        </w:rPr>
        <w:sectPr w:rsidR="000A3633" w:rsidSect="0078004E">
          <w:headerReference w:type="default" r:id="rId35"/>
          <w:footerReference w:type="default" r:id="rId36"/>
          <w:headerReference w:type="first" r:id="rId37"/>
          <w:footerReference w:type="first" r:id="rId38"/>
          <w:pgSz w:w="16840" w:h="11907" w:orient="landscape" w:code="9"/>
          <w:pgMar w:top="1134" w:right="1418" w:bottom="1134" w:left="1418" w:header="709" w:footer="709" w:gutter="0"/>
          <w:cols w:space="708"/>
          <w:docGrid w:linePitch="360"/>
        </w:sectPr>
      </w:pPr>
    </w:p>
    <w:p w:rsidR="000A3633" w:rsidRDefault="0078004E">
      <w:pPr>
        <w:pStyle w:val="ManualHeading3"/>
        <w:rPr>
          <w:bCs/>
          <w:noProof/>
          <w:szCs w:val="24"/>
        </w:rPr>
      </w:pPr>
      <w:r>
        <w:rPr>
          <w:noProof/>
        </w:rPr>
        <w:t>3.2.2.</w:t>
      </w:r>
      <w:r>
        <w:rPr>
          <w:noProof/>
        </w:rPr>
        <w:tab/>
        <w:t>Резюме на очаквано отражение върху бюджетните кредити за административни разходи</w:t>
      </w:r>
    </w:p>
    <w:p w:rsidR="000A3633" w:rsidRDefault="0078004E">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0A3633" w:rsidRDefault="0078004E">
      <w:pPr>
        <w:pStyle w:val="ListDash1"/>
        <w:rPr>
          <w:noProof/>
        </w:rPr>
      </w:pPr>
      <w:r>
        <w:rPr>
          <w:noProof/>
        </w:rPr>
        <w:sym w:font="Wingdings" w:char="F0FE"/>
      </w:r>
      <w:r>
        <w:rPr>
          <w:noProof/>
        </w:rPr>
        <w:tab/>
        <w:t>Предложен</w:t>
      </w:r>
      <w:r>
        <w:rPr>
          <w:noProof/>
        </w:rPr>
        <w:t>ието/инициативата налага използване на бюджетни кредити за административни разходи съгласно обяснението по-долу:</w:t>
      </w:r>
    </w:p>
    <w:p w:rsidR="000A3633" w:rsidRDefault="0078004E">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A3633">
        <w:trPr>
          <w:trHeight w:val="585"/>
        </w:trPr>
        <w:tc>
          <w:tcPr>
            <w:tcW w:w="1980" w:type="dxa"/>
            <w:vAlign w:val="center"/>
          </w:tcPr>
          <w:p w:rsidR="000A3633" w:rsidRDefault="0078004E">
            <w:pPr>
              <w:spacing w:before="60" w:after="60" w:line="200" w:lineRule="exact"/>
              <w:jc w:val="center"/>
              <w:rPr>
                <w:b/>
                <w:noProof/>
                <w:sz w:val="16"/>
                <w:szCs w:val="16"/>
              </w:rPr>
            </w:pPr>
            <w:r>
              <w:rPr>
                <w:b/>
                <w:noProof/>
                <w:sz w:val="16"/>
                <w:szCs w:val="16"/>
              </w:rPr>
              <w:t>Години</w:t>
            </w:r>
          </w:p>
        </w:tc>
        <w:tc>
          <w:tcPr>
            <w:tcW w:w="1080" w:type="dxa"/>
            <w:vAlign w:val="center"/>
          </w:tcPr>
          <w:p w:rsidR="000A3633" w:rsidRDefault="0078004E">
            <w:pPr>
              <w:spacing w:before="60" w:after="60" w:line="200" w:lineRule="exact"/>
              <w:jc w:val="center"/>
              <w:rPr>
                <w:noProof/>
                <w:sz w:val="16"/>
                <w:szCs w:val="16"/>
              </w:rPr>
            </w:pPr>
            <w:r>
              <w:rPr>
                <w:b/>
                <w:noProof/>
                <w:sz w:val="20"/>
              </w:rPr>
              <w:t>2021 г.</w:t>
            </w:r>
          </w:p>
        </w:tc>
        <w:tc>
          <w:tcPr>
            <w:tcW w:w="1080" w:type="dxa"/>
            <w:vAlign w:val="center"/>
          </w:tcPr>
          <w:p w:rsidR="000A3633" w:rsidRDefault="0078004E">
            <w:pPr>
              <w:spacing w:before="60" w:after="60" w:line="200" w:lineRule="exact"/>
              <w:jc w:val="center"/>
              <w:rPr>
                <w:noProof/>
                <w:sz w:val="16"/>
                <w:szCs w:val="16"/>
              </w:rPr>
            </w:pPr>
            <w:r>
              <w:rPr>
                <w:b/>
                <w:noProof/>
                <w:sz w:val="20"/>
              </w:rPr>
              <w:t>2022 г.</w:t>
            </w:r>
          </w:p>
        </w:tc>
        <w:tc>
          <w:tcPr>
            <w:tcW w:w="1080" w:type="dxa"/>
            <w:vAlign w:val="center"/>
          </w:tcPr>
          <w:p w:rsidR="000A3633" w:rsidRDefault="0078004E">
            <w:pPr>
              <w:spacing w:before="60" w:after="60" w:line="200" w:lineRule="exact"/>
              <w:jc w:val="center"/>
              <w:rPr>
                <w:noProof/>
                <w:sz w:val="16"/>
                <w:szCs w:val="16"/>
              </w:rPr>
            </w:pPr>
            <w:r>
              <w:rPr>
                <w:b/>
                <w:noProof/>
                <w:sz w:val="20"/>
              </w:rPr>
              <w:t>2023 г.</w:t>
            </w:r>
          </w:p>
        </w:tc>
        <w:tc>
          <w:tcPr>
            <w:tcW w:w="1080" w:type="dxa"/>
            <w:vAlign w:val="center"/>
          </w:tcPr>
          <w:p w:rsidR="000A3633" w:rsidRDefault="0078004E">
            <w:pPr>
              <w:spacing w:before="60" w:after="60" w:line="200" w:lineRule="exact"/>
              <w:jc w:val="center"/>
              <w:rPr>
                <w:noProof/>
                <w:sz w:val="16"/>
                <w:szCs w:val="16"/>
              </w:rPr>
            </w:pPr>
            <w:r>
              <w:rPr>
                <w:b/>
                <w:noProof/>
                <w:sz w:val="20"/>
              </w:rPr>
              <w:t>2024 г.</w:t>
            </w:r>
          </w:p>
        </w:tc>
        <w:tc>
          <w:tcPr>
            <w:tcW w:w="1080" w:type="dxa"/>
            <w:vAlign w:val="center"/>
          </w:tcPr>
          <w:p w:rsidR="000A3633" w:rsidRDefault="0078004E">
            <w:pPr>
              <w:spacing w:line="200" w:lineRule="exact"/>
              <w:jc w:val="center"/>
              <w:rPr>
                <w:b/>
                <w:noProof/>
                <w:sz w:val="16"/>
                <w:szCs w:val="16"/>
              </w:rPr>
            </w:pPr>
            <w:r>
              <w:rPr>
                <w:b/>
                <w:noProof/>
                <w:sz w:val="18"/>
              </w:rPr>
              <w:t>2025 г.</w:t>
            </w:r>
          </w:p>
        </w:tc>
        <w:tc>
          <w:tcPr>
            <w:tcW w:w="1080" w:type="dxa"/>
            <w:vAlign w:val="center"/>
          </w:tcPr>
          <w:p w:rsidR="000A3633" w:rsidRDefault="0078004E">
            <w:pPr>
              <w:spacing w:line="200" w:lineRule="exact"/>
              <w:jc w:val="center"/>
              <w:rPr>
                <w:b/>
                <w:noProof/>
                <w:sz w:val="16"/>
                <w:szCs w:val="16"/>
              </w:rPr>
            </w:pPr>
            <w:r>
              <w:rPr>
                <w:b/>
                <w:noProof/>
                <w:sz w:val="18"/>
              </w:rPr>
              <w:t>2026 г.</w:t>
            </w:r>
          </w:p>
        </w:tc>
        <w:tc>
          <w:tcPr>
            <w:tcW w:w="1080" w:type="dxa"/>
            <w:vAlign w:val="center"/>
          </w:tcPr>
          <w:p w:rsidR="000A3633" w:rsidRDefault="0078004E">
            <w:pPr>
              <w:spacing w:line="200" w:lineRule="exact"/>
              <w:jc w:val="center"/>
              <w:rPr>
                <w:b/>
                <w:noProof/>
                <w:sz w:val="16"/>
                <w:szCs w:val="16"/>
              </w:rPr>
            </w:pPr>
            <w:r>
              <w:rPr>
                <w:b/>
                <w:noProof/>
                <w:sz w:val="18"/>
              </w:rPr>
              <w:t>2027 г.</w:t>
            </w:r>
          </w:p>
        </w:tc>
        <w:tc>
          <w:tcPr>
            <w:tcW w:w="1080" w:type="dxa"/>
            <w:vAlign w:val="center"/>
          </w:tcPr>
          <w:p w:rsidR="000A3633" w:rsidRDefault="0078004E">
            <w:pPr>
              <w:spacing w:before="60" w:after="60" w:line="200" w:lineRule="exact"/>
              <w:jc w:val="center"/>
              <w:rPr>
                <w:b/>
                <w:noProof/>
                <w:sz w:val="16"/>
                <w:szCs w:val="16"/>
              </w:rPr>
            </w:pPr>
            <w:r>
              <w:rPr>
                <w:b/>
                <w:noProof/>
                <w:sz w:val="16"/>
              </w:rPr>
              <w:t>ОБЩО</w:t>
            </w:r>
          </w:p>
        </w:tc>
      </w:tr>
    </w:tbl>
    <w:p w:rsidR="000A3633" w:rsidRDefault="000A363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A3633">
        <w:trPr>
          <w:trHeight w:val="585"/>
        </w:trPr>
        <w:tc>
          <w:tcPr>
            <w:tcW w:w="1980" w:type="dxa"/>
            <w:shd w:val="clear" w:color="auto" w:fill="CCCCCC"/>
            <w:vAlign w:val="center"/>
          </w:tcPr>
          <w:p w:rsidR="000A3633" w:rsidRDefault="0078004E">
            <w:pPr>
              <w:spacing w:before="60" w:after="60" w:line="200" w:lineRule="exact"/>
              <w:jc w:val="center"/>
              <w:rPr>
                <w:b/>
                <w:noProof/>
                <w:sz w:val="16"/>
                <w:szCs w:val="16"/>
              </w:rPr>
            </w:pPr>
            <w:r>
              <w:rPr>
                <w:b/>
                <w:noProof/>
                <w:sz w:val="16"/>
                <w:szCs w:val="16"/>
              </w:rPr>
              <w:t>ФУНКЦИЯ 7</w:t>
            </w:r>
            <w:r>
              <w:rPr>
                <w:b/>
                <w:noProof/>
                <w:sz w:val="16"/>
                <w:szCs w:val="16"/>
              </w:rPr>
              <w:br/>
              <w:t xml:space="preserve">от </w:t>
            </w:r>
            <w:r>
              <w:rPr>
                <w:b/>
                <w:noProof/>
                <w:sz w:val="16"/>
                <w:szCs w:val="16"/>
              </w:rPr>
              <w:t>многогодишната финансова рамка</w:t>
            </w: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r w:rsidR="000A3633">
        <w:trPr>
          <w:trHeight w:val="585"/>
        </w:trPr>
        <w:tc>
          <w:tcPr>
            <w:tcW w:w="1980" w:type="dxa"/>
            <w:vAlign w:val="center"/>
          </w:tcPr>
          <w:p w:rsidR="000A3633" w:rsidRDefault="0078004E">
            <w:pPr>
              <w:spacing w:before="60" w:after="60" w:line="200" w:lineRule="exact"/>
              <w:ind w:left="72"/>
              <w:jc w:val="left"/>
              <w:rPr>
                <w:noProof/>
                <w:sz w:val="16"/>
                <w:szCs w:val="16"/>
              </w:rPr>
            </w:pPr>
            <w:r>
              <w:rPr>
                <w:noProof/>
                <w:sz w:val="16"/>
                <w:szCs w:val="16"/>
              </w:rPr>
              <w:t xml:space="preserve">Човешки ресурси </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b/>
                <w:noProof/>
                <w:sz w:val="16"/>
                <w:szCs w:val="16"/>
              </w:rPr>
            </w:pPr>
            <w:r>
              <w:rPr>
                <w:noProof/>
                <w:sz w:val="22"/>
              </w:rPr>
              <w:t>1,435</w:t>
            </w:r>
          </w:p>
        </w:tc>
        <w:tc>
          <w:tcPr>
            <w:tcW w:w="1080" w:type="dxa"/>
            <w:vAlign w:val="center"/>
          </w:tcPr>
          <w:p w:rsidR="000A3633" w:rsidRDefault="0078004E">
            <w:pPr>
              <w:spacing w:before="60" w:after="60" w:line="200" w:lineRule="exact"/>
              <w:jc w:val="right"/>
              <w:rPr>
                <w:b/>
                <w:noProof/>
                <w:sz w:val="16"/>
                <w:szCs w:val="16"/>
              </w:rPr>
            </w:pPr>
            <w:r>
              <w:rPr>
                <w:b/>
                <w:noProof/>
                <w:sz w:val="22"/>
              </w:rPr>
              <w:t>10,045</w:t>
            </w:r>
          </w:p>
        </w:tc>
      </w:tr>
      <w:tr w:rsidR="000A3633">
        <w:trPr>
          <w:trHeight w:val="585"/>
        </w:trPr>
        <w:tc>
          <w:tcPr>
            <w:tcW w:w="1980" w:type="dxa"/>
            <w:vAlign w:val="center"/>
          </w:tcPr>
          <w:p w:rsidR="000A3633" w:rsidRDefault="0078004E">
            <w:pPr>
              <w:spacing w:before="60" w:after="60" w:line="200" w:lineRule="exact"/>
              <w:ind w:left="72"/>
              <w:jc w:val="left"/>
              <w:rPr>
                <w:noProof/>
                <w:sz w:val="16"/>
                <w:szCs w:val="16"/>
              </w:rPr>
            </w:pPr>
            <w:r>
              <w:rPr>
                <w:noProof/>
                <w:sz w:val="16"/>
                <w:szCs w:val="16"/>
              </w:rPr>
              <w:t xml:space="preserve">Други административни разходи </w:t>
            </w: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r w:rsidR="000A3633">
        <w:trPr>
          <w:trHeight w:val="585"/>
        </w:trPr>
        <w:tc>
          <w:tcPr>
            <w:tcW w:w="1980" w:type="dxa"/>
            <w:shd w:val="clear" w:color="auto" w:fill="CCCCCC"/>
            <w:vAlign w:val="center"/>
          </w:tcPr>
          <w:p w:rsidR="000A3633" w:rsidRDefault="0078004E">
            <w:pPr>
              <w:spacing w:before="60" w:after="60" w:line="200" w:lineRule="exact"/>
              <w:jc w:val="center"/>
              <w:rPr>
                <w:b/>
                <w:noProof/>
                <w:sz w:val="16"/>
                <w:szCs w:val="16"/>
              </w:rPr>
            </w:pPr>
            <w:r>
              <w:rPr>
                <w:b/>
                <w:noProof/>
                <w:sz w:val="16"/>
                <w:szCs w:val="16"/>
              </w:rPr>
              <w:t>Междинен сбор за ФУНКЦИЯ 7</w:t>
            </w:r>
            <w:r>
              <w:rPr>
                <w:b/>
                <w:noProof/>
                <w:sz w:val="16"/>
                <w:szCs w:val="16"/>
              </w:rPr>
              <w:br/>
              <w:t xml:space="preserve">от многогодишната финансова рамка </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noProof/>
                <w:sz w:val="16"/>
                <w:szCs w:val="16"/>
              </w:rPr>
            </w:pPr>
            <w:r>
              <w:rPr>
                <w:noProof/>
                <w:sz w:val="22"/>
              </w:rPr>
              <w:t>1,435</w:t>
            </w:r>
          </w:p>
        </w:tc>
        <w:tc>
          <w:tcPr>
            <w:tcW w:w="1080" w:type="dxa"/>
            <w:vAlign w:val="center"/>
          </w:tcPr>
          <w:p w:rsidR="000A3633" w:rsidRDefault="0078004E">
            <w:pPr>
              <w:spacing w:before="60" w:after="60" w:line="200" w:lineRule="exact"/>
              <w:jc w:val="right"/>
              <w:rPr>
                <w:b/>
                <w:noProof/>
                <w:sz w:val="16"/>
                <w:szCs w:val="16"/>
              </w:rPr>
            </w:pPr>
            <w:r>
              <w:rPr>
                <w:noProof/>
                <w:sz w:val="22"/>
              </w:rPr>
              <w:t>1,435</w:t>
            </w:r>
          </w:p>
        </w:tc>
        <w:tc>
          <w:tcPr>
            <w:tcW w:w="1080" w:type="dxa"/>
            <w:vAlign w:val="center"/>
          </w:tcPr>
          <w:p w:rsidR="000A3633" w:rsidRDefault="0078004E">
            <w:pPr>
              <w:spacing w:before="60" w:after="60" w:line="200" w:lineRule="exact"/>
              <w:jc w:val="right"/>
              <w:rPr>
                <w:b/>
                <w:noProof/>
                <w:sz w:val="16"/>
                <w:szCs w:val="16"/>
              </w:rPr>
            </w:pPr>
            <w:r>
              <w:rPr>
                <w:b/>
                <w:noProof/>
                <w:sz w:val="22"/>
              </w:rPr>
              <w:t>10,045</w:t>
            </w:r>
          </w:p>
        </w:tc>
      </w:tr>
    </w:tbl>
    <w:p w:rsidR="000A3633" w:rsidRDefault="000A363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A3633">
        <w:trPr>
          <w:trHeight w:val="585"/>
        </w:trPr>
        <w:tc>
          <w:tcPr>
            <w:tcW w:w="1980" w:type="dxa"/>
            <w:shd w:val="clear" w:color="auto" w:fill="CCCCCC"/>
            <w:vAlign w:val="center"/>
          </w:tcPr>
          <w:p w:rsidR="000A3633" w:rsidRDefault="0078004E">
            <w:pPr>
              <w:spacing w:before="60" w:after="60" w:line="200" w:lineRule="exact"/>
              <w:jc w:val="center"/>
              <w:rPr>
                <w:b/>
                <w:noProof/>
                <w:sz w:val="16"/>
                <w:szCs w:val="16"/>
              </w:rPr>
            </w:pPr>
            <w:r>
              <w:rPr>
                <w:b/>
                <w:noProof/>
                <w:sz w:val="16"/>
                <w:szCs w:val="16"/>
              </w:rPr>
              <w:t>Извън ФУНКЦИЯ 7</w:t>
            </w:r>
            <w:r>
              <w:rPr>
                <w:rStyle w:val="FootnoteReference"/>
                <w:b/>
                <w:noProof/>
                <w:sz w:val="16"/>
                <w:szCs w:val="16"/>
              </w:rPr>
              <w:footnoteReference w:id="44"/>
            </w:r>
            <w:r>
              <w:rPr>
                <w:b/>
                <w:noProof/>
                <w:sz w:val="16"/>
                <w:szCs w:val="16"/>
              </w:rPr>
              <w:br/>
              <w:t xml:space="preserve">от многогодишната финансова рамка </w:t>
            </w:r>
          </w:p>
          <w:p w:rsidR="000A3633" w:rsidRDefault="000A3633">
            <w:pPr>
              <w:spacing w:before="0" w:after="0" w:line="200" w:lineRule="exact"/>
              <w:jc w:val="center"/>
              <w:rPr>
                <w:b/>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r w:rsidR="000A3633">
        <w:trPr>
          <w:trHeight w:val="585"/>
        </w:trPr>
        <w:tc>
          <w:tcPr>
            <w:tcW w:w="1980" w:type="dxa"/>
            <w:vAlign w:val="center"/>
          </w:tcPr>
          <w:p w:rsidR="000A3633" w:rsidRDefault="0078004E">
            <w:pPr>
              <w:spacing w:before="60" w:after="60" w:line="200" w:lineRule="exact"/>
              <w:ind w:left="72"/>
              <w:jc w:val="left"/>
              <w:rPr>
                <w:noProof/>
                <w:sz w:val="16"/>
                <w:szCs w:val="16"/>
              </w:rPr>
            </w:pPr>
            <w:r>
              <w:rPr>
                <w:noProof/>
                <w:sz w:val="16"/>
                <w:szCs w:val="16"/>
              </w:rPr>
              <w:t xml:space="preserve">Човешки ресурси </w:t>
            </w: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r w:rsidR="000A3633">
        <w:trPr>
          <w:trHeight w:val="585"/>
        </w:trPr>
        <w:tc>
          <w:tcPr>
            <w:tcW w:w="1980" w:type="dxa"/>
            <w:vAlign w:val="center"/>
          </w:tcPr>
          <w:p w:rsidR="000A3633" w:rsidRDefault="0078004E">
            <w:pPr>
              <w:spacing w:before="60" w:after="60" w:line="200" w:lineRule="exact"/>
              <w:ind w:left="72"/>
              <w:jc w:val="left"/>
              <w:rPr>
                <w:noProof/>
                <w:sz w:val="16"/>
                <w:szCs w:val="16"/>
              </w:rPr>
            </w:pPr>
            <w:r>
              <w:rPr>
                <w:noProof/>
                <w:sz w:val="16"/>
                <w:szCs w:val="16"/>
              </w:rPr>
              <w:t xml:space="preserve">Други разходи </w:t>
            </w:r>
            <w:r>
              <w:rPr>
                <w:noProof/>
                <w:sz w:val="16"/>
                <w:szCs w:val="16"/>
              </w:rPr>
              <w:br/>
              <w:t>с административен характер</w:t>
            </w: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r w:rsidR="000A3633">
        <w:trPr>
          <w:trHeight w:val="585"/>
        </w:trPr>
        <w:tc>
          <w:tcPr>
            <w:tcW w:w="1980" w:type="dxa"/>
            <w:shd w:val="clear" w:color="auto" w:fill="CCCCCC"/>
            <w:vAlign w:val="center"/>
          </w:tcPr>
          <w:p w:rsidR="000A3633" w:rsidRDefault="0078004E">
            <w:pPr>
              <w:spacing w:before="60" w:after="60" w:line="200" w:lineRule="exact"/>
              <w:jc w:val="center"/>
              <w:rPr>
                <w:b/>
                <w:noProof/>
                <w:sz w:val="16"/>
                <w:szCs w:val="16"/>
              </w:rPr>
            </w:pPr>
            <w:r>
              <w:rPr>
                <w:b/>
                <w:noProof/>
                <w:sz w:val="16"/>
                <w:szCs w:val="16"/>
              </w:rPr>
              <w:t xml:space="preserve">Междинен сбор </w:t>
            </w:r>
            <w:r>
              <w:rPr>
                <w:b/>
                <w:noProof/>
                <w:sz w:val="16"/>
                <w:szCs w:val="16"/>
              </w:rPr>
              <w:br/>
              <w:t>извън ФУНКЦИЯ 7</w:t>
            </w:r>
            <w:r>
              <w:rPr>
                <w:b/>
                <w:noProof/>
                <w:sz w:val="16"/>
                <w:szCs w:val="16"/>
              </w:rPr>
              <w:br/>
              <w:t xml:space="preserve">от многогодишната финансова рамка </w:t>
            </w: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noProof/>
                <w:sz w:val="16"/>
                <w:szCs w:val="16"/>
              </w:rPr>
            </w:pPr>
          </w:p>
        </w:tc>
        <w:tc>
          <w:tcPr>
            <w:tcW w:w="1080" w:type="dxa"/>
            <w:vAlign w:val="center"/>
          </w:tcPr>
          <w:p w:rsidR="000A3633" w:rsidRDefault="000A3633">
            <w:pPr>
              <w:spacing w:before="60" w:after="60" w:line="200" w:lineRule="exact"/>
              <w:jc w:val="right"/>
              <w:rPr>
                <w:b/>
                <w:noProof/>
                <w:sz w:val="16"/>
                <w:szCs w:val="16"/>
              </w:rPr>
            </w:pPr>
          </w:p>
        </w:tc>
        <w:tc>
          <w:tcPr>
            <w:tcW w:w="1080" w:type="dxa"/>
            <w:vAlign w:val="center"/>
          </w:tcPr>
          <w:p w:rsidR="000A3633" w:rsidRDefault="000A3633">
            <w:pPr>
              <w:spacing w:before="60" w:after="60" w:line="200" w:lineRule="exact"/>
              <w:jc w:val="right"/>
              <w:rPr>
                <w:b/>
                <w:noProof/>
                <w:sz w:val="16"/>
                <w:szCs w:val="16"/>
              </w:rPr>
            </w:pPr>
          </w:p>
        </w:tc>
      </w:tr>
    </w:tbl>
    <w:p w:rsidR="000A3633" w:rsidRDefault="000A363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A363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A3633" w:rsidRDefault="0078004E">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2" w:space="0" w:color="auto"/>
            </w:tcBorders>
            <w:vAlign w:val="center"/>
          </w:tcPr>
          <w:p w:rsidR="000A3633" w:rsidRDefault="0078004E">
            <w:pPr>
              <w:spacing w:before="60" w:after="60" w:line="200" w:lineRule="exact"/>
              <w:jc w:val="right"/>
              <w:rPr>
                <w:b/>
                <w:noProof/>
                <w:sz w:val="16"/>
                <w:szCs w:val="16"/>
              </w:rPr>
            </w:pPr>
            <w:r>
              <w:rPr>
                <w:noProof/>
                <w:sz w:val="22"/>
              </w:rPr>
              <w:t>1,435</w:t>
            </w:r>
          </w:p>
        </w:tc>
        <w:tc>
          <w:tcPr>
            <w:tcW w:w="1080" w:type="dxa"/>
            <w:tcBorders>
              <w:top w:val="single" w:sz="12" w:space="0" w:color="auto"/>
              <w:left w:val="single" w:sz="2" w:space="0" w:color="auto"/>
              <w:bottom w:val="single" w:sz="12" w:space="0" w:color="auto"/>
              <w:right w:val="single" w:sz="12" w:space="0" w:color="auto"/>
            </w:tcBorders>
            <w:vAlign w:val="center"/>
          </w:tcPr>
          <w:p w:rsidR="000A3633" w:rsidRDefault="0078004E">
            <w:pPr>
              <w:spacing w:before="60" w:after="60" w:line="200" w:lineRule="exact"/>
              <w:jc w:val="right"/>
              <w:rPr>
                <w:b/>
                <w:noProof/>
                <w:sz w:val="16"/>
                <w:szCs w:val="16"/>
              </w:rPr>
            </w:pPr>
            <w:r>
              <w:rPr>
                <w:b/>
                <w:noProof/>
                <w:sz w:val="22"/>
              </w:rPr>
              <w:t>10,045</w:t>
            </w:r>
          </w:p>
        </w:tc>
      </w:tr>
    </w:tbl>
    <w:p w:rsidR="000A3633" w:rsidRDefault="0078004E">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w:t>
      </w:r>
      <w:r>
        <w:rPr>
          <w:noProof/>
          <w:sz w:val="18"/>
        </w:rPr>
        <w:t>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0A3633" w:rsidRDefault="000A3633">
      <w:pPr>
        <w:rPr>
          <w:noProof/>
        </w:rPr>
      </w:pPr>
    </w:p>
    <w:p w:rsidR="000A3633" w:rsidRDefault="000A3633">
      <w:pPr>
        <w:rPr>
          <w:noProof/>
          <w:sz w:val="18"/>
        </w:rPr>
        <w:sectPr w:rsidR="000A3633" w:rsidSect="0078004E">
          <w:headerReference w:type="default" r:id="rId39"/>
          <w:footerReference w:type="default" r:id="rId40"/>
          <w:headerReference w:type="first" r:id="rId41"/>
          <w:footerReference w:type="first" r:id="rId42"/>
          <w:pgSz w:w="11907" w:h="16840"/>
          <w:pgMar w:top="1134" w:right="1418" w:bottom="1134" w:left="1418" w:header="709" w:footer="709" w:gutter="0"/>
          <w:cols w:space="708"/>
          <w:docGrid w:linePitch="360"/>
        </w:sectPr>
      </w:pPr>
    </w:p>
    <w:p w:rsidR="000A3633" w:rsidRDefault="0078004E">
      <w:pPr>
        <w:pStyle w:val="ManualHeading4"/>
        <w:rPr>
          <w:bCs/>
          <w:noProof/>
          <w:szCs w:val="24"/>
        </w:rPr>
      </w:pPr>
      <w:r>
        <w:rPr>
          <w:noProof/>
        </w:rPr>
        <w:t>3.2.2.1.</w:t>
      </w:r>
      <w:r>
        <w:rPr>
          <w:noProof/>
        </w:rPr>
        <w:tab/>
        <w:t>Очаквани нужди от човешки ресурси</w:t>
      </w:r>
    </w:p>
    <w:p w:rsidR="000A3633" w:rsidRDefault="0078004E">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0A3633" w:rsidRDefault="0078004E">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0A3633" w:rsidRDefault="0078004E">
      <w:pPr>
        <w:spacing w:after="60"/>
        <w:jc w:val="right"/>
        <w:rPr>
          <w:i/>
          <w:noProof/>
          <w:sz w:val="20"/>
        </w:rPr>
      </w:pPr>
      <w:r>
        <w:rPr>
          <w:i/>
          <w:noProof/>
          <w:sz w:val="20"/>
        </w:rPr>
        <w:t xml:space="preserve">Оценката се </w:t>
      </w:r>
      <w:r>
        <w:rPr>
          <w:i/>
          <w:noProof/>
          <w:sz w:val="20"/>
        </w:rPr>
        <w:t>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0A3633">
        <w:trPr>
          <w:trHeight w:val="289"/>
        </w:trPr>
        <w:tc>
          <w:tcPr>
            <w:tcW w:w="1472" w:type="pct"/>
            <w:gridSpan w:val="2"/>
            <w:vAlign w:val="center"/>
          </w:tcPr>
          <w:p w:rsidR="000A3633" w:rsidRDefault="0078004E">
            <w:pPr>
              <w:pStyle w:val="Text1"/>
              <w:spacing w:before="40" w:after="40"/>
              <w:ind w:left="0"/>
              <w:jc w:val="center"/>
              <w:rPr>
                <w:i/>
                <w:noProof/>
                <w:sz w:val="16"/>
                <w:szCs w:val="16"/>
              </w:rPr>
            </w:pPr>
            <w:r>
              <w:rPr>
                <w:b/>
                <w:noProof/>
                <w:sz w:val="16"/>
                <w:szCs w:val="16"/>
              </w:rPr>
              <w:t>Години</w:t>
            </w:r>
          </w:p>
        </w:tc>
        <w:tc>
          <w:tcPr>
            <w:tcW w:w="466" w:type="pct"/>
            <w:shd w:val="clear" w:color="auto" w:fill="auto"/>
            <w:vAlign w:val="center"/>
          </w:tcPr>
          <w:p w:rsidR="000A3633" w:rsidRDefault="0078004E">
            <w:pPr>
              <w:spacing w:before="20" w:after="20"/>
              <w:jc w:val="center"/>
              <w:rPr>
                <w:b/>
                <w:noProof/>
                <w:sz w:val="16"/>
                <w:szCs w:val="16"/>
              </w:rPr>
            </w:pPr>
            <w:r>
              <w:rPr>
                <w:b/>
                <w:noProof/>
                <w:sz w:val="20"/>
              </w:rPr>
              <w:t>2021 г.</w:t>
            </w:r>
          </w:p>
        </w:tc>
        <w:tc>
          <w:tcPr>
            <w:tcW w:w="534" w:type="pct"/>
            <w:shd w:val="clear" w:color="auto" w:fill="auto"/>
            <w:vAlign w:val="center"/>
          </w:tcPr>
          <w:p w:rsidR="000A3633" w:rsidRDefault="0078004E">
            <w:pPr>
              <w:spacing w:before="20" w:after="20"/>
              <w:jc w:val="center"/>
              <w:rPr>
                <w:b/>
                <w:noProof/>
                <w:sz w:val="20"/>
              </w:rPr>
            </w:pPr>
            <w:r>
              <w:rPr>
                <w:b/>
                <w:noProof/>
                <w:sz w:val="20"/>
              </w:rPr>
              <w:t>2022 г.</w:t>
            </w:r>
          </w:p>
        </w:tc>
        <w:tc>
          <w:tcPr>
            <w:tcW w:w="466" w:type="pct"/>
            <w:shd w:val="clear" w:color="auto" w:fill="auto"/>
            <w:vAlign w:val="center"/>
          </w:tcPr>
          <w:p w:rsidR="000A3633" w:rsidRDefault="0078004E">
            <w:pPr>
              <w:spacing w:before="20" w:after="20"/>
              <w:jc w:val="center"/>
              <w:rPr>
                <w:b/>
                <w:noProof/>
                <w:sz w:val="20"/>
              </w:rPr>
            </w:pPr>
            <w:r>
              <w:rPr>
                <w:b/>
                <w:noProof/>
                <w:sz w:val="20"/>
              </w:rPr>
              <w:t>2023 г.</w:t>
            </w:r>
          </w:p>
        </w:tc>
        <w:tc>
          <w:tcPr>
            <w:tcW w:w="534" w:type="pct"/>
            <w:shd w:val="clear" w:color="auto" w:fill="auto"/>
            <w:vAlign w:val="center"/>
          </w:tcPr>
          <w:p w:rsidR="000A3633" w:rsidRDefault="0078004E">
            <w:pPr>
              <w:spacing w:before="20" w:after="20"/>
              <w:jc w:val="center"/>
              <w:rPr>
                <w:b/>
                <w:noProof/>
                <w:sz w:val="20"/>
              </w:rPr>
            </w:pPr>
            <w:r>
              <w:rPr>
                <w:b/>
                <w:noProof/>
                <w:sz w:val="20"/>
              </w:rPr>
              <w:t>2024 г.</w:t>
            </w:r>
          </w:p>
        </w:tc>
        <w:tc>
          <w:tcPr>
            <w:tcW w:w="533" w:type="pct"/>
            <w:shd w:val="clear" w:color="auto" w:fill="auto"/>
            <w:vAlign w:val="center"/>
          </w:tcPr>
          <w:p w:rsidR="000A3633" w:rsidRDefault="0078004E">
            <w:pPr>
              <w:jc w:val="center"/>
              <w:rPr>
                <w:b/>
                <w:noProof/>
                <w:sz w:val="20"/>
              </w:rPr>
            </w:pPr>
            <w:r>
              <w:rPr>
                <w:b/>
                <w:noProof/>
                <w:sz w:val="20"/>
              </w:rPr>
              <w:t>2025 г.</w:t>
            </w:r>
          </w:p>
        </w:tc>
        <w:tc>
          <w:tcPr>
            <w:tcW w:w="468" w:type="pct"/>
            <w:shd w:val="clear" w:color="auto" w:fill="auto"/>
            <w:vAlign w:val="center"/>
          </w:tcPr>
          <w:p w:rsidR="000A3633" w:rsidRDefault="0078004E">
            <w:pPr>
              <w:jc w:val="center"/>
              <w:rPr>
                <w:b/>
                <w:noProof/>
                <w:sz w:val="20"/>
              </w:rPr>
            </w:pPr>
            <w:r>
              <w:rPr>
                <w:b/>
                <w:noProof/>
                <w:sz w:val="20"/>
              </w:rPr>
              <w:t>2026 г.</w:t>
            </w:r>
          </w:p>
        </w:tc>
        <w:tc>
          <w:tcPr>
            <w:tcW w:w="527" w:type="pct"/>
            <w:shd w:val="clear" w:color="auto" w:fill="auto"/>
            <w:vAlign w:val="center"/>
          </w:tcPr>
          <w:p w:rsidR="000A3633" w:rsidRDefault="0078004E">
            <w:pPr>
              <w:jc w:val="center"/>
              <w:rPr>
                <w:b/>
                <w:noProof/>
                <w:sz w:val="20"/>
              </w:rPr>
            </w:pPr>
            <w:r>
              <w:rPr>
                <w:b/>
                <w:noProof/>
                <w:sz w:val="20"/>
              </w:rPr>
              <w:t>2027 г.</w:t>
            </w:r>
          </w:p>
        </w:tc>
      </w:tr>
      <w:tr w:rsidR="000A3633">
        <w:trPr>
          <w:trHeight w:val="289"/>
        </w:trPr>
        <w:tc>
          <w:tcPr>
            <w:tcW w:w="5000" w:type="pct"/>
            <w:gridSpan w:val="9"/>
          </w:tcPr>
          <w:p w:rsidR="000A3633" w:rsidRDefault="0078004E">
            <w:pPr>
              <w:jc w:val="left"/>
              <w:rPr>
                <w:noProof/>
                <w:sz w:val="16"/>
                <w:szCs w:val="16"/>
              </w:rPr>
            </w:pPr>
            <w:r>
              <w:rPr>
                <w:b/>
                <w:noProof/>
                <w:sz w:val="16"/>
              </w:rPr>
              <w:sym w:font="Wingdings" w:char="F09F"/>
            </w:r>
            <w:r>
              <w:rPr>
                <w:noProof/>
              </w:rPr>
              <w:t xml:space="preserve"> </w:t>
            </w:r>
            <w:r>
              <w:rPr>
                <w:b/>
                <w:noProof/>
                <w:sz w:val="16"/>
                <w:szCs w:val="16"/>
              </w:rPr>
              <w:t>Длъжности в щатното разписание (длъжностни лица и срочно наети служители)</w:t>
            </w:r>
          </w:p>
        </w:tc>
      </w:tr>
      <w:tr w:rsidR="000A3633">
        <w:trPr>
          <w:trHeight w:val="289"/>
        </w:trPr>
        <w:tc>
          <w:tcPr>
            <w:tcW w:w="1472" w:type="pct"/>
            <w:gridSpan w:val="2"/>
          </w:tcPr>
          <w:p w:rsidR="000A3633" w:rsidRDefault="0078004E">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466"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533"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468"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c>
          <w:tcPr>
            <w:tcW w:w="527"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9</w:t>
            </w:r>
          </w:p>
        </w:tc>
      </w:tr>
      <w:tr w:rsidR="000A3633">
        <w:trPr>
          <w:trHeight w:val="289"/>
        </w:trPr>
        <w:tc>
          <w:tcPr>
            <w:tcW w:w="1472" w:type="pct"/>
            <w:gridSpan w:val="2"/>
          </w:tcPr>
          <w:p w:rsidR="000A3633" w:rsidRDefault="0078004E">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289"/>
        </w:trPr>
        <w:tc>
          <w:tcPr>
            <w:tcW w:w="1472" w:type="pct"/>
            <w:gridSpan w:val="2"/>
          </w:tcPr>
          <w:p w:rsidR="000A3633" w:rsidRDefault="0078004E">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293"/>
        </w:trPr>
        <w:tc>
          <w:tcPr>
            <w:tcW w:w="5000" w:type="pct"/>
            <w:gridSpan w:val="9"/>
          </w:tcPr>
          <w:p w:rsidR="000A3633" w:rsidRDefault="0078004E">
            <w:pPr>
              <w:pStyle w:val="Text1"/>
              <w:spacing w:before="60" w:after="60"/>
              <w:ind w:left="0"/>
              <w:jc w:val="left"/>
              <w:rPr>
                <w:b/>
                <w:noProof/>
                <w:sz w:val="16"/>
                <w:szCs w:val="16"/>
              </w:rPr>
            </w:pPr>
            <w:r>
              <w:rPr>
                <w:b/>
                <w:noProof/>
                <w:sz w:val="16"/>
              </w:rPr>
              <w:sym w:font="Wingdings" w:char="F09F"/>
            </w:r>
            <w:r>
              <w:rPr>
                <w:noProof/>
              </w:rPr>
              <w:t xml:space="preserve"> </w:t>
            </w:r>
            <w:r>
              <w:rPr>
                <w:b/>
                <w:noProof/>
                <w:sz w:val="16"/>
                <w:szCs w:val="16"/>
              </w:rPr>
              <w:t>Външен персонал (в еквивалент на пълно работно време — ЕПРВ) — ДНП, МП, КНЕ, ПНА и МЕД</w:t>
            </w:r>
            <w:r>
              <w:rPr>
                <w:rStyle w:val="FootnoteReference"/>
                <w:b/>
                <w:noProof/>
                <w:sz w:val="16"/>
                <w:szCs w:val="16"/>
              </w:rPr>
              <w:footnoteReference w:id="45"/>
            </w:r>
          </w:p>
          <w:p w:rsidR="000A3633" w:rsidRDefault="0078004E">
            <w:pPr>
              <w:pStyle w:val="Text1"/>
              <w:spacing w:before="0" w:after="0"/>
              <w:ind w:left="0"/>
              <w:jc w:val="left"/>
              <w:rPr>
                <w:noProof/>
                <w:sz w:val="16"/>
                <w:szCs w:val="16"/>
              </w:rPr>
            </w:pPr>
            <w:r>
              <w:rPr>
                <w:noProof/>
                <w:sz w:val="16"/>
                <w:szCs w:val="16"/>
              </w:rPr>
              <w:t>Функция 7</w:t>
            </w:r>
          </w:p>
        </w:tc>
      </w:tr>
      <w:tr w:rsidR="000A3633">
        <w:trPr>
          <w:trHeight w:val="485"/>
        </w:trPr>
        <w:tc>
          <w:tcPr>
            <w:tcW w:w="735" w:type="pct"/>
            <w:vMerge w:val="restart"/>
            <w:vAlign w:val="center"/>
          </w:tcPr>
          <w:p w:rsidR="000A3633" w:rsidRDefault="0078004E">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rsidR="000A3633" w:rsidRDefault="0078004E">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rsidR="000A3633" w:rsidRDefault="0078004E">
            <w:pPr>
              <w:spacing w:beforeLines="20" w:before="48" w:afterLines="20" w:after="48"/>
              <w:jc w:val="center"/>
              <w:rPr>
                <w:noProof/>
                <w:sz w:val="16"/>
                <w:szCs w:val="16"/>
              </w:rPr>
            </w:pPr>
            <w:r>
              <w:rPr>
                <w:noProof/>
                <w:sz w:val="16"/>
                <w:szCs w:val="16"/>
              </w:rPr>
              <w:t>2</w:t>
            </w:r>
          </w:p>
        </w:tc>
      </w:tr>
      <w:tr w:rsidR="000A3633">
        <w:trPr>
          <w:trHeight w:val="289"/>
        </w:trPr>
        <w:tc>
          <w:tcPr>
            <w:tcW w:w="735" w:type="pct"/>
            <w:vMerge/>
            <w:vAlign w:val="center"/>
          </w:tcPr>
          <w:p w:rsidR="000A3633" w:rsidRDefault="000A3633">
            <w:pPr>
              <w:pStyle w:val="Text1"/>
              <w:spacing w:beforeLines="20" w:before="48" w:afterLines="20" w:after="48"/>
              <w:ind w:left="136"/>
              <w:jc w:val="left"/>
              <w:rPr>
                <w:noProof/>
                <w:sz w:val="16"/>
                <w:szCs w:val="16"/>
              </w:rPr>
            </w:pPr>
          </w:p>
        </w:tc>
        <w:tc>
          <w:tcPr>
            <w:tcW w:w="737" w:type="pct"/>
            <w:vAlign w:val="center"/>
          </w:tcPr>
          <w:p w:rsidR="000A3633" w:rsidRDefault="0078004E">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370"/>
        </w:trPr>
        <w:tc>
          <w:tcPr>
            <w:tcW w:w="735" w:type="pct"/>
            <w:vMerge w:val="restart"/>
            <w:vAlign w:val="center"/>
          </w:tcPr>
          <w:p w:rsidR="000A3633" w:rsidRDefault="0078004E">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rStyle w:val="FootnoteReference"/>
                <w:noProof/>
                <w:sz w:val="16"/>
              </w:rPr>
              <w:footnoteReference w:id="46"/>
            </w:r>
          </w:p>
        </w:tc>
        <w:tc>
          <w:tcPr>
            <w:tcW w:w="737" w:type="pct"/>
            <w:shd w:val="clear" w:color="auto" w:fill="auto"/>
            <w:vAlign w:val="center"/>
          </w:tcPr>
          <w:p w:rsidR="000A3633" w:rsidRDefault="0078004E">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0A3633" w:rsidRDefault="000A3633">
            <w:pPr>
              <w:pStyle w:val="Text1"/>
              <w:spacing w:beforeLines="20" w:before="48" w:afterLines="20" w:after="48"/>
              <w:ind w:left="0"/>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289"/>
        </w:trPr>
        <w:tc>
          <w:tcPr>
            <w:tcW w:w="735" w:type="pct"/>
            <w:vMerge/>
          </w:tcPr>
          <w:p w:rsidR="000A3633" w:rsidRDefault="000A3633">
            <w:pPr>
              <w:pStyle w:val="Text1"/>
              <w:spacing w:beforeLines="20" w:before="48" w:afterLines="20" w:after="48"/>
              <w:ind w:left="136"/>
              <w:jc w:val="left"/>
              <w:rPr>
                <w:b/>
                <w:noProof/>
                <w:sz w:val="16"/>
                <w:szCs w:val="16"/>
              </w:rPr>
            </w:pPr>
          </w:p>
        </w:tc>
        <w:tc>
          <w:tcPr>
            <w:tcW w:w="737" w:type="pct"/>
            <w:shd w:val="clear" w:color="auto" w:fill="auto"/>
            <w:vAlign w:val="center"/>
          </w:tcPr>
          <w:p w:rsidR="000A3633" w:rsidRDefault="0078004E">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0A3633" w:rsidRDefault="000A3633">
            <w:pPr>
              <w:pStyle w:val="Text1"/>
              <w:spacing w:beforeLines="20" w:before="48" w:afterLines="20" w:after="48"/>
              <w:ind w:left="0"/>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289"/>
        </w:trPr>
        <w:tc>
          <w:tcPr>
            <w:tcW w:w="1472" w:type="pct"/>
            <w:gridSpan w:val="2"/>
          </w:tcPr>
          <w:p w:rsidR="000A3633" w:rsidRDefault="0078004E">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466" w:type="pct"/>
            <w:shd w:val="clear" w:color="auto" w:fill="auto"/>
            <w:vAlign w:val="center"/>
          </w:tcPr>
          <w:p w:rsidR="000A3633" w:rsidRDefault="000A3633">
            <w:pPr>
              <w:spacing w:beforeLines="20" w:before="48" w:afterLines="20" w:after="48"/>
              <w:jc w:val="center"/>
              <w:rPr>
                <w:noProof/>
                <w:sz w:val="16"/>
                <w:szCs w:val="16"/>
              </w:rPr>
            </w:pPr>
          </w:p>
        </w:tc>
        <w:tc>
          <w:tcPr>
            <w:tcW w:w="534" w:type="pct"/>
            <w:shd w:val="clear" w:color="auto" w:fill="auto"/>
            <w:vAlign w:val="center"/>
          </w:tcPr>
          <w:p w:rsidR="000A3633" w:rsidRDefault="000A3633">
            <w:pPr>
              <w:spacing w:beforeLines="20" w:before="48" w:afterLines="20" w:after="48"/>
              <w:jc w:val="center"/>
              <w:rPr>
                <w:noProof/>
                <w:sz w:val="16"/>
                <w:szCs w:val="16"/>
              </w:rPr>
            </w:pPr>
          </w:p>
        </w:tc>
        <w:tc>
          <w:tcPr>
            <w:tcW w:w="533" w:type="pct"/>
            <w:shd w:val="clear" w:color="auto" w:fill="auto"/>
            <w:vAlign w:val="center"/>
          </w:tcPr>
          <w:p w:rsidR="000A3633" w:rsidRDefault="000A3633">
            <w:pPr>
              <w:spacing w:beforeLines="20" w:before="48" w:afterLines="20" w:after="48"/>
              <w:jc w:val="center"/>
              <w:rPr>
                <w:noProof/>
                <w:sz w:val="16"/>
                <w:szCs w:val="16"/>
              </w:rPr>
            </w:pPr>
          </w:p>
        </w:tc>
        <w:tc>
          <w:tcPr>
            <w:tcW w:w="468" w:type="pct"/>
            <w:shd w:val="clear" w:color="auto" w:fill="auto"/>
            <w:vAlign w:val="center"/>
          </w:tcPr>
          <w:p w:rsidR="000A3633" w:rsidRDefault="000A3633">
            <w:pPr>
              <w:spacing w:beforeLines="20" w:before="48" w:afterLines="20" w:after="48"/>
              <w:jc w:val="center"/>
              <w:rPr>
                <w:noProof/>
                <w:sz w:val="16"/>
                <w:szCs w:val="16"/>
              </w:rPr>
            </w:pPr>
          </w:p>
        </w:tc>
        <w:tc>
          <w:tcPr>
            <w:tcW w:w="527" w:type="pct"/>
            <w:shd w:val="clear" w:color="auto" w:fill="auto"/>
            <w:vAlign w:val="center"/>
          </w:tcPr>
          <w:p w:rsidR="000A3633" w:rsidRDefault="000A3633">
            <w:pPr>
              <w:spacing w:beforeLines="20" w:before="48" w:afterLines="20" w:after="48"/>
              <w:jc w:val="center"/>
              <w:rPr>
                <w:noProof/>
                <w:sz w:val="16"/>
                <w:szCs w:val="16"/>
              </w:rPr>
            </w:pPr>
          </w:p>
        </w:tc>
      </w:tr>
      <w:tr w:rsidR="000A3633">
        <w:trPr>
          <w:trHeight w:val="289"/>
        </w:trPr>
        <w:tc>
          <w:tcPr>
            <w:tcW w:w="1472" w:type="pct"/>
            <w:gridSpan w:val="2"/>
            <w:tcBorders>
              <w:bottom w:val="double" w:sz="4" w:space="0" w:color="auto"/>
            </w:tcBorders>
          </w:tcPr>
          <w:p w:rsidR="000A3633" w:rsidRDefault="0078004E">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0A3633" w:rsidRDefault="000A3633">
            <w:pPr>
              <w:spacing w:beforeLines="20" w:before="48" w:afterLines="20" w:after="48"/>
              <w:jc w:val="center"/>
              <w:rPr>
                <w:noProof/>
                <w:sz w:val="16"/>
                <w:szCs w:val="16"/>
              </w:rPr>
            </w:pPr>
          </w:p>
        </w:tc>
      </w:tr>
      <w:tr w:rsidR="000A3633">
        <w:trPr>
          <w:trHeight w:val="289"/>
        </w:trPr>
        <w:tc>
          <w:tcPr>
            <w:tcW w:w="1472" w:type="pct"/>
            <w:gridSpan w:val="2"/>
            <w:tcBorders>
              <w:top w:val="double" w:sz="4" w:space="0" w:color="auto"/>
            </w:tcBorders>
          </w:tcPr>
          <w:p w:rsidR="000A3633" w:rsidRDefault="0078004E">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534"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466"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534"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533"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468"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c>
          <w:tcPr>
            <w:tcW w:w="527" w:type="pct"/>
            <w:tcBorders>
              <w:top w:val="double" w:sz="4" w:space="0" w:color="auto"/>
            </w:tcBorders>
            <w:shd w:val="clear" w:color="auto" w:fill="auto"/>
          </w:tcPr>
          <w:p w:rsidR="000A3633" w:rsidRDefault="0078004E">
            <w:pPr>
              <w:spacing w:beforeLines="20" w:before="48" w:afterLines="20" w:after="48"/>
              <w:jc w:val="center"/>
              <w:rPr>
                <w:b/>
                <w:noProof/>
                <w:sz w:val="16"/>
                <w:szCs w:val="16"/>
              </w:rPr>
            </w:pPr>
            <w:r>
              <w:rPr>
                <w:b/>
                <w:noProof/>
                <w:sz w:val="16"/>
                <w:szCs w:val="16"/>
              </w:rPr>
              <w:t>11</w:t>
            </w:r>
          </w:p>
        </w:tc>
      </w:tr>
    </w:tbl>
    <w:p w:rsidR="000A3633" w:rsidRDefault="0078004E">
      <w:pPr>
        <w:pStyle w:val="Text1"/>
        <w:ind w:left="0"/>
        <w:rPr>
          <w:noProof/>
          <w:sz w:val="18"/>
          <w:szCs w:val="18"/>
        </w:rPr>
      </w:pPr>
      <w:r>
        <w:rPr>
          <w:noProof/>
          <w:sz w:val="18"/>
        </w:rPr>
        <w:t xml:space="preserve">Нуждите от човешки ресурси ще бъдат покрити от персонала на </w:t>
      </w:r>
      <w:r>
        <w:rPr>
          <w:noProof/>
          <w:sz w:val="18"/>
        </w:rPr>
        <w:t>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w:t>
      </w:r>
      <w:r>
        <w:rPr>
          <w:noProof/>
          <w:sz w:val="18"/>
        </w:rPr>
        <w:t xml:space="preserve"> отпускане на средства и като се имат предвид бюджетните ограничения.</w:t>
      </w:r>
    </w:p>
    <w:p w:rsidR="000A3633" w:rsidRDefault="0078004E">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0A3633">
        <w:tc>
          <w:tcPr>
            <w:tcW w:w="3240" w:type="dxa"/>
          </w:tcPr>
          <w:p w:rsidR="000A3633" w:rsidRDefault="0078004E">
            <w:pPr>
              <w:rPr>
                <w:noProof/>
                <w:sz w:val="20"/>
              </w:rPr>
            </w:pPr>
            <w:r>
              <w:rPr>
                <w:noProof/>
                <w:sz w:val="20"/>
              </w:rPr>
              <w:t>Длъжностни лица и срочно наети служители</w:t>
            </w:r>
          </w:p>
        </w:tc>
        <w:tc>
          <w:tcPr>
            <w:tcW w:w="7392" w:type="dxa"/>
          </w:tcPr>
          <w:p w:rsidR="000A3633" w:rsidRDefault="0078004E">
            <w:pPr>
              <w:rPr>
                <w:noProof/>
                <w:sz w:val="20"/>
              </w:rPr>
            </w:pPr>
            <w:r>
              <w:rPr>
                <w:noProof/>
                <w:sz w:val="20"/>
              </w:rPr>
              <w:t>Анализиране и обсъждане на подадените от държавите членки заявления за ЕФПГ. Да подготви документацията за подаване на заявления за ЕФПГ пред Комисията и бюджетния орган; консултирайте се и обсъдете със съответните служби на Комисията през целия им работен</w:t>
            </w:r>
            <w:r>
              <w:rPr>
                <w:noProof/>
                <w:sz w:val="20"/>
              </w:rPr>
              <w:t xml:space="preserve"> процес. Мониторинг на изпълнението на финансовите вноски. Подгответе и / или обсъдете съответните модификации на представените приложения. </w:t>
            </w:r>
          </w:p>
        </w:tc>
      </w:tr>
      <w:tr w:rsidR="000A3633">
        <w:tc>
          <w:tcPr>
            <w:tcW w:w="3240" w:type="dxa"/>
          </w:tcPr>
          <w:p w:rsidR="000A3633" w:rsidRDefault="0078004E">
            <w:pPr>
              <w:spacing w:before="60" w:after="60"/>
              <w:rPr>
                <w:noProof/>
                <w:sz w:val="20"/>
              </w:rPr>
            </w:pPr>
            <w:r>
              <w:rPr>
                <w:noProof/>
                <w:sz w:val="20"/>
              </w:rPr>
              <w:t>Външен персонал</w:t>
            </w:r>
          </w:p>
        </w:tc>
        <w:tc>
          <w:tcPr>
            <w:tcW w:w="7392" w:type="dxa"/>
          </w:tcPr>
          <w:p w:rsidR="000A3633" w:rsidRDefault="0078004E">
            <w:pPr>
              <w:rPr>
                <w:noProof/>
                <w:sz w:val="20"/>
              </w:rPr>
            </w:pPr>
            <w:r>
              <w:rPr>
                <w:noProof/>
                <w:sz w:val="20"/>
              </w:rPr>
              <w:t>Анализиране и обсъждане на подадените от държавите членки заявления за ЕФПГ. Да подготви документа</w:t>
            </w:r>
            <w:r>
              <w:rPr>
                <w:noProof/>
                <w:sz w:val="20"/>
              </w:rPr>
              <w:t>цията за подаване на заявления за ЕФПГ пред Комисията и бюджетния орган; консултирайте се и обсъдете със съответните служби на Комисията през целия им работен процес. Мониторинг на изпълнението на финансовите вноски. Подгответе и / или обсъдете съответните</w:t>
            </w:r>
            <w:r>
              <w:rPr>
                <w:noProof/>
                <w:sz w:val="20"/>
              </w:rPr>
              <w:t xml:space="preserve"> модификации на представените приложения. </w:t>
            </w:r>
          </w:p>
        </w:tc>
      </w:tr>
    </w:tbl>
    <w:p w:rsidR="000A3633" w:rsidRDefault="000A3633">
      <w:pPr>
        <w:rPr>
          <w:noProof/>
        </w:rPr>
        <w:sectPr w:rsidR="000A3633" w:rsidSect="0078004E">
          <w:pgSz w:w="11907" w:h="16840"/>
          <w:pgMar w:top="1134" w:right="1418" w:bottom="1134" w:left="1418" w:header="709" w:footer="709" w:gutter="0"/>
          <w:cols w:space="708"/>
          <w:docGrid w:linePitch="360"/>
        </w:sectPr>
      </w:pPr>
    </w:p>
    <w:p w:rsidR="000A3633" w:rsidRDefault="0078004E">
      <w:pPr>
        <w:pStyle w:val="ManualHeading3"/>
        <w:rPr>
          <w:bCs/>
          <w:noProof/>
          <w:szCs w:val="24"/>
        </w:rPr>
      </w:pPr>
      <w:r>
        <w:rPr>
          <w:noProof/>
        </w:rPr>
        <w:t>3.2.3.</w:t>
      </w:r>
      <w:r>
        <w:rPr>
          <w:noProof/>
        </w:rPr>
        <w:tab/>
        <w:t xml:space="preserve">Финансов принос от трети страни </w:t>
      </w:r>
    </w:p>
    <w:p w:rsidR="000A3633" w:rsidRDefault="0078004E">
      <w:pPr>
        <w:pStyle w:val="Text1"/>
        <w:rPr>
          <w:noProof/>
        </w:rPr>
      </w:pPr>
      <w:r>
        <w:rPr>
          <w:noProof/>
        </w:rPr>
        <w:t>Предложението/инициативата:</w:t>
      </w:r>
    </w:p>
    <w:p w:rsidR="000A3633" w:rsidRDefault="0078004E">
      <w:pPr>
        <w:pStyle w:val="ListDash1"/>
        <w:rPr>
          <w:noProof/>
        </w:rPr>
      </w:pPr>
      <w:r>
        <w:rPr>
          <w:noProof/>
        </w:rPr>
        <w:sym w:font="Wingdings" w:char="F0FE"/>
      </w:r>
      <w:r>
        <w:rPr>
          <w:noProof/>
        </w:rPr>
        <w:tab/>
        <w:t>не предвижда съфинансиране от трети страни</w:t>
      </w:r>
    </w:p>
    <w:p w:rsidR="000A3633" w:rsidRDefault="0078004E">
      <w:pPr>
        <w:pStyle w:val="ListDash1"/>
        <w:rPr>
          <w:noProof/>
        </w:rPr>
      </w:pPr>
      <w:r>
        <w:rPr>
          <w:noProof/>
        </w:rPr>
        <w:sym w:font="Wingdings" w:char="F0A8"/>
      </w:r>
      <w:r>
        <w:rPr>
          <w:noProof/>
        </w:rPr>
        <w:tab/>
        <w:t xml:space="preserve">предвижда следното съфинансиране от трети страни, като оценките са дадени </w:t>
      </w:r>
      <w:r>
        <w:rPr>
          <w:noProof/>
        </w:rPr>
        <w:t>по-долу:</w:t>
      </w:r>
    </w:p>
    <w:p w:rsidR="000A3633" w:rsidRDefault="0078004E">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A3633">
        <w:trPr>
          <w:cantSplit/>
          <w:jc w:val="center"/>
        </w:trPr>
        <w:tc>
          <w:tcPr>
            <w:tcW w:w="2340" w:type="dxa"/>
            <w:vAlign w:val="center"/>
          </w:tcPr>
          <w:p w:rsidR="000A3633" w:rsidRDefault="0078004E">
            <w:pPr>
              <w:spacing w:before="60" w:after="60"/>
              <w:jc w:val="center"/>
              <w:rPr>
                <w:b/>
                <w:noProof/>
                <w:sz w:val="20"/>
              </w:rPr>
            </w:pPr>
            <w:r>
              <w:rPr>
                <w:b/>
                <w:noProof/>
                <w:sz w:val="20"/>
              </w:rPr>
              <w:t>Години</w:t>
            </w:r>
          </w:p>
        </w:tc>
        <w:tc>
          <w:tcPr>
            <w:tcW w:w="964" w:type="dxa"/>
            <w:vAlign w:val="center"/>
          </w:tcPr>
          <w:p w:rsidR="000A3633" w:rsidRDefault="0078004E">
            <w:pPr>
              <w:jc w:val="center"/>
              <w:rPr>
                <w:noProof/>
                <w:sz w:val="20"/>
              </w:rPr>
            </w:pPr>
            <w:r>
              <w:rPr>
                <w:b/>
                <w:noProof/>
                <w:sz w:val="20"/>
              </w:rPr>
              <w:t>2021 г.</w:t>
            </w:r>
          </w:p>
        </w:tc>
        <w:tc>
          <w:tcPr>
            <w:tcW w:w="964" w:type="dxa"/>
            <w:vAlign w:val="center"/>
          </w:tcPr>
          <w:p w:rsidR="000A3633" w:rsidRDefault="0078004E">
            <w:pPr>
              <w:jc w:val="center"/>
              <w:rPr>
                <w:b/>
                <w:noProof/>
                <w:sz w:val="20"/>
              </w:rPr>
            </w:pPr>
            <w:r>
              <w:rPr>
                <w:b/>
                <w:noProof/>
                <w:sz w:val="20"/>
              </w:rPr>
              <w:t>2022 г.</w:t>
            </w:r>
          </w:p>
        </w:tc>
        <w:tc>
          <w:tcPr>
            <w:tcW w:w="964" w:type="dxa"/>
            <w:vAlign w:val="center"/>
          </w:tcPr>
          <w:p w:rsidR="000A3633" w:rsidRDefault="0078004E">
            <w:pPr>
              <w:jc w:val="center"/>
              <w:rPr>
                <w:b/>
                <w:noProof/>
                <w:sz w:val="20"/>
              </w:rPr>
            </w:pPr>
            <w:r>
              <w:rPr>
                <w:b/>
                <w:noProof/>
                <w:sz w:val="20"/>
              </w:rPr>
              <w:t>2023 г.</w:t>
            </w:r>
          </w:p>
        </w:tc>
        <w:tc>
          <w:tcPr>
            <w:tcW w:w="964" w:type="dxa"/>
            <w:vAlign w:val="center"/>
          </w:tcPr>
          <w:p w:rsidR="000A3633" w:rsidRDefault="0078004E">
            <w:pPr>
              <w:jc w:val="center"/>
              <w:rPr>
                <w:b/>
                <w:noProof/>
                <w:sz w:val="20"/>
              </w:rPr>
            </w:pPr>
            <w:r>
              <w:rPr>
                <w:b/>
                <w:noProof/>
                <w:sz w:val="20"/>
              </w:rPr>
              <w:t>2024 г.</w:t>
            </w:r>
          </w:p>
        </w:tc>
        <w:tc>
          <w:tcPr>
            <w:tcW w:w="964" w:type="dxa"/>
            <w:vAlign w:val="center"/>
          </w:tcPr>
          <w:p w:rsidR="000A3633" w:rsidRDefault="0078004E">
            <w:pPr>
              <w:jc w:val="center"/>
              <w:rPr>
                <w:b/>
                <w:noProof/>
                <w:sz w:val="20"/>
              </w:rPr>
            </w:pPr>
            <w:r>
              <w:rPr>
                <w:b/>
                <w:noProof/>
                <w:sz w:val="20"/>
              </w:rPr>
              <w:t>2025 г.</w:t>
            </w:r>
          </w:p>
        </w:tc>
        <w:tc>
          <w:tcPr>
            <w:tcW w:w="964" w:type="dxa"/>
            <w:vAlign w:val="center"/>
          </w:tcPr>
          <w:p w:rsidR="000A3633" w:rsidRDefault="0078004E">
            <w:pPr>
              <w:jc w:val="center"/>
              <w:rPr>
                <w:b/>
                <w:noProof/>
                <w:sz w:val="20"/>
              </w:rPr>
            </w:pPr>
            <w:r>
              <w:rPr>
                <w:b/>
                <w:noProof/>
                <w:sz w:val="20"/>
              </w:rPr>
              <w:t>2026 г.</w:t>
            </w:r>
          </w:p>
        </w:tc>
        <w:tc>
          <w:tcPr>
            <w:tcW w:w="964" w:type="dxa"/>
            <w:vAlign w:val="center"/>
          </w:tcPr>
          <w:p w:rsidR="000A3633" w:rsidRDefault="0078004E">
            <w:pPr>
              <w:jc w:val="center"/>
              <w:rPr>
                <w:b/>
                <w:noProof/>
                <w:sz w:val="20"/>
              </w:rPr>
            </w:pPr>
            <w:r>
              <w:rPr>
                <w:b/>
                <w:noProof/>
                <w:sz w:val="20"/>
              </w:rPr>
              <w:t>2027 г.</w:t>
            </w:r>
          </w:p>
        </w:tc>
        <w:tc>
          <w:tcPr>
            <w:tcW w:w="1158" w:type="dxa"/>
            <w:vAlign w:val="center"/>
          </w:tcPr>
          <w:p w:rsidR="000A3633" w:rsidRDefault="0078004E">
            <w:pPr>
              <w:spacing w:before="60" w:after="60"/>
              <w:jc w:val="center"/>
              <w:rPr>
                <w:b/>
                <w:noProof/>
                <w:sz w:val="20"/>
              </w:rPr>
            </w:pPr>
            <w:r>
              <w:rPr>
                <w:b/>
                <w:noProof/>
                <w:sz w:val="20"/>
              </w:rPr>
              <w:t>ОБЩО</w:t>
            </w:r>
          </w:p>
        </w:tc>
      </w:tr>
      <w:tr w:rsidR="000A3633">
        <w:trPr>
          <w:cantSplit/>
          <w:jc w:val="center"/>
        </w:trPr>
        <w:tc>
          <w:tcPr>
            <w:tcW w:w="2340" w:type="dxa"/>
          </w:tcPr>
          <w:p w:rsidR="000A3633" w:rsidRDefault="0078004E">
            <w:pPr>
              <w:rPr>
                <w:noProof/>
              </w:rPr>
            </w:pPr>
            <w:r>
              <w:rPr>
                <w:noProof/>
                <w:sz w:val="20"/>
              </w:rPr>
              <w:t>Да се посочи съфинансиращият орган</w:t>
            </w:r>
            <w:r>
              <w:rPr>
                <w:i/>
                <w:noProof/>
                <w:sz w:val="20"/>
              </w:rPr>
              <w:t xml:space="preserve"> </w:t>
            </w: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1158" w:type="dxa"/>
            <w:vAlign w:val="center"/>
          </w:tcPr>
          <w:p w:rsidR="000A3633" w:rsidRDefault="000A3633">
            <w:pPr>
              <w:spacing w:before="60" w:after="60"/>
              <w:jc w:val="center"/>
              <w:rPr>
                <w:noProof/>
                <w:sz w:val="20"/>
              </w:rPr>
            </w:pPr>
          </w:p>
        </w:tc>
      </w:tr>
      <w:tr w:rsidR="000A3633">
        <w:trPr>
          <w:cantSplit/>
          <w:jc w:val="center"/>
        </w:trPr>
        <w:tc>
          <w:tcPr>
            <w:tcW w:w="2340" w:type="dxa"/>
          </w:tcPr>
          <w:p w:rsidR="000A3633" w:rsidRDefault="0078004E">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964" w:type="dxa"/>
            <w:vAlign w:val="center"/>
          </w:tcPr>
          <w:p w:rsidR="000A3633" w:rsidRDefault="000A3633">
            <w:pPr>
              <w:spacing w:before="60" w:after="60"/>
              <w:jc w:val="center"/>
              <w:rPr>
                <w:noProof/>
                <w:sz w:val="20"/>
              </w:rPr>
            </w:pPr>
          </w:p>
        </w:tc>
        <w:tc>
          <w:tcPr>
            <w:tcW w:w="1158" w:type="dxa"/>
            <w:vAlign w:val="center"/>
          </w:tcPr>
          <w:p w:rsidR="000A3633" w:rsidRDefault="000A3633">
            <w:pPr>
              <w:spacing w:before="60" w:after="60"/>
              <w:jc w:val="center"/>
              <w:rPr>
                <w:noProof/>
                <w:sz w:val="20"/>
              </w:rPr>
            </w:pPr>
          </w:p>
        </w:tc>
      </w:tr>
    </w:tbl>
    <w:p w:rsidR="000A3633" w:rsidRDefault="000A3633">
      <w:pPr>
        <w:rPr>
          <w:noProof/>
        </w:rPr>
      </w:pPr>
    </w:p>
    <w:p w:rsidR="000A3633" w:rsidRDefault="0078004E">
      <w:pPr>
        <w:pStyle w:val="ManualHeading2"/>
        <w:rPr>
          <w:bCs/>
          <w:noProof/>
          <w:szCs w:val="24"/>
        </w:rPr>
      </w:pPr>
      <w:r>
        <w:rPr>
          <w:noProof/>
        </w:rPr>
        <w:t>3.3.</w:t>
      </w:r>
      <w:r>
        <w:rPr>
          <w:noProof/>
        </w:rPr>
        <w:tab/>
      </w:r>
      <w:r>
        <w:rPr>
          <w:noProof/>
        </w:rPr>
        <w:t xml:space="preserve">Очаквано отражение върху приходите </w:t>
      </w:r>
    </w:p>
    <w:p w:rsidR="000A3633" w:rsidRDefault="0078004E">
      <w:pPr>
        <w:pStyle w:val="ListDash1"/>
        <w:rPr>
          <w:noProof/>
        </w:rPr>
      </w:pPr>
      <w:r>
        <w:rPr>
          <w:noProof/>
        </w:rPr>
        <w:sym w:font="Wingdings" w:char="F0FE"/>
      </w:r>
      <w:r>
        <w:rPr>
          <w:noProof/>
        </w:rPr>
        <w:tab/>
        <w:t>Предложението/инициативата няма финансово отражение върху приходите.</w:t>
      </w:r>
    </w:p>
    <w:p w:rsidR="000A3633" w:rsidRDefault="0078004E">
      <w:pPr>
        <w:pStyle w:val="ListDash1"/>
        <w:rPr>
          <w:noProof/>
        </w:rPr>
      </w:pPr>
      <w:r>
        <w:rPr>
          <w:noProof/>
        </w:rPr>
        <w:sym w:font="Wingdings" w:char="F0A8"/>
      </w:r>
      <w:r>
        <w:rPr>
          <w:noProof/>
        </w:rPr>
        <w:tab/>
        <w:t>Предложението/инициативата има следното финансово отражение:</w:t>
      </w:r>
    </w:p>
    <w:p w:rsidR="000A3633" w:rsidRDefault="0078004E">
      <w:pPr>
        <w:pStyle w:val="Text3"/>
        <w:rPr>
          <w:noProof/>
        </w:rPr>
      </w:pPr>
      <w:r>
        <w:rPr>
          <w:noProof/>
        </w:rPr>
        <w:sym w:font="Wingdings" w:char="F0A8"/>
      </w:r>
      <w:r>
        <w:rPr>
          <w:noProof/>
        </w:rPr>
        <w:tab/>
        <w:t xml:space="preserve">върху собствените ресурси </w:t>
      </w:r>
    </w:p>
    <w:p w:rsidR="000A3633" w:rsidRDefault="0078004E">
      <w:pPr>
        <w:pStyle w:val="Text3"/>
        <w:rPr>
          <w:noProof/>
        </w:rPr>
      </w:pPr>
      <w:r>
        <w:rPr>
          <w:noProof/>
        </w:rPr>
        <w:sym w:font="Wingdings" w:char="F0A8"/>
      </w:r>
      <w:r>
        <w:rPr>
          <w:noProof/>
        </w:rPr>
        <w:tab/>
        <w:t>върху разните приходи</w:t>
      </w:r>
    </w:p>
    <w:p w:rsidR="000A3633" w:rsidRDefault="0078004E">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rsidR="000A3633" w:rsidRDefault="0078004E">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0A3633">
        <w:trPr>
          <w:trHeight w:val="388"/>
          <w:jc w:val="center"/>
        </w:trPr>
        <w:tc>
          <w:tcPr>
            <w:tcW w:w="2144" w:type="dxa"/>
            <w:vMerge w:val="restart"/>
            <w:vAlign w:val="center"/>
          </w:tcPr>
          <w:p w:rsidR="000A3633" w:rsidRDefault="0078004E">
            <w:pPr>
              <w:spacing w:before="40" w:after="40"/>
              <w:rPr>
                <w:noProof/>
                <w:sz w:val="18"/>
              </w:rPr>
            </w:pPr>
            <w:r>
              <w:rPr>
                <w:noProof/>
                <w:sz w:val="18"/>
              </w:rPr>
              <w:t>Приходен бюджетен ред:</w:t>
            </w:r>
          </w:p>
        </w:tc>
        <w:tc>
          <w:tcPr>
            <w:tcW w:w="7200" w:type="dxa"/>
            <w:gridSpan w:val="7"/>
            <w:vAlign w:val="center"/>
          </w:tcPr>
          <w:p w:rsidR="000A3633" w:rsidRDefault="0078004E">
            <w:pPr>
              <w:jc w:val="center"/>
              <w:rPr>
                <w:noProof/>
                <w:sz w:val="18"/>
              </w:rPr>
            </w:pPr>
            <w:r>
              <w:rPr>
                <w:noProof/>
                <w:sz w:val="18"/>
              </w:rPr>
              <w:t>Отражение на предложението/инициативата</w:t>
            </w:r>
            <w:r>
              <w:rPr>
                <w:rStyle w:val="FootnoteReference"/>
                <w:noProof/>
                <w:sz w:val="18"/>
              </w:rPr>
              <w:footnoteReference w:id="47"/>
            </w:r>
          </w:p>
        </w:tc>
      </w:tr>
      <w:tr w:rsidR="000A3633">
        <w:trPr>
          <w:trHeight w:val="388"/>
          <w:jc w:val="center"/>
        </w:trPr>
        <w:tc>
          <w:tcPr>
            <w:tcW w:w="2144" w:type="dxa"/>
            <w:vMerge/>
          </w:tcPr>
          <w:p w:rsidR="000A3633" w:rsidRDefault="000A3633">
            <w:pPr>
              <w:spacing w:before="40" w:after="40"/>
              <w:rPr>
                <w:noProof/>
                <w:sz w:val="18"/>
              </w:rPr>
            </w:pPr>
          </w:p>
        </w:tc>
        <w:tc>
          <w:tcPr>
            <w:tcW w:w="1080" w:type="dxa"/>
            <w:vAlign w:val="center"/>
          </w:tcPr>
          <w:p w:rsidR="000A3633" w:rsidRDefault="0078004E">
            <w:pPr>
              <w:jc w:val="center"/>
              <w:rPr>
                <w:noProof/>
                <w:sz w:val="18"/>
              </w:rPr>
            </w:pPr>
            <w:r>
              <w:rPr>
                <w:b/>
                <w:noProof/>
                <w:sz w:val="20"/>
              </w:rPr>
              <w:t>2021 г.</w:t>
            </w:r>
          </w:p>
        </w:tc>
        <w:tc>
          <w:tcPr>
            <w:tcW w:w="900" w:type="dxa"/>
            <w:vAlign w:val="center"/>
          </w:tcPr>
          <w:p w:rsidR="000A3633" w:rsidRDefault="0078004E">
            <w:pPr>
              <w:jc w:val="center"/>
              <w:rPr>
                <w:b/>
                <w:noProof/>
                <w:sz w:val="20"/>
              </w:rPr>
            </w:pPr>
            <w:r>
              <w:rPr>
                <w:b/>
                <w:noProof/>
                <w:sz w:val="20"/>
              </w:rPr>
              <w:t>2022 г.</w:t>
            </w:r>
          </w:p>
        </w:tc>
        <w:tc>
          <w:tcPr>
            <w:tcW w:w="900" w:type="dxa"/>
            <w:vAlign w:val="center"/>
          </w:tcPr>
          <w:p w:rsidR="000A3633" w:rsidRDefault="0078004E">
            <w:pPr>
              <w:jc w:val="center"/>
              <w:rPr>
                <w:b/>
                <w:noProof/>
                <w:sz w:val="20"/>
              </w:rPr>
            </w:pPr>
            <w:r>
              <w:rPr>
                <w:b/>
                <w:noProof/>
                <w:sz w:val="20"/>
              </w:rPr>
              <w:t>2023 г.</w:t>
            </w:r>
          </w:p>
        </w:tc>
        <w:tc>
          <w:tcPr>
            <w:tcW w:w="1080" w:type="dxa"/>
            <w:vAlign w:val="center"/>
          </w:tcPr>
          <w:p w:rsidR="000A3633" w:rsidRDefault="0078004E">
            <w:pPr>
              <w:jc w:val="center"/>
              <w:rPr>
                <w:b/>
                <w:noProof/>
                <w:sz w:val="20"/>
              </w:rPr>
            </w:pPr>
            <w:r>
              <w:rPr>
                <w:b/>
                <w:noProof/>
                <w:sz w:val="20"/>
              </w:rPr>
              <w:t>2024 г.</w:t>
            </w:r>
          </w:p>
        </w:tc>
        <w:tc>
          <w:tcPr>
            <w:tcW w:w="1080" w:type="dxa"/>
            <w:vAlign w:val="center"/>
          </w:tcPr>
          <w:p w:rsidR="000A3633" w:rsidRDefault="0078004E">
            <w:pPr>
              <w:jc w:val="center"/>
              <w:rPr>
                <w:b/>
                <w:noProof/>
                <w:sz w:val="20"/>
              </w:rPr>
            </w:pPr>
            <w:r>
              <w:rPr>
                <w:b/>
                <w:noProof/>
                <w:sz w:val="20"/>
              </w:rPr>
              <w:t>2025 г.</w:t>
            </w:r>
          </w:p>
        </w:tc>
        <w:tc>
          <w:tcPr>
            <w:tcW w:w="1080" w:type="dxa"/>
            <w:vAlign w:val="center"/>
          </w:tcPr>
          <w:p w:rsidR="000A3633" w:rsidRDefault="0078004E">
            <w:pPr>
              <w:jc w:val="center"/>
              <w:rPr>
                <w:b/>
                <w:noProof/>
                <w:sz w:val="20"/>
              </w:rPr>
            </w:pPr>
            <w:r>
              <w:rPr>
                <w:b/>
                <w:noProof/>
                <w:sz w:val="20"/>
              </w:rPr>
              <w:t>2026 г.</w:t>
            </w:r>
          </w:p>
        </w:tc>
        <w:tc>
          <w:tcPr>
            <w:tcW w:w="1080" w:type="dxa"/>
            <w:vAlign w:val="center"/>
          </w:tcPr>
          <w:p w:rsidR="000A3633" w:rsidRDefault="0078004E">
            <w:pPr>
              <w:jc w:val="center"/>
              <w:rPr>
                <w:b/>
                <w:noProof/>
                <w:sz w:val="20"/>
              </w:rPr>
            </w:pPr>
            <w:r>
              <w:rPr>
                <w:b/>
                <w:noProof/>
                <w:sz w:val="20"/>
              </w:rPr>
              <w:t>2027 г.</w:t>
            </w:r>
          </w:p>
        </w:tc>
      </w:tr>
      <w:tr w:rsidR="000A3633">
        <w:trPr>
          <w:trHeight w:val="388"/>
          <w:jc w:val="center"/>
        </w:trPr>
        <w:tc>
          <w:tcPr>
            <w:tcW w:w="2144" w:type="dxa"/>
            <w:vAlign w:val="center"/>
          </w:tcPr>
          <w:p w:rsidR="000A3633" w:rsidRDefault="0078004E">
            <w:pPr>
              <w:spacing w:before="40" w:after="40"/>
              <w:rPr>
                <w:noProof/>
                <w:sz w:val="18"/>
              </w:rPr>
            </w:pPr>
            <w:r>
              <w:rPr>
                <w:noProof/>
                <w:sz w:val="18"/>
              </w:rPr>
              <w:t>Статия …………</w:t>
            </w:r>
          </w:p>
        </w:tc>
        <w:tc>
          <w:tcPr>
            <w:tcW w:w="1080" w:type="dxa"/>
          </w:tcPr>
          <w:p w:rsidR="000A3633" w:rsidRDefault="000A3633">
            <w:pPr>
              <w:spacing w:beforeLines="40" w:before="96" w:afterLines="40" w:after="96"/>
              <w:jc w:val="center"/>
              <w:rPr>
                <w:noProof/>
                <w:sz w:val="18"/>
              </w:rPr>
            </w:pPr>
          </w:p>
        </w:tc>
        <w:tc>
          <w:tcPr>
            <w:tcW w:w="900" w:type="dxa"/>
          </w:tcPr>
          <w:p w:rsidR="000A3633" w:rsidRDefault="000A3633">
            <w:pPr>
              <w:spacing w:beforeLines="40" w:before="96" w:afterLines="40" w:after="96"/>
              <w:jc w:val="center"/>
              <w:rPr>
                <w:noProof/>
                <w:sz w:val="18"/>
              </w:rPr>
            </w:pPr>
          </w:p>
        </w:tc>
        <w:tc>
          <w:tcPr>
            <w:tcW w:w="900" w:type="dxa"/>
          </w:tcPr>
          <w:p w:rsidR="000A3633" w:rsidRDefault="000A3633">
            <w:pPr>
              <w:spacing w:beforeLines="40" w:before="96" w:afterLines="40" w:after="96"/>
              <w:jc w:val="center"/>
              <w:rPr>
                <w:noProof/>
                <w:sz w:val="18"/>
              </w:rPr>
            </w:pPr>
          </w:p>
        </w:tc>
        <w:tc>
          <w:tcPr>
            <w:tcW w:w="1080" w:type="dxa"/>
          </w:tcPr>
          <w:p w:rsidR="000A3633" w:rsidRDefault="000A3633">
            <w:pPr>
              <w:spacing w:beforeLines="40" w:before="96" w:afterLines="40" w:after="96"/>
              <w:jc w:val="center"/>
              <w:rPr>
                <w:noProof/>
                <w:sz w:val="18"/>
              </w:rPr>
            </w:pPr>
          </w:p>
        </w:tc>
        <w:tc>
          <w:tcPr>
            <w:tcW w:w="1080" w:type="dxa"/>
          </w:tcPr>
          <w:p w:rsidR="000A3633" w:rsidRDefault="000A3633">
            <w:pPr>
              <w:spacing w:beforeLines="40" w:before="96" w:afterLines="40" w:after="96"/>
              <w:jc w:val="center"/>
              <w:rPr>
                <w:noProof/>
                <w:sz w:val="18"/>
              </w:rPr>
            </w:pPr>
          </w:p>
        </w:tc>
        <w:tc>
          <w:tcPr>
            <w:tcW w:w="1080" w:type="dxa"/>
          </w:tcPr>
          <w:p w:rsidR="000A3633" w:rsidRDefault="000A3633">
            <w:pPr>
              <w:spacing w:beforeLines="40" w:before="96" w:afterLines="40" w:after="96"/>
              <w:jc w:val="center"/>
              <w:rPr>
                <w:noProof/>
                <w:sz w:val="18"/>
              </w:rPr>
            </w:pPr>
          </w:p>
        </w:tc>
        <w:tc>
          <w:tcPr>
            <w:tcW w:w="1080" w:type="dxa"/>
          </w:tcPr>
          <w:p w:rsidR="000A3633" w:rsidRDefault="000A3633">
            <w:pPr>
              <w:spacing w:beforeLines="40" w:before="96" w:afterLines="40" w:after="96"/>
              <w:jc w:val="center"/>
              <w:rPr>
                <w:noProof/>
                <w:sz w:val="18"/>
              </w:rPr>
            </w:pPr>
          </w:p>
        </w:tc>
      </w:tr>
    </w:tbl>
    <w:p w:rsidR="000A3633" w:rsidRDefault="0078004E">
      <w:pPr>
        <w:pStyle w:val="Text1"/>
        <w:rPr>
          <w:noProof/>
          <w:sz w:val="20"/>
        </w:rPr>
      </w:pPr>
      <w:r>
        <w:rPr>
          <w:noProof/>
          <w:sz w:val="20"/>
        </w:rPr>
        <w:t>За целевите приходи да се посочат съответните разходни бюджетни редове.</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w:t>
      </w:r>
    </w:p>
    <w:p w:rsidR="000A3633" w:rsidRDefault="0078004E">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0A3633" w:rsidRDefault="0078004E">
      <w:pPr>
        <w:pStyle w:val="Text1"/>
        <w:pBdr>
          <w:top w:val="single" w:sz="4" w:space="1" w:color="auto"/>
          <w:left w:val="single" w:sz="4" w:space="4" w:color="auto"/>
          <w:bottom w:val="single" w:sz="4" w:space="1" w:color="auto"/>
          <w:right w:val="single" w:sz="4" w:space="4" w:color="auto"/>
        </w:pBdr>
        <w:rPr>
          <w:noProof/>
        </w:rPr>
      </w:pPr>
      <w:r>
        <w:rPr>
          <w:noProof/>
        </w:rPr>
        <w:t>[…]</w:t>
      </w:r>
    </w:p>
    <w:p w:rsidR="000A3633" w:rsidRDefault="000A3633">
      <w:pPr>
        <w:pStyle w:val="Text1"/>
        <w:rPr>
          <w:noProof/>
          <w:lang w:eastAsia="en-GB"/>
        </w:rPr>
      </w:pPr>
    </w:p>
    <w:sectPr w:rsidR="000A3633" w:rsidSect="0078004E">
      <w:headerReference w:type="default" r:id="rId43"/>
      <w:footerReference w:type="default" r:id="rId44"/>
      <w:headerReference w:type="first" r:id="rId45"/>
      <w:footerReference w:type="first" r:id="rId46"/>
      <w:pgSz w:w="11907" w:h="16840" w:code="9"/>
      <w:pgMar w:top="709" w:right="992" w:bottom="851"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33" w:rsidRDefault="0078004E">
      <w:pPr>
        <w:spacing w:before="0" w:after="0"/>
      </w:pPr>
      <w:r>
        <w:separator/>
      </w:r>
    </w:p>
  </w:endnote>
  <w:endnote w:type="continuationSeparator" w:id="0">
    <w:p w:rsidR="000A3633" w:rsidRDefault="007800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Landscape"/>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78004E">
      <w:tab/>
    </w:r>
    <w:r w:rsidRPr="0078004E">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3"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78004E">
      <w:tab/>
    </w:r>
    <w:r w:rsidRPr="0078004E">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78004E">
      <w:tab/>
    </w:r>
    <w:r w:rsidRPr="0078004E">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3"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rsidRPr="0078004E">
      <w:rPr>
        <w:rFonts w:ascii="Arial" w:hAnsi="Arial" w:cs="Arial"/>
        <w:b/>
        <w:sz w:val="48"/>
      </w:rPr>
      <w:tab/>
    </w:r>
    <w:r w:rsidRPr="0078004E">
      <w:tab/>
    </w:r>
    <w:r w:rsidRPr="0078004E">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8004E">
      <w:tab/>
    </w:r>
    <w:r w:rsidRPr="0078004E">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8004E">
      <w:tab/>
    </w:r>
    <w:r w:rsidRPr="0078004E">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3" w:rsidRPr="0078004E" w:rsidRDefault="0078004E" w:rsidP="0078004E">
    <w:pPr>
      <w:pStyle w:val="Footer"/>
      <w:rPr>
        <w:rFonts w:ascii="Arial" w:hAnsi="Arial" w:cs="Arial"/>
        <w:b/>
        <w:sz w:val="48"/>
      </w:rPr>
    </w:pPr>
    <w:r w:rsidRPr="0078004E">
      <w:rPr>
        <w:rFonts w:ascii="Arial" w:hAnsi="Arial" w:cs="Arial"/>
        <w:b/>
        <w:sz w:val="48"/>
      </w:rPr>
      <w:t>BG</w:t>
    </w:r>
    <w:r w:rsidRPr="0078004E">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78004E">
      <w:tab/>
    </w:r>
    <w:r w:rsidRPr="0078004E">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33" w:rsidRDefault="0078004E">
      <w:pPr>
        <w:spacing w:before="0" w:after="0"/>
      </w:pPr>
      <w:r>
        <w:separator/>
      </w:r>
    </w:p>
  </w:footnote>
  <w:footnote w:type="continuationSeparator" w:id="0">
    <w:p w:rsidR="000A3633" w:rsidRDefault="0078004E">
      <w:pPr>
        <w:spacing w:before="0" w:after="0"/>
      </w:pPr>
      <w:r>
        <w:continuationSeparator/>
      </w:r>
    </w:p>
  </w:footnote>
  <w:footnote w:id="1">
    <w:p w:rsidR="000A3633" w:rsidRDefault="0078004E">
      <w:pPr>
        <w:pStyle w:val="footnotetext1"/>
        <w:rPr>
          <w:lang w:val="pt-PT"/>
        </w:rPr>
      </w:pPr>
      <w:r>
        <w:rPr>
          <w:rStyle w:val="FootnoteReference"/>
        </w:rPr>
        <w:footnoteRef/>
      </w:r>
      <w:r>
        <w:rPr>
          <w:lang w:val="pt-PT"/>
        </w:rPr>
        <w:tab/>
      </w:r>
      <w:r>
        <w:t>ОВ</w:t>
      </w:r>
      <w:r>
        <w:rPr>
          <w:lang w:val="pt-PT"/>
        </w:rPr>
        <w:t> L 406, 30.12.2006 </w:t>
      </w:r>
      <w:r>
        <w:t>г</w:t>
      </w:r>
      <w:r>
        <w:rPr>
          <w:lang w:val="pt-PT"/>
        </w:rPr>
        <w:t xml:space="preserve">., </w:t>
      </w:r>
      <w:r>
        <w:t>стр</w:t>
      </w:r>
      <w:r>
        <w:rPr>
          <w:lang w:val="pt-PT"/>
        </w:rPr>
        <w:t>. 1.</w:t>
      </w:r>
    </w:p>
  </w:footnote>
  <w:footnote w:id="2">
    <w:p w:rsidR="000A3633" w:rsidRDefault="0078004E">
      <w:pPr>
        <w:pStyle w:val="footnotetext1"/>
        <w:rPr>
          <w:lang w:val="pt-PT"/>
        </w:rPr>
      </w:pPr>
      <w:r>
        <w:rPr>
          <w:rStyle w:val="FootnoteReference"/>
        </w:rPr>
        <w:footnoteRef/>
      </w:r>
      <w:r>
        <w:rPr>
          <w:lang w:val="pt-PT"/>
        </w:rPr>
        <w:tab/>
        <w:t>COM(2008) 800 final, 26.11.2008 </w:t>
      </w:r>
      <w:r>
        <w:t>г</w:t>
      </w:r>
      <w:r>
        <w:rPr>
          <w:lang w:val="pt-PT"/>
        </w:rPr>
        <w:t>.</w:t>
      </w:r>
    </w:p>
  </w:footnote>
  <w:footnote w:id="3">
    <w:p w:rsidR="000A3633" w:rsidRDefault="0078004E">
      <w:pPr>
        <w:pStyle w:val="footnotetext1"/>
        <w:rPr>
          <w:lang w:val="pt-PT"/>
        </w:rPr>
      </w:pPr>
      <w:r>
        <w:rPr>
          <w:rStyle w:val="FootnoteReference"/>
        </w:rPr>
        <w:footnoteRef/>
      </w:r>
      <w:r>
        <w:rPr>
          <w:lang w:val="pt-PT"/>
        </w:rPr>
        <w:tab/>
      </w:r>
      <w:r>
        <w:t>Регламент</w:t>
      </w:r>
      <w:r>
        <w:rPr>
          <w:lang w:val="pt-PT"/>
        </w:rPr>
        <w:t xml:space="preserve"> (</w:t>
      </w:r>
      <w:r>
        <w:t>ЕО</w:t>
      </w:r>
      <w:r>
        <w:rPr>
          <w:lang w:val="pt-PT"/>
        </w:rPr>
        <w:t xml:space="preserve">) № 546/2009, </w:t>
      </w:r>
      <w:r>
        <w:t>ОВ</w:t>
      </w:r>
      <w:r>
        <w:rPr>
          <w:lang w:val="pt-PT"/>
        </w:rPr>
        <w:t> L 167, 29.6.2009 </w:t>
      </w:r>
      <w:r>
        <w:t>г</w:t>
      </w:r>
      <w:r>
        <w:rPr>
          <w:lang w:val="pt-PT"/>
        </w:rPr>
        <w:t xml:space="preserve">., </w:t>
      </w:r>
      <w:r>
        <w:t>стр</w:t>
      </w:r>
      <w:r>
        <w:rPr>
          <w:lang w:val="pt-PT"/>
        </w:rPr>
        <w:t>. 26.</w:t>
      </w:r>
    </w:p>
  </w:footnote>
  <w:footnote w:id="4">
    <w:p w:rsidR="000A3633" w:rsidRDefault="0078004E">
      <w:pPr>
        <w:pStyle w:val="footnotetext1"/>
        <w:rPr>
          <w:lang w:val="pt-PT"/>
        </w:rPr>
      </w:pPr>
      <w:r>
        <w:rPr>
          <w:rStyle w:val="FootnoteReference"/>
        </w:rPr>
        <w:footnoteRef/>
      </w:r>
      <w:r>
        <w:rPr>
          <w:lang w:val="pt-PT"/>
        </w:rPr>
        <w:tab/>
      </w:r>
      <w:r>
        <w:t>Регламент</w:t>
      </w:r>
      <w:r>
        <w:rPr>
          <w:lang w:val="pt-PT"/>
        </w:rPr>
        <w:t xml:space="preserve"> (</w:t>
      </w:r>
      <w:r>
        <w:t>ЕС</w:t>
      </w:r>
      <w:r>
        <w:rPr>
          <w:lang w:val="pt-PT"/>
        </w:rPr>
        <w:t xml:space="preserve">) № 1309/2013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относно</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(2014—2020 </w:t>
      </w:r>
      <w:r>
        <w:t>г</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 1927/2006.</w:t>
      </w:r>
    </w:p>
  </w:footnote>
  <w:footnote w:id="5">
    <w:p w:rsidR="000A3633" w:rsidRDefault="0078004E">
      <w:pPr>
        <w:pStyle w:val="footnotetext1"/>
        <w:rPr>
          <w:lang w:val="pt-PT"/>
        </w:rPr>
      </w:pPr>
      <w:r>
        <w:rPr>
          <w:rStyle w:val="FootnoteReference"/>
        </w:rPr>
        <w:footnoteRef/>
      </w:r>
      <w:r>
        <w:rPr>
          <w:lang w:val="pt-PT"/>
        </w:rPr>
        <w:tab/>
      </w:r>
      <w:hyperlink r:id="rId1" w:history="1">
        <w:r>
          <w:rPr>
            <w:rStyle w:val="Hyperlink"/>
            <w:lang w:val="pt-PT"/>
          </w:rPr>
          <w:t>https://ec.europa.eu/com</w:t>
        </w:r>
        <w:r>
          <w:rPr>
            <w:rStyle w:val="Hyperlink"/>
            <w:lang w:val="pt-PT"/>
          </w:rPr>
          <w:t>mission/priorities/deeper-and-fairer-economic-and-monetary-union/european-pillar-social-rights_bg</w:t>
        </w:r>
      </w:hyperlink>
      <w:r>
        <w:rPr>
          <w:rStyle w:val="Hyperlink"/>
          <w:lang w:val="pt-PT"/>
        </w:rPr>
        <w:t>.</w:t>
      </w:r>
    </w:p>
  </w:footnote>
  <w:footnote w:id="6">
    <w:p w:rsidR="000A3633" w:rsidRDefault="0078004E">
      <w:pPr>
        <w:pStyle w:val="footnotetext1"/>
        <w:ind w:left="0" w:firstLine="0"/>
        <w:rPr>
          <w:lang w:val="pt-PT"/>
        </w:rPr>
      </w:pPr>
      <w:r>
        <w:rPr>
          <w:rStyle w:val="FootnoteReference"/>
        </w:rPr>
        <w:footnoteRef/>
      </w:r>
      <w:r>
        <w:rPr>
          <w:lang w:val="pt-PT"/>
        </w:rPr>
        <w:tab/>
      </w:r>
      <w:r>
        <w:t>Първоначално</w:t>
      </w:r>
      <w:r>
        <w:rPr>
          <w:lang w:val="pt-PT"/>
        </w:rPr>
        <w:t xml:space="preserve"> </w:t>
      </w:r>
      <w:r>
        <w:t>се</w:t>
      </w:r>
      <w:r>
        <w:rPr>
          <w:lang w:val="pt-PT"/>
        </w:rPr>
        <w:t xml:space="preserve"> </w:t>
      </w:r>
      <w:r>
        <w:t>прилагаше</w:t>
      </w:r>
      <w:r>
        <w:rPr>
          <w:lang w:val="pt-PT"/>
        </w:rPr>
        <w:t xml:space="preserve"> </w:t>
      </w:r>
      <w:r>
        <w:t>прагова</w:t>
      </w:r>
      <w:r>
        <w:rPr>
          <w:lang w:val="pt-PT"/>
        </w:rPr>
        <w:t xml:space="preserve"> </w:t>
      </w:r>
      <w:r>
        <w:t>стойност</w:t>
      </w:r>
      <w:r>
        <w:rPr>
          <w:lang w:val="pt-PT"/>
        </w:rPr>
        <w:t xml:space="preserve"> </w:t>
      </w:r>
      <w:r>
        <w:t>от</w:t>
      </w:r>
      <w:r>
        <w:rPr>
          <w:lang w:val="pt-PT"/>
        </w:rPr>
        <w:t xml:space="preserve"> 1000 </w:t>
      </w:r>
      <w:r>
        <w:t>съкратени</w:t>
      </w:r>
      <w:r>
        <w:rPr>
          <w:lang w:val="pt-PT"/>
        </w:rPr>
        <w:t xml:space="preserve"> </w:t>
      </w:r>
      <w:r>
        <w:t>работници</w:t>
      </w:r>
      <w:r>
        <w:rPr>
          <w:lang w:val="pt-PT"/>
        </w:rPr>
        <w:t xml:space="preserve"> </w:t>
      </w:r>
      <w:r>
        <w:t>през</w:t>
      </w:r>
      <w:r>
        <w:rPr>
          <w:lang w:val="pt-PT"/>
        </w:rPr>
        <w:t xml:space="preserve"> </w:t>
      </w:r>
      <w:r>
        <w:t>програмния</w:t>
      </w:r>
      <w:r>
        <w:rPr>
          <w:lang w:val="pt-PT"/>
        </w:rPr>
        <w:t xml:space="preserve"> </w:t>
      </w:r>
      <w:r>
        <w:t>период</w:t>
      </w:r>
      <w:r>
        <w:rPr>
          <w:lang w:val="pt-PT"/>
        </w:rPr>
        <w:t xml:space="preserve"> 2007—2013 </w:t>
      </w:r>
      <w:r>
        <w:t>г</w:t>
      </w:r>
      <w:r>
        <w:rPr>
          <w:lang w:val="pt-PT"/>
        </w:rPr>
        <w:t xml:space="preserve">. </w:t>
      </w:r>
      <w:r>
        <w:t>Понижаването</w:t>
      </w:r>
      <w:r>
        <w:rPr>
          <w:lang w:val="pt-PT"/>
        </w:rPr>
        <w:t xml:space="preserve"> </w:t>
      </w:r>
      <w:r>
        <w:t>на</w:t>
      </w:r>
      <w:r>
        <w:rPr>
          <w:lang w:val="pt-PT"/>
        </w:rPr>
        <w:t xml:space="preserve"> </w:t>
      </w:r>
      <w:r>
        <w:t>прага</w:t>
      </w:r>
      <w:r>
        <w:rPr>
          <w:lang w:val="pt-PT"/>
        </w:rPr>
        <w:t xml:space="preserve"> </w:t>
      </w:r>
      <w:r>
        <w:t>до</w:t>
      </w:r>
      <w:r>
        <w:rPr>
          <w:lang w:val="pt-PT"/>
        </w:rPr>
        <w:t xml:space="preserve"> 500 </w:t>
      </w:r>
      <w:r>
        <w:t>съкратени</w:t>
      </w:r>
      <w:r>
        <w:rPr>
          <w:lang w:val="pt-PT"/>
        </w:rPr>
        <w:t xml:space="preserve"> </w:t>
      </w:r>
      <w:r>
        <w:t>работници</w:t>
      </w:r>
      <w:r>
        <w:rPr>
          <w:lang w:val="pt-PT"/>
        </w:rPr>
        <w:t xml:space="preserve"> </w:t>
      </w:r>
      <w:r>
        <w:t>не</w:t>
      </w:r>
      <w:r>
        <w:rPr>
          <w:lang w:val="pt-PT"/>
        </w:rPr>
        <w:t xml:space="preserve"> </w:t>
      </w:r>
      <w:r>
        <w:t>доведе</w:t>
      </w:r>
      <w:r>
        <w:rPr>
          <w:lang w:val="pt-PT"/>
        </w:rPr>
        <w:t xml:space="preserve"> </w:t>
      </w:r>
      <w:r>
        <w:t>до</w:t>
      </w:r>
      <w:r>
        <w:rPr>
          <w:lang w:val="pt-PT"/>
        </w:rPr>
        <w:t xml:space="preserve"> </w:t>
      </w:r>
      <w:r>
        <w:t>голямо</w:t>
      </w:r>
      <w:r>
        <w:rPr>
          <w:lang w:val="pt-PT"/>
        </w:rPr>
        <w:t xml:space="preserve"> </w:t>
      </w:r>
      <w:r>
        <w:t>увеличение</w:t>
      </w:r>
      <w:r>
        <w:rPr>
          <w:lang w:val="pt-PT"/>
        </w:rPr>
        <w:t xml:space="preserve"> </w:t>
      </w:r>
      <w:r>
        <w:t>на</w:t>
      </w:r>
      <w:r>
        <w:rPr>
          <w:lang w:val="pt-PT"/>
        </w:rPr>
        <w:t xml:space="preserve"> </w:t>
      </w:r>
      <w:r>
        <w:t>заявленията</w:t>
      </w:r>
      <w:r>
        <w:rPr>
          <w:lang w:val="pt-PT"/>
        </w:rPr>
        <w:t xml:space="preserve"> </w:t>
      </w:r>
      <w:r>
        <w:t>през</w:t>
      </w:r>
      <w:r>
        <w:rPr>
          <w:lang w:val="pt-PT"/>
        </w:rPr>
        <w:t xml:space="preserve"> </w:t>
      </w:r>
      <w:r>
        <w:t>периода</w:t>
      </w:r>
      <w:r>
        <w:rPr>
          <w:lang w:val="pt-PT"/>
        </w:rPr>
        <w:t xml:space="preserve"> </w:t>
      </w:r>
      <w:r>
        <w:t>за</w:t>
      </w:r>
      <w:r>
        <w:rPr>
          <w:lang w:val="pt-PT"/>
        </w:rPr>
        <w:t xml:space="preserve"> </w:t>
      </w:r>
      <w:r>
        <w:t>финансиране</w:t>
      </w:r>
      <w:r>
        <w:rPr>
          <w:lang w:val="pt-PT"/>
        </w:rPr>
        <w:t xml:space="preserve"> 2014—2020 </w:t>
      </w:r>
      <w:r>
        <w:t>г</w:t>
      </w:r>
      <w:r>
        <w:rPr>
          <w:lang w:val="pt-PT"/>
        </w:rPr>
        <w:t xml:space="preserve">. </w:t>
      </w:r>
      <w:r>
        <w:t>Няколко</w:t>
      </w:r>
      <w:r>
        <w:rPr>
          <w:lang w:val="pt-PT"/>
        </w:rPr>
        <w:t xml:space="preserve"> </w:t>
      </w:r>
      <w:r>
        <w:t>от</w:t>
      </w:r>
      <w:r>
        <w:rPr>
          <w:lang w:val="pt-PT"/>
        </w:rPr>
        <w:t xml:space="preserve"> </w:t>
      </w:r>
      <w:r>
        <w:t>заявленията</w:t>
      </w:r>
      <w:r>
        <w:rPr>
          <w:lang w:val="pt-PT"/>
        </w:rPr>
        <w:t xml:space="preserve">, </w:t>
      </w:r>
      <w:r>
        <w:t>обаче</w:t>
      </w:r>
      <w:r>
        <w:rPr>
          <w:lang w:val="pt-PT"/>
        </w:rPr>
        <w:t xml:space="preserve">, </w:t>
      </w:r>
      <w:r>
        <w:t>са</w:t>
      </w:r>
      <w:r>
        <w:rPr>
          <w:lang w:val="pt-PT"/>
        </w:rPr>
        <w:t xml:space="preserve"> </w:t>
      </w:r>
      <w:r>
        <w:t>се</w:t>
      </w:r>
      <w:r>
        <w:rPr>
          <w:lang w:val="pt-PT"/>
        </w:rPr>
        <w:t xml:space="preserve"> </w:t>
      </w:r>
      <w:r>
        <w:t>позовали</w:t>
      </w:r>
      <w:r>
        <w:rPr>
          <w:lang w:val="pt-PT"/>
        </w:rPr>
        <w:t xml:space="preserve"> </w:t>
      </w:r>
      <w:r>
        <w:t>на</w:t>
      </w:r>
      <w:r>
        <w:rPr>
          <w:lang w:val="pt-PT"/>
        </w:rPr>
        <w:t xml:space="preserve"> </w:t>
      </w:r>
      <w:r>
        <w:t>клаузата</w:t>
      </w:r>
      <w:r>
        <w:rPr>
          <w:lang w:val="pt-PT"/>
        </w:rPr>
        <w:t xml:space="preserve"> </w:t>
      </w:r>
      <w:r>
        <w:t>за</w:t>
      </w:r>
      <w:r>
        <w:rPr>
          <w:lang w:val="pt-PT"/>
        </w:rPr>
        <w:t xml:space="preserve"> </w:t>
      </w:r>
      <w:r>
        <w:t>извънредни</w:t>
      </w:r>
      <w:r>
        <w:rPr>
          <w:lang w:val="pt-PT"/>
        </w:rPr>
        <w:t xml:space="preserve"> </w:t>
      </w:r>
      <w:r>
        <w:t>обстоятелства</w:t>
      </w:r>
      <w:r>
        <w:rPr>
          <w:lang w:val="pt-PT"/>
        </w:rPr>
        <w:t xml:space="preserve">, </w:t>
      </w:r>
      <w:r>
        <w:t>обосновавайки</w:t>
      </w:r>
      <w:r>
        <w:rPr>
          <w:lang w:val="pt-PT"/>
        </w:rPr>
        <w:t xml:space="preserve"> </w:t>
      </w:r>
      <w:r>
        <w:t>заявлението</w:t>
      </w:r>
      <w:r>
        <w:rPr>
          <w:lang w:val="pt-PT"/>
        </w:rPr>
        <w:t xml:space="preserve"> </w:t>
      </w:r>
      <w:r>
        <w:t>на</w:t>
      </w:r>
      <w:r>
        <w:rPr>
          <w:lang w:val="pt-PT"/>
        </w:rPr>
        <w:t xml:space="preserve"> </w:t>
      </w:r>
      <w:r>
        <w:t>по</w:t>
      </w:r>
      <w:r>
        <w:rPr>
          <w:lang w:val="pt-PT"/>
        </w:rPr>
        <w:t>-</w:t>
      </w:r>
      <w:r>
        <w:t>малък</w:t>
      </w:r>
      <w:r>
        <w:rPr>
          <w:lang w:val="pt-PT"/>
        </w:rPr>
        <w:t xml:space="preserve"> </w:t>
      </w:r>
      <w:r>
        <w:t>брой</w:t>
      </w:r>
      <w:r>
        <w:rPr>
          <w:lang w:val="pt-PT"/>
        </w:rPr>
        <w:t xml:space="preserve"> </w:t>
      </w:r>
      <w:r>
        <w:t>съкратени</w:t>
      </w:r>
      <w:r>
        <w:rPr>
          <w:lang w:val="pt-PT"/>
        </w:rPr>
        <w:t xml:space="preserve"> </w:t>
      </w:r>
      <w:r>
        <w:t>работници</w:t>
      </w:r>
      <w:r>
        <w:rPr>
          <w:lang w:val="pt-PT"/>
        </w:rPr>
        <w:t xml:space="preserve">, </w:t>
      </w:r>
      <w:r>
        <w:t>тъй</w:t>
      </w:r>
      <w:r>
        <w:rPr>
          <w:lang w:val="pt-PT"/>
        </w:rPr>
        <w:t xml:space="preserve"> </w:t>
      </w:r>
      <w:r>
        <w:t>като</w:t>
      </w:r>
      <w:r>
        <w:rPr>
          <w:lang w:val="pt-PT"/>
        </w:rPr>
        <w:t xml:space="preserve"> </w:t>
      </w:r>
      <w:r>
        <w:t>тези</w:t>
      </w:r>
      <w:r>
        <w:rPr>
          <w:lang w:val="pt-PT"/>
        </w:rPr>
        <w:t xml:space="preserve"> </w:t>
      </w:r>
      <w:r>
        <w:t>съкращения</w:t>
      </w:r>
      <w:r>
        <w:rPr>
          <w:lang w:val="pt-PT"/>
        </w:rPr>
        <w:t xml:space="preserve"> </w:t>
      </w:r>
      <w:r>
        <w:t>са</w:t>
      </w:r>
      <w:r>
        <w:rPr>
          <w:lang w:val="pt-PT"/>
        </w:rPr>
        <w:t xml:space="preserve"> </w:t>
      </w:r>
      <w:r>
        <w:t>имали</w:t>
      </w:r>
      <w:r>
        <w:rPr>
          <w:lang w:val="pt-PT"/>
        </w:rPr>
        <w:t xml:space="preserve"> </w:t>
      </w:r>
      <w:r>
        <w:t>значително</w:t>
      </w:r>
      <w:r>
        <w:rPr>
          <w:lang w:val="pt-PT"/>
        </w:rPr>
        <w:t xml:space="preserve"> </w:t>
      </w:r>
      <w:r>
        <w:t>въздействие</w:t>
      </w:r>
      <w:r>
        <w:rPr>
          <w:lang w:val="pt-PT"/>
        </w:rPr>
        <w:t xml:space="preserve"> </w:t>
      </w:r>
      <w:r>
        <w:t>върху</w:t>
      </w:r>
      <w:r>
        <w:rPr>
          <w:lang w:val="pt-PT"/>
        </w:rPr>
        <w:t xml:space="preserve"> </w:t>
      </w:r>
      <w:r>
        <w:t>съответния</w:t>
      </w:r>
      <w:r>
        <w:rPr>
          <w:lang w:val="pt-PT"/>
        </w:rPr>
        <w:t xml:space="preserve"> </w:t>
      </w:r>
      <w:r>
        <w:t>регион</w:t>
      </w:r>
      <w:r>
        <w:rPr>
          <w:lang w:val="pt-PT"/>
        </w:rPr>
        <w:t>.</w:t>
      </w:r>
    </w:p>
  </w:footnote>
  <w:footnote w:id="7">
    <w:p w:rsidR="000A3633" w:rsidRDefault="0078004E">
      <w:pPr>
        <w:pStyle w:val="footnotetext1"/>
        <w:ind w:left="0" w:hanging="11"/>
        <w:rPr>
          <w:lang w:val="pt-PT"/>
        </w:rPr>
      </w:pPr>
      <w:r>
        <w:rPr>
          <w:rStyle w:val="FootnoteReference"/>
        </w:rPr>
        <w:footnoteRef/>
      </w:r>
      <w:r>
        <w:rPr>
          <w:lang w:val="pt-PT"/>
        </w:rPr>
        <w:tab/>
      </w:r>
      <w:r>
        <w:t>Усвояването</w:t>
      </w:r>
      <w:r>
        <w:rPr>
          <w:lang w:val="pt-PT"/>
        </w:rPr>
        <w:t xml:space="preserve"> </w:t>
      </w:r>
      <w:r>
        <w:t>на</w:t>
      </w:r>
      <w:r>
        <w:rPr>
          <w:lang w:val="pt-PT"/>
        </w:rPr>
        <w:t xml:space="preserve"> </w:t>
      </w:r>
      <w:r>
        <w:t>фонд</w:t>
      </w:r>
      <w:r>
        <w:rPr>
          <w:lang w:val="pt-PT"/>
        </w:rPr>
        <w:t xml:space="preserve"> </w:t>
      </w:r>
      <w:r>
        <w:t>за</w:t>
      </w:r>
      <w:r>
        <w:rPr>
          <w:lang w:val="pt-PT"/>
        </w:rPr>
        <w:t xml:space="preserve"> </w:t>
      </w:r>
      <w:r>
        <w:t>спешна</w:t>
      </w:r>
      <w:r>
        <w:rPr>
          <w:lang w:val="pt-PT"/>
        </w:rPr>
        <w:t xml:space="preserve"> </w:t>
      </w:r>
      <w:r>
        <w:t>помощ</w:t>
      </w:r>
      <w:r>
        <w:rPr>
          <w:lang w:val="pt-PT"/>
        </w:rPr>
        <w:t xml:space="preserve"> </w:t>
      </w:r>
      <w:r>
        <w:t>зависи</w:t>
      </w:r>
      <w:r>
        <w:rPr>
          <w:lang w:val="pt-PT"/>
        </w:rPr>
        <w:t xml:space="preserve"> </w:t>
      </w:r>
      <w:r>
        <w:t>от</w:t>
      </w:r>
      <w:r>
        <w:rPr>
          <w:lang w:val="pt-PT"/>
        </w:rPr>
        <w:t xml:space="preserve"> </w:t>
      </w:r>
      <w:r>
        <w:t>броя</w:t>
      </w:r>
      <w:r>
        <w:rPr>
          <w:lang w:val="pt-PT"/>
        </w:rPr>
        <w:t xml:space="preserve"> </w:t>
      </w:r>
      <w:r>
        <w:t>на</w:t>
      </w:r>
      <w:r>
        <w:rPr>
          <w:lang w:val="pt-PT"/>
        </w:rPr>
        <w:t xml:space="preserve"> </w:t>
      </w:r>
      <w:r>
        <w:t>извънредните</w:t>
      </w:r>
      <w:r>
        <w:rPr>
          <w:lang w:val="pt-PT"/>
        </w:rPr>
        <w:t xml:space="preserve"> </w:t>
      </w:r>
      <w:r>
        <w:t>ситуации</w:t>
      </w:r>
      <w:r>
        <w:rPr>
          <w:lang w:val="pt-PT"/>
        </w:rPr>
        <w:t xml:space="preserve">, </w:t>
      </w:r>
      <w:r>
        <w:t>които</w:t>
      </w:r>
      <w:r>
        <w:rPr>
          <w:lang w:val="pt-PT"/>
        </w:rPr>
        <w:t xml:space="preserve"> </w:t>
      </w:r>
      <w:r>
        <w:t>трудно</w:t>
      </w:r>
      <w:r>
        <w:rPr>
          <w:lang w:val="pt-PT"/>
        </w:rPr>
        <w:t xml:space="preserve"> </w:t>
      </w:r>
      <w:r>
        <w:t>могат</w:t>
      </w:r>
      <w:r>
        <w:rPr>
          <w:lang w:val="pt-PT"/>
        </w:rPr>
        <w:t xml:space="preserve"> </w:t>
      </w:r>
      <w:r>
        <w:t>да</w:t>
      </w:r>
      <w:r>
        <w:rPr>
          <w:lang w:val="pt-PT"/>
        </w:rPr>
        <w:t xml:space="preserve"> </w:t>
      </w:r>
      <w:r>
        <w:t>се</w:t>
      </w:r>
      <w:r>
        <w:rPr>
          <w:lang w:val="pt-PT"/>
        </w:rPr>
        <w:t xml:space="preserve"> </w:t>
      </w:r>
      <w:r>
        <w:t>предскажат</w:t>
      </w:r>
      <w:r>
        <w:rPr>
          <w:lang w:val="pt-PT"/>
        </w:rPr>
        <w:t xml:space="preserve">. </w:t>
      </w:r>
      <w:r>
        <w:t>В</w:t>
      </w:r>
      <w:r>
        <w:rPr>
          <w:lang w:val="pt-PT"/>
        </w:rPr>
        <w:t xml:space="preserve"> </w:t>
      </w:r>
      <w:r>
        <w:t>случай</w:t>
      </w:r>
      <w:r>
        <w:rPr>
          <w:lang w:val="pt-PT"/>
        </w:rPr>
        <w:t xml:space="preserve"> </w:t>
      </w:r>
      <w:r>
        <w:t>че</w:t>
      </w:r>
      <w:r>
        <w:rPr>
          <w:lang w:val="pt-PT"/>
        </w:rPr>
        <w:t xml:space="preserve"> </w:t>
      </w:r>
      <w:r>
        <w:t>сериозен</w:t>
      </w:r>
      <w:r>
        <w:rPr>
          <w:lang w:val="pt-PT"/>
        </w:rPr>
        <w:t xml:space="preserve"> </w:t>
      </w:r>
      <w:r>
        <w:t>икономически</w:t>
      </w:r>
      <w:r>
        <w:rPr>
          <w:lang w:val="pt-PT"/>
        </w:rPr>
        <w:t xml:space="preserve"> </w:t>
      </w:r>
      <w:r>
        <w:t>спад</w:t>
      </w:r>
      <w:r>
        <w:rPr>
          <w:lang w:val="pt-PT"/>
        </w:rPr>
        <w:t xml:space="preserve"> </w:t>
      </w:r>
      <w:r>
        <w:t>доведе</w:t>
      </w:r>
      <w:r>
        <w:rPr>
          <w:lang w:val="pt-PT"/>
        </w:rPr>
        <w:t xml:space="preserve"> </w:t>
      </w:r>
      <w:r>
        <w:t>до</w:t>
      </w:r>
      <w:r>
        <w:rPr>
          <w:lang w:val="pt-PT"/>
        </w:rPr>
        <w:t xml:space="preserve"> </w:t>
      </w:r>
      <w:r>
        <w:t>пълното</w:t>
      </w:r>
      <w:r>
        <w:rPr>
          <w:lang w:val="pt-PT"/>
        </w:rPr>
        <w:t xml:space="preserve"> </w:t>
      </w:r>
      <w:r>
        <w:t>му</w:t>
      </w:r>
      <w:r>
        <w:rPr>
          <w:lang w:val="pt-PT"/>
        </w:rPr>
        <w:t xml:space="preserve"> </w:t>
      </w:r>
      <w:r>
        <w:t>усвояване</w:t>
      </w:r>
      <w:r>
        <w:rPr>
          <w:lang w:val="pt-PT"/>
        </w:rPr>
        <w:t xml:space="preserve">, </w:t>
      </w:r>
      <w:r>
        <w:t>щ</w:t>
      </w:r>
      <w:r>
        <w:t>е</w:t>
      </w:r>
      <w:r>
        <w:rPr>
          <w:lang w:val="pt-PT"/>
        </w:rPr>
        <w:t xml:space="preserve"> </w:t>
      </w:r>
      <w:r>
        <w:t>трябва</w:t>
      </w:r>
      <w:r>
        <w:rPr>
          <w:lang w:val="pt-PT"/>
        </w:rPr>
        <w:t xml:space="preserve"> </w:t>
      </w:r>
      <w:r>
        <w:t>да</w:t>
      </w:r>
      <w:r>
        <w:rPr>
          <w:lang w:val="pt-PT"/>
        </w:rPr>
        <w:t xml:space="preserve"> </w:t>
      </w:r>
      <w:r>
        <w:t>се</w:t>
      </w:r>
      <w:r>
        <w:rPr>
          <w:lang w:val="pt-PT"/>
        </w:rPr>
        <w:t xml:space="preserve"> </w:t>
      </w:r>
      <w:r>
        <w:t>обсъдят</w:t>
      </w:r>
      <w:r>
        <w:rPr>
          <w:lang w:val="pt-PT"/>
        </w:rPr>
        <w:t xml:space="preserve"> </w:t>
      </w:r>
      <w:r>
        <w:t>възможните</w:t>
      </w:r>
      <w:r>
        <w:rPr>
          <w:lang w:val="pt-PT"/>
        </w:rPr>
        <w:t xml:space="preserve"> </w:t>
      </w:r>
      <w:r>
        <w:t>последици</w:t>
      </w:r>
      <w:r>
        <w:rPr>
          <w:lang w:val="pt-PT"/>
        </w:rPr>
        <w:t xml:space="preserve"> </w:t>
      </w:r>
      <w:r>
        <w:t>при</w:t>
      </w:r>
      <w:r>
        <w:rPr>
          <w:lang w:val="pt-PT"/>
        </w:rPr>
        <w:t xml:space="preserve"> </w:t>
      </w:r>
      <w:r>
        <w:t>разглеждането</w:t>
      </w:r>
      <w:r>
        <w:rPr>
          <w:lang w:val="pt-PT"/>
        </w:rPr>
        <w:t xml:space="preserve"> </w:t>
      </w:r>
      <w:r>
        <w:t>на</w:t>
      </w:r>
      <w:r>
        <w:rPr>
          <w:lang w:val="pt-PT"/>
        </w:rPr>
        <w:t xml:space="preserve"> </w:t>
      </w:r>
      <w:r>
        <w:t>многогодишната</w:t>
      </w:r>
      <w:r>
        <w:rPr>
          <w:lang w:val="pt-PT"/>
        </w:rPr>
        <w:t xml:space="preserve"> </w:t>
      </w:r>
      <w:r>
        <w:t>финансова</w:t>
      </w:r>
      <w:r>
        <w:rPr>
          <w:lang w:val="pt-PT"/>
        </w:rPr>
        <w:t xml:space="preserve"> </w:t>
      </w:r>
      <w:r>
        <w:t>рамка</w:t>
      </w:r>
      <w:r>
        <w:rPr>
          <w:lang w:val="pt-PT"/>
        </w:rPr>
        <w:t>.</w:t>
      </w:r>
    </w:p>
  </w:footnote>
  <w:footnote w:id="8">
    <w:p w:rsidR="000A3633" w:rsidRDefault="0078004E">
      <w:pPr>
        <w:pStyle w:val="footnotetext1"/>
        <w:rPr>
          <w:lang w:val="pt-PT"/>
        </w:rPr>
      </w:pPr>
      <w:r>
        <w:rPr>
          <w:rStyle w:val="FootnoteReference"/>
        </w:rPr>
        <w:footnoteRef/>
      </w:r>
      <w:r>
        <w:rPr>
          <w:lang w:val="pt-PT"/>
        </w:rPr>
        <w:tab/>
        <w:t>https://ec.europa.eu/commission/sites/beta-political/files/communication-new-modern-multiannual-financial-framework_en.pdf</w:t>
      </w:r>
    </w:p>
  </w:footnote>
  <w:footnote w:id="9">
    <w:p w:rsidR="000A3633" w:rsidRDefault="0078004E">
      <w:pPr>
        <w:pStyle w:val="footnotetext1"/>
        <w:rPr>
          <w:lang w:val="pt-PT"/>
        </w:rPr>
      </w:pPr>
      <w:r>
        <w:rPr>
          <w:rStyle w:val="FootnoteReference"/>
        </w:rPr>
        <w:footnoteRef/>
      </w:r>
      <w:r>
        <w:rPr>
          <w:lang w:val="pt-PT"/>
        </w:rPr>
        <w:tab/>
      </w:r>
      <w:r>
        <w:t>Съобщение</w:t>
      </w:r>
      <w:r>
        <w:rPr>
          <w:lang w:val="pt-PT"/>
        </w:rPr>
        <w:t xml:space="preserve"> </w:t>
      </w:r>
      <w:r>
        <w:t>на</w:t>
      </w:r>
      <w:r>
        <w:rPr>
          <w:lang w:val="pt-PT"/>
        </w:rPr>
        <w:t xml:space="preserve"> </w:t>
      </w:r>
      <w:r>
        <w:t>Комисията</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Европейския</w:t>
      </w:r>
      <w:r>
        <w:rPr>
          <w:lang w:val="pt-PT"/>
        </w:rPr>
        <w:t xml:space="preserve"> </w:t>
      </w:r>
      <w:r>
        <w:t>икономически</w:t>
      </w:r>
      <w:r>
        <w:rPr>
          <w:lang w:val="pt-PT"/>
        </w:rPr>
        <w:t xml:space="preserve"> </w:t>
      </w:r>
      <w:r>
        <w:t>и</w:t>
      </w:r>
      <w:r>
        <w:rPr>
          <w:lang w:val="pt-PT"/>
        </w:rPr>
        <w:t xml:space="preserve"> </w:t>
      </w:r>
      <w:r>
        <w:t>социален</w:t>
      </w:r>
      <w:r>
        <w:rPr>
          <w:lang w:val="pt-PT"/>
        </w:rPr>
        <w:t xml:space="preserve"> </w:t>
      </w:r>
      <w:r>
        <w:t>комитет</w:t>
      </w:r>
      <w:r>
        <w:rPr>
          <w:lang w:val="pt-PT"/>
        </w:rPr>
        <w:t xml:space="preserve"> </w:t>
      </w:r>
      <w:r>
        <w:t>и</w:t>
      </w:r>
      <w:r>
        <w:rPr>
          <w:lang w:val="pt-PT"/>
        </w:rPr>
        <w:t xml:space="preserve"> </w:t>
      </w:r>
      <w:r>
        <w:t>Комитета</w:t>
      </w:r>
      <w:r>
        <w:rPr>
          <w:lang w:val="pt-PT"/>
        </w:rPr>
        <w:t xml:space="preserve"> </w:t>
      </w:r>
      <w:r>
        <w:t>на</w:t>
      </w:r>
      <w:r>
        <w:rPr>
          <w:lang w:val="pt-PT"/>
        </w:rPr>
        <w:t xml:space="preserve"> </w:t>
      </w:r>
      <w:r>
        <w:t>регионите</w:t>
      </w:r>
      <w:r>
        <w:rPr>
          <w:lang w:val="pt-PT"/>
        </w:rPr>
        <w:t>: „</w:t>
      </w:r>
      <w:r>
        <w:t>Рамка</w:t>
      </w:r>
      <w:r>
        <w:rPr>
          <w:lang w:val="pt-PT"/>
        </w:rPr>
        <w:t xml:space="preserve"> </w:t>
      </w:r>
      <w:r>
        <w:t>за</w:t>
      </w:r>
      <w:r>
        <w:rPr>
          <w:lang w:val="pt-PT"/>
        </w:rPr>
        <w:t xml:space="preserve"> </w:t>
      </w:r>
      <w:r>
        <w:t>качество</w:t>
      </w:r>
      <w:r>
        <w:rPr>
          <w:lang w:val="pt-PT"/>
        </w:rPr>
        <w:t xml:space="preserve"> </w:t>
      </w:r>
      <w:r>
        <w:t>на</w:t>
      </w:r>
      <w:r>
        <w:rPr>
          <w:lang w:val="pt-PT"/>
        </w:rPr>
        <w:t xml:space="preserve"> </w:t>
      </w:r>
      <w:r>
        <w:t>ЕС</w:t>
      </w:r>
      <w:r>
        <w:rPr>
          <w:lang w:val="pt-PT"/>
        </w:rPr>
        <w:t xml:space="preserve"> </w:t>
      </w:r>
      <w:r>
        <w:t>за</w:t>
      </w:r>
      <w:r>
        <w:rPr>
          <w:lang w:val="pt-PT"/>
        </w:rPr>
        <w:t xml:space="preserve"> </w:t>
      </w:r>
      <w:r>
        <w:t>предвиждане</w:t>
      </w:r>
      <w:r>
        <w:rPr>
          <w:lang w:val="pt-PT"/>
        </w:rPr>
        <w:t xml:space="preserve"> </w:t>
      </w:r>
      <w:r>
        <w:t>на</w:t>
      </w:r>
      <w:r>
        <w:rPr>
          <w:lang w:val="pt-PT"/>
        </w:rPr>
        <w:t xml:space="preserve"> </w:t>
      </w:r>
      <w:r>
        <w:t>промените</w:t>
      </w:r>
      <w:r>
        <w:rPr>
          <w:lang w:val="pt-PT"/>
        </w:rPr>
        <w:t xml:space="preserve"> </w:t>
      </w:r>
      <w:r>
        <w:t>и</w:t>
      </w:r>
      <w:r>
        <w:rPr>
          <w:lang w:val="pt-PT"/>
        </w:rPr>
        <w:t xml:space="preserve"> </w:t>
      </w:r>
      <w:r>
        <w:t>преструктуриране</w:t>
      </w:r>
      <w:r>
        <w:rPr>
          <w:lang w:val="pt-PT"/>
        </w:rPr>
        <w:t>“, (COM(2013) 882 final, 13.12.2013 </w:t>
      </w:r>
      <w:r>
        <w:t>г</w:t>
      </w:r>
      <w:r>
        <w:rPr>
          <w:lang w:val="pt-PT"/>
        </w:rPr>
        <w:t>.).</w:t>
      </w:r>
    </w:p>
  </w:footnote>
  <w:footnote w:id="10">
    <w:p w:rsidR="000A3633" w:rsidRDefault="0078004E">
      <w:pPr>
        <w:pStyle w:val="footnotetext1"/>
        <w:rPr>
          <w:lang w:val="pt-PT"/>
        </w:rPr>
      </w:pPr>
      <w:r>
        <w:rPr>
          <w:rStyle w:val="FootnoteReference"/>
        </w:rPr>
        <w:footnoteRef/>
      </w:r>
      <w:r>
        <w:rPr>
          <w:lang w:val="pt-PT"/>
        </w:rPr>
        <w:tab/>
      </w:r>
      <w:r>
        <w:t>Доклад</w:t>
      </w:r>
      <w:r>
        <w:rPr>
          <w:lang w:val="pt-PT"/>
        </w:rPr>
        <w:t xml:space="preserve"> </w:t>
      </w:r>
      <w:r>
        <w:t>на</w:t>
      </w:r>
      <w:r>
        <w:rPr>
          <w:lang w:val="pt-PT"/>
        </w:rPr>
        <w:t xml:space="preserve"> </w:t>
      </w:r>
      <w:r>
        <w:t>Комисията</w:t>
      </w:r>
      <w:r>
        <w:rPr>
          <w:lang w:val="pt-PT"/>
        </w:rPr>
        <w:t xml:space="preserve"> </w:t>
      </w:r>
      <w:r>
        <w:t>относно</w:t>
      </w:r>
      <w:r>
        <w:rPr>
          <w:lang w:val="pt-PT"/>
        </w:rPr>
        <w:t xml:space="preserve"> </w:t>
      </w:r>
      <w:r>
        <w:t>междинната</w:t>
      </w:r>
      <w:r>
        <w:rPr>
          <w:lang w:val="pt-PT"/>
        </w:rPr>
        <w:t xml:space="preserve"> </w:t>
      </w:r>
      <w:r>
        <w:t>оце</w:t>
      </w:r>
      <w:r>
        <w:t>нка</w:t>
      </w:r>
      <w:r>
        <w:rPr>
          <w:lang w:val="pt-PT"/>
        </w:rPr>
        <w:t xml:space="preserve"> </w:t>
      </w:r>
      <w:r>
        <w:t>на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w:t>
      </w:r>
      <w:r>
        <w:t>ЕФПГ</w:t>
      </w:r>
      <w:r>
        <w:rPr>
          <w:lang w:val="pt-PT"/>
        </w:rPr>
        <w:t>) (COM(2018) 297 final, 16.5.2018 </w:t>
      </w:r>
      <w:r>
        <w:t>г</w:t>
      </w:r>
      <w:r>
        <w:rPr>
          <w:lang w:val="pt-PT"/>
        </w:rPr>
        <w:t xml:space="preserve">.) </w:t>
      </w:r>
      <w:r>
        <w:t>и</w:t>
      </w:r>
      <w:r>
        <w:rPr>
          <w:lang w:val="pt-PT"/>
        </w:rPr>
        <w:t xml:space="preserve"> </w:t>
      </w:r>
      <w:r>
        <w:t>придружаващ</w:t>
      </w:r>
      <w:r>
        <w:rPr>
          <w:lang w:val="pt-PT"/>
        </w:rPr>
        <w:t xml:space="preserve"> </w:t>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xml:space="preserve"> </w:t>
      </w:r>
      <w:r>
        <w:t>относно</w:t>
      </w:r>
      <w:r>
        <w:rPr>
          <w:lang w:val="pt-PT"/>
        </w:rPr>
        <w:t xml:space="preserve"> </w:t>
      </w:r>
      <w:r>
        <w:t>междинната</w:t>
      </w:r>
      <w:r>
        <w:rPr>
          <w:lang w:val="pt-PT"/>
        </w:rPr>
        <w:t xml:space="preserve"> </w:t>
      </w:r>
      <w:r>
        <w:t>оценка</w:t>
      </w:r>
      <w:r>
        <w:rPr>
          <w:lang w:val="pt-PT"/>
        </w:rPr>
        <w:t xml:space="preserve"> </w:t>
      </w:r>
      <w:r>
        <w:t>на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w:t>
      </w:r>
      <w:r>
        <w:t>ЕФПГ</w:t>
      </w:r>
      <w:r>
        <w:rPr>
          <w:lang w:val="pt-PT"/>
        </w:rPr>
        <w:t xml:space="preserve">) </w:t>
      </w:r>
      <w:r>
        <w:rPr>
          <w:lang w:val="pt-PT"/>
        </w:rPr>
        <w:t>(SWD(2018) 192 final, 16.5.2018 </w:t>
      </w:r>
      <w:r>
        <w:t>г</w:t>
      </w:r>
      <w:r>
        <w:rPr>
          <w:lang w:val="pt-PT"/>
        </w:rPr>
        <w:t>.).</w:t>
      </w:r>
    </w:p>
  </w:footnote>
  <w:footnote w:id="11">
    <w:p w:rsidR="000A3633" w:rsidRDefault="0078004E">
      <w:pPr>
        <w:autoSpaceDE w:val="0"/>
        <w:autoSpaceDN w:val="0"/>
        <w:spacing w:after="0"/>
        <w:rPr>
          <w:b/>
          <w:bCs/>
          <w:i/>
          <w:noProof/>
          <w:sz w:val="20"/>
          <w:szCs w:val="20"/>
          <w:lang w:val="pt-PT"/>
        </w:rPr>
      </w:pPr>
      <w:r>
        <w:rPr>
          <w:rStyle w:val="FootnoteReference"/>
        </w:rPr>
        <w:footnoteRef/>
      </w:r>
      <w:r>
        <w:rPr>
          <w:sz w:val="20"/>
          <w:szCs w:val="20"/>
          <w:lang w:val="pt-PT"/>
        </w:rPr>
        <w:tab/>
      </w:r>
      <w:r>
        <w:rPr>
          <w:sz w:val="20"/>
          <w:szCs w:val="20"/>
        </w:rPr>
        <w:t>Вж</w:t>
      </w:r>
      <w:r>
        <w:rPr>
          <w:sz w:val="20"/>
          <w:szCs w:val="20"/>
          <w:lang w:val="pt-PT"/>
        </w:rPr>
        <w:t xml:space="preserve">. </w:t>
      </w:r>
      <w:r>
        <w:rPr>
          <w:sz w:val="20"/>
          <w:szCs w:val="20"/>
        </w:rPr>
        <w:t>проучване</w:t>
      </w:r>
      <w:r>
        <w:rPr>
          <w:sz w:val="20"/>
          <w:szCs w:val="20"/>
          <w:lang w:val="pt-PT"/>
        </w:rPr>
        <w:t xml:space="preserve"> </w:t>
      </w:r>
      <w:r>
        <w:rPr>
          <w:sz w:val="20"/>
          <w:szCs w:val="20"/>
        </w:rPr>
        <w:t>в</w:t>
      </w:r>
      <w:r>
        <w:rPr>
          <w:sz w:val="20"/>
          <w:szCs w:val="20"/>
          <w:lang w:val="pt-PT"/>
        </w:rPr>
        <w:t xml:space="preserve"> </w:t>
      </w:r>
      <w:r>
        <w:rPr>
          <w:sz w:val="20"/>
          <w:szCs w:val="20"/>
        </w:rPr>
        <w:t>подкрепа</w:t>
      </w:r>
      <w:r>
        <w:rPr>
          <w:sz w:val="20"/>
          <w:szCs w:val="20"/>
          <w:lang w:val="pt-PT"/>
        </w:rPr>
        <w:t xml:space="preserve"> </w:t>
      </w:r>
      <w:r>
        <w:rPr>
          <w:sz w:val="20"/>
          <w:szCs w:val="20"/>
        </w:rPr>
        <w:t>на</w:t>
      </w:r>
      <w:r>
        <w:rPr>
          <w:sz w:val="20"/>
          <w:szCs w:val="20"/>
          <w:lang w:val="pt-PT"/>
        </w:rPr>
        <w:t xml:space="preserve"> </w:t>
      </w:r>
      <w:r>
        <w:rPr>
          <w:sz w:val="20"/>
          <w:szCs w:val="20"/>
        </w:rPr>
        <w:t>оценката</w:t>
      </w:r>
      <w:r>
        <w:rPr>
          <w:sz w:val="20"/>
          <w:szCs w:val="20"/>
          <w:lang w:val="pt-PT"/>
        </w:rPr>
        <w:t xml:space="preserve"> </w:t>
      </w:r>
      <w:r>
        <w:rPr>
          <w:sz w:val="20"/>
          <w:szCs w:val="20"/>
        </w:rPr>
        <w:t>на</w:t>
      </w:r>
      <w:r>
        <w:rPr>
          <w:sz w:val="20"/>
          <w:szCs w:val="20"/>
          <w:lang w:val="pt-PT"/>
        </w:rPr>
        <w:t xml:space="preserve"> </w:t>
      </w:r>
      <w:r>
        <w:rPr>
          <w:sz w:val="20"/>
          <w:szCs w:val="20"/>
        </w:rPr>
        <w:t>въздействието</w:t>
      </w:r>
      <w:r>
        <w:rPr>
          <w:sz w:val="20"/>
          <w:szCs w:val="20"/>
          <w:lang w:val="pt-PT"/>
        </w:rPr>
        <w:t xml:space="preserve"> </w:t>
      </w:r>
      <w:r>
        <w:rPr>
          <w:sz w:val="20"/>
          <w:szCs w:val="20"/>
        </w:rPr>
        <w:t>на</w:t>
      </w:r>
      <w:r>
        <w:rPr>
          <w:sz w:val="20"/>
          <w:szCs w:val="20"/>
          <w:lang w:val="pt-PT"/>
        </w:rPr>
        <w:t xml:space="preserve"> </w:t>
      </w:r>
      <w:r>
        <w:rPr>
          <w:sz w:val="20"/>
          <w:szCs w:val="20"/>
        </w:rPr>
        <w:t>инвестициите</w:t>
      </w:r>
      <w:r>
        <w:rPr>
          <w:sz w:val="20"/>
          <w:szCs w:val="20"/>
          <w:lang w:val="pt-PT"/>
        </w:rPr>
        <w:t xml:space="preserve"> </w:t>
      </w:r>
      <w:r>
        <w:rPr>
          <w:sz w:val="20"/>
          <w:szCs w:val="20"/>
        </w:rPr>
        <w:t>в</w:t>
      </w:r>
      <w:r>
        <w:rPr>
          <w:sz w:val="20"/>
          <w:szCs w:val="20"/>
          <w:lang w:val="pt-PT"/>
        </w:rPr>
        <w:t xml:space="preserve"> </w:t>
      </w:r>
      <w:r>
        <w:rPr>
          <w:sz w:val="20"/>
          <w:szCs w:val="20"/>
        </w:rPr>
        <w:t>човешки</w:t>
      </w:r>
      <w:r>
        <w:rPr>
          <w:sz w:val="20"/>
          <w:szCs w:val="20"/>
          <w:lang w:val="pt-PT"/>
        </w:rPr>
        <w:t xml:space="preserve"> </w:t>
      </w:r>
      <w:r>
        <w:rPr>
          <w:sz w:val="20"/>
          <w:szCs w:val="20"/>
        </w:rPr>
        <w:t>капитал</w:t>
      </w:r>
      <w:r>
        <w:rPr>
          <w:sz w:val="20"/>
          <w:szCs w:val="20"/>
          <w:lang w:val="pt-PT"/>
        </w:rPr>
        <w:t xml:space="preserve">, </w:t>
      </w:r>
      <w:r>
        <w:rPr>
          <w:sz w:val="20"/>
          <w:szCs w:val="20"/>
        </w:rPr>
        <w:t>ГД</w:t>
      </w:r>
      <w:r>
        <w:rPr>
          <w:sz w:val="20"/>
          <w:szCs w:val="20"/>
          <w:lang w:val="pt-PT"/>
        </w:rPr>
        <w:t xml:space="preserve"> „</w:t>
      </w:r>
      <w:r>
        <w:rPr>
          <w:sz w:val="20"/>
          <w:szCs w:val="20"/>
        </w:rPr>
        <w:t>Заетост</w:t>
      </w:r>
      <w:r>
        <w:rPr>
          <w:sz w:val="20"/>
          <w:szCs w:val="20"/>
          <w:lang w:val="pt-PT"/>
        </w:rPr>
        <w:t xml:space="preserve">, </w:t>
      </w:r>
      <w:r>
        <w:rPr>
          <w:sz w:val="20"/>
          <w:szCs w:val="20"/>
        </w:rPr>
        <w:t>социални</w:t>
      </w:r>
      <w:r>
        <w:rPr>
          <w:sz w:val="20"/>
          <w:szCs w:val="20"/>
          <w:lang w:val="pt-PT"/>
        </w:rPr>
        <w:t xml:space="preserve"> </w:t>
      </w:r>
      <w:r>
        <w:rPr>
          <w:sz w:val="20"/>
          <w:szCs w:val="20"/>
        </w:rPr>
        <w:t>въпроси</w:t>
      </w:r>
      <w:r>
        <w:rPr>
          <w:sz w:val="20"/>
          <w:szCs w:val="20"/>
          <w:lang w:val="pt-PT"/>
        </w:rPr>
        <w:t xml:space="preserve"> </w:t>
      </w:r>
      <w:r>
        <w:rPr>
          <w:sz w:val="20"/>
          <w:szCs w:val="20"/>
        </w:rPr>
        <w:t>и</w:t>
      </w:r>
      <w:r>
        <w:rPr>
          <w:sz w:val="20"/>
          <w:szCs w:val="20"/>
          <w:lang w:val="pt-PT"/>
        </w:rPr>
        <w:t xml:space="preserve"> </w:t>
      </w:r>
      <w:r>
        <w:rPr>
          <w:sz w:val="20"/>
          <w:szCs w:val="20"/>
        </w:rPr>
        <w:t>приобщаване</w:t>
      </w:r>
      <w:r>
        <w:rPr>
          <w:sz w:val="20"/>
          <w:szCs w:val="20"/>
          <w:lang w:val="pt-PT"/>
        </w:rPr>
        <w:t>“ (</w:t>
      </w:r>
      <w:r>
        <w:rPr>
          <w:sz w:val="20"/>
          <w:szCs w:val="20"/>
        </w:rPr>
        <w:t>все</w:t>
      </w:r>
      <w:r>
        <w:rPr>
          <w:sz w:val="20"/>
          <w:szCs w:val="20"/>
          <w:lang w:val="pt-PT"/>
        </w:rPr>
        <w:t xml:space="preserve"> </w:t>
      </w:r>
      <w:r>
        <w:rPr>
          <w:sz w:val="20"/>
          <w:szCs w:val="20"/>
        </w:rPr>
        <w:t>още</w:t>
      </w:r>
      <w:r>
        <w:rPr>
          <w:sz w:val="20"/>
          <w:szCs w:val="20"/>
          <w:lang w:val="pt-PT"/>
        </w:rPr>
        <w:t xml:space="preserve"> </w:t>
      </w:r>
      <w:r>
        <w:rPr>
          <w:sz w:val="20"/>
          <w:szCs w:val="20"/>
        </w:rPr>
        <w:t>в</w:t>
      </w:r>
      <w:r>
        <w:rPr>
          <w:sz w:val="20"/>
          <w:szCs w:val="20"/>
          <w:lang w:val="pt-PT"/>
        </w:rPr>
        <w:t xml:space="preserve"> </w:t>
      </w:r>
      <w:r>
        <w:rPr>
          <w:sz w:val="20"/>
          <w:szCs w:val="20"/>
        </w:rPr>
        <w:t>ход</w:t>
      </w:r>
      <w:r>
        <w:rPr>
          <w:sz w:val="20"/>
          <w:szCs w:val="20"/>
          <w:lang w:val="pt-PT"/>
        </w:rPr>
        <w:t>):</w:t>
      </w:r>
      <w:r>
        <w:rPr>
          <w:i/>
          <w:sz w:val="20"/>
          <w:szCs w:val="20"/>
          <w:lang w:val="pt-PT"/>
        </w:rPr>
        <w:t xml:space="preserve"> „</w:t>
      </w:r>
      <w:r>
        <w:rPr>
          <w:i/>
          <w:sz w:val="20"/>
          <w:szCs w:val="20"/>
        </w:rPr>
        <w:t>Интегрирането</w:t>
      </w:r>
      <w:r>
        <w:rPr>
          <w:i/>
          <w:sz w:val="20"/>
          <w:szCs w:val="20"/>
          <w:lang w:val="pt-PT"/>
        </w:rPr>
        <w:t xml:space="preserve"> </w:t>
      </w:r>
      <w:r>
        <w:rPr>
          <w:i/>
          <w:sz w:val="20"/>
          <w:szCs w:val="20"/>
        </w:rPr>
        <w:t>на</w:t>
      </w:r>
      <w:r>
        <w:rPr>
          <w:i/>
          <w:sz w:val="20"/>
          <w:szCs w:val="20"/>
          <w:lang w:val="pt-PT"/>
        </w:rPr>
        <w:t xml:space="preserve"> </w:t>
      </w:r>
      <w:r>
        <w:rPr>
          <w:i/>
          <w:sz w:val="20"/>
          <w:szCs w:val="20"/>
        </w:rPr>
        <w:t>ЕФПГ</w:t>
      </w:r>
      <w:r>
        <w:rPr>
          <w:i/>
          <w:sz w:val="20"/>
          <w:szCs w:val="20"/>
          <w:lang w:val="pt-PT"/>
        </w:rPr>
        <w:t xml:space="preserve"> </w:t>
      </w:r>
      <w:r>
        <w:rPr>
          <w:i/>
          <w:sz w:val="20"/>
          <w:szCs w:val="20"/>
        </w:rPr>
        <w:t>в</w:t>
      </w:r>
      <w:r>
        <w:rPr>
          <w:i/>
          <w:sz w:val="20"/>
          <w:szCs w:val="20"/>
          <w:lang w:val="pt-PT"/>
        </w:rPr>
        <w:t xml:space="preserve"> </w:t>
      </w:r>
      <w:r>
        <w:rPr>
          <w:i/>
          <w:sz w:val="20"/>
          <w:szCs w:val="20"/>
        </w:rPr>
        <w:t>рамките</w:t>
      </w:r>
      <w:r>
        <w:rPr>
          <w:i/>
          <w:sz w:val="20"/>
          <w:szCs w:val="20"/>
          <w:lang w:val="pt-PT"/>
        </w:rPr>
        <w:t xml:space="preserve"> </w:t>
      </w:r>
      <w:r>
        <w:rPr>
          <w:i/>
          <w:sz w:val="20"/>
          <w:szCs w:val="20"/>
        </w:rPr>
        <w:t>на</w:t>
      </w:r>
      <w:r>
        <w:rPr>
          <w:i/>
          <w:sz w:val="20"/>
          <w:szCs w:val="20"/>
          <w:lang w:val="pt-PT"/>
        </w:rPr>
        <w:t xml:space="preserve"> </w:t>
      </w:r>
      <w:r>
        <w:rPr>
          <w:i/>
          <w:sz w:val="20"/>
          <w:szCs w:val="20"/>
        </w:rPr>
        <w:t>други</w:t>
      </w:r>
      <w:r>
        <w:rPr>
          <w:i/>
          <w:sz w:val="20"/>
          <w:szCs w:val="20"/>
          <w:lang w:val="pt-PT"/>
        </w:rPr>
        <w:t xml:space="preserve"> </w:t>
      </w:r>
      <w:r>
        <w:rPr>
          <w:i/>
          <w:sz w:val="20"/>
          <w:szCs w:val="20"/>
        </w:rPr>
        <w:t>фондове</w:t>
      </w:r>
      <w:r>
        <w:rPr>
          <w:i/>
          <w:sz w:val="20"/>
          <w:szCs w:val="20"/>
          <w:lang w:val="pt-PT"/>
        </w:rPr>
        <w:t xml:space="preserve"> </w:t>
      </w:r>
      <w:r>
        <w:rPr>
          <w:i/>
          <w:sz w:val="20"/>
          <w:szCs w:val="20"/>
        </w:rPr>
        <w:t>по</w:t>
      </w:r>
      <w:r>
        <w:rPr>
          <w:i/>
          <w:sz w:val="20"/>
          <w:szCs w:val="20"/>
          <w:lang w:val="pt-PT"/>
        </w:rPr>
        <w:t xml:space="preserve"> </w:t>
      </w:r>
      <w:r>
        <w:rPr>
          <w:i/>
          <w:sz w:val="20"/>
          <w:szCs w:val="20"/>
        </w:rPr>
        <w:t>ГД</w:t>
      </w:r>
      <w:r>
        <w:rPr>
          <w:i/>
          <w:sz w:val="20"/>
          <w:szCs w:val="20"/>
          <w:lang w:val="pt-PT"/>
        </w:rPr>
        <w:t xml:space="preserve"> „</w:t>
      </w:r>
      <w:r>
        <w:rPr>
          <w:i/>
          <w:sz w:val="20"/>
          <w:szCs w:val="20"/>
        </w:rPr>
        <w:t>Заетост</w:t>
      </w:r>
      <w:r>
        <w:rPr>
          <w:i/>
          <w:sz w:val="20"/>
          <w:szCs w:val="20"/>
          <w:lang w:val="pt-PT"/>
        </w:rPr>
        <w:t xml:space="preserve">, </w:t>
      </w:r>
      <w:r>
        <w:rPr>
          <w:i/>
          <w:sz w:val="20"/>
          <w:szCs w:val="20"/>
        </w:rPr>
        <w:t>социални</w:t>
      </w:r>
      <w:r>
        <w:rPr>
          <w:i/>
          <w:sz w:val="20"/>
          <w:szCs w:val="20"/>
          <w:lang w:val="pt-PT"/>
        </w:rPr>
        <w:t xml:space="preserve"> </w:t>
      </w:r>
      <w:r>
        <w:rPr>
          <w:i/>
          <w:sz w:val="20"/>
          <w:szCs w:val="20"/>
        </w:rPr>
        <w:t>въпроси</w:t>
      </w:r>
      <w:r>
        <w:rPr>
          <w:i/>
          <w:sz w:val="20"/>
          <w:szCs w:val="20"/>
          <w:lang w:val="pt-PT"/>
        </w:rPr>
        <w:t xml:space="preserve"> </w:t>
      </w:r>
      <w:r>
        <w:rPr>
          <w:i/>
          <w:sz w:val="20"/>
          <w:szCs w:val="20"/>
        </w:rPr>
        <w:t>и</w:t>
      </w:r>
      <w:r>
        <w:rPr>
          <w:i/>
          <w:sz w:val="20"/>
          <w:szCs w:val="20"/>
          <w:lang w:val="pt-PT"/>
        </w:rPr>
        <w:t xml:space="preserve"> </w:t>
      </w:r>
      <w:r>
        <w:rPr>
          <w:i/>
          <w:sz w:val="20"/>
          <w:szCs w:val="20"/>
        </w:rPr>
        <w:t>приобщаване</w:t>
      </w:r>
      <w:r>
        <w:rPr>
          <w:i/>
          <w:sz w:val="20"/>
          <w:szCs w:val="20"/>
          <w:lang w:val="pt-PT"/>
        </w:rPr>
        <w:t xml:space="preserve">“ </w:t>
      </w:r>
      <w:r>
        <w:rPr>
          <w:i/>
          <w:sz w:val="20"/>
          <w:szCs w:val="20"/>
        </w:rPr>
        <w:t>като</w:t>
      </w:r>
      <w:r>
        <w:rPr>
          <w:i/>
          <w:sz w:val="20"/>
          <w:szCs w:val="20"/>
          <w:lang w:val="pt-PT"/>
        </w:rPr>
        <w:t xml:space="preserve"> </w:t>
      </w:r>
      <w:r>
        <w:rPr>
          <w:i/>
          <w:sz w:val="20"/>
          <w:szCs w:val="20"/>
        </w:rPr>
        <w:t>цяло</w:t>
      </w:r>
      <w:r>
        <w:rPr>
          <w:i/>
          <w:sz w:val="20"/>
          <w:szCs w:val="20"/>
          <w:lang w:val="pt-PT"/>
        </w:rPr>
        <w:t xml:space="preserve"> </w:t>
      </w:r>
      <w:r>
        <w:rPr>
          <w:i/>
          <w:sz w:val="20"/>
          <w:szCs w:val="20"/>
        </w:rPr>
        <w:t>не</w:t>
      </w:r>
      <w:r>
        <w:rPr>
          <w:i/>
          <w:sz w:val="20"/>
          <w:szCs w:val="20"/>
          <w:lang w:val="pt-PT"/>
        </w:rPr>
        <w:t xml:space="preserve"> </w:t>
      </w:r>
      <w:r>
        <w:rPr>
          <w:i/>
          <w:sz w:val="20"/>
          <w:szCs w:val="20"/>
        </w:rPr>
        <w:t>се</w:t>
      </w:r>
      <w:r>
        <w:rPr>
          <w:i/>
          <w:sz w:val="20"/>
          <w:szCs w:val="20"/>
          <w:lang w:val="pt-PT"/>
        </w:rPr>
        <w:t xml:space="preserve"> </w:t>
      </w:r>
      <w:r>
        <w:rPr>
          <w:i/>
          <w:sz w:val="20"/>
          <w:szCs w:val="20"/>
        </w:rPr>
        <w:t>счита</w:t>
      </w:r>
      <w:r>
        <w:rPr>
          <w:i/>
          <w:sz w:val="20"/>
          <w:szCs w:val="20"/>
          <w:lang w:val="pt-PT"/>
        </w:rPr>
        <w:t xml:space="preserve"> </w:t>
      </w:r>
      <w:r>
        <w:rPr>
          <w:i/>
          <w:sz w:val="20"/>
          <w:szCs w:val="20"/>
        </w:rPr>
        <w:t>за</w:t>
      </w:r>
      <w:r>
        <w:rPr>
          <w:i/>
          <w:sz w:val="20"/>
          <w:szCs w:val="20"/>
          <w:lang w:val="pt-PT"/>
        </w:rPr>
        <w:t xml:space="preserve"> </w:t>
      </w:r>
      <w:r>
        <w:rPr>
          <w:i/>
          <w:sz w:val="20"/>
          <w:szCs w:val="20"/>
        </w:rPr>
        <w:t>желателно</w:t>
      </w:r>
      <w:r>
        <w:rPr>
          <w:i/>
          <w:sz w:val="20"/>
          <w:szCs w:val="20"/>
          <w:lang w:val="pt-PT"/>
        </w:rPr>
        <w:t xml:space="preserve"> </w:t>
      </w:r>
      <w:r>
        <w:rPr>
          <w:i/>
          <w:sz w:val="20"/>
          <w:szCs w:val="20"/>
        </w:rPr>
        <w:t>от</w:t>
      </w:r>
      <w:r>
        <w:rPr>
          <w:i/>
          <w:sz w:val="20"/>
          <w:szCs w:val="20"/>
          <w:lang w:val="pt-PT"/>
        </w:rPr>
        <w:t xml:space="preserve"> </w:t>
      </w:r>
      <w:r>
        <w:rPr>
          <w:i/>
          <w:sz w:val="20"/>
          <w:szCs w:val="20"/>
        </w:rPr>
        <w:t>различните</w:t>
      </w:r>
      <w:r>
        <w:rPr>
          <w:i/>
          <w:sz w:val="20"/>
          <w:szCs w:val="20"/>
          <w:lang w:val="pt-PT"/>
        </w:rPr>
        <w:t xml:space="preserve"> </w:t>
      </w:r>
      <w:r>
        <w:rPr>
          <w:i/>
          <w:sz w:val="20"/>
          <w:szCs w:val="20"/>
        </w:rPr>
        <w:t>заинтересовани</w:t>
      </w:r>
      <w:r>
        <w:rPr>
          <w:i/>
          <w:sz w:val="20"/>
          <w:szCs w:val="20"/>
          <w:lang w:val="pt-PT"/>
        </w:rPr>
        <w:t xml:space="preserve"> </w:t>
      </w:r>
      <w:r>
        <w:rPr>
          <w:i/>
          <w:sz w:val="20"/>
          <w:szCs w:val="20"/>
        </w:rPr>
        <w:t>страни</w:t>
      </w:r>
      <w:r>
        <w:rPr>
          <w:i/>
          <w:sz w:val="20"/>
          <w:szCs w:val="20"/>
          <w:lang w:val="pt-PT"/>
        </w:rPr>
        <w:t xml:space="preserve">, </w:t>
      </w:r>
      <w:r>
        <w:rPr>
          <w:i/>
          <w:sz w:val="20"/>
          <w:szCs w:val="20"/>
        </w:rPr>
        <w:t>участващи</w:t>
      </w:r>
      <w:r>
        <w:rPr>
          <w:i/>
          <w:sz w:val="20"/>
          <w:szCs w:val="20"/>
          <w:lang w:val="pt-PT"/>
        </w:rPr>
        <w:t xml:space="preserve"> </w:t>
      </w:r>
      <w:r>
        <w:rPr>
          <w:i/>
          <w:sz w:val="20"/>
          <w:szCs w:val="20"/>
        </w:rPr>
        <w:t>в</w:t>
      </w:r>
      <w:r>
        <w:rPr>
          <w:i/>
          <w:sz w:val="20"/>
          <w:szCs w:val="20"/>
          <w:lang w:val="pt-PT"/>
        </w:rPr>
        <w:t xml:space="preserve"> </w:t>
      </w:r>
      <w:r>
        <w:rPr>
          <w:i/>
          <w:sz w:val="20"/>
          <w:szCs w:val="20"/>
        </w:rPr>
        <w:t>управлението</w:t>
      </w:r>
      <w:r>
        <w:rPr>
          <w:i/>
          <w:sz w:val="20"/>
          <w:szCs w:val="20"/>
          <w:lang w:val="pt-PT"/>
        </w:rPr>
        <w:t xml:space="preserve"> </w:t>
      </w:r>
      <w:r>
        <w:rPr>
          <w:i/>
          <w:sz w:val="20"/>
          <w:szCs w:val="20"/>
        </w:rPr>
        <w:t>на</w:t>
      </w:r>
      <w:r>
        <w:rPr>
          <w:i/>
          <w:sz w:val="20"/>
          <w:szCs w:val="20"/>
          <w:lang w:val="pt-PT"/>
        </w:rPr>
        <w:t xml:space="preserve"> </w:t>
      </w:r>
      <w:r>
        <w:rPr>
          <w:i/>
          <w:sz w:val="20"/>
          <w:szCs w:val="20"/>
        </w:rPr>
        <w:t>ЕФПГ</w:t>
      </w:r>
      <w:r>
        <w:rPr>
          <w:i/>
          <w:sz w:val="20"/>
          <w:szCs w:val="20"/>
          <w:lang w:val="pt-PT"/>
        </w:rPr>
        <w:t>.“</w:t>
      </w:r>
    </w:p>
  </w:footnote>
  <w:footnote w:id="12">
    <w:p w:rsidR="000A3633" w:rsidRDefault="0078004E">
      <w:pPr>
        <w:pStyle w:val="FootnoteText"/>
        <w:rPr>
          <w:lang w:val="pt-PT"/>
        </w:rPr>
      </w:pPr>
      <w:r>
        <w:rPr>
          <w:rStyle w:val="FootnoteReference"/>
        </w:rPr>
        <w:footnoteRef/>
      </w:r>
      <w:r>
        <w:rPr>
          <w:lang w:val="pt-PT"/>
        </w:rPr>
        <w:tab/>
      </w:r>
      <w:r>
        <w:t>Междуинституционално</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Европейската</w:t>
      </w:r>
      <w:r>
        <w:rPr>
          <w:lang w:val="pt-PT"/>
        </w:rPr>
        <w:t xml:space="preserve"> </w:t>
      </w:r>
      <w:r>
        <w:t>комисия</w:t>
      </w:r>
      <w:r>
        <w:rPr>
          <w:lang w:val="pt-PT"/>
        </w:rPr>
        <w:t xml:space="preserve"> </w:t>
      </w:r>
      <w:r>
        <w:t>за</w:t>
      </w:r>
      <w:r>
        <w:rPr>
          <w:lang w:val="pt-PT"/>
        </w:rPr>
        <w:t xml:space="preserve"> </w:t>
      </w:r>
      <w:r>
        <w:t>по</w:t>
      </w:r>
      <w:r>
        <w:rPr>
          <w:lang w:val="pt-PT"/>
        </w:rPr>
        <w:t>-</w:t>
      </w:r>
      <w:r>
        <w:t>добро</w:t>
      </w:r>
      <w:r>
        <w:rPr>
          <w:lang w:val="pt-PT"/>
        </w:rPr>
        <w:t xml:space="preserve"> </w:t>
      </w:r>
      <w:r>
        <w:t>законотворчество</w:t>
      </w:r>
      <w:r>
        <w:rPr>
          <w:lang w:val="pt-PT"/>
        </w:rPr>
        <w:t xml:space="preserve"> </w:t>
      </w:r>
      <w:r>
        <w:t>от</w:t>
      </w:r>
      <w:r>
        <w:rPr>
          <w:lang w:val="pt-PT"/>
        </w:rPr>
        <w:t xml:space="preserve"> 13 </w:t>
      </w:r>
      <w:r>
        <w:t>април</w:t>
      </w:r>
      <w:r>
        <w:rPr>
          <w:lang w:val="pt-PT"/>
        </w:rPr>
        <w:t xml:space="preserve"> 2016 </w:t>
      </w:r>
      <w:r>
        <w:t>г</w:t>
      </w:r>
      <w:r>
        <w:rPr>
          <w:lang w:val="pt-PT"/>
        </w:rPr>
        <w:t xml:space="preserve">. </w:t>
      </w:r>
      <w:r>
        <w:t>ОВ</w:t>
      </w:r>
      <w:r>
        <w:rPr>
          <w:lang w:val="pt-PT"/>
        </w:rPr>
        <w:t> L 123, 12.5.2006 </w:t>
      </w:r>
      <w:r>
        <w:t>г</w:t>
      </w:r>
      <w:r>
        <w:rPr>
          <w:lang w:val="pt-PT"/>
        </w:rPr>
        <w:t xml:space="preserve">., </w:t>
      </w:r>
      <w:r>
        <w:t>стр</w:t>
      </w:r>
      <w:r>
        <w:rPr>
          <w:lang w:val="pt-PT"/>
        </w:rPr>
        <w:t>. 1—14.</w:t>
      </w:r>
    </w:p>
  </w:footnote>
  <w:footnote w:id="13">
    <w:p w:rsidR="000A3633" w:rsidRDefault="0078004E">
      <w:pPr>
        <w:pStyle w:val="footnotetext1"/>
        <w:rPr>
          <w:lang w:val="pt-PT"/>
        </w:rPr>
      </w:pPr>
      <w:r>
        <w:rPr>
          <w:rStyle w:val="FootnoteReference"/>
        </w:rPr>
        <w:footnoteRef/>
      </w:r>
      <w:r>
        <w:rPr>
          <w:lang w:val="pt-PT"/>
        </w:rPr>
        <w:tab/>
      </w:r>
      <w:r>
        <w:t>ОВ</w:t>
      </w:r>
      <w:r>
        <w:rPr>
          <w:lang w:val="pt-PT"/>
        </w:rPr>
        <w:t xml:space="preserve"> C , , </w:t>
      </w:r>
      <w:r>
        <w:t>стр</w:t>
      </w:r>
      <w:r>
        <w:rPr>
          <w:lang w:val="pt-PT"/>
        </w:rPr>
        <w:t>. .</w:t>
      </w:r>
    </w:p>
  </w:footnote>
  <w:footnote w:id="14">
    <w:p w:rsidR="000A3633" w:rsidRDefault="0078004E">
      <w:pPr>
        <w:pStyle w:val="footnotetext1"/>
        <w:rPr>
          <w:lang w:val="pt-PT"/>
        </w:rPr>
      </w:pPr>
      <w:r>
        <w:rPr>
          <w:rStyle w:val="FootnoteReference"/>
        </w:rPr>
        <w:footnoteRef/>
      </w:r>
      <w:r>
        <w:rPr>
          <w:lang w:val="pt-PT"/>
        </w:rPr>
        <w:tab/>
      </w:r>
      <w:r>
        <w:t>ОВ</w:t>
      </w:r>
      <w:r>
        <w:rPr>
          <w:lang w:val="pt-PT"/>
        </w:rPr>
        <w:t xml:space="preserve"> C , , </w:t>
      </w:r>
      <w:r>
        <w:t>стр</w:t>
      </w:r>
      <w:r>
        <w:rPr>
          <w:lang w:val="pt-PT"/>
        </w:rPr>
        <w:t>. .</w:t>
      </w:r>
    </w:p>
  </w:footnote>
  <w:footnote w:id="15">
    <w:p w:rsidR="000A3633" w:rsidRDefault="0078004E">
      <w:pPr>
        <w:pStyle w:val="footnotetext1"/>
        <w:rPr>
          <w:lang w:val="pt-PT"/>
        </w:rPr>
      </w:pPr>
      <w:r>
        <w:rPr>
          <w:rStyle w:val="FootnoteReference"/>
        </w:rPr>
        <w:footnoteRef/>
      </w:r>
      <w:r>
        <w:rPr>
          <w:lang w:val="pt-PT"/>
        </w:rPr>
        <w:tab/>
      </w:r>
      <w:hyperlink r:id="rId2" w:history="1">
        <w:r>
          <w:rPr>
            <w:rStyle w:val="Hyperlink"/>
            <w:lang w:val="pt-PT"/>
          </w:rPr>
          <w:t>https://ec.europa.eu/commission/priorities/deeper-and-fairer-economic-and-monetary-union/european-pillar-social-rights_bg</w:t>
        </w:r>
      </w:hyperlink>
      <w:r>
        <w:rPr>
          <w:rStyle w:val="Hyperlink"/>
          <w:lang w:val="pt-PT"/>
        </w:rPr>
        <w:t>.</w:t>
      </w:r>
    </w:p>
  </w:footnote>
  <w:footnote w:id="16">
    <w:p w:rsidR="000A3633" w:rsidRDefault="0078004E">
      <w:pPr>
        <w:pStyle w:val="footnotetext1"/>
        <w:rPr>
          <w:lang w:val="pt-PT"/>
        </w:rPr>
      </w:pPr>
      <w:r>
        <w:rPr>
          <w:rStyle w:val="FootnoteReference"/>
        </w:rPr>
        <w:footnoteRef/>
      </w:r>
      <w:r>
        <w:rPr>
          <w:lang w:val="pt-PT"/>
        </w:rPr>
        <w:tab/>
      </w:r>
      <w:hyperlink r:id="rId3" w:history="1">
        <w:r>
          <w:rPr>
            <w:rStyle w:val="Hyperlink"/>
            <w:lang w:val="pt-PT"/>
          </w:rPr>
          <w:t>http://eu-un.</w:t>
        </w:r>
        <w:r>
          <w:rPr>
            <w:rStyle w:val="Hyperlink"/>
            <w:lang w:val="pt-PT"/>
          </w:rPr>
          <w:t>europa.eu/eu-response-2030-agenda-sustainable-development-sustainable-european-future/</w:t>
        </w:r>
      </w:hyperlink>
      <w:r>
        <w:rPr>
          <w:rStyle w:val="Hyperlink"/>
          <w:lang w:val="pt-PT"/>
        </w:rPr>
        <w:t>.</w:t>
      </w:r>
    </w:p>
  </w:footnote>
  <w:footnote w:id="17">
    <w:p w:rsidR="000A3633" w:rsidRDefault="0078004E">
      <w:pPr>
        <w:pStyle w:val="footnotetext1"/>
        <w:rPr>
          <w:lang w:val="pt-PT"/>
        </w:rPr>
      </w:pPr>
      <w:r>
        <w:rPr>
          <w:rStyle w:val="FootnoteReference"/>
        </w:rPr>
        <w:footnoteRef/>
      </w:r>
      <w:r>
        <w:rPr>
          <w:lang w:val="pt-PT"/>
        </w:rPr>
        <w:tab/>
      </w:r>
      <w:hyperlink r:id="rId4" w:history="1">
        <w:r>
          <w:rPr>
            <w:rStyle w:val="Hyperlink"/>
            <w:lang w:val="pt-PT"/>
          </w:rPr>
          <w:t>https://sustainabledevelopment.un.org/post2015/transformingourworld</w:t>
        </w:r>
      </w:hyperlink>
      <w:r>
        <w:rPr>
          <w:rStyle w:val="Hyperlink"/>
          <w:lang w:val="pt-PT"/>
        </w:rPr>
        <w:t>.</w:t>
      </w:r>
    </w:p>
  </w:footnote>
  <w:footnote w:id="18">
    <w:p w:rsidR="000A3633" w:rsidRDefault="0078004E">
      <w:pPr>
        <w:pStyle w:val="footnotetext1"/>
        <w:rPr>
          <w:lang w:val="pt-PT"/>
        </w:rPr>
      </w:pPr>
      <w:r>
        <w:rPr>
          <w:rStyle w:val="FootnoteReference"/>
        </w:rPr>
        <w:footnoteRef/>
      </w:r>
      <w:r>
        <w:rPr>
          <w:lang w:val="pt-PT"/>
        </w:rPr>
        <w:tab/>
        <w:t>https://ec.</w:t>
      </w:r>
      <w:r>
        <w:rPr>
          <w:lang w:val="pt-PT"/>
        </w:rPr>
        <w:t>europa.eu/commission/sites/beta-political/files/communication-new-modern-multiannual-financial-framework_en.pdf</w:t>
      </w:r>
    </w:p>
  </w:footnote>
  <w:footnote w:id="19">
    <w:p w:rsidR="000A3633" w:rsidRDefault="0078004E">
      <w:pPr>
        <w:pStyle w:val="footnotetext1"/>
        <w:rPr>
          <w:lang w:val="pt-PT"/>
        </w:rPr>
      </w:pPr>
      <w:r>
        <w:rPr>
          <w:rStyle w:val="FootnoteReference"/>
        </w:rPr>
        <w:footnoteRef/>
      </w:r>
      <w:r>
        <w:rPr>
          <w:lang w:val="pt-PT"/>
        </w:rPr>
        <w:tab/>
      </w:r>
      <w:hyperlink r:id="rId5" w:history="1">
        <w:r>
          <w:rPr>
            <w:rStyle w:val="Hyperlink"/>
            <w:color w:val="auto"/>
            <w:lang w:val="pt-PT"/>
          </w:rPr>
          <w:t>https://ec.europa.eu/commission/wh</w:t>
        </w:r>
        <w:r>
          <w:rPr>
            <w:rStyle w:val="Hyperlink"/>
            <w:color w:val="auto"/>
            <w:lang w:val="pt-PT"/>
          </w:rPr>
          <w:t>ite-paper-future-europe-reflections-and-scenarios-eu27_bg</w:t>
        </w:r>
      </w:hyperlink>
      <w:r>
        <w:rPr>
          <w:rStyle w:val="Hyperlink"/>
          <w:color w:val="auto"/>
          <w:lang w:val="pt-PT"/>
        </w:rPr>
        <w:t>.</w:t>
      </w:r>
    </w:p>
  </w:footnote>
  <w:footnote w:id="20">
    <w:p w:rsidR="000A3633" w:rsidRDefault="0078004E">
      <w:pPr>
        <w:pStyle w:val="footnotetext1"/>
        <w:rPr>
          <w:lang w:val="pt-PT"/>
        </w:rPr>
      </w:pPr>
      <w:r>
        <w:rPr>
          <w:rStyle w:val="FootnoteReference"/>
        </w:rPr>
        <w:footnoteRef/>
      </w:r>
      <w:r>
        <w:rPr>
          <w:lang w:val="pt-PT"/>
        </w:rPr>
        <w:tab/>
      </w:r>
      <w:hyperlink r:id="rId6" w:history="1">
        <w:r>
          <w:rPr>
            <w:rStyle w:val="Hyperlink"/>
            <w:color w:val="auto"/>
            <w:lang w:val="pt-PT"/>
          </w:rPr>
          <w:t>https://ec.europa.eu/commission/publications/reflection-paper-harnessing-globalisation_bg</w:t>
        </w:r>
      </w:hyperlink>
      <w:r>
        <w:rPr>
          <w:rStyle w:val="Hyperlink"/>
          <w:color w:val="auto"/>
          <w:lang w:val="pt-PT"/>
        </w:rPr>
        <w:t>.</w:t>
      </w:r>
    </w:p>
  </w:footnote>
  <w:footnote w:id="21">
    <w:p w:rsidR="000A3633" w:rsidRDefault="0078004E">
      <w:pPr>
        <w:pStyle w:val="footnotetext1"/>
        <w:rPr>
          <w:lang w:val="pt-PT"/>
        </w:rPr>
      </w:pPr>
      <w:r>
        <w:rPr>
          <w:rStyle w:val="FootnoteReference"/>
        </w:rPr>
        <w:footnoteRef/>
      </w:r>
      <w:r>
        <w:rPr>
          <w:lang w:val="pt-PT"/>
        </w:rPr>
        <w:tab/>
      </w:r>
      <w:hyperlink r:id="rId7" w:history="1">
        <w:r>
          <w:rPr>
            <w:rStyle w:val="Hyperlink"/>
            <w:color w:val="auto"/>
            <w:lang w:val="pt-PT"/>
          </w:rPr>
          <w:t>https://ec.europa.eu/commission/publications/reflection-paper-future-eu-finances_bg</w:t>
        </w:r>
      </w:hyperlink>
      <w:r>
        <w:rPr>
          <w:rStyle w:val="Hyperlink"/>
          <w:color w:val="auto"/>
          <w:lang w:val="pt-PT"/>
        </w:rPr>
        <w:t>.</w:t>
      </w:r>
    </w:p>
  </w:footnote>
  <w:footnote w:id="22">
    <w:p w:rsidR="000A3633" w:rsidRDefault="0078004E">
      <w:pPr>
        <w:pStyle w:val="footnotetext1"/>
        <w:rPr>
          <w:lang w:val="pt-PT"/>
        </w:rPr>
      </w:pPr>
      <w:r>
        <w:rPr>
          <w:rStyle w:val="FootnoteReference"/>
        </w:rPr>
        <w:footnoteRef/>
      </w:r>
      <w:r>
        <w:rPr>
          <w:lang w:val="pt-PT"/>
        </w:rPr>
        <w:tab/>
      </w:r>
      <w:r>
        <w:t>СЪОБЩЕНИЕ</w:t>
      </w:r>
      <w:r>
        <w:rPr>
          <w:lang w:val="pt-PT"/>
        </w:rPr>
        <w:t xml:space="preserve"> </w:t>
      </w:r>
      <w:r>
        <w:t>НА</w:t>
      </w:r>
      <w:r>
        <w:rPr>
          <w:lang w:val="pt-PT"/>
        </w:rPr>
        <w:t xml:space="preserve"> </w:t>
      </w:r>
      <w:r>
        <w:t>КОМИСИЯТА</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ЕВРОПЕЙСКИЯ</w:t>
      </w:r>
      <w:r>
        <w:rPr>
          <w:lang w:val="pt-PT"/>
        </w:rPr>
        <w:t xml:space="preserve"> </w:t>
      </w:r>
      <w:r>
        <w:t>ИКОНОМИЧЕСКИ</w:t>
      </w:r>
      <w:r>
        <w:rPr>
          <w:lang w:val="pt-PT"/>
        </w:rPr>
        <w:t xml:space="preserve"> </w:t>
      </w:r>
      <w:r>
        <w:t>И</w:t>
      </w:r>
      <w:r>
        <w:rPr>
          <w:lang w:val="pt-PT"/>
        </w:rPr>
        <w:t xml:space="preserve"> </w:t>
      </w:r>
      <w:r>
        <w:t>СОЦИАЛЕН</w:t>
      </w:r>
      <w:r>
        <w:rPr>
          <w:lang w:val="pt-PT"/>
        </w:rPr>
        <w:t xml:space="preserve"> </w:t>
      </w:r>
      <w:r>
        <w:t>КОМИТЕТ</w:t>
      </w:r>
      <w:r>
        <w:rPr>
          <w:lang w:val="pt-PT"/>
        </w:rPr>
        <w:t xml:space="preserve"> </w:t>
      </w:r>
      <w:r>
        <w:t>И</w:t>
      </w:r>
      <w:r>
        <w:rPr>
          <w:lang w:val="pt-PT"/>
        </w:rPr>
        <w:t xml:space="preserve"> </w:t>
      </w:r>
      <w:r>
        <w:t>КОМИТЕТА</w:t>
      </w:r>
      <w:r>
        <w:rPr>
          <w:lang w:val="pt-PT"/>
        </w:rPr>
        <w:t xml:space="preserve"> </w:t>
      </w:r>
      <w:r>
        <w:t>НА</w:t>
      </w:r>
      <w:r>
        <w:rPr>
          <w:lang w:val="pt-PT"/>
        </w:rPr>
        <w:t xml:space="preserve"> </w:t>
      </w:r>
      <w:r>
        <w:t>РЕГИОНИТЕ</w:t>
      </w:r>
      <w:r>
        <w:rPr>
          <w:lang w:val="pt-PT"/>
        </w:rPr>
        <w:t xml:space="preserve"> „</w:t>
      </w:r>
      <w:r>
        <w:t>Рамка</w:t>
      </w:r>
      <w:r>
        <w:rPr>
          <w:lang w:val="pt-PT"/>
        </w:rPr>
        <w:t xml:space="preserve"> </w:t>
      </w:r>
      <w:r>
        <w:t>за</w:t>
      </w:r>
      <w:r>
        <w:rPr>
          <w:lang w:val="pt-PT"/>
        </w:rPr>
        <w:t xml:space="preserve"> </w:t>
      </w:r>
      <w:r>
        <w:t>качество</w:t>
      </w:r>
      <w:r>
        <w:rPr>
          <w:lang w:val="pt-PT"/>
        </w:rPr>
        <w:t xml:space="preserve"> </w:t>
      </w:r>
      <w:r>
        <w:t>на</w:t>
      </w:r>
      <w:r>
        <w:rPr>
          <w:lang w:val="pt-PT"/>
        </w:rPr>
        <w:t xml:space="preserve"> </w:t>
      </w:r>
      <w:r>
        <w:t>ЕС</w:t>
      </w:r>
      <w:r>
        <w:rPr>
          <w:lang w:val="pt-PT"/>
        </w:rPr>
        <w:t xml:space="preserve"> </w:t>
      </w:r>
      <w:r>
        <w:t>за</w:t>
      </w:r>
      <w:r>
        <w:rPr>
          <w:lang w:val="pt-PT"/>
        </w:rPr>
        <w:t xml:space="preserve"> </w:t>
      </w:r>
      <w:r>
        <w:t>предвиждане</w:t>
      </w:r>
      <w:r>
        <w:rPr>
          <w:lang w:val="pt-PT"/>
        </w:rPr>
        <w:t xml:space="preserve"> </w:t>
      </w:r>
      <w:r>
        <w:t>на</w:t>
      </w:r>
      <w:r>
        <w:rPr>
          <w:lang w:val="pt-PT"/>
        </w:rPr>
        <w:t xml:space="preserve"> </w:t>
      </w:r>
      <w:r>
        <w:t>промените</w:t>
      </w:r>
      <w:r>
        <w:rPr>
          <w:lang w:val="pt-PT"/>
        </w:rPr>
        <w:t xml:space="preserve"> </w:t>
      </w:r>
      <w:r>
        <w:t>и</w:t>
      </w:r>
      <w:r>
        <w:rPr>
          <w:lang w:val="pt-PT"/>
        </w:rPr>
        <w:t xml:space="preserve"> </w:t>
      </w:r>
      <w:r>
        <w:t>преструктуриране</w:t>
      </w:r>
      <w:r>
        <w:rPr>
          <w:lang w:val="pt-PT"/>
        </w:rPr>
        <w:t>“ (COM(2013) 882 final, 13.12.2013 </w:t>
      </w:r>
      <w:r>
        <w:t>г</w:t>
      </w:r>
      <w:r>
        <w:rPr>
          <w:lang w:val="pt-PT"/>
        </w:rPr>
        <w:t>.).</w:t>
      </w:r>
    </w:p>
  </w:footnote>
  <w:footnote w:id="23">
    <w:p w:rsidR="000A3633" w:rsidRDefault="0078004E">
      <w:pPr>
        <w:pStyle w:val="footnotetext1"/>
        <w:rPr>
          <w:lang w:val="pt-PT"/>
        </w:rPr>
      </w:pPr>
      <w:r>
        <w:rPr>
          <w:rStyle w:val="FootnoteReference"/>
        </w:rPr>
        <w:footnoteRef/>
      </w:r>
      <w:r>
        <w:rPr>
          <w:lang w:val="pt-PT"/>
        </w:rPr>
        <w:tab/>
      </w:r>
      <w:r>
        <w:t>Регламент</w:t>
      </w:r>
      <w:r>
        <w:rPr>
          <w:lang w:val="pt-PT"/>
        </w:rPr>
        <w:t xml:space="preserve"> (</w:t>
      </w:r>
      <w:r>
        <w:t>ЕО</w:t>
      </w:r>
      <w:r>
        <w:rPr>
          <w:lang w:val="pt-PT"/>
        </w:rPr>
        <w:t xml:space="preserve">) № 1927/2006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w:t>
      </w:r>
      <w:r>
        <w:t>ври</w:t>
      </w:r>
      <w:r>
        <w:rPr>
          <w:lang w:val="pt-PT"/>
        </w:rPr>
        <w:t xml:space="preserve"> 2006 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Европейски</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w:t>
      </w:r>
      <w:hyperlink r:id="rId8" w:history="1">
        <w:r>
          <w:rPr>
            <w:color w:val="0000FF"/>
            <w:szCs w:val="24"/>
            <w:u w:val="single"/>
          </w:rPr>
          <w:t>ОВ</w:t>
        </w:r>
        <w:r>
          <w:rPr>
            <w:color w:val="0000FF"/>
            <w:szCs w:val="24"/>
            <w:u w:val="single"/>
            <w:lang w:val="pt-PT"/>
          </w:rPr>
          <w:t> L 406, 30.12.2006 </w:t>
        </w:r>
        <w:r>
          <w:rPr>
            <w:color w:val="0000FF"/>
            <w:szCs w:val="24"/>
            <w:u w:val="single"/>
          </w:rPr>
          <w:t>г</w:t>
        </w:r>
        <w:r>
          <w:rPr>
            <w:color w:val="0000FF"/>
            <w:szCs w:val="24"/>
            <w:u w:val="single"/>
            <w:lang w:val="pt-PT"/>
          </w:rPr>
          <w:t xml:space="preserve">., </w:t>
        </w:r>
        <w:r>
          <w:rPr>
            <w:color w:val="0000FF"/>
            <w:szCs w:val="24"/>
            <w:u w:val="single"/>
          </w:rPr>
          <w:t>стр</w:t>
        </w:r>
        <w:r>
          <w:rPr>
            <w:color w:val="0000FF"/>
            <w:szCs w:val="24"/>
            <w:u w:val="single"/>
            <w:lang w:val="pt-PT"/>
          </w:rPr>
          <w:t>. 1</w:t>
        </w:r>
      </w:hyperlink>
      <w:r>
        <w:rPr>
          <w:lang w:val="pt-PT"/>
        </w:rPr>
        <w:t>).</w:t>
      </w:r>
    </w:p>
  </w:footnote>
  <w:footnote w:id="24">
    <w:p w:rsidR="000A3633" w:rsidRDefault="0078004E">
      <w:pPr>
        <w:pStyle w:val="footnotetext1"/>
        <w:rPr>
          <w:lang w:val="pt-PT"/>
        </w:rPr>
      </w:pPr>
      <w:r>
        <w:rPr>
          <w:rStyle w:val="FootnoteReference"/>
        </w:rPr>
        <w:footnoteRef/>
      </w:r>
      <w:r>
        <w:rPr>
          <w:lang w:val="pt-PT"/>
        </w:rPr>
        <w:tab/>
      </w:r>
      <w:r>
        <w:t>Регламент</w:t>
      </w:r>
      <w:r>
        <w:rPr>
          <w:lang w:val="pt-PT"/>
        </w:rPr>
        <w:t xml:space="preserve"> (</w:t>
      </w:r>
      <w:r>
        <w:t>ЕО</w:t>
      </w:r>
      <w:r>
        <w:rPr>
          <w:lang w:val="pt-PT"/>
        </w:rPr>
        <w:t xml:space="preserve">) № 546/2009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юни</w:t>
      </w:r>
      <w:r>
        <w:rPr>
          <w:lang w:val="pt-PT"/>
        </w:rPr>
        <w:t xml:space="preserve"> 2009 </w:t>
      </w:r>
      <w:r>
        <w:t>г</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1927/2006 </w:t>
      </w:r>
      <w:r>
        <w:t>за</w:t>
      </w:r>
      <w:r>
        <w:rPr>
          <w:lang w:val="pt-PT"/>
        </w:rPr>
        <w:t xml:space="preserve"> </w:t>
      </w:r>
      <w:r>
        <w:t>създаване</w:t>
      </w:r>
      <w:r>
        <w:rPr>
          <w:lang w:val="pt-PT"/>
        </w:rPr>
        <w:t xml:space="preserve"> </w:t>
      </w:r>
      <w:r>
        <w:t>на</w:t>
      </w:r>
      <w:r>
        <w:rPr>
          <w:lang w:val="pt-PT"/>
        </w:rPr>
        <w:t xml:space="preserve"> </w:t>
      </w:r>
      <w:r>
        <w:t>Европейски</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w:t>
      </w:r>
      <w:hyperlink r:id="rId9" w:history="1">
        <w:r>
          <w:rPr>
            <w:color w:val="0000FF"/>
            <w:szCs w:val="24"/>
            <w:u w:val="single"/>
          </w:rPr>
          <w:t>ОВ</w:t>
        </w:r>
        <w:r>
          <w:rPr>
            <w:color w:val="0000FF"/>
            <w:szCs w:val="24"/>
            <w:u w:val="single"/>
            <w:lang w:val="pt-PT"/>
          </w:rPr>
          <w:t> L 167, 29.6.2009 </w:t>
        </w:r>
        <w:r>
          <w:rPr>
            <w:color w:val="0000FF"/>
            <w:szCs w:val="24"/>
            <w:u w:val="single"/>
          </w:rPr>
          <w:t>г</w:t>
        </w:r>
        <w:r>
          <w:rPr>
            <w:color w:val="0000FF"/>
            <w:szCs w:val="24"/>
            <w:u w:val="single"/>
            <w:lang w:val="pt-PT"/>
          </w:rPr>
          <w:t xml:space="preserve">., </w:t>
        </w:r>
        <w:r>
          <w:rPr>
            <w:color w:val="0000FF"/>
            <w:szCs w:val="24"/>
            <w:u w:val="single"/>
          </w:rPr>
          <w:t>стр</w:t>
        </w:r>
        <w:r>
          <w:rPr>
            <w:color w:val="0000FF"/>
            <w:szCs w:val="24"/>
            <w:u w:val="single"/>
            <w:lang w:val="pt-PT"/>
          </w:rPr>
          <w:t>. 26</w:t>
        </w:r>
      </w:hyperlink>
      <w:r>
        <w:rPr>
          <w:lang w:val="pt-PT"/>
        </w:rPr>
        <w:t>).</w:t>
      </w:r>
    </w:p>
  </w:footnote>
  <w:footnote w:id="25">
    <w:p w:rsidR="000A3633" w:rsidRDefault="0078004E">
      <w:pPr>
        <w:pStyle w:val="footnotetext1"/>
        <w:rPr>
          <w:lang w:val="pt-PT"/>
        </w:rPr>
      </w:pPr>
      <w:r>
        <w:rPr>
          <w:rStyle w:val="FootnoteReference"/>
        </w:rPr>
        <w:footnoteRef/>
      </w:r>
      <w:r>
        <w:rPr>
          <w:lang w:val="pt-PT"/>
        </w:rPr>
        <w:tab/>
      </w:r>
      <w:r>
        <w:t>Регламент</w:t>
      </w:r>
      <w:r>
        <w:rPr>
          <w:lang w:val="pt-PT"/>
        </w:rPr>
        <w:t xml:space="preserve"> (</w:t>
      </w:r>
      <w:r>
        <w:t>ЕС</w:t>
      </w:r>
      <w:r>
        <w:rPr>
          <w:lang w:val="pt-PT"/>
        </w:rPr>
        <w:t xml:space="preserve">) № 1309/2013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относно</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приспособяване</w:t>
      </w:r>
      <w:r>
        <w:rPr>
          <w:lang w:val="pt-PT"/>
        </w:rPr>
        <w:t xml:space="preserve"> </w:t>
      </w:r>
      <w:r>
        <w:t>към</w:t>
      </w:r>
      <w:r>
        <w:rPr>
          <w:lang w:val="pt-PT"/>
        </w:rPr>
        <w:t xml:space="preserve"> </w:t>
      </w:r>
      <w:r>
        <w:t>глобализацията</w:t>
      </w:r>
      <w:r>
        <w:rPr>
          <w:lang w:val="pt-PT"/>
        </w:rPr>
        <w:t xml:space="preserve"> (2014—2020 </w:t>
      </w:r>
      <w:r>
        <w:t>г</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 1927/2006.</w:t>
      </w:r>
    </w:p>
  </w:footnote>
  <w:footnote w:id="26">
    <w:p w:rsidR="000A3633" w:rsidRDefault="0078004E">
      <w:pPr>
        <w:pStyle w:val="footnotetext1"/>
        <w:rPr>
          <w:lang w:val="pt-PT"/>
        </w:rPr>
      </w:pPr>
      <w:r>
        <w:rPr>
          <w:rStyle w:val="FootnoteReference"/>
        </w:rPr>
        <w:footnoteRef/>
      </w:r>
      <w:r>
        <w:rPr>
          <w:lang w:val="pt-PT"/>
        </w:rPr>
        <w:tab/>
        <w:t xml:space="preserve">COM(2018) 297 final </w:t>
      </w:r>
      <w:r>
        <w:t>и</w:t>
      </w:r>
      <w:r>
        <w:rPr>
          <w:lang w:val="pt-PT"/>
        </w:rPr>
        <w:t xml:space="preserve"> </w:t>
      </w:r>
      <w:r>
        <w:t>придружаващия</w:t>
      </w:r>
      <w:r>
        <w:rPr>
          <w:lang w:val="pt-PT"/>
        </w:rPr>
        <w:t xml:space="preserve"> </w:t>
      </w:r>
      <w:r>
        <w:t>го</w:t>
      </w:r>
      <w:r>
        <w:rPr>
          <w:lang w:val="pt-PT"/>
        </w:rPr>
        <w:t xml:space="preserve"> SWD(2018) 192 final.</w:t>
      </w:r>
    </w:p>
  </w:footnote>
  <w:footnote w:id="27">
    <w:p w:rsidR="000A3633" w:rsidRDefault="0078004E">
      <w:pPr>
        <w:pStyle w:val="footnotetext1"/>
        <w:rPr>
          <w:lang w:val="pt-PT"/>
        </w:rPr>
      </w:pPr>
      <w:r>
        <w:rPr>
          <w:rStyle w:val="FootnoteReference"/>
        </w:rPr>
        <w:footnoteRef/>
      </w:r>
      <w:r>
        <w:rPr>
          <w:lang w:val="pt-PT"/>
        </w:rPr>
        <w:tab/>
      </w:r>
      <w:r>
        <w:t>Документът</w:t>
      </w:r>
      <w:r>
        <w:rPr>
          <w:lang w:val="pt-PT"/>
        </w:rPr>
        <w:t xml:space="preserve"> </w:t>
      </w:r>
      <w:r>
        <w:t>на</w:t>
      </w:r>
      <w:r>
        <w:rPr>
          <w:lang w:val="pt-PT"/>
        </w:rPr>
        <w:t xml:space="preserve"> </w:t>
      </w:r>
      <w:r>
        <w:t>Комисията</w:t>
      </w:r>
      <w:r>
        <w:rPr>
          <w:lang w:val="pt-PT"/>
        </w:rPr>
        <w:t xml:space="preserve"> SWD(2018) 171 final </w:t>
      </w:r>
      <w:r>
        <w:t>и</w:t>
      </w:r>
      <w:r>
        <w:rPr>
          <w:lang w:val="pt-PT"/>
        </w:rPr>
        <w:t xml:space="preserve"> </w:t>
      </w:r>
      <w:r>
        <w:t>неговото</w:t>
      </w:r>
      <w:r>
        <w:rPr>
          <w:lang w:val="pt-PT"/>
        </w:rPr>
        <w:t xml:space="preserve"> </w:t>
      </w:r>
      <w:r>
        <w:t>приложение</w:t>
      </w:r>
      <w:r>
        <w:rPr>
          <w:lang w:val="pt-PT"/>
        </w:rPr>
        <w:t xml:space="preserve"> COM(2018) 321 final.</w:t>
      </w:r>
    </w:p>
  </w:footnote>
  <w:footnote w:id="28">
    <w:p w:rsidR="000A3633" w:rsidRDefault="0078004E">
      <w:pPr>
        <w:pStyle w:val="FootnoteText"/>
        <w:rPr>
          <w:rStyle w:val="FootnoteReference"/>
          <w:vertAlign w:val="baseline"/>
        </w:rPr>
      </w:pPr>
      <w:r>
        <w:rPr>
          <w:rStyle w:val="FootnoteReference"/>
        </w:rPr>
        <w:footnoteRef/>
      </w:r>
      <w:r>
        <w:rPr>
          <w:rStyle w:val="FootnoteReference"/>
        </w:rPr>
        <w:tab/>
      </w:r>
      <w:r>
        <w:rPr>
          <w:rStyle w:val="FootnoteReference"/>
          <w:vertAlign w:val="baseline"/>
        </w:rPr>
        <w:t>O</w:t>
      </w:r>
      <w:r>
        <w:t>В</w:t>
      </w:r>
      <w:r>
        <w:rPr>
          <w:rStyle w:val="FootnoteReference"/>
          <w:vertAlign w:val="baseline"/>
        </w:rPr>
        <w:t xml:space="preserve"> L […], […], </w:t>
      </w:r>
      <w:r>
        <w:t>стр</w:t>
      </w:r>
      <w:r>
        <w:rPr>
          <w:rStyle w:val="FootnoteReference"/>
          <w:vertAlign w:val="baseline"/>
        </w:rPr>
        <w:t>. […].</w:t>
      </w:r>
    </w:p>
  </w:footnote>
  <w:footnote w:id="29">
    <w:p w:rsidR="000A3633" w:rsidRDefault="0078004E">
      <w:pPr>
        <w:pStyle w:val="footnotetext1"/>
      </w:pPr>
      <w:r>
        <w:rPr>
          <w:rStyle w:val="FootnoteReference"/>
        </w:rPr>
        <w:footnoteRef/>
      </w:r>
      <w:r>
        <w:tab/>
        <w:t>Reference to be updated</w:t>
      </w:r>
      <w:r>
        <w:rPr>
          <w:rStyle w:val="Hyperlink"/>
          <w:i/>
        </w:rPr>
        <w:t>.</w:t>
      </w:r>
    </w:p>
  </w:footnote>
  <w:footnote w:id="30">
    <w:p w:rsidR="000A3633" w:rsidRDefault="0078004E">
      <w:pPr>
        <w:pStyle w:val="footnotetext1"/>
      </w:pPr>
      <w:r>
        <w:rPr>
          <w:rStyle w:val="FootnoteReference"/>
        </w:rPr>
        <w:footnoteRef/>
      </w:r>
      <w:r>
        <w:tab/>
        <w:t>Reference to be updated.</w:t>
      </w:r>
    </w:p>
  </w:footnote>
  <w:footnote w:id="31">
    <w:p w:rsidR="000A3633" w:rsidRDefault="0078004E">
      <w:pPr>
        <w:pStyle w:val="FootnoteText"/>
      </w:pPr>
      <w:r>
        <w:rPr>
          <w:rStyle w:val="FootnoteReference"/>
        </w:rPr>
        <w:footnoteRef/>
      </w:r>
      <w:r>
        <w:tab/>
        <w:t>Регламент (ЕС, Евратом) № 883/2013 г. на Европейския парламент</w:t>
      </w:r>
      <w:r>
        <w:t xml:space="preserve">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w:t>
      </w:r>
      <w:r>
        <w:t xml:space="preserve"> 18.9.2013, стр. 1).</w:t>
      </w:r>
    </w:p>
  </w:footnote>
  <w:footnote w:id="32">
    <w:p w:rsidR="000A3633" w:rsidRDefault="0078004E">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33">
    <w:p w:rsidR="000A3633" w:rsidRDefault="0078004E">
      <w:pPr>
        <w:pStyle w:val="FootnoteText"/>
      </w:pPr>
      <w:r>
        <w:rPr>
          <w:rStyle w:val="FootnoteReference"/>
        </w:rPr>
        <w:footnoteRef/>
      </w:r>
      <w:r>
        <w:tab/>
        <w:t>Регламент (Евратом, ЕО) № 2185/96 на Съвета от 11 ноември 1996 </w:t>
      </w:r>
      <w:r>
        <w:t>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4">
    <w:p w:rsidR="000A3633" w:rsidRDefault="0078004E">
      <w:pPr>
        <w:pStyle w:val="FootnoteText"/>
      </w:pPr>
      <w:r>
        <w:rPr>
          <w:rStyle w:val="FootnoteReference"/>
        </w:rPr>
        <w:footnoteRef/>
      </w:r>
      <w:r>
        <w:tab/>
        <w:t xml:space="preserve">Регламент (ЕС) 2017/1939 на Съвета от 12 октомври 2017 г. за </w:t>
      </w:r>
      <w:r>
        <w:t>установяване на засилено сътрудничество за създаване на Европейска прокуратура (OВ L 283, 31.10.2017 г., стp. 1).</w:t>
      </w:r>
    </w:p>
  </w:footnote>
  <w:footnote w:id="35">
    <w:p w:rsidR="000A3633" w:rsidRDefault="0078004E">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w:t>
      </w:r>
      <w:r>
        <w:t>Съюза, по наказателноправен ред (ОВ L 198, 28.7.2017 г., стр. 29).</w:t>
      </w:r>
    </w:p>
  </w:footnote>
  <w:footnote w:id="36">
    <w:p w:rsidR="000A3633" w:rsidRDefault="0078004E">
      <w:pPr>
        <w:pStyle w:val="footnotetext1"/>
        <w:rPr>
          <w:i/>
        </w:rPr>
      </w:pPr>
      <w:r>
        <w:rPr>
          <w:rStyle w:val="FootnoteReference"/>
        </w:rPr>
        <w:footnoteRef/>
      </w:r>
      <w:r>
        <w:tab/>
        <w:t>Reference to be checked/updated:</w:t>
      </w:r>
      <w:r>
        <w:rPr>
          <w:i/>
        </w:rPr>
        <w:t xml:space="preserve"> </w:t>
      </w:r>
      <w:r>
        <w:t>Директива 98/59/ЕО на Съвета от 20 юли 1998 г. за сближаване на законодателствата на държавите членки в областта на колективните уволнения (</w:t>
      </w:r>
      <w:hyperlink r:id="rId10" w:history="1">
        <w:r>
          <w:rPr>
            <w:i/>
            <w:color w:val="0000FF"/>
            <w:szCs w:val="24"/>
            <w:u w:val="single"/>
          </w:rPr>
          <w:t>ОВ L 225, 12.8.1998 г., стр. 16</w:t>
        </w:r>
      </w:hyperlink>
      <w:r>
        <w:t>).</w:t>
      </w:r>
    </w:p>
  </w:footnote>
  <w:footnote w:id="37">
    <w:p w:rsidR="000A3633" w:rsidRDefault="0078004E">
      <w:pPr>
        <w:pStyle w:val="FootnoteText"/>
        <w:rPr>
          <w:szCs w:val="24"/>
        </w:rPr>
      </w:pPr>
      <w:r>
        <w:rPr>
          <w:rStyle w:val="FootnoteReference"/>
        </w:rPr>
        <w:footnoteRef/>
      </w:r>
      <w:r>
        <w:tab/>
        <w:t>Съгласно член 58, параграф 2, буква а) или б) от Финансовия регламент.</w:t>
      </w:r>
    </w:p>
  </w:footnote>
  <w:footnote w:id="38">
    <w:p w:rsidR="000A3633" w:rsidRDefault="0078004E">
      <w:pPr>
        <w:pStyle w:val="FootnoteText"/>
        <w:jc w:val="left"/>
        <w:rPr>
          <w:szCs w:val="24"/>
        </w:rPr>
      </w:pPr>
      <w:r>
        <w:rPr>
          <w:rStyle w:val="FootnoteReference"/>
        </w:rPr>
        <w:footnoteRef/>
      </w:r>
      <w:r>
        <w:tab/>
        <w:t>Подробности във връзка с методите на управление и позоваванията на Финансов</w:t>
      </w:r>
      <w:r>
        <w:t xml:space="preserve">ия регламент могат да бъдат намерени на уебсайта BudgWeb: </w:t>
      </w:r>
      <w:hyperlink r:id="rId11" w:history="1">
        <w:r>
          <w:rPr>
            <w:rStyle w:val="Hyperlink"/>
          </w:rPr>
          <w:t>https://myintracomm.ec.europa.eu/budgweb/EN/man/budgmanag/Pages/budgmanag.aspx</w:t>
        </w:r>
      </w:hyperlink>
      <w:r>
        <w:t xml:space="preserve"> </w:t>
      </w:r>
    </w:p>
  </w:footnote>
  <w:footnote w:id="39">
    <w:p w:rsidR="000A3633" w:rsidRDefault="0078004E">
      <w:pPr>
        <w:pStyle w:val="FootnoteText"/>
        <w:rPr>
          <w:szCs w:val="24"/>
        </w:rPr>
      </w:pPr>
      <w:r>
        <w:rPr>
          <w:rStyle w:val="FootnoteReference"/>
        </w:rPr>
        <w:footnoteRef/>
      </w:r>
      <w:r>
        <w:tab/>
        <w:t>Многогод. = многогоди</w:t>
      </w:r>
      <w:r>
        <w:t>шни бюджетни кредити / Едногод. = едногодишни бюджетни кредити.</w:t>
      </w:r>
    </w:p>
  </w:footnote>
  <w:footnote w:id="40">
    <w:p w:rsidR="000A3633" w:rsidRDefault="0078004E">
      <w:pPr>
        <w:pStyle w:val="FootnoteText"/>
        <w:rPr>
          <w:szCs w:val="24"/>
        </w:rPr>
      </w:pPr>
      <w:r>
        <w:rPr>
          <w:rStyle w:val="FootnoteReference"/>
        </w:rPr>
        <w:footnoteRef/>
      </w:r>
      <w:r>
        <w:tab/>
        <w:t xml:space="preserve">ЕАСТ: Европейска асоциация за свободна търговия. </w:t>
      </w:r>
    </w:p>
  </w:footnote>
  <w:footnote w:id="41">
    <w:p w:rsidR="000A3633" w:rsidRDefault="0078004E">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42">
    <w:p w:rsidR="000A3633" w:rsidRDefault="0078004E">
      <w:pPr>
        <w:pStyle w:val="FootnoteText"/>
      </w:pPr>
      <w:r>
        <w:rPr>
          <w:rStyle w:val="FootnoteReference"/>
        </w:rPr>
        <w:footnoteRef/>
      </w:r>
      <w:r>
        <w:tab/>
        <w:t>Горепосочените цифри са максималните налични суми вся</w:t>
      </w:r>
      <w:r>
        <w:t>ка година за Европейския фонд за приспособяване към глобализацията</w:t>
      </w:r>
    </w:p>
  </w:footnote>
  <w:footnote w:id="43">
    <w:p w:rsidR="000A3633" w:rsidRDefault="0078004E">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4">
    <w:p w:rsidR="000A3633" w:rsidRDefault="0078004E">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5">
    <w:p w:rsidR="000A3633" w:rsidRDefault="0078004E">
      <w:pPr>
        <w:pStyle w:val="FootnoteText"/>
        <w:rPr>
          <w:szCs w:val="24"/>
        </w:rPr>
      </w:pPr>
      <w:r>
        <w:rPr>
          <w:rStyle w:val="FootnoteReference"/>
        </w:rPr>
        <w:footnoteRef/>
      </w:r>
      <w:r>
        <w:tab/>
        <w:t>ДНП = договорно нает персонал; МП = местен персонал; КНЕ = командиров</w:t>
      </w:r>
      <w:r>
        <w:t xml:space="preserve">ан национален експерт; ПНА = персонал, нает чрез агенции за временна заетост; МЕД = младши експерт в делегация. </w:t>
      </w:r>
    </w:p>
  </w:footnote>
  <w:footnote w:id="46">
    <w:p w:rsidR="000A3633" w:rsidRDefault="0078004E">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7">
    <w:p w:rsidR="000A3633" w:rsidRDefault="0078004E">
      <w:pPr>
        <w:pStyle w:val="FootnoteText"/>
        <w:rPr>
          <w:szCs w:val="24"/>
        </w:rPr>
      </w:pPr>
      <w:r>
        <w:rPr>
          <w:rStyle w:val="FootnoteReference"/>
        </w:rPr>
        <w:footnoteRef/>
      </w:r>
      <w:r>
        <w:tab/>
        <w:t xml:space="preserve">Що се отнася до традиционните </w:t>
      </w:r>
      <w:r>
        <w:t>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3" w:rsidRDefault="000A3633" w:rsidP="0078004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Default="0078004E" w:rsidP="0078004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33" w:rsidRDefault="000A3633" w:rsidP="007800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Default="0078004E" w:rsidP="0078004E">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4E" w:rsidRPr="0078004E" w:rsidRDefault="0078004E" w:rsidP="0078004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CEC5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DCA8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DAC5EA"/>
    <w:lvl w:ilvl="0">
      <w:start w:val="1"/>
      <w:numFmt w:val="decimal"/>
      <w:pStyle w:val="ListNumber2"/>
      <w:lvlText w:val="%1."/>
      <w:lvlJc w:val="left"/>
      <w:pPr>
        <w:tabs>
          <w:tab w:val="num" w:pos="643"/>
        </w:tabs>
        <w:ind w:left="643" w:hanging="360"/>
      </w:pPr>
    </w:lvl>
  </w:abstractNum>
  <w:abstractNum w:abstractNumId="3">
    <w:nsid w:val="FFFFFF80"/>
    <w:multiLevelType w:val="singleLevel"/>
    <w:tmpl w:val="08B8E4F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D6ED58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62A144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EF7E4CB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8">
    <w:nsid w:val="FFFFFF89"/>
    <w:multiLevelType w:val="singleLevel"/>
    <w:tmpl w:val="BE403DE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nsid w:val="7FF82709"/>
    <w:multiLevelType w:val="hybridMultilevel"/>
    <w:tmpl w:val="04E8B8C8"/>
    <w:name w:val="NumPar2"/>
    <w:lvl w:ilvl="0" w:tplc="76E486CE">
      <w:start w:val="1"/>
      <w:numFmt w:val="decimal"/>
      <w:pStyle w:val="Listnumbered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26"/>
  </w:num>
  <w:num w:numId="6">
    <w:abstractNumId w:val="7"/>
  </w:num>
  <w:num w:numId="7">
    <w:abstractNumId w:val="2"/>
  </w:num>
  <w:num w:numId="8">
    <w:abstractNumId w:val="1"/>
  </w:num>
  <w:num w:numId="9">
    <w:abstractNumId w:val="0"/>
  </w:num>
  <w:num w:numId="10">
    <w:abstractNumId w:val="24"/>
  </w:num>
  <w:num w:numId="11">
    <w:abstractNumId w:val="3"/>
  </w:num>
  <w:num w:numId="12">
    <w:abstractNumId w:val="13"/>
    <w:lvlOverride w:ilvl="0">
      <w:startOverride w:val="1"/>
    </w:lvlOverride>
  </w:num>
  <w:num w:numId="13">
    <w:abstractNumId w:val="17"/>
  </w:num>
  <w:num w:numId="14">
    <w:abstractNumId w:val="16"/>
  </w:num>
  <w:num w:numId="15">
    <w:abstractNumId w:val="21"/>
    <w:lvlOverride w:ilvl="0">
      <w:startOverride w:val="1"/>
    </w:lvlOverride>
  </w:num>
  <w:num w:numId="16">
    <w:abstractNumId w:val="25"/>
    <w:lvlOverride w:ilvl="0">
      <w:startOverride w:val="1"/>
    </w:lvlOverride>
  </w:num>
  <w:num w:numId="17">
    <w:abstractNumId w:val="21"/>
  </w:num>
  <w:num w:numId="18">
    <w:abstractNumId w:val="13"/>
  </w:num>
  <w:num w:numId="19">
    <w:abstractNumId w:val="23"/>
  </w:num>
  <w:num w:numId="20">
    <w:abstractNumId w:val="12"/>
  </w:num>
  <w:num w:numId="21">
    <w:abstractNumId w:val="14"/>
  </w:num>
  <w:num w:numId="22">
    <w:abstractNumId w:val="10"/>
  </w:num>
  <w:num w:numId="23">
    <w:abstractNumId w:val="22"/>
  </w:num>
  <w:num w:numId="24">
    <w:abstractNumId w:val="9"/>
  </w:num>
  <w:num w:numId="25">
    <w:abstractNumId w:val="15"/>
  </w:num>
  <w:num w:numId="26">
    <w:abstractNumId w:val="19"/>
  </w:num>
  <w:num w:numId="27">
    <w:abstractNumId w:val="20"/>
  </w:num>
  <w:num w:numId="28">
    <w:abstractNumId w:val="11"/>
  </w:num>
  <w:num w:numId="29">
    <w:abstractNumId w:val="18"/>
  </w:num>
  <w:num w:numId="30">
    <w:abstractNumId w:val="25"/>
  </w:num>
  <w:num w:numId="31">
    <w:abstractNumId w:val="21"/>
  </w:num>
  <w:num w:numId="32">
    <w:abstractNumId w:val="13"/>
  </w:num>
  <w:num w:numId="33">
    <w:abstractNumId w:val="23"/>
  </w:num>
  <w:num w:numId="34">
    <w:abstractNumId w:val="12"/>
  </w:num>
  <w:num w:numId="35">
    <w:abstractNumId w:val="14"/>
  </w:num>
  <w:num w:numId="36">
    <w:abstractNumId w:val="10"/>
  </w:num>
  <w:num w:numId="37">
    <w:abstractNumId w:val="22"/>
  </w:num>
  <w:num w:numId="38">
    <w:abstractNumId w:val="9"/>
  </w:num>
  <w:num w:numId="39">
    <w:abstractNumId w:val="15"/>
  </w:num>
  <w:num w:numId="40">
    <w:abstractNumId w:val="19"/>
  </w:num>
  <w:num w:numId="41">
    <w:abstractNumId w:val="20"/>
  </w:num>
  <w:num w:numId="42">
    <w:abstractNumId w:val="11"/>
  </w:num>
  <w:num w:numId="43">
    <w:abstractNumId w:val="18"/>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20:52: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2"/>
    <w:docVar w:name="DQCResult_StructureCheck" w:val="0;0"/>
    <w:docVar w:name="DQCResult_SuperfluousWhitespace" w:val="0;17"/>
    <w:docVar w:name="DQCResult_UnknownFonts" w:val="0;0"/>
    <w:docVar w:name="DQCResult_UnknownStyles" w:val="0;55"/>
    <w:docVar w:name="DQCStatus" w:val="Yellow"/>
    <w:docVar w:name="DQCVersion" w:val="3"/>
    <w:docVar w:name="DQCWithWarnings" w:val="0"/>
    <w:docVar w:name="LW_CORRIGENDUM" w:val="&lt;UNUSED&gt;"/>
    <w:docVar w:name="LW_COVERPAGE_EXISTS" w:val="True"/>
    <w:docVar w:name="LW_COVERPAGE_GUID" w:val="120F92C3-ED57-4E5E-B694-10EBE8F82303"/>
    <w:docVar w:name="LW_COVERPAGE_TYPE" w:val="1"/>
    <w:docVar w:name="LW_CROSSREFERENCE" w:val="{SEC(2018) 273 final}_x000a_{SWD(2018) 289 final}"/>
    <w:docVar w:name="LW_DocType" w:val="COM"/>
    <w:docVar w:name="LW_EMISSION" w:val="30.5.2018"/>
    <w:docVar w:name="LW_EMISSION_ISODATE" w:val="2018-05-30"/>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2"/>
    <w:docVar w:name="LW_REF.II.NEW.CP_YEAR" w:val="2018"/>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45?\u1074?\u1088?\u1086?\u1087?\u1077?\u1081?\u1089?\u1082?\u1080?\u1103? \u1092?\u1086?\u1085?\u1076? \u1079?\u1072? \u1087?\u1088?\u1080?\u1089?\u1087?\u1086?\u1089?\u1086?\u1073?\u1103?\u1074?\u1072?\u1085?\u1077? \u1082?\u1098?\u1084? \u1075?\u1083?\u1086?\u1073?\u1072?\u1083?\u1080?\u1079?\u1072?\u1094?\u1080?\u1103?\u1090?\u1072? (\u1045?\u1060?\u1055?\u1043?)"/>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EMPL\EMPL-2018-00476\EMPL-2018-00476-00-00-EN-EDT-00.201805151117014496319.DOCX"/>
  </w:docVars>
  <w:rsids>
    <w:rsidRoot w:val="000A3633"/>
    <w:rsid w:val="000A3633"/>
    <w:rsid w:val="0078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lang w:eastAsia="de-DE"/>
    </w:rPr>
  </w:style>
  <w:style w:type="paragraph" w:styleId="ListBullet5">
    <w:name w:val="List Bullet 5"/>
    <w:basedOn w:val="Normal"/>
    <w:uiPriority w:val="99"/>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78004E"/>
    <w:pPr>
      <w:tabs>
        <w:tab w:val="center" w:pos="4535"/>
        <w:tab w:val="right" w:pos="9071"/>
      </w:tabs>
      <w:spacing w:before="0"/>
    </w:pPr>
  </w:style>
  <w:style w:type="character" w:customStyle="1" w:styleId="HeaderChar">
    <w:name w:val="Header Char"/>
    <w:basedOn w:val="DefaultParagraphFont"/>
    <w:link w:val="Header"/>
    <w:uiPriority w:val="99"/>
    <w:rsid w:val="0078004E"/>
    <w:rPr>
      <w:rFonts w:ascii="Times New Roman" w:hAnsi="Times New Roman" w:cs="Times New Roman"/>
      <w:sz w:val="24"/>
    </w:rPr>
  </w:style>
  <w:style w:type="paragraph" w:styleId="Footer">
    <w:name w:val="footer"/>
    <w:basedOn w:val="Normal"/>
    <w:link w:val="FooterChar"/>
    <w:uiPriority w:val="99"/>
    <w:unhideWhenUsed/>
    <w:rsid w:val="0078004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8004E"/>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8004E"/>
    <w:pPr>
      <w:tabs>
        <w:tab w:val="center" w:pos="7285"/>
        <w:tab w:val="right" w:pos="14003"/>
      </w:tabs>
      <w:spacing w:before="0"/>
    </w:pPr>
  </w:style>
  <w:style w:type="paragraph" w:customStyle="1" w:styleId="FooterLandscape">
    <w:name w:val="FooterLandscape"/>
    <w:basedOn w:val="Normal"/>
    <w:rsid w:val="0078004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8004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8004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numbered0">
    <w:name w:val="List numbered 0"/>
    <w:basedOn w:val="Tiret0"/>
    <w:pPr>
      <w:numPr>
        <w:numId w:val="5"/>
      </w:numPr>
      <w:spacing w:before="360"/>
      <w:ind w:left="0" w:firstLine="0"/>
    </w:pPr>
  </w:style>
  <w:style w:type="paragraph" w:customStyle="1" w:styleId="Normalcenteredbold">
    <w:name w:val="Normal centered bold"/>
    <w:basedOn w:val="NormalCentered"/>
    <w:next w:val="Normal"/>
    <w:qFormat/>
    <w:rPr>
      <w: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lang w:eastAsia="de-DE"/>
    </w:rPr>
  </w:style>
  <w:style w:type="paragraph" w:styleId="ListBullet5">
    <w:name w:val="List Bullet 5"/>
    <w:basedOn w:val="Normal"/>
    <w:uiPriority w:val="99"/>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sz w:val="20"/>
      <w:szCs w:val="20"/>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78004E"/>
    <w:pPr>
      <w:tabs>
        <w:tab w:val="center" w:pos="4535"/>
        <w:tab w:val="right" w:pos="9071"/>
      </w:tabs>
      <w:spacing w:before="0"/>
    </w:pPr>
  </w:style>
  <w:style w:type="character" w:customStyle="1" w:styleId="HeaderChar">
    <w:name w:val="Header Char"/>
    <w:basedOn w:val="DefaultParagraphFont"/>
    <w:link w:val="Header"/>
    <w:uiPriority w:val="99"/>
    <w:rsid w:val="0078004E"/>
    <w:rPr>
      <w:rFonts w:ascii="Times New Roman" w:hAnsi="Times New Roman" w:cs="Times New Roman"/>
      <w:sz w:val="24"/>
    </w:rPr>
  </w:style>
  <w:style w:type="paragraph" w:styleId="Footer">
    <w:name w:val="footer"/>
    <w:basedOn w:val="Normal"/>
    <w:link w:val="FooterChar"/>
    <w:uiPriority w:val="99"/>
    <w:unhideWhenUsed/>
    <w:rsid w:val="0078004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8004E"/>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8004E"/>
    <w:pPr>
      <w:tabs>
        <w:tab w:val="center" w:pos="7285"/>
        <w:tab w:val="right" w:pos="14003"/>
      </w:tabs>
      <w:spacing w:before="0"/>
    </w:pPr>
  </w:style>
  <w:style w:type="paragraph" w:customStyle="1" w:styleId="FooterLandscape">
    <w:name w:val="FooterLandscape"/>
    <w:basedOn w:val="Normal"/>
    <w:rsid w:val="0078004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8004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8004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2641">
      <w:bodyDiv w:val="1"/>
      <w:marLeft w:val="0"/>
      <w:marRight w:val="0"/>
      <w:marTop w:val="0"/>
      <w:marBottom w:val="0"/>
      <w:divBdr>
        <w:top w:val="none" w:sz="0" w:space="0" w:color="auto"/>
        <w:left w:val="none" w:sz="0" w:space="0" w:color="auto"/>
        <w:bottom w:val="none" w:sz="0" w:space="0" w:color="auto"/>
        <w:right w:val="none" w:sz="0" w:space="0" w:color="auto"/>
      </w:divBdr>
      <w:divsChild>
        <w:div w:id="1117333057">
          <w:marLeft w:val="0"/>
          <w:marRight w:val="0"/>
          <w:marTop w:val="0"/>
          <w:marBottom w:val="0"/>
          <w:divBdr>
            <w:top w:val="none" w:sz="0" w:space="0" w:color="auto"/>
            <w:left w:val="none" w:sz="0" w:space="0" w:color="auto"/>
            <w:bottom w:val="none" w:sz="0" w:space="0" w:color="auto"/>
            <w:right w:val="none" w:sz="0" w:space="0" w:color="auto"/>
          </w:divBdr>
        </w:div>
        <w:div w:id="302203141">
          <w:marLeft w:val="0"/>
          <w:marRight w:val="0"/>
          <w:marTop w:val="0"/>
          <w:marBottom w:val="0"/>
          <w:divBdr>
            <w:top w:val="none" w:sz="0" w:space="0" w:color="auto"/>
            <w:left w:val="none" w:sz="0" w:space="0" w:color="auto"/>
            <w:bottom w:val="none" w:sz="0" w:space="0" w:color="auto"/>
            <w:right w:val="none" w:sz="0" w:space="0" w:color="auto"/>
          </w:divBdr>
        </w:div>
        <w:div w:id="2082365364">
          <w:marLeft w:val="0"/>
          <w:marRight w:val="0"/>
          <w:marTop w:val="0"/>
          <w:marBottom w:val="0"/>
          <w:divBdr>
            <w:top w:val="none" w:sz="0" w:space="0" w:color="auto"/>
            <w:left w:val="none" w:sz="0" w:space="0" w:color="auto"/>
            <w:bottom w:val="none" w:sz="0" w:space="0" w:color="auto"/>
            <w:right w:val="none" w:sz="0" w:space="0" w:color="auto"/>
          </w:divBdr>
        </w:div>
        <w:div w:id="317073943">
          <w:marLeft w:val="0"/>
          <w:marRight w:val="0"/>
          <w:marTop w:val="0"/>
          <w:marBottom w:val="0"/>
          <w:divBdr>
            <w:top w:val="none" w:sz="0" w:space="0" w:color="auto"/>
            <w:left w:val="none" w:sz="0" w:space="0" w:color="auto"/>
            <w:bottom w:val="none" w:sz="0" w:space="0" w:color="auto"/>
            <w:right w:val="none" w:sz="0" w:space="0" w:color="auto"/>
          </w:divBdr>
        </w:div>
        <w:div w:id="1228416555">
          <w:marLeft w:val="0"/>
          <w:marRight w:val="0"/>
          <w:marTop w:val="0"/>
          <w:marBottom w:val="0"/>
          <w:divBdr>
            <w:top w:val="none" w:sz="0" w:space="0" w:color="auto"/>
            <w:left w:val="none" w:sz="0" w:space="0" w:color="auto"/>
            <w:bottom w:val="none" w:sz="0" w:space="0" w:color="auto"/>
            <w:right w:val="none" w:sz="0" w:space="0" w:color="auto"/>
          </w:divBdr>
        </w:div>
        <w:div w:id="1083601055">
          <w:marLeft w:val="0"/>
          <w:marRight w:val="0"/>
          <w:marTop w:val="0"/>
          <w:marBottom w:val="0"/>
          <w:divBdr>
            <w:top w:val="none" w:sz="0" w:space="0" w:color="auto"/>
            <w:left w:val="none" w:sz="0" w:space="0" w:color="auto"/>
            <w:bottom w:val="none" w:sz="0" w:space="0" w:color="auto"/>
            <w:right w:val="none" w:sz="0" w:space="0" w:color="auto"/>
          </w:divBdr>
        </w:div>
        <w:div w:id="897471879">
          <w:marLeft w:val="0"/>
          <w:marRight w:val="0"/>
          <w:marTop w:val="0"/>
          <w:marBottom w:val="0"/>
          <w:divBdr>
            <w:top w:val="none" w:sz="0" w:space="0" w:color="auto"/>
            <w:left w:val="none" w:sz="0" w:space="0" w:color="auto"/>
            <w:bottom w:val="none" w:sz="0" w:space="0" w:color="auto"/>
            <w:right w:val="none" w:sz="0" w:space="0" w:color="auto"/>
          </w:divBdr>
        </w:div>
        <w:div w:id="1032344775">
          <w:marLeft w:val="0"/>
          <w:marRight w:val="0"/>
          <w:marTop w:val="0"/>
          <w:marBottom w:val="0"/>
          <w:divBdr>
            <w:top w:val="none" w:sz="0" w:space="0" w:color="auto"/>
            <w:left w:val="none" w:sz="0" w:space="0" w:color="auto"/>
            <w:bottom w:val="none" w:sz="0" w:space="0" w:color="auto"/>
            <w:right w:val="none" w:sz="0" w:space="0" w:color="auto"/>
          </w:divBdr>
        </w:div>
        <w:div w:id="1849171334">
          <w:marLeft w:val="0"/>
          <w:marRight w:val="0"/>
          <w:marTop w:val="0"/>
          <w:marBottom w:val="0"/>
          <w:divBdr>
            <w:top w:val="none" w:sz="0" w:space="0" w:color="auto"/>
            <w:left w:val="none" w:sz="0" w:space="0" w:color="auto"/>
            <w:bottom w:val="none" w:sz="0" w:space="0" w:color="auto"/>
            <w:right w:val="none" w:sz="0" w:space="0" w:color="auto"/>
          </w:divBdr>
        </w:div>
        <w:div w:id="1098909173">
          <w:marLeft w:val="0"/>
          <w:marRight w:val="0"/>
          <w:marTop w:val="0"/>
          <w:marBottom w:val="0"/>
          <w:divBdr>
            <w:top w:val="none" w:sz="0" w:space="0" w:color="auto"/>
            <w:left w:val="none" w:sz="0" w:space="0" w:color="auto"/>
            <w:bottom w:val="none" w:sz="0" w:space="0" w:color="auto"/>
            <w:right w:val="none" w:sz="0" w:space="0" w:color="auto"/>
          </w:divBdr>
        </w:div>
        <w:div w:id="324548966">
          <w:marLeft w:val="0"/>
          <w:marRight w:val="0"/>
          <w:marTop w:val="0"/>
          <w:marBottom w:val="0"/>
          <w:divBdr>
            <w:top w:val="none" w:sz="0" w:space="0" w:color="auto"/>
            <w:left w:val="none" w:sz="0" w:space="0" w:color="auto"/>
            <w:bottom w:val="none" w:sz="0" w:space="0" w:color="auto"/>
            <w:right w:val="none" w:sz="0" w:space="0" w:color="auto"/>
          </w:divBdr>
        </w:div>
      </w:divsChild>
    </w:div>
    <w:div w:id="629675566">
      <w:bodyDiv w:val="1"/>
      <w:marLeft w:val="0"/>
      <w:marRight w:val="0"/>
      <w:marTop w:val="0"/>
      <w:marBottom w:val="0"/>
      <w:divBdr>
        <w:top w:val="none" w:sz="0" w:space="0" w:color="auto"/>
        <w:left w:val="none" w:sz="0" w:space="0" w:color="auto"/>
        <w:bottom w:val="none" w:sz="0" w:space="0" w:color="auto"/>
        <w:right w:val="none" w:sz="0" w:space="0" w:color="auto"/>
      </w:divBdr>
    </w:div>
    <w:div w:id="729233230">
      <w:bodyDiv w:val="1"/>
      <w:marLeft w:val="0"/>
      <w:marRight w:val="0"/>
      <w:marTop w:val="0"/>
      <w:marBottom w:val="0"/>
      <w:divBdr>
        <w:top w:val="none" w:sz="0" w:space="0" w:color="auto"/>
        <w:left w:val="none" w:sz="0" w:space="0" w:color="auto"/>
        <w:bottom w:val="none" w:sz="0" w:space="0" w:color="auto"/>
        <w:right w:val="none" w:sz="0" w:space="0" w:color="auto"/>
      </w:divBdr>
    </w:div>
    <w:div w:id="739182632">
      <w:bodyDiv w:val="1"/>
      <w:marLeft w:val="0"/>
      <w:marRight w:val="0"/>
      <w:marTop w:val="0"/>
      <w:marBottom w:val="0"/>
      <w:divBdr>
        <w:top w:val="none" w:sz="0" w:space="0" w:color="auto"/>
        <w:left w:val="none" w:sz="0" w:space="0" w:color="auto"/>
        <w:bottom w:val="none" w:sz="0" w:space="0" w:color="auto"/>
        <w:right w:val="none" w:sz="0" w:space="0" w:color="auto"/>
      </w:divBdr>
    </w:div>
    <w:div w:id="998113936">
      <w:bodyDiv w:val="1"/>
      <w:marLeft w:val="0"/>
      <w:marRight w:val="0"/>
      <w:marTop w:val="0"/>
      <w:marBottom w:val="0"/>
      <w:divBdr>
        <w:top w:val="none" w:sz="0" w:space="0" w:color="auto"/>
        <w:left w:val="none" w:sz="0" w:space="0" w:color="auto"/>
        <w:bottom w:val="none" w:sz="0" w:space="0" w:color="auto"/>
        <w:right w:val="none" w:sz="0" w:space="0" w:color="auto"/>
      </w:divBdr>
    </w:div>
    <w:div w:id="1242913975">
      <w:bodyDiv w:val="1"/>
      <w:marLeft w:val="0"/>
      <w:marRight w:val="0"/>
      <w:marTop w:val="0"/>
      <w:marBottom w:val="0"/>
      <w:divBdr>
        <w:top w:val="none" w:sz="0" w:space="0" w:color="auto"/>
        <w:left w:val="none" w:sz="0" w:space="0" w:color="auto"/>
        <w:bottom w:val="none" w:sz="0" w:space="0" w:color="auto"/>
        <w:right w:val="none" w:sz="0" w:space="0" w:color="auto"/>
      </w:divBdr>
    </w:div>
    <w:div w:id="1378550794">
      <w:bodyDiv w:val="1"/>
      <w:marLeft w:val="0"/>
      <w:marRight w:val="0"/>
      <w:marTop w:val="0"/>
      <w:marBottom w:val="0"/>
      <w:divBdr>
        <w:top w:val="none" w:sz="0" w:space="0" w:color="auto"/>
        <w:left w:val="none" w:sz="0" w:space="0" w:color="auto"/>
        <w:bottom w:val="none" w:sz="0" w:space="0" w:color="auto"/>
        <w:right w:val="none" w:sz="0" w:space="0" w:color="auto"/>
      </w:divBdr>
      <w:divsChild>
        <w:div w:id="790898221">
          <w:marLeft w:val="0"/>
          <w:marRight w:val="0"/>
          <w:marTop w:val="0"/>
          <w:marBottom w:val="0"/>
          <w:divBdr>
            <w:top w:val="none" w:sz="0" w:space="0" w:color="auto"/>
            <w:left w:val="none" w:sz="0" w:space="0" w:color="auto"/>
            <w:bottom w:val="none" w:sz="0" w:space="0" w:color="auto"/>
            <w:right w:val="none" w:sz="0" w:space="0" w:color="auto"/>
          </w:divBdr>
        </w:div>
        <w:div w:id="446244156">
          <w:marLeft w:val="0"/>
          <w:marRight w:val="0"/>
          <w:marTop w:val="0"/>
          <w:marBottom w:val="0"/>
          <w:divBdr>
            <w:top w:val="none" w:sz="0" w:space="0" w:color="auto"/>
            <w:left w:val="none" w:sz="0" w:space="0" w:color="auto"/>
            <w:bottom w:val="none" w:sz="0" w:space="0" w:color="auto"/>
            <w:right w:val="none" w:sz="0" w:space="0" w:color="auto"/>
          </w:divBdr>
        </w:div>
        <w:div w:id="25453267">
          <w:marLeft w:val="0"/>
          <w:marRight w:val="0"/>
          <w:marTop w:val="0"/>
          <w:marBottom w:val="0"/>
          <w:divBdr>
            <w:top w:val="none" w:sz="0" w:space="0" w:color="auto"/>
            <w:left w:val="none" w:sz="0" w:space="0" w:color="auto"/>
            <w:bottom w:val="none" w:sz="0" w:space="0" w:color="auto"/>
            <w:right w:val="none" w:sz="0" w:space="0" w:color="auto"/>
          </w:divBdr>
        </w:div>
        <w:div w:id="1625841860">
          <w:marLeft w:val="0"/>
          <w:marRight w:val="0"/>
          <w:marTop w:val="0"/>
          <w:marBottom w:val="0"/>
          <w:divBdr>
            <w:top w:val="none" w:sz="0" w:space="0" w:color="auto"/>
            <w:left w:val="none" w:sz="0" w:space="0" w:color="auto"/>
            <w:bottom w:val="none" w:sz="0" w:space="0" w:color="auto"/>
            <w:right w:val="none" w:sz="0" w:space="0" w:color="auto"/>
          </w:divBdr>
        </w:div>
      </w:divsChild>
    </w:div>
    <w:div w:id="1721400318">
      <w:bodyDiv w:val="1"/>
      <w:marLeft w:val="0"/>
      <w:marRight w:val="0"/>
      <w:marTop w:val="0"/>
      <w:marBottom w:val="0"/>
      <w:divBdr>
        <w:top w:val="none" w:sz="0" w:space="0" w:color="auto"/>
        <w:left w:val="none" w:sz="0" w:space="0" w:color="auto"/>
        <w:bottom w:val="none" w:sz="0" w:space="0" w:color="auto"/>
        <w:right w:val="none" w:sz="0" w:space="0" w:color="auto"/>
      </w:divBdr>
    </w:div>
    <w:div w:id="1725987191">
      <w:bodyDiv w:val="1"/>
      <w:marLeft w:val="0"/>
      <w:marRight w:val="0"/>
      <w:marTop w:val="0"/>
      <w:marBottom w:val="0"/>
      <w:divBdr>
        <w:top w:val="none" w:sz="0" w:space="0" w:color="auto"/>
        <w:left w:val="none" w:sz="0" w:space="0" w:color="auto"/>
        <w:bottom w:val="none" w:sz="0" w:space="0" w:color="auto"/>
        <w:right w:val="none" w:sz="0" w:space="0" w:color="auto"/>
      </w:divBdr>
    </w:div>
    <w:div w:id="1980570777">
      <w:bodyDiv w:val="1"/>
      <w:marLeft w:val="0"/>
      <w:marRight w:val="0"/>
      <w:marTop w:val="0"/>
      <w:marBottom w:val="0"/>
      <w:divBdr>
        <w:top w:val="none" w:sz="0" w:space="0" w:color="auto"/>
        <w:left w:val="none" w:sz="0" w:space="0" w:color="auto"/>
        <w:bottom w:val="none" w:sz="0" w:space="0" w:color="auto"/>
        <w:right w:val="none" w:sz="0" w:space="0" w:color="auto"/>
      </w:divBdr>
    </w:div>
    <w:div w:id="20404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commission/sites/beta-political/files/white_paper_on_the_future_of_europe_en.pdf" TargetMode="External"/><Relationship Id="rId26" Type="http://schemas.openxmlformats.org/officeDocument/2006/relationships/hyperlink" Target="http://eur-lex.europa.eu/legal-content/BG/TXT/PDF/?uri=CELEX:31998L0059&amp;rid=1"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eur-lex.europa.eu/legal-content/BG/TXT/?qid=1527857856653&amp;uri=CELEX:32009R0546"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eur-lex.europa.eu/legal-content/BG/TXT/?qid=1527868110997&amp;uri=CELEX:02012R0966-20170101" TargetMode="Externa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ur-lex.europa.eu/legal-content/BG/TXT/HTML/?uri=CELEX:32006R1927&amp;qid=1527856721519&amp;from=EN"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EN/ALL/?uri=uriserv:OJ.L_.2013.347.01.0855.01.ENG"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commission/sites/beta-political/files/annex-communication-modern-budget-may2018_en.pdf"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s://ec.europa.eu/commission/publications/reflection-paper-harnessing-globalisation_bg" TargetMode="External"/><Relationship Id="rId31" Type="http://schemas.openxmlformats.org/officeDocument/2006/relationships/header" Target="header6.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sites/beta-political/files/staff-working-document-modern-budget-may2018_en.pdf"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UTO/?uri=OJ:L:2006:406:TOC" TargetMode="External"/><Relationship Id="rId3" Type="http://schemas.openxmlformats.org/officeDocument/2006/relationships/hyperlink" Target="http://eu-un.europa.eu/eu-response-2030-agenda-sustainable-development-sustainable-european-future/" TargetMode="External"/><Relationship Id="rId7" Type="http://schemas.openxmlformats.org/officeDocument/2006/relationships/hyperlink" Target="https://ec.europa.eu/commission/publications/reflection-paper-future-eu-finances_bg" TargetMode="External"/><Relationship Id="rId2" Type="http://schemas.openxmlformats.org/officeDocument/2006/relationships/hyperlink" Target="https://ec.europa.eu/commission/priorities/deeper-and-fairer-economic-and-monetary-union/european-pillar-social-rights_bg" TargetMode="External"/><Relationship Id="rId1" Type="http://schemas.openxmlformats.org/officeDocument/2006/relationships/hyperlink" Target="https://ec.europa.eu/commission/priorities/deeper-and-fairer-economic-and-monetary-union/european-pillar-social-rights_bg" TargetMode="External"/><Relationship Id="rId6" Type="http://schemas.openxmlformats.org/officeDocument/2006/relationships/hyperlink" Target="https://ec.europa.eu/commission/publications/reflection-paper-harnessing-globalisation_bg"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ec.europa.eu/commission/white-paper-future-europe-reflections-and-scenarios-eu27_bg" TargetMode="External"/><Relationship Id="rId10" Type="http://schemas.openxmlformats.org/officeDocument/2006/relationships/hyperlink" Target="http://eur-lex.europa.eu/legal-content/EN/AUTO/?uri=OJ:L:1998:225:TOC" TargetMode="Externa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eur-lex.europa.eu/legal-content/BG/AUTO/?uri=OJ:L:2009:16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A3BE7-5054-4081-8AC8-094C9773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50</Pages>
  <Words>17743</Words>
  <Characters>104330</Characters>
  <Application>Microsoft Office Word</Application>
  <DocSecurity>0</DocSecurity>
  <Lines>2426</Lines>
  <Paragraphs>904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2018-05-23T15:32:00Z</cp:lastPrinted>
  <dcterms:created xsi:type="dcterms:W3CDTF">2018-06-04T15:32:00Z</dcterms:created>
  <dcterms:modified xsi:type="dcterms:W3CDTF">2018-06-04T18:58:00Z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