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07DBC9A-AD9C-46F5-91A2-7289F4E5F81D" style="width:450.35pt;height:422.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Резюме</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на инициативата за оптимизиране на завършването на TEN-T</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Ефективното и своевременно завършване на TEN-T е от основно значение за ефикасното функциониране на единния пазар и способства също така за декарбонизацията и цифровизацията на транспорта и за преминаването към нисковъглеродна мобилност. Понастоящем обаче по проектите за TEN-T има забавяния заради процедури, а организаторите на проекти се сблъскват с несигурност. В крайни случаи са необходими до 10 години за подготовката на инфраструктурен проект, преди да се пристъпи към реализация; средно подготовката отнема около 4—5 години. Проблемът произтича от неоптималната организация на процедурите по издаване на разрешения (които протичат на няколко етапа и не предвиждат срокове) и затрудненото прилагане на действащата правна рамка за трансгранични обществени поръчки. Поради тази причина частните инвеститори проявяват нежелание да участват в инфраструктурни проекти. Най-силно засегнатите заинтересовани страни са организаторите на проекти за TEN-T, националните органи (особено онези, които отговарят за предоставянето на разрешения), както и гражданското общество. Гражданите често не могат в пълна степен да участват в планирането на проекта поради липсата на прозрачност по отношение на начина, по който са организирани процедурите. Ако проблемът не бъде отстранен успешно, се очаква проектите да бъдат забавени още повече и TEN-T няма да бъде завършена до 2030 г.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се постигне с инициативата? </w:t>
            </w:r>
            <w:r>
              <w:rPr>
                <w:rFonts w:ascii="Tahoma" w:hAnsi="Tahoma"/>
                <w:noProof/>
                <w:sz w:val="20"/>
                <w:u w:val="single"/>
              </w:rPr>
              <w:t>Максимум 8 реда</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Основната цел на инициативата е да се решат въпросите със забавянията и с високата степен на несигурност на процедурите, които оказват влияние върху завършването на проектите за основната мрежа в TEN-T, тъй като те допринасят за постигането на основните цели на TEN-T — сближаване, ефикасност, устойчивост и увеличаване на ползите за потребителите. Очаква се с инициативата да бъде ускорено завършването на TEN-T, като се увеличи делът на инфраструктурата, която отговаря на стандартите, и да бъде намален броят на забавените проекти за основната мрежа в TEN-T. Накрая, очаква се да бъде увеличен броят на проектите, които използват иновативни финансови инструменти на ЕС или включват частен капитал.</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По определение TEN-T е транснационална мрежа и обхваща целия ЕС. За завършването ѝ е необходима значителна координация на различните проекти, за да се използват в пълна степен ползите от цялостната мрежа на ниво ЕС. В това отношение за завършването на TEN-T се разчита на ефективното синхронизиране не само на инвестициите, но също така на темповете, с които се осъществяват отделните проекти, за да се избегнат прекъсвания във времето и да се извлекат ползите от наличието на мрежа, обхващаща целия ЕС. Броят на органите и нивата в управлението, които участват в процедури по предоставяне на разрешения, както и техните компетенции и правомощия, се различават значително в отделните държави членки. Забавянията, които са резултат от тези различия в процедурите, оказват значително въздействие върху завършването на мрежата TEN-T.</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или не? Защо?</w:t>
            </w:r>
            <w:r>
              <w:rPr>
                <w:rFonts w:ascii="Tahoma" w:hAnsi="Tahoma"/>
                <w:noProof/>
                <w:sz w:val="20"/>
              </w:rPr>
              <w:t xml:space="preserve"> </w:t>
            </w:r>
            <w:r>
              <w:rPr>
                <w:rFonts w:ascii="Tahoma" w:hAnsi="Tahoma"/>
                <w:noProof/>
                <w:sz w:val="20"/>
                <w:u w:val="single"/>
              </w:rPr>
              <w:t>Максимум 14 реда</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Разгледани са три варианта, които обхващат от актове с незадължителен характер и необвързващи решения до законодателни мерки. Вариантът на политиката, с който се цели въвеждането на минимални промени в съществуващите инструменти (ВП1), предвижда по-специално разработването на поредица от насоки (актове с незадължителен характер) за организаторите на проекти за TEN-T и по-доброто насочване на съществуващите инструменти, главно що се отнася до техническата помощ. Вариантът на политиката, с който се цели въвеждането на ограничени обвързващи действия на национално ниво (ВП2), включва правното изискване държавите членки да въведат единно звено за контакт за проекти за основната мрежа в TEN-T и да гарантират тяхното третиране по възможно най-бързия законен начин. Накрая, вариантът на политиката, с който се предвижда определянето на рамка на ЕС за разрешаване на проекти за основната мрежа в TEN-T (ВП3), е разгледан в две разновидности — прилагане на правилата на ЕС на национално ниво (ВП3а) и въвеждане на предоставянето на разрешения на ниво ЕС (ВП3б).</w:t>
            </w:r>
          </w:p>
          <w:p>
            <w:pPr>
              <w:spacing w:after="60"/>
              <w:jc w:val="both"/>
              <w:rPr>
                <w:rFonts w:ascii="Arial" w:hAnsi="Arial" w:cs="Arial"/>
                <w:noProof/>
                <w:sz w:val="20"/>
                <w:szCs w:val="20"/>
              </w:rPr>
            </w:pPr>
            <w:r>
              <w:rPr>
                <w:rFonts w:ascii="Arial" w:hAnsi="Arial"/>
                <w:noProof/>
                <w:sz w:val="20"/>
              </w:rPr>
              <w:lastRenderedPageBreak/>
              <w:t>ВП2 е избран като предпочитан вариант поради неговите положителни страни от гледна точка на ефективността и ефикасността в сравнение с ВП1 и поради неговата гъвкавост в сравнение с ВП3. Освен това при ВП2 не се наблюдават недостатъците на ВП3 от гледна точка на социални последици и въздействие върху правната сигурност. ВП2 представлява балансирано и ефикасно решение за насърчаване на осъществяването на проекти за TEN-T и в същото време за установяване на по-ясни и по-приобщаващи процедури, за да се засили обществената подкрепа за инфраструктурните проекти.</w:t>
            </w: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sz w:val="20"/>
                <w:szCs w:val="20"/>
              </w:rPr>
            </w:pPr>
            <w:r>
              <w:rPr>
                <w:rFonts w:ascii="Arial" w:hAnsi="Arial"/>
                <w:noProof/>
                <w:sz w:val="20"/>
              </w:rPr>
              <w:t xml:space="preserve">ВП1 се подкрепя от националните органи, тъй като най-вероятно националните администрации биха поели тежестта по прилагането на другите варианти. ВП3 се подкрепя главно от организаторите на проекти, които очакват, че този вариант има най-голям потенциал от гледна точка на опростяването на процедурите и яснотата. ВП2 се подкрепя от повечето заинтересовани страни, тъй като националните администрации, организаторите на проекти и физическите лица, взели участие в откритата обществена консултация, виждат възможност за подобряване на настоящата система чрез по-доброто синхронизиране на процесите, като в същото време се спазва принципът на субсидиарност и се избягва правната несигурност.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Въздействия на предпочитания вариант</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ВП2 би довел до намаляване на разходите за потребителите с 5,1 млрд. евро (намаление с 0,2 % спрямо базовото ниво) и икономии на външни разходи от около 724 млн. евро за периода 2018—2030 г.</w:t>
            </w:r>
            <w:r>
              <w:rPr>
                <w:noProof/>
              </w:rPr>
              <w:t xml:space="preserve"> </w:t>
            </w:r>
            <w:r>
              <w:rPr>
                <w:rFonts w:ascii="Arial" w:hAnsi="Arial"/>
                <w:noProof/>
                <w:sz w:val="20"/>
              </w:rPr>
              <w:t>Очаква се, че всички варианти на политиката ще имат положително въздействие от гледна точка на икономическото развитие; икономическите ползи от ВП2 на ниво ЕС биха били в размер между 0,9 млрд. евро и 1,6 млрд. евро годишно (увеличение с 0,9—1,6 % спрямо базовото ниво).</w:t>
            </w:r>
          </w:p>
          <w:p>
            <w:pPr>
              <w:spacing w:after="60"/>
              <w:jc w:val="both"/>
              <w:rPr>
                <w:rFonts w:ascii="Arial" w:hAnsi="Arial" w:cs="Arial"/>
                <w:noProof/>
                <w:sz w:val="20"/>
                <w:szCs w:val="20"/>
              </w:rPr>
            </w:pPr>
            <w:r>
              <w:rPr>
                <w:rFonts w:ascii="Arial" w:hAnsi="Arial"/>
                <w:noProof/>
                <w:sz w:val="20"/>
              </w:rPr>
              <w:t>При ВП2 се очаква, че въвеждането на единно звено за контакт на национално ниво ще доведе до значително намаляване на разходите на организаторите на проекти (166 млн. евро) за периода 2018—2030 г. спрямо базовото ниво. Всъщност ВП2 е вариантът, благодарение на който общата административна тежест би била намалена с най-голяма сума (153 млн. евро).</w:t>
            </w:r>
          </w:p>
          <w:p>
            <w:pPr>
              <w:spacing w:after="60"/>
              <w:jc w:val="both"/>
              <w:rPr>
                <w:rFonts w:ascii="Arial" w:hAnsi="Arial" w:cs="Arial"/>
                <w:noProof/>
                <w:sz w:val="20"/>
                <w:szCs w:val="20"/>
              </w:rPr>
            </w:pPr>
            <w:r>
              <w:rPr>
                <w:rFonts w:ascii="Arial" w:hAnsi="Arial"/>
                <w:noProof/>
                <w:sz w:val="20"/>
              </w:rPr>
              <w:t>ВП2 би оказал също така значително въздействие от гледна точка на създаването на допълнителни работни места до 2030 г. спрямо базовото ниво (5600 допълнителни работни места годишно или увеличение с 1,6 % спрямо базовото ниво).</w:t>
            </w:r>
          </w:p>
          <w:p>
            <w:pPr>
              <w:spacing w:after="60"/>
              <w:jc w:val="both"/>
              <w:rPr>
                <w:rFonts w:ascii="Arial" w:hAnsi="Arial" w:cs="Arial"/>
                <w:noProof/>
                <w:sz w:val="20"/>
                <w:szCs w:val="20"/>
              </w:rPr>
            </w:pPr>
            <w:r>
              <w:rPr>
                <w:rFonts w:ascii="Arial" w:hAnsi="Arial"/>
                <w:noProof/>
                <w:sz w:val="20"/>
              </w:rPr>
              <w:t>Накрая, що се отнася до социалните последици, при ВП2 интегрирането и координацията на цялостните процедури по издаване на разрешителни би оказало положително въздействие върху обществените консултации на проектно ниво, благодарение на по-добрата синхронизация на процедурите и определените срокове.</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При ВП2 вследствие на въвеждането на единно звено за контакт на национално ниво се очаква органите, които предоставят разрешения, да направят административни разходи в размер на 13 млн. евро за периода 2018—2030 г. Не се предвиждат никакви други разходи.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trPr>
          <w:jc w:val="center"/>
        </w:trP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rPr>
              <w:t>Не се очаква тази инициатива да засегне директно МСП и микропредприятията. По-голямата яснота и опростяването на съществуващите процеси може да са от полза за МСП, които не винаги разполагат с необходимия капацитет за участие в сложни и продължителни процедури. Освен това цялостното въздействие върху пазара на гражданско строителство се очаква да даде положително отражение върху МСП на строителния пазар.</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значителни въздействия 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trPr>
          <w:jc w:val="center"/>
        </w:trPr>
        <w:tc>
          <w:tcPr>
            <w:tcW w:w="10188" w:type="dxa"/>
            <w:shd w:val="clear" w:color="auto" w:fill="auto"/>
          </w:tcPr>
          <w:p>
            <w:pPr>
              <w:jc w:val="both"/>
              <w:rPr>
                <w:rFonts w:ascii="Arial" w:hAnsi="Arial" w:cs="Arial"/>
                <w:noProof/>
                <w:sz w:val="20"/>
                <w:szCs w:val="20"/>
              </w:rPr>
            </w:pPr>
            <w:r>
              <w:rPr>
                <w:rFonts w:ascii="Arial" w:hAnsi="Arial"/>
                <w:noProof/>
                <w:sz w:val="20"/>
              </w:rPr>
              <w:t xml:space="preserve">Единственото въздействие върху националните бюджети и администрации ще бъде в резултат на допълнителните разходи за органите, отговарящи за предоставянето на разрешения (13 млн. евро за периода 2018—2030 г.). Може да се приеме обаче, че тези разходи ще са свързани главно със съответствието с новата рамка и ще намаляват с времето.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 xml:space="preserve">Максимум 6 реда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 xml:space="preserve">Очаква се и трите варианта на политиката да имат правни последици. Предпочитаният вариант (ВП2) обаче осигурява необходимите правни гаранции, а именно че единният разрешаващ орган, установен на </w:t>
            </w:r>
            <w:r>
              <w:rPr>
                <w:rFonts w:ascii="Arial" w:hAnsi="Arial"/>
                <w:noProof/>
                <w:sz w:val="20"/>
              </w:rPr>
              <w:lastRenderedPageBreak/>
              <w:t>национално ниво, ще спазва съществуващите национални правила на административното право. Също така той е разработен въз основа на съществуващата рамка за предоставяне на разрешения за инфраструктурни проекти в областта на енергетиката.</w:t>
            </w:r>
          </w:p>
          <w:p>
            <w:pPr>
              <w:spacing w:after="60"/>
              <w:jc w:val="both"/>
              <w:rPr>
                <w:rFonts w:ascii="Arial" w:hAnsi="Arial" w:cs="Arial"/>
                <w:noProof/>
                <w:sz w:val="20"/>
                <w:szCs w:val="20"/>
              </w:rPr>
            </w:pPr>
            <w:r>
              <w:rPr>
                <w:rFonts w:ascii="Arial" w:hAnsi="Arial"/>
                <w:noProof/>
                <w:sz w:val="20"/>
              </w:rPr>
              <w:t xml:space="preserve">И трите варианта на политиката оказват също така въздействие върху гражданското общество, но предпочитаният вариант в най-голяма степен може да повиши яснотата и прозрачността, за да се насърчи по-ефективното участие на местните общности в консултациите и в крайна сметка да се осигури по-голяма обществена подкрепа.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lastRenderedPageBreak/>
              <w:t>Г. Последващи действия</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Законодателният инструмент ще бъде подложен на редовно наблюдение и оценка посредством съществуващите инструменти и механизми за докладване на напредъка по завършването на мрежата TEN-T.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ANT Vesna (MOVE)">
    <w15:presenceInfo w15:providerId="None" w15:userId="VALANT Vesn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07DBC9A-AD9C-46F5-91A2-7289F4E5F81D"/>
    <w:docVar w:name="LW_COVERPAGE_TYPE" w:val="1"/>
    <w:docVar w:name="LW_CROSSREFERENCE" w:val="{COM(2018) 277 final}_x000b_{SEC(2018) 228 final}_x000b_{SWD(2018) 178 final}"/>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b_\u1086?\u1090?\u1085?\u1086?\u1089?\u1085?\u1086? \u1086?\u1087?\u1090?\u1080?\u1084?\u1080?\u1079?\u1080?\u1088?\u1072?\u1085?\u1077?\u1090?\u1086? \u1085?\u1072? \u1084?\u1077?\u1088?\u1082?\u1080?\u1090?\u1077? \u1079?\u1072? \u1087?\u1086?\u1089?\u1090?\u1080?\u1075?\u1072?\u1085?\u1077? \u1085?\u1072? \u1085?\u1072?\u1087?\u1088?\u1077?\u1076?\u1098?\u1082? \u1087?\u1086? \u1086?\u1089?\u1098?\u1097?\u1077?\u1089?\u1090?\u1074?\u1103?\u1074?\u1072?\u1085?\u1077?\u1090?\u1086? \u1085?\u1072? \u1090?\u1088?\u1072?\u1085?\u1089?\u1077?\u1074?\u1088?\u1086?\u1087?\u1077?\u1081?\u1089?\u1082?\u1072?\u1090?\u1072? \u1090?\u1088?\u1072?\u1085?\u1089?\u1087?\u1086?\u1088?\u1090?\u1085?\u1072? \u1084?\u1088?\u1077?\u1078?\u1072? "/>
    <w:docVar w:name="LW_PART_NBR" w:val="1"/>
    <w:docVar w:name="LW_PART_NBR_TOTAL" w:val="1"/>
    <w:docVar w:name="LW_REF.INST.NEW" w:val="SWD"/>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_x000b_\u1056?\u1045?\u1043?\u1051?\u1040?\u1052?\u1045?\u1053?\u1058? \u1053?\u1040? \u1045?\u1042?\u1056?\u1054?\u1055?\u1045?\u1049?\u1057?\u1050?\u1048?\u1071? \u1055?\u1040?\u1056?\u1051?\u1040?\u1052?\u1045?\u1053?\u1058? \u1048? \u1053?\u1040? \u1057?\u1066?\u1042?\u1045?\u1058?\u1040?"/>
    <w:docVar w:name="Stamp" w:val="\\dossiers.dgt.cec.eu.int\dossiers\MOVE\MOVE-2018-00291\MOVE-2018-00291-00-01-EN-REV-00.2018041215355079682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1414</Words>
  <Characters>8291</Characters>
  <Application>Microsoft Office Word</Application>
  <DocSecurity>0</DocSecurity>
  <Lines>125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2018-04-25T08:06:00Z</dcterms:created>
  <dcterms:modified xsi:type="dcterms:W3CDTF">2018-06-05T06:24:00Z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