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C3B" w:rsidRPr="009618E4" w:rsidRDefault="005E5E82" w:rsidP="00CE794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F0A12AD-48E6-4033-A938-44F7AAF7EB30" style="width:450.35pt;height:392.6pt">
            <v:imagedata r:id="rId12" o:title=""/>
          </v:shape>
        </w:pict>
      </w:r>
    </w:p>
    <w:p w:rsidR="00F26C3B" w:rsidRPr="009618E4" w:rsidRDefault="00F26C3B">
      <w:pPr>
        <w:rPr>
          <w:noProof/>
        </w:rPr>
        <w:sectPr w:rsidR="00F26C3B" w:rsidRPr="009618E4" w:rsidSect="00CE7948">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F26C3B" w:rsidRPr="009618E4" w:rsidRDefault="00513FB2">
      <w:pPr>
        <w:pStyle w:val="Exposdesmotifstitre"/>
        <w:rPr>
          <w:noProof/>
        </w:rPr>
      </w:pPr>
      <w:r w:rsidRPr="009618E4">
        <w:lastRenderedPageBreak/>
        <w:t>EXPOSÉ DES MOTIFS</w:t>
      </w:r>
    </w:p>
    <w:p w:rsidR="00F26C3B" w:rsidRPr="009618E4" w:rsidRDefault="00513FB2">
      <w:pPr>
        <w:pStyle w:val="ManualHeading1"/>
        <w:rPr>
          <w:noProof/>
        </w:rPr>
      </w:pPr>
      <w:r w:rsidRPr="0068119E">
        <w:t>1</w:t>
      </w:r>
      <w:r w:rsidRPr="009618E4">
        <w:t>.</w:t>
      </w:r>
      <w:r w:rsidRPr="009618E4">
        <w:tab/>
        <w:t>Contexte de la proposition</w:t>
      </w:r>
    </w:p>
    <w:p w:rsidR="00F26C3B" w:rsidRPr="009618E4" w:rsidRDefault="00513FB2">
      <w:pPr>
        <w:pStyle w:val="ManualHeading2"/>
        <w:rPr>
          <w:noProof/>
        </w:rPr>
      </w:pPr>
      <w:r w:rsidRPr="0068119E">
        <w:t>1</w:t>
      </w:r>
      <w:r w:rsidRPr="009618E4">
        <w:t>.</w:t>
      </w:r>
      <w:r w:rsidRPr="0068119E">
        <w:t>1</w:t>
      </w:r>
      <w:r w:rsidRPr="009618E4">
        <w:t>.</w:t>
      </w:r>
      <w:r w:rsidRPr="009618E4">
        <w:tab/>
        <w:t>Justification et objectifs de la proposition</w:t>
      </w:r>
    </w:p>
    <w:p w:rsidR="00F26C3B" w:rsidRPr="009618E4" w:rsidRDefault="00513FB2">
      <w:pPr>
        <w:spacing w:before="0" w:after="240"/>
        <w:rPr>
          <w:noProof/>
          <w:color w:val="000000" w:themeColor="text1"/>
        </w:rPr>
      </w:pPr>
      <w:r w:rsidRPr="009618E4">
        <w:rPr>
          <w:noProof/>
          <w:color w:val="000000" w:themeColor="text1"/>
        </w:rPr>
        <w:t>La présente proposition fait partie du paquet législatif relatif au programme-cadre pour la recherche et l</w:t>
      </w:r>
      <w:r w:rsidR="00266719" w:rsidRPr="009618E4">
        <w:rPr>
          <w:noProof/>
          <w:color w:val="000000" w:themeColor="text1"/>
        </w:rPr>
        <w:t>’</w:t>
      </w:r>
      <w:r w:rsidRPr="009618E4">
        <w:rPr>
          <w:noProof/>
          <w:color w:val="000000" w:themeColor="text1"/>
        </w:rPr>
        <w:t>innovation «Horizon Europe». Elle vise à mettre en œuvre le prochain cadre financier à long terme de l</w:t>
      </w:r>
      <w:r w:rsidR="00266719" w:rsidRPr="009618E4">
        <w:rPr>
          <w:noProof/>
          <w:color w:val="000000" w:themeColor="text1"/>
        </w:rPr>
        <w:t>’</w:t>
      </w:r>
      <w:r w:rsidRPr="009618E4">
        <w:rPr>
          <w:noProof/>
          <w:color w:val="000000" w:themeColor="text1"/>
        </w:rPr>
        <w:t xml:space="preserve">UE pour la période </w:t>
      </w:r>
      <w:r w:rsidRPr="0068119E">
        <w:rPr>
          <w:noProof/>
          <w:color w:val="000000" w:themeColor="text1"/>
        </w:rPr>
        <w:t>2021</w:t>
      </w:r>
      <w:r w:rsidRPr="009618E4">
        <w:rPr>
          <w:noProof/>
          <w:color w:val="000000" w:themeColor="text1"/>
        </w:rPr>
        <w:t>–</w:t>
      </w:r>
      <w:r w:rsidRPr="0068119E">
        <w:rPr>
          <w:noProof/>
          <w:color w:val="000000" w:themeColor="text1"/>
        </w:rPr>
        <w:t>2027</w:t>
      </w:r>
      <w:r w:rsidRPr="009618E4">
        <w:rPr>
          <w:noProof/>
          <w:color w:val="000000" w:themeColor="text1"/>
        </w:rPr>
        <w:t>, les priorités fixées par la Commission dans son programme pour l</w:t>
      </w:r>
      <w:r w:rsidR="00266719" w:rsidRPr="009618E4">
        <w:rPr>
          <w:noProof/>
          <w:color w:val="000000" w:themeColor="text1"/>
        </w:rPr>
        <w:t>’</w:t>
      </w:r>
      <w:r w:rsidRPr="009618E4">
        <w:rPr>
          <w:noProof/>
          <w:color w:val="000000" w:themeColor="text1"/>
        </w:rPr>
        <w:t>emploi, la croissance, l</w:t>
      </w:r>
      <w:r w:rsidR="00266719" w:rsidRPr="009618E4">
        <w:rPr>
          <w:noProof/>
          <w:color w:val="000000" w:themeColor="text1"/>
        </w:rPr>
        <w:t>’</w:t>
      </w:r>
      <w:r w:rsidRPr="009618E4">
        <w:rPr>
          <w:noProof/>
          <w:color w:val="000000" w:themeColor="text1"/>
        </w:rPr>
        <w:t>équité et le changement démocratique, ainsi que les priorités politiques globales de la Commission («Horizon Europe»).</w:t>
      </w:r>
    </w:p>
    <w:p w:rsidR="00F26C3B" w:rsidRPr="009618E4" w:rsidRDefault="00513FB2">
      <w:pPr>
        <w:spacing w:before="0" w:after="240"/>
        <w:rPr>
          <w:noProof/>
          <w:color w:val="000000" w:themeColor="text1"/>
        </w:rPr>
      </w:pPr>
      <w:r w:rsidRPr="009618E4">
        <w:rPr>
          <w:noProof/>
          <w:color w:val="000000" w:themeColor="text1"/>
        </w:rPr>
        <w:t>La proposition de programme de recherche et de formation d</w:t>
      </w:r>
      <w:r w:rsidR="00266719" w:rsidRPr="009618E4">
        <w:rPr>
          <w:noProof/>
          <w:color w:val="000000" w:themeColor="text1"/>
        </w:rPr>
        <w:t>’</w:t>
      </w:r>
      <w:r w:rsidRPr="009618E4">
        <w:rPr>
          <w:noProof/>
          <w:color w:val="000000" w:themeColor="text1"/>
        </w:rPr>
        <w:t>Euratom porte sur la question essentielle des diverses applications de l</w:t>
      </w:r>
      <w:r w:rsidR="00266719" w:rsidRPr="009618E4">
        <w:rPr>
          <w:noProof/>
          <w:color w:val="000000" w:themeColor="text1"/>
        </w:rPr>
        <w:t>’</w:t>
      </w:r>
      <w:r w:rsidRPr="009618E4">
        <w:rPr>
          <w:noProof/>
          <w:color w:val="000000" w:themeColor="text1"/>
        </w:rPr>
        <w:t xml:space="preserve">énergie nucléaire en Europe. </w:t>
      </w:r>
      <w:r w:rsidRPr="009618E4">
        <w:t>L</w:t>
      </w:r>
      <w:r w:rsidR="00266719" w:rsidRPr="009618E4">
        <w:t>’</w:t>
      </w:r>
      <w:r w:rsidRPr="009618E4">
        <w:t>utilisation des applications de l</w:t>
      </w:r>
      <w:r w:rsidR="00266719" w:rsidRPr="009618E4">
        <w:t>’</w:t>
      </w:r>
      <w:r w:rsidRPr="009618E4">
        <w:t>énergie nucléaire liées ou non à la production d</w:t>
      </w:r>
      <w:r w:rsidR="00266719" w:rsidRPr="009618E4">
        <w:t>’</w:t>
      </w:r>
      <w:r w:rsidRPr="009618E4">
        <w:t>électricité au profit de tous les citoyens européens exige des efforts à long terme pour réduire les risques liés à la sûreté et à la sécurité et soutenir le développement de technologies nucléaires sûres et d</w:t>
      </w:r>
      <w:r w:rsidR="00266719" w:rsidRPr="009618E4">
        <w:t>’</w:t>
      </w:r>
      <w:r w:rsidRPr="009618E4">
        <w:t>une radioprotection optimale.</w:t>
      </w:r>
      <w:r w:rsidRPr="009618E4">
        <w:rPr>
          <w:noProof/>
          <w:color w:val="000000" w:themeColor="text1"/>
        </w:rPr>
        <w:t xml:space="preserve"> La recherche publique et privée au niveau national a un rôle important à jouer à cet égard. Euratom a pour tâche de compléter les contributions des États membres au moyen d</w:t>
      </w:r>
      <w:r w:rsidR="00266719" w:rsidRPr="009618E4">
        <w:rPr>
          <w:noProof/>
          <w:color w:val="000000" w:themeColor="text1"/>
        </w:rPr>
        <w:t>’</w:t>
      </w:r>
      <w:r w:rsidRPr="009618E4">
        <w:rPr>
          <w:noProof/>
          <w:color w:val="000000" w:themeColor="text1"/>
        </w:rPr>
        <w:t>un programme de recherche et de formation à l</w:t>
      </w:r>
      <w:r w:rsidR="00266719" w:rsidRPr="009618E4">
        <w:rPr>
          <w:noProof/>
          <w:color w:val="000000" w:themeColor="text1"/>
        </w:rPr>
        <w:t>’</w:t>
      </w:r>
      <w:r w:rsidRPr="009618E4">
        <w:rPr>
          <w:noProof/>
          <w:color w:val="000000" w:themeColor="text1"/>
        </w:rPr>
        <w:t>échelle de la Communauté.</w:t>
      </w:r>
    </w:p>
    <w:p w:rsidR="00F26C3B" w:rsidRPr="009618E4" w:rsidRDefault="00513FB2">
      <w:pPr>
        <w:autoSpaceDE w:val="0"/>
        <w:autoSpaceDN w:val="0"/>
        <w:adjustRightInd w:val="0"/>
        <w:spacing w:before="0" w:after="240"/>
        <w:rPr>
          <w:noProof/>
          <w:color w:val="000000" w:themeColor="text1"/>
        </w:rPr>
      </w:pPr>
      <w:r w:rsidRPr="009618E4">
        <w:rPr>
          <w:noProof/>
          <w:color w:val="000000" w:themeColor="text1"/>
        </w:rPr>
        <w:t xml:space="preserve">Dans la présente proposition de programme Euratom de recherche et de formation </w:t>
      </w:r>
      <w:r w:rsidRPr="0068119E">
        <w:rPr>
          <w:noProof/>
          <w:color w:val="000000" w:themeColor="text1"/>
        </w:rPr>
        <w:t>2021</w:t>
      </w:r>
      <w:r w:rsidRPr="009618E4">
        <w:rPr>
          <w:noProof/>
          <w:color w:val="000000" w:themeColor="text1"/>
        </w:rPr>
        <w:t>–</w:t>
      </w:r>
      <w:r w:rsidRPr="0068119E">
        <w:rPr>
          <w:noProof/>
          <w:color w:val="000000" w:themeColor="text1"/>
        </w:rPr>
        <w:t>2025</w:t>
      </w:r>
      <w:r w:rsidRPr="009618E4">
        <w:rPr>
          <w:noProof/>
          <w:color w:val="000000" w:themeColor="text1"/>
        </w:rPr>
        <w:t xml:space="preserve"> (ci-après dénommé le «programme»), la Commission sollicite l</w:t>
      </w:r>
      <w:r w:rsidR="00266719" w:rsidRPr="009618E4">
        <w:rPr>
          <w:noProof/>
          <w:color w:val="000000" w:themeColor="text1"/>
        </w:rPr>
        <w:t>’</w:t>
      </w:r>
      <w:r w:rsidRPr="009618E4">
        <w:rPr>
          <w:noProof/>
          <w:color w:val="000000" w:themeColor="text1"/>
        </w:rPr>
        <w:t>accord du Conseil sur un programme quinquennal</w:t>
      </w:r>
      <w:r w:rsidRPr="009618E4">
        <w:rPr>
          <w:rStyle w:val="FootnoteReference"/>
          <w:noProof/>
        </w:rPr>
        <w:footnoteReference w:id="2"/>
      </w:r>
      <w:r w:rsidRPr="009618E4">
        <w:rPr>
          <w:noProof/>
          <w:color w:val="000000" w:themeColor="text1"/>
        </w:rPr>
        <w:t xml:space="preserve"> visant à poursuivre les principales activités de recherche</w:t>
      </w:r>
      <w:r w:rsidRPr="009618E4">
        <w:rPr>
          <w:rStyle w:val="FootnoteReference"/>
          <w:noProof/>
        </w:rPr>
        <w:footnoteReference w:id="3"/>
      </w:r>
      <w:r w:rsidRPr="009618E4">
        <w:rPr>
          <w:noProof/>
          <w:color w:val="000000" w:themeColor="text1"/>
        </w:rPr>
        <w:t xml:space="preserve"> du programme en cours, à élargir la recherche sur les applications des rayonnements ionisants non liées à la production d</w:t>
      </w:r>
      <w:r w:rsidR="00266719" w:rsidRPr="009618E4">
        <w:rPr>
          <w:noProof/>
          <w:color w:val="000000" w:themeColor="text1"/>
        </w:rPr>
        <w:t>’</w:t>
      </w:r>
      <w:r w:rsidRPr="009618E4">
        <w:rPr>
          <w:noProof/>
          <w:color w:val="000000" w:themeColor="text1"/>
        </w:rPr>
        <w:t>électricité et à apporter des améliorations dans les domaines de l</w:t>
      </w:r>
      <w:r w:rsidR="00266719" w:rsidRPr="009618E4">
        <w:rPr>
          <w:noProof/>
          <w:color w:val="000000" w:themeColor="text1"/>
        </w:rPr>
        <w:t>’</w:t>
      </w:r>
      <w:r w:rsidRPr="009618E4">
        <w:rPr>
          <w:noProof/>
          <w:color w:val="000000" w:themeColor="text1"/>
        </w:rPr>
        <w:t>éducation, de la formation et de l</w:t>
      </w:r>
      <w:r w:rsidR="00266719" w:rsidRPr="009618E4">
        <w:rPr>
          <w:noProof/>
          <w:color w:val="000000" w:themeColor="text1"/>
        </w:rPr>
        <w:t>’</w:t>
      </w:r>
      <w:r w:rsidRPr="009618E4">
        <w:rPr>
          <w:noProof/>
          <w:color w:val="000000" w:themeColor="text1"/>
        </w:rPr>
        <w:t>accès aux infrastructures de recherche. Le programme proposé viendra compléter «Horizon Europe» avec des instruments et règles de participation identiques. La proposition détermine le budget et un ensemble commun d</w:t>
      </w:r>
      <w:r w:rsidR="00266719" w:rsidRPr="009618E4">
        <w:rPr>
          <w:noProof/>
          <w:color w:val="000000" w:themeColor="text1"/>
        </w:rPr>
        <w:t>’</w:t>
      </w:r>
      <w:r w:rsidRPr="009618E4">
        <w:rPr>
          <w:noProof/>
          <w:color w:val="000000" w:themeColor="text1"/>
        </w:rPr>
        <w:t>objectifs de recherche pour les actions directes</w:t>
      </w:r>
      <w:r w:rsidRPr="009618E4">
        <w:rPr>
          <w:rStyle w:val="FootnoteReference"/>
          <w:noProof/>
          <w:color w:val="000000" w:themeColor="text1"/>
        </w:rPr>
        <w:footnoteReference w:id="4"/>
      </w:r>
      <w:r w:rsidRPr="009618E4">
        <w:rPr>
          <w:noProof/>
          <w:color w:val="000000" w:themeColor="text1"/>
        </w:rPr>
        <w:t xml:space="preserve"> et indirectes</w:t>
      </w:r>
      <w:r w:rsidRPr="009618E4">
        <w:rPr>
          <w:rStyle w:val="FootnoteReference"/>
          <w:noProof/>
          <w:color w:val="000000" w:themeColor="text1"/>
        </w:rPr>
        <w:footnoteReference w:id="5"/>
      </w:r>
      <w:r w:rsidRPr="009618E4">
        <w:rPr>
          <w:noProof/>
          <w:color w:val="000000" w:themeColor="text1"/>
        </w:rPr>
        <w:t xml:space="preserve"> à mettre en œuvre conformément aux programmes de travail convenus avec les États membres.</w:t>
      </w:r>
    </w:p>
    <w:p w:rsidR="00F26C3B" w:rsidRPr="009618E4" w:rsidRDefault="00513FB2">
      <w:pPr>
        <w:autoSpaceDE w:val="0"/>
        <w:autoSpaceDN w:val="0"/>
        <w:adjustRightInd w:val="0"/>
        <w:spacing w:before="0" w:after="240"/>
        <w:rPr>
          <w:noProof/>
          <w:color w:val="000000" w:themeColor="text1"/>
        </w:rPr>
      </w:pPr>
      <w:r w:rsidRPr="009618E4">
        <w:rPr>
          <w:noProof/>
          <w:color w:val="000000" w:themeColor="text1"/>
        </w:rPr>
        <w:t>Le programme soutiendra la recherche sur la radioprotection dans le contexte à la fois de la production d</w:t>
      </w:r>
      <w:r w:rsidR="00266719" w:rsidRPr="009618E4">
        <w:rPr>
          <w:noProof/>
          <w:color w:val="000000" w:themeColor="text1"/>
        </w:rPr>
        <w:t>’</w:t>
      </w:r>
      <w:r w:rsidRPr="009618E4">
        <w:rPr>
          <w:noProof/>
          <w:color w:val="000000" w:themeColor="text1"/>
        </w:rPr>
        <w:t>énergie nucléaire et des applications des rayonnements ionisants non liées à la production d</w:t>
      </w:r>
      <w:r w:rsidR="00266719" w:rsidRPr="009618E4">
        <w:rPr>
          <w:noProof/>
          <w:color w:val="000000" w:themeColor="text1"/>
        </w:rPr>
        <w:t>’</w:t>
      </w:r>
      <w:r w:rsidRPr="009618E4">
        <w:rPr>
          <w:noProof/>
          <w:color w:val="000000" w:themeColor="text1"/>
        </w:rPr>
        <w:t>électricité. La recherche portant sur ces applications sera conçue pour réduire les risques d</w:t>
      </w:r>
      <w:r w:rsidR="00266719" w:rsidRPr="009618E4">
        <w:rPr>
          <w:noProof/>
          <w:color w:val="000000" w:themeColor="text1"/>
        </w:rPr>
        <w:t>’</w:t>
      </w:r>
      <w:r w:rsidRPr="009618E4">
        <w:rPr>
          <w:noProof/>
          <w:color w:val="000000" w:themeColor="text1"/>
        </w:rPr>
        <w:t>exposition à de faibles doses découlant de l</w:t>
      </w:r>
      <w:r w:rsidR="00266719" w:rsidRPr="009618E4">
        <w:rPr>
          <w:noProof/>
          <w:color w:val="000000" w:themeColor="text1"/>
        </w:rPr>
        <w:t>’</w:t>
      </w:r>
      <w:r w:rsidRPr="009618E4">
        <w:rPr>
          <w:noProof/>
          <w:color w:val="000000" w:themeColor="text1"/>
        </w:rPr>
        <w:t>utilisation de ces technologies. La recherche portant sur la radioprotection a déjà apporté des avantages au secteur médical. Les avantages d</w:t>
      </w:r>
      <w:r w:rsidR="00266719" w:rsidRPr="009618E4">
        <w:rPr>
          <w:noProof/>
          <w:color w:val="000000" w:themeColor="text1"/>
        </w:rPr>
        <w:t>’</w:t>
      </w:r>
      <w:r w:rsidRPr="009618E4">
        <w:rPr>
          <w:noProof/>
          <w:color w:val="000000" w:themeColor="text1"/>
        </w:rPr>
        <w:t>utilité publique dans des secteurs tels que l</w:t>
      </w:r>
      <w:r w:rsidR="00266719" w:rsidRPr="009618E4">
        <w:rPr>
          <w:noProof/>
          <w:color w:val="000000" w:themeColor="text1"/>
        </w:rPr>
        <w:t>’</w:t>
      </w:r>
      <w:r w:rsidRPr="009618E4">
        <w:rPr>
          <w:noProof/>
          <w:color w:val="000000" w:themeColor="text1"/>
        </w:rPr>
        <w:t>industrie, l</w:t>
      </w:r>
      <w:r w:rsidR="00266719" w:rsidRPr="009618E4">
        <w:rPr>
          <w:noProof/>
          <w:color w:val="000000" w:themeColor="text1"/>
        </w:rPr>
        <w:t>’</w:t>
      </w:r>
      <w:r w:rsidRPr="009618E4">
        <w:rPr>
          <w:noProof/>
          <w:color w:val="000000" w:themeColor="text1"/>
        </w:rPr>
        <w:t>agriculture, l</w:t>
      </w:r>
      <w:r w:rsidR="00266719" w:rsidRPr="009618E4">
        <w:rPr>
          <w:noProof/>
          <w:color w:val="000000" w:themeColor="text1"/>
        </w:rPr>
        <w:t>’</w:t>
      </w:r>
      <w:r w:rsidRPr="009618E4">
        <w:rPr>
          <w:noProof/>
          <w:color w:val="000000" w:themeColor="text1"/>
        </w:rPr>
        <w:t>environnement et la sûreté sont potentiellement importants aussi. Une disposition prévoyant des activités transversales et des synergies avec le programme «Horizon Europe» sera également utile pour la poursuite de la recherche portant sur les applications des rayonnements non liées à la production d</w:t>
      </w:r>
      <w:r w:rsidR="00266719" w:rsidRPr="009618E4">
        <w:rPr>
          <w:noProof/>
          <w:color w:val="000000" w:themeColor="text1"/>
        </w:rPr>
        <w:t>’</w:t>
      </w:r>
      <w:r w:rsidRPr="009618E4">
        <w:rPr>
          <w:noProof/>
          <w:color w:val="000000" w:themeColor="text1"/>
        </w:rPr>
        <w:t>électricité. L</w:t>
      </w:r>
      <w:r w:rsidR="00266719" w:rsidRPr="009618E4">
        <w:rPr>
          <w:noProof/>
          <w:color w:val="000000" w:themeColor="text1"/>
        </w:rPr>
        <w:t>’</w:t>
      </w:r>
      <w:r w:rsidRPr="009618E4">
        <w:rPr>
          <w:noProof/>
          <w:color w:val="000000" w:themeColor="text1"/>
        </w:rPr>
        <w:t xml:space="preserve">un des objectifs du programme est de </w:t>
      </w:r>
      <w:r w:rsidRPr="009618E4">
        <w:rPr>
          <w:noProof/>
          <w:color w:val="000000" w:themeColor="text1"/>
        </w:rPr>
        <w:lastRenderedPageBreak/>
        <w:t>rendre les technologies nucléaires plus sûres en développant une meilleure compréhension du vieillissement des réacteurs nucléaires et en améliorant les stratégies de gestion des accidents. Le programme soutiendra également la recherche portant sur l</w:t>
      </w:r>
      <w:r w:rsidR="00266719" w:rsidRPr="009618E4">
        <w:rPr>
          <w:noProof/>
          <w:color w:val="000000" w:themeColor="text1"/>
        </w:rPr>
        <w:t>’</w:t>
      </w:r>
      <w:r w:rsidRPr="009618E4">
        <w:rPr>
          <w:noProof/>
          <w:color w:val="000000" w:themeColor="text1"/>
        </w:rPr>
        <w:t>évaluation et la démonstration des aspects de sûreté des futures technologies de fission dans la mesure du nécessaire pour le maintien de l</w:t>
      </w:r>
      <w:r w:rsidR="00266719" w:rsidRPr="009618E4">
        <w:rPr>
          <w:noProof/>
          <w:color w:val="000000" w:themeColor="text1"/>
        </w:rPr>
        <w:t>’</w:t>
      </w:r>
      <w:r w:rsidRPr="009618E4">
        <w:rPr>
          <w:noProof/>
          <w:color w:val="000000" w:themeColor="text1"/>
        </w:rPr>
        <w:t>expertise en matière de sûreté dans la Communauté. La rapide croissance de l</w:t>
      </w:r>
      <w:r w:rsidR="00266719" w:rsidRPr="009618E4">
        <w:rPr>
          <w:noProof/>
          <w:color w:val="000000" w:themeColor="text1"/>
        </w:rPr>
        <w:t>’</w:t>
      </w:r>
      <w:r w:rsidRPr="009618E4">
        <w:rPr>
          <w:noProof/>
          <w:color w:val="000000" w:themeColor="text1"/>
        </w:rPr>
        <w:t>utilisation des technologies de fission nucléaire dans le monde rend ce domaine de recherche d</w:t>
      </w:r>
      <w:r w:rsidR="00266719" w:rsidRPr="009618E4">
        <w:rPr>
          <w:noProof/>
          <w:color w:val="000000" w:themeColor="text1"/>
        </w:rPr>
        <w:t>’</w:t>
      </w:r>
      <w:r w:rsidRPr="009618E4">
        <w:rPr>
          <w:noProof/>
          <w:color w:val="000000" w:themeColor="text1"/>
        </w:rPr>
        <w:t>Euratom d</w:t>
      </w:r>
      <w:r w:rsidR="00266719" w:rsidRPr="009618E4">
        <w:rPr>
          <w:noProof/>
          <w:color w:val="000000" w:themeColor="text1"/>
        </w:rPr>
        <w:t>’</w:t>
      </w:r>
      <w:r w:rsidRPr="009618E4">
        <w:rPr>
          <w:noProof/>
          <w:color w:val="000000" w:themeColor="text1"/>
        </w:rPr>
        <w:t>autant plus important. Le programme comprendra d</w:t>
      </w:r>
      <w:r w:rsidR="00266719" w:rsidRPr="009618E4">
        <w:rPr>
          <w:noProof/>
          <w:color w:val="000000" w:themeColor="text1"/>
        </w:rPr>
        <w:t>’</w:t>
      </w:r>
      <w:r w:rsidRPr="009618E4">
        <w:rPr>
          <w:noProof/>
          <w:color w:val="000000" w:themeColor="text1"/>
        </w:rPr>
        <w:t>autres tâches tout aussi importantes: faire progresser les méthodes possibles de gestion et d</w:t>
      </w:r>
      <w:r w:rsidR="00266719" w:rsidRPr="009618E4">
        <w:rPr>
          <w:noProof/>
          <w:color w:val="000000" w:themeColor="text1"/>
        </w:rPr>
        <w:t>’</w:t>
      </w:r>
      <w:r w:rsidRPr="009618E4">
        <w:rPr>
          <w:noProof/>
          <w:color w:val="000000" w:themeColor="text1"/>
        </w:rPr>
        <w:t>élimination du combustible usé et des déchets radioactifs, et soutenir la préparation aux situations d</w:t>
      </w:r>
      <w:r w:rsidR="00266719" w:rsidRPr="009618E4">
        <w:rPr>
          <w:noProof/>
          <w:color w:val="000000" w:themeColor="text1"/>
        </w:rPr>
        <w:t>’</w:t>
      </w:r>
      <w:r w:rsidRPr="009618E4">
        <w:rPr>
          <w:noProof/>
          <w:color w:val="000000" w:themeColor="text1"/>
        </w:rPr>
        <w:t>urgence impliquant des rayonnements.</w:t>
      </w:r>
    </w:p>
    <w:p w:rsidR="00F26C3B" w:rsidRPr="009618E4" w:rsidRDefault="00513FB2">
      <w:pPr>
        <w:autoSpaceDE w:val="0"/>
        <w:autoSpaceDN w:val="0"/>
        <w:adjustRightInd w:val="0"/>
        <w:spacing w:before="0" w:after="240"/>
        <w:rPr>
          <w:noProof/>
          <w:color w:val="000000" w:themeColor="text1"/>
        </w:rPr>
      </w:pPr>
      <w:r w:rsidRPr="009618E4">
        <w:rPr>
          <w:noProof/>
          <w:color w:val="000000" w:themeColor="text1"/>
        </w:rPr>
        <w:t>Compte tenu de l</w:t>
      </w:r>
      <w:r w:rsidR="00266719" w:rsidRPr="009618E4">
        <w:rPr>
          <w:noProof/>
          <w:color w:val="000000" w:themeColor="text1"/>
        </w:rPr>
        <w:t>’</w:t>
      </w:r>
      <w:r w:rsidRPr="009618E4">
        <w:rPr>
          <w:noProof/>
          <w:color w:val="000000" w:themeColor="text1"/>
        </w:rPr>
        <w:t>accroissement substantiel du déploiement des technologies de fission nucléaire dans le monde, Euratom doit poursuivre ses travaux de recherche sur la mise au point de techniques permettant de soutenir les efforts en matière de garanties nucléaires, de sécurité et de non-prolifération.</w:t>
      </w:r>
    </w:p>
    <w:p w:rsidR="00F26C3B" w:rsidRPr="009618E4" w:rsidRDefault="00513FB2">
      <w:pPr>
        <w:autoSpaceDE w:val="0"/>
        <w:autoSpaceDN w:val="0"/>
        <w:adjustRightInd w:val="0"/>
        <w:spacing w:before="0" w:after="240"/>
        <w:rPr>
          <w:noProof/>
          <w:color w:val="000000" w:themeColor="text1"/>
        </w:rPr>
      </w:pPr>
      <w:r w:rsidRPr="009618E4">
        <w:rPr>
          <w:noProof/>
          <w:color w:val="000000" w:themeColor="text1"/>
        </w:rPr>
        <w:t>Le programme met également l</w:t>
      </w:r>
      <w:r w:rsidR="00266719" w:rsidRPr="009618E4">
        <w:rPr>
          <w:noProof/>
          <w:color w:val="000000" w:themeColor="text1"/>
        </w:rPr>
        <w:t>’</w:t>
      </w:r>
      <w:r w:rsidRPr="009618E4">
        <w:rPr>
          <w:noProof/>
          <w:color w:val="000000" w:themeColor="text1"/>
        </w:rPr>
        <w:t>accent sur le développement de l</w:t>
      </w:r>
      <w:r w:rsidR="00266719" w:rsidRPr="009618E4">
        <w:rPr>
          <w:noProof/>
          <w:color w:val="000000" w:themeColor="text1"/>
        </w:rPr>
        <w:t>’</w:t>
      </w:r>
      <w:r w:rsidRPr="009618E4">
        <w:rPr>
          <w:noProof/>
          <w:color w:val="000000" w:themeColor="text1"/>
        </w:rPr>
        <w:t>énergie de fusion, l</w:t>
      </w:r>
      <w:r w:rsidR="00266719" w:rsidRPr="009618E4">
        <w:rPr>
          <w:noProof/>
          <w:color w:val="000000" w:themeColor="text1"/>
        </w:rPr>
        <w:t>’</w:t>
      </w:r>
      <w:r w:rsidRPr="009618E4">
        <w:rPr>
          <w:noProof/>
          <w:color w:val="000000" w:themeColor="text1"/>
        </w:rPr>
        <w:t>une des rares possibilités futures de produire de l</w:t>
      </w:r>
      <w:r w:rsidR="00266719" w:rsidRPr="009618E4">
        <w:rPr>
          <w:noProof/>
          <w:color w:val="000000" w:themeColor="text1"/>
        </w:rPr>
        <w:t>’</w:t>
      </w:r>
      <w:r w:rsidRPr="009618E4">
        <w:rPr>
          <w:noProof/>
          <w:color w:val="000000" w:themeColor="text1"/>
        </w:rPr>
        <w:t>électricité de base en émettant peu de carbone. La recherche sur la faisabilité de cette technologie s</w:t>
      </w:r>
      <w:r w:rsidR="00266719" w:rsidRPr="009618E4">
        <w:rPr>
          <w:noProof/>
          <w:color w:val="000000" w:themeColor="text1"/>
        </w:rPr>
        <w:t>’</w:t>
      </w:r>
      <w:r w:rsidRPr="009618E4">
        <w:rPr>
          <w:noProof/>
          <w:color w:val="000000" w:themeColor="text1"/>
        </w:rPr>
        <w:t>impose pour le bien-être des générations futures. Alors que le déploiement de centrales à fusion susceptibles de contribuer à la décarbonation du bouquet énergétique dans l</w:t>
      </w:r>
      <w:r w:rsidR="00266719" w:rsidRPr="009618E4">
        <w:rPr>
          <w:noProof/>
          <w:color w:val="000000" w:themeColor="text1"/>
        </w:rPr>
        <w:t>’</w:t>
      </w:r>
      <w:r w:rsidRPr="009618E4">
        <w:rPr>
          <w:noProof/>
          <w:color w:val="000000" w:themeColor="text1"/>
        </w:rPr>
        <w:t>UE reste une perspective lointaine, le programme vise à mettre en œuvre la feuille de route européenne pour la fusion, avec pour objectif la production d</w:t>
      </w:r>
      <w:r w:rsidR="00266719" w:rsidRPr="009618E4">
        <w:rPr>
          <w:noProof/>
          <w:color w:val="000000" w:themeColor="text1"/>
        </w:rPr>
        <w:t>’</w:t>
      </w:r>
      <w:r w:rsidRPr="009618E4">
        <w:rPr>
          <w:noProof/>
          <w:color w:val="000000" w:themeColor="text1"/>
        </w:rPr>
        <w:t>électricité de fusion. Cela inclut la démonstration de la faisabilité de la fusion en tant que source d</w:t>
      </w:r>
      <w:r w:rsidR="00266719" w:rsidRPr="009618E4">
        <w:rPr>
          <w:noProof/>
          <w:color w:val="000000" w:themeColor="text1"/>
        </w:rPr>
        <w:t>’</w:t>
      </w:r>
      <w:r w:rsidRPr="009618E4">
        <w:rPr>
          <w:noProof/>
          <w:color w:val="000000" w:themeColor="text1"/>
        </w:rPr>
        <w:t>énergie en exploitant les installations de fusion existantes et futures, y compris l</w:t>
      </w:r>
      <w:r w:rsidR="00266719" w:rsidRPr="009618E4">
        <w:rPr>
          <w:noProof/>
          <w:color w:val="000000" w:themeColor="text1"/>
        </w:rPr>
        <w:t>’</w:t>
      </w:r>
      <w:r w:rsidRPr="009618E4">
        <w:rPr>
          <w:noProof/>
          <w:color w:val="000000" w:themeColor="text1"/>
        </w:rPr>
        <w:t>ITER</w:t>
      </w:r>
      <w:r w:rsidRPr="009618E4">
        <w:rPr>
          <w:rStyle w:val="FootnoteReference"/>
          <w:noProof/>
        </w:rPr>
        <w:footnoteReference w:id="6"/>
      </w:r>
      <w:r w:rsidRPr="009618E4">
        <w:rPr>
          <w:noProof/>
          <w:color w:val="000000" w:themeColor="text1"/>
        </w:rPr>
        <w:t>, et la préparation pour les futures centrales électriques à fusion en développant des conceptions, matériaux et technologies.</w:t>
      </w:r>
    </w:p>
    <w:p w:rsidR="00F26C3B" w:rsidRPr="009618E4" w:rsidRDefault="00513FB2">
      <w:pPr>
        <w:autoSpaceDE w:val="0"/>
        <w:autoSpaceDN w:val="0"/>
        <w:adjustRightInd w:val="0"/>
        <w:spacing w:before="0" w:after="240"/>
        <w:rPr>
          <w:noProof/>
          <w:color w:val="000000" w:themeColor="text1"/>
        </w:rPr>
      </w:pPr>
      <w:r w:rsidRPr="009618E4">
        <w:rPr>
          <w:noProof/>
          <w:color w:val="000000" w:themeColor="text1"/>
        </w:rPr>
        <w:t>Dans le cadre de ses efforts pour développer l</w:t>
      </w:r>
      <w:r w:rsidR="00266719" w:rsidRPr="009618E4">
        <w:rPr>
          <w:noProof/>
          <w:color w:val="000000" w:themeColor="text1"/>
        </w:rPr>
        <w:t>’</w:t>
      </w:r>
      <w:r w:rsidRPr="009618E4">
        <w:rPr>
          <w:noProof/>
          <w:color w:val="000000" w:themeColor="text1"/>
        </w:rPr>
        <w:t>énergie de fusion, le programme permettra d</w:t>
      </w:r>
      <w:r w:rsidR="00266719" w:rsidRPr="009618E4">
        <w:rPr>
          <w:noProof/>
          <w:color w:val="000000" w:themeColor="text1"/>
        </w:rPr>
        <w:t>’</w:t>
      </w:r>
      <w:r w:rsidRPr="009618E4">
        <w:rPr>
          <w:noProof/>
          <w:color w:val="000000" w:themeColor="text1"/>
        </w:rPr>
        <w:t>accroître la participation et le rôle de l</w:t>
      </w:r>
      <w:r w:rsidR="00266719" w:rsidRPr="009618E4">
        <w:rPr>
          <w:noProof/>
          <w:color w:val="000000" w:themeColor="text1"/>
        </w:rPr>
        <w:t>’</w:t>
      </w:r>
      <w:r w:rsidRPr="009618E4">
        <w:rPr>
          <w:noProof/>
          <w:color w:val="000000" w:themeColor="text1"/>
        </w:rPr>
        <w:t>industrie, en s</w:t>
      </w:r>
      <w:r w:rsidR="00266719" w:rsidRPr="009618E4">
        <w:rPr>
          <w:noProof/>
          <w:color w:val="000000" w:themeColor="text1"/>
        </w:rPr>
        <w:t>’</w:t>
      </w:r>
      <w:r w:rsidRPr="009618E4">
        <w:rPr>
          <w:noProof/>
          <w:color w:val="000000" w:themeColor="text1"/>
        </w:rPr>
        <w:t>attachant particulièrement à faciliter le transfert de savoir-faire des laboratoires de fusion vers l</w:t>
      </w:r>
      <w:r w:rsidR="00266719" w:rsidRPr="009618E4">
        <w:rPr>
          <w:noProof/>
          <w:color w:val="000000" w:themeColor="text1"/>
        </w:rPr>
        <w:t>’</w:t>
      </w:r>
      <w:r w:rsidRPr="009618E4">
        <w:rPr>
          <w:noProof/>
          <w:color w:val="000000" w:themeColor="text1"/>
        </w:rPr>
        <w:t>industrie, qui devrait prendre en charge la conception de DEMO</w:t>
      </w:r>
      <w:r w:rsidRPr="009618E4">
        <w:rPr>
          <w:rStyle w:val="FootnoteReference"/>
          <w:noProof/>
          <w:color w:val="000000" w:themeColor="text1"/>
        </w:rPr>
        <w:footnoteReference w:id="7"/>
      </w:r>
      <w:r w:rsidRPr="009618E4">
        <w:rPr>
          <w:noProof/>
          <w:color w:val="000000" w:themeColor="text1"/>
        </w:rPr>
        <w:t xml:space="preserve"> le moment venu.</w:t>
      </w:r>
    </w:p>
    <w:p w:rsidR="00F26C3B" w:rsidRPr="009618E4" w:rsidRDefault="00513FB2">
      <w:pPr>
        <w:autoSpaceDE w:val="0"/>
        <w:autoSpaceDN w:val="0"/>
        <w:adjustRightInd w:val="0"/>
        <w:spacing w:before="0" w:after="240"/>
        <w:rPr>
          <w:noProof/>
          <w:color w:val="000000" w:themeColor="text1"/>
        </w:rPr>
      </w:pPr>
      <w:r w:rsidRPr="009618E4">
        <w:rPr>
          <w:noProof/>
          <w:color w:val="000000" w:themeColor="text1"/>
        </w:rPr>
        <w:t>Outre ces activités de recherche, la proposition prévoit des actions de recherche plus spécifiques portant sur le déclassement des installations nucléaires. Le programme abordera des questions telles que l</w:t>
      </w:r>
      <w:r w:rsidR="00266719" w:rsidRPr="009618E4">
        <w:rPr>
          <w:noProof/>
          <w:color w:val="000000" w:themeColor="text1"/>
        </w:rPr>
        <w:t>’</w:t>
      </w:r>
      <w:r w:rsidRPr="009618E4">
        <w:rPr>
          <w:noProof/>
          <w:color w:val="000000" w:themeColor="text1"/>
        </w:rPr>
        <w:t>amélioration des compétences nécessaires, le partage des bonnes pratiques, le développement de techniques et le cofinancement de la recherche portant sur des problèmes communs en matière de déclassement nucléaire.</w:t>
      </w:r>
    </w:p>
    <w:p w:rsidR="00F26C3B" w:rsidRPr="009618E4" w:rsidRDefault="00513FB2">
      <w:pPr>
        <w:autoSpaceDE w:val="0"/>
        <w:autoSpaceDN w:val="0"/>
        <w:adjustRightInd w:val="0"/>
        <w:spacing w:before="0" w:after="240"/>
        <w:rPr>
          <w:noProof/>
          <w:color w:val="000000" w:themeColor="text1"/>
        </w:rPr>
      </w:pPr>
      <w:r w:rsidRPr="009618E4">
        <w:rPr>
          <w:noProof/>
          <w:color w:val="000000" w:themeColor="text1"/>
        </w:rPr>
        <w:t>En ce qui concerne l</w:t>
      </w:r>
      <w:r w:rsidR="00266719" w:rsidRPr="009618E4">
        <w:rPr>
          <w:noProof/>
          <w:color w:val="000000" w:themeColor="text1"/>
        </w:rPr>
        <w:t>’</w:t>
      </w:r>
      <w:r w:rsidRPr="009618E4">
        <w:rPr>
          <w:noProof/>
          <w:color w:val="000000" w:themeColor="text1"/>
        </w:rPr>
        <w:t>expertise nucléaire et l</w:t>
      </w:r>
      <w:r w:rsidR="00266719" w:rsidRPr="009618E4">
        <w:rPr>
          <w:noProof/>
          <w:color w:val="000000" w:themeColor="text1"/>
        </w:rPr>
        <w:t>’</w:t>
      </w:r>
      <w:r w:rsidRPr="009618E4">
        <w:rPr>
          <w:noProof/>
          <w:color w:val="000000" w:themeColor="text1"/>
        </w:rPr>
        <w:t>excellence dans la Communauté, la proposition de règlement Euratom et la proposition «Horizon Europe» permettront désormais aux chercheurs dans le domaine du nucléaire de participer à des programmes d</w:t>
      </w:r>
      <w:r w:rsidR="00266719" w:rsidRPr="009618E4">
        <w:rPr>
          <w:noProof/>
          <w:color w:val="000000" w:themeColor="text1"/>
        </w:rPr>
        <w:t>’</w:t>
      </w:r>
      <w:r w:rsidRPr="009618E4">
        <w:rPr>
          <w:noProof/>
          <w:color w:val="000000" w:themeColor="text1"/>
        </w:rPr>
        <w:t>éducation et de formation tels que les actions Marie Skłodowska-Curie. Cela permettra de maintenir les compétences nécessaires au sein de la Communauté.</w:t>
      </w:r>
    </w:p>
    <w:p w:rsidR="00F26C3B" w:rsidRPr="009618E4" w:rsidRDefault="00513FB2">
      <w:pPr>
        <w:autoSpaceDE w:val="0"/>
        <w:autoSpaceDN w:val="0"/>
        <w:adjustRightInd w:val="0"/>
        <w:spacing w:before="0" w:after="240"/>
        <w:rPr>
          <w:color w:val="000000" w:themeColor="text1"/>
        </w:rPr>
      </w:pPr>
      <w:r w:rsidRPr="009618E4">
        <w:rPr>
          <w:noProof/>
          <w:color w:val="000000" w:themeColor="text1"/>
        </w:rPr>
        <w:lastRenderedPageBreak/>
        <w:t>En ce qui concerne les infrastructures de recherche, la proposition accorde un soutien financier en vue de la fourniture et de la mise à disposition des infrastructures de recherche européennes et internationales, y compris celles du JRC, et l</w:t>
      </w:r>
      <w:r w:rsidR="00266719" w:rsidRPr="009618E4">
        <w:rPr>
          <w:noProof/>
          <w:color w:val="000000" w:themeColor="text1"/>
        </w:rPr>
        <w:t>’</w:t>
      </w:r>
      <w:r w:rsidRPr="009618E4">
        <w:rPr>
          <w:noProof/>
          <w:color w:val="000000" w:themeColor="text1"/>
        </w:rPr>
        <w:t>offre d</w:t>
      </w:r>
      <w:r w:rsidR="00266719" w:rsidRPr="009618E4">
        <w:rPr>
          <w:noProof/>
          <w:color w:val="000000" w:themeColor="text1"/>
        </w:rPr>
        <w:t>’</w:t>
      </w:r>
      <w:r w:rsidRPr="009618E4">
        <w:rPr>
          <w:noProof/>
          <w:color w:val="000000" w:themeColor="text1"/>
        </w:rPr>
        <w:t>un accès approprié à ces infrastructures.</w:t>
      </w:r>
    </w:p>
    <w:p w:rsidR="000A207D" w:rsidRPr="009618E4" w:rsidRDefault="000A207D" w:rsidP="000A207D">
      <w:pPr>
        <w:rPr>
          <w:noProof/>
          <w:color w:val="000000" w:themeColor="text1"/>
        </w:rPr>
      </w:pPr>
      <w:r w:rsidRPr="009618E4">
        <w:rPr>
          <w:noProof/>
          <w:color w:val="000000" w:themeColor="text1"/>
        </w:rPr>
        <w:t>La présente proposition annonce une date d</w:t>
      </w:r>
      <w:r w:rsidR="00266719" w:rsidRPr="009618E4">
        <w:rPr>
          <w:noProof/>
          <w:color w:val="000000" w:themeColor="text1"/>
        </w:rPr>
        <w:t>’</w:t>
      </w:r>
      <w:r w:rsidRPr="009618E4">
        <w:rPr>
          <w:noProof/>
          <w:color w:val="000000" w:themeColor="text1"/>
        </w:rPr>
        <w:t xml:space="preserve">application à partir du </w:t>
      </w:r>
      <w:r w:rsidRPr="0068119E">
        <w:rPr>
          <w:noProof/>
          <w:color w:val="000000" w:themeColor="text1"/>
        </w:rPr>
        <w:t>1</w:t>
      </w:r>
      <w:r w:rsidRPr="009618E4">
        <w:rPr>
          <w:noProof/>
          <w:color w:val="000000" w:themeColor="text1"/>
          <w:vertAlign w:val="superscript"/>
        </w:rPr>
        <w:t>er</w:t>
      </w:r>
      <w:r w:rsidRPr="009618E4">
        <w:rPr>
          <w:noProof/>
          <w:color w:val="000000" w:themeColor="text1"/>
        </w:rPr>
        <w:t xml:space="preserve"> janvier </w:t>
      </w:r>
      <w:r w:rsidRPr="0068119E">
        <w:rPr>
          <w:noProof/>
          <w:color w:val="000000" w:themeColor="text1"/>
        </w:rPr>
        <w:t>2021</w:t>
      </w:r>
      <w:r w:rsidRPr="009618E4">
        <w:rPr>
          <w:noProof/>
          <w:color w:val="000000" w:themeColor="text1"/>
        </w:rPr>
        <w:t xml:space="preserve">. Elle porte sur une Union à </w:t>
      </w:r>
      <w:r w:rsidRPr="0068119E">
        <w:rPr>
          <w:noProof/>
          <w:color w:val="000000" w:themeColor="text1"/>
        </w:rPr>
        <w:t>27</w:t>
      </w:r>
      <w:r w:rsidRPr="009618E4">
        <w:rPr>
          <w:noProof/>
          <w:color w:val="000000" w:themeColor="text1"/>
        </w:rPr>
        <w:t xml:space="preserve"> États membres, compte tenu de la notification, adressée par le Royaume-Uni, de son intention de se retirer de Communauté européenne de l</w:t>
      </w:r>
      <w:r w:rsidR="00266719" w:rsidRPr="009618E4">
        <w:rPr>
          <w:noProof/>
          <w:color w:val="000000" w:themeColor="text1"/>
        </w:rPr>
        <w:t>’</w:t>
      </w:r>
      <w:r w:rsidRPr="009618E4">
        <w:rPr>
          <w:noProof/>
          <w:color w:val="000000" w:themeColor="text1"/>
        </w:rPr>
        <w:t>énergie atomique en vertu de l</w:t>
      </w:r>
      <w:r w:rsidR="00266719" w:rsidRPr="009618E4">
        <w:rPr>
          <w:noProof/>
          <w:color w:val="000000" w:themeColor="text1"/>
        </w:rPr>
        <w:t>’</w:t>
      </w:r>
      <w:r w:rsidRPr="009618E4">
        <w:rPr>
          <w:noProof/>
          <w:color w:val="000000" w:themeColor="text1"/>
        </w:rPr>
        <w:t>article </w:t>
      </w:r>
      <w:r w:rsidRPr="0068119E">
        <w:rPr>
          <w:noProof/>
          <w:color w:val="000000" w:themeColor="text1"/>
        </w:rPr>
        <w:t>50</w:t>
      </w:r>
      <w:r w:rsidRPr="009618E4">
        <w:rPr>
          <w:noProof/>
          <w:color w:val="000000" w:themeColor="text1"/>
        </w:rPr>
        <w:t xml:space="preserve"> du traité sur l</w:t>
      </w:r>
      <w:r w:rsidR="00266719" w:rsidRPr="009618E4">
        <w:rPr>
          <w:noProof/>
          <w:color w:val="000000" w:themeColor="text1"/>
        </w:rPr>
        <w:t>’</w:t>
      </w:r>
      <w:r w:rsidRPr="009618E4">
        <w:rPr>
          <w:noProof/>
          <w:color w:val="000000" w:themeColor="text1"/>
        </w:rPr>
        <w:t>Union européenne, tel qu</w:t>
      </w:r>
      <w:r w:rsidR="00266719" w:rsidRPr="009618E4">
        <w:rPr>
          <w:noProof/>
          <w:color w:val="000000" w:themeColor="text1"/>
        </w:rPr>
        <w:t>’</w:t>
      </w:r>
      <w:r w:rsidRPr="009618E4">
        <w:rPr>
          <w:noProof/>
          <w:color w:val="000000" w:themeColor="text1"/>
        </w:rPr>
        <w:t>appliqué par l</w:t>
      </w:r>
      <w:r w:rsidR="00266719" w:rsidRPr="009618E4">
        <w:rPr>
          <w:noProof/>
          <w:color w:val="000000" w:themeColor="text1"/>
        </w:rPr>
        <w:t>’</w:t>
      </w:r>
      <w:r w:rsidRPr="009618E4">
        <w:rPr>
          <w:noProof/>
          <w:color w:val="000000" w:themeColor="text1"/>
        </w:rPr>
        <w:t>article </w:t>
      </w:r>
      <w:r w:rsidRPr="0068119E">
        <w:rPr>
          <w:noProof/>
          <w:color w:val="000000" w:themeColor="text1"/>
        </w:rPr>
        <w:t>106</w:t>
      </w:r>
      <w:r w:rsidRPr="009618E4">
        <w:rPr>
          <w:noProof/>
          <w:color w:val="000000" w:themeColor="text1"/>
        </w:rPr>
        <w:t> </w:t>
      </w:r>
      <w:r w:rsidRPr="009618E4">
        <w:rPr>
          <w:i/>
          <w:noProof/>
          <w:color w:val="000000" w:themeColor="text1"/>
        </w:rPr>
        <w:t>bis</w:t>
      </w:r>
      <w:r w:rsidRPr="009618E4">
        <w:rPr>
          <w:noProof/>
          <w:color w:val="000000" w:themeColor="text1"/>
        </w:rPr>
        <w:t xml:space="preserve"> du traité instituant la Communauté européenne de l</w:t>
      </w:r>
      <w:r w:rsidR="00266719" w:rsidRPr="009618E4">
        <w:rPr>
          <w:noProof/>
          <w:color w:val="000000" w:themeColor="text1"/>
        </w:rPr>
        <w:t>’</w:t>
      </w:r>
      <w:r w:rsidRPr="009618E4">
        <w:rPr>
          <w:noProof/>
          <w:color w:val="000000" w:themeColor="text1"/>
        </w:rPr>
        <w:t xml:space="preserve">énergie atomique, et reçue par le Conseil européen le </w:t>
      </w:r>
      <w:r w:rsidRPr="0068119E">
        <w:rPr>
          <w:noProof/>
          <w:color w:val="000000" w:themeColor="text1"/>
        </w:rPr>
        <w:t>29</w:t>
      </w:r>
      <w:r w:rsidRPr="009618E4">
        <w:rPr>
          <w:noProof/>
          <w:color w:val="000000" w:themeColor="text1"/>
        </w:rPr>
        <w:t> mars</w:t>
      </w:r>
      <w:r w:rsidR="004D00FC">
        <w:rPr>
          <w:noProof/>
          <w:color w:val="000000" w:themeColor="text1"/>
        </w:rPr>
        <w:t xml:space="preserve"> </w:t>
      </w:r>
      <w:r w:rsidRPr="0068119E">
        <w:rPr>
          <w:noProof/>
          <w:color w:val="000000" w:themeColor="text1"/>
        </w:rPr>
        <w:t>2017</w:t>
      </w:r>
      <w:r w:rsidRPr="009618E4">
        <w:rPr>
          <w:noProof/>
          <w:color w:val="000000" w:themeColor="text1"/>
        </w:rPr>
        <w:t>.</w:t>
      </w:r>
    </w:p>
    <w:p w:rsidR="000A207D" w:rsidRPr="009618E4" w:rsidRDefault="000A207D">
      <w:pPr>
        <w:autoSpaceDE w:val="0"/>
        <w:autoSpaceDN w:val="0"/>
        <w:adjustRightInd w:val="0"/>
        <w:spacing w:before="0" w:after="240"/>
        <w:rPr>
          <w:noProof/>
        </w:rPr>
      </w:pPr>
    </w:p>
    <w:p w:rsidR="00F26C3B" w:rsidRPr="009618E4" w:rsidRDefault="00513FB2">
      <w:pPr>
        <w:pStyle w:val="ManualHeading2"/>
        <w:rPr>
          <w:noProof/>
          <w:u w:color="000000"/>
          <w:bdr w:val="nil"/>
        </w:rPr>
      </w:pPr>
      <w:r w:rsidRPr="0068119E">
        <w:t>1</w:t>
      </w:r>
      <w:r w:rsidRPr="009618E4">
        <w:t>.</w:t>
      </w:r>
      <w:r w:rsidRPr="0068119E">
        <w:t>2</w:t>
      </w:r>
      <w:r w:rsidRPr="009618E4">
        <w:t>.</w:t>
      </w:r>
      <w:r w:rsidRPr="009618E4">
        <w:tab/>
        <w:t>Cohérence avec les dispositions existantes dans le domaine d</w:t>
      </w:r>
      <w:r w:rsidR="00266719" w:rsidRPr="009618E4">
        <w:t>’</w:t>
      </w:r>
      <w:r w:rsidRPr="009618E4">
        <w:t>action</w:t>
      </w:r>
    </w:p>
    <w:p w:rsidR="00F26C3B" w:rsidRPr="009618E4" w:rsidRDefault="00513FB2">
      <w:pPr>
        <w:pBdr>
          <w:top w:val="nil"/>
          <w:left w:val="nil"/>
          <w:bottom w:val="nil"/>
          <w:right w:val="nil"/>
          <w:between w:val="nil"/>
          <w:bar w:val="nil"/>
        </w:pBdr>
        <w:spacing w:before="0" w:after="240"/>
        <w:rPr>
          <w:noProof/>
          <w:color w:val="000000" w:themeColor="text1"/>
        </w:rPr>
      </w:pPr>
      <w:r w:rsidRPr="009618E4">
        <w:rPr>
          <w:noProof/>
          <w:color w:val="000000" w:themeColor="text1"/>
        </w:rPr>
        <w:t xml:space="preserve">Le programme reprend les principaux objectifs des activités de recherche des programmes Euratom </w:t>
      </w:r>
      <w:r w:rsidRPr="0068119E">
        <w:rPr>
          <w:noProof/>
          <w:color w:val="000000" w:themeColor="text1"/>
        </w:rPr>
        <w:t>2014</w:t>
      </w:r>
      <w:r w:rsidRPr="009618E4">
        <w:rPr>
          <w:noProof/>
          <w:color w:val="000000" w:themeColor="text1"/>
        </w:rPr>
        <w:t>–</w:t>
      </w:r>
      <w:r w:rsidRPr="0068119E">
        <w:rPr>
          <w:noProof/>
          <w:color w:val="000000" w:themeColor="text1"/>
        </w:rPr>
        <w:t>2020</w:t>
      </w:r>
      <w:r w:rsidRPr="009618E4">
        <w:rPr>
          <w:rStyle w:val="FootnoteReference"/>
          <w:noProof/>
          <w:color w:val="000000" w:themeColor="text1"/>
        </w:rPr>
        <w:footnoteReference w:id="8"/>
      </w:r>
      <w:r w:rsidRPr="009618E4">
        <w:rPr>
          <w:noProof/>
          <w:color w:val="000000" w:themeColor="text1"/>
        </w:rPr>
        <w:t>, tout en mettant en œuvre les changements expliqués ci-dessus.</w:t>
      </w:r>
    </w:p>
    <w:p w:rsidR="00F26C3B" w:rsidRPr="009618E4" w:rsidRDefault="00513FB2">
      <w:pPr>
        <w:pBdr>
          <w:top w:val="nil"/>
          <w:left w:val="nil"/>
          <w:bottom w:val="nil"/>
          <w:right w:val="nil"/>
          <w:between w:val="nil"/>
          <w:bar w:val="nil"/>
        </w:pBdr>
        <w:spacing w:before="0" w:after="240"/>
        <w:rPr>
          <w:noProof/>
        </w:rPr>
      </w:pPr>
      <w:r w:rsidRPr="009618E4">
        <w:rPr>
          <w:noProof/>
          <w:color w:val="000000" w:themeColor="text1"/>
        </w:rPr>
        <w:t>Le programme est également cohérent avec les propositions concernant «Horizon Europe», car elles sont les seuls programmes de l</w:t>
      </w:r>
      <w:r w:rsidR="00266719" w:rsidRPr="009618E4">
        <w:rPr>
          <w:noProof/>
          <w:color w:val="000000" w:themeColor="text1"/>
        </w:rPr>
        <w:t>’</w:t>
      </w:r>
      <w:r w:rsidRPr="009618E4">
        <w:rPr>
          <w:noProof/>
          <w:color w:val="000000" w:themeColor="text1"/>
        </w:rPr>
        <w:t>UE et d</w:t>
      </w:r>
      <w:r w:rsidR="00266719" w:rsidRPr="009618E4">
        <w:rPr>
          <w:noProof/>
          <w:color w:val="000000" w:themeColor="text1"/>
        </w:rPr>
        <w:t>’</w:t>
      </w:r>
      <w:r w:rsidRPr="009618E4">
        <w:rPr>
          <w:noProof/>
          <w:color w:val="000000" w:themeColor="text1"/>
        </w:rPr>
        <w:t>Euratom qui soutiennent la R&amp;I et complètent les financements nationaux. La plupart des dispositions relatives à la mise en œuvre, à l</w:t>
      </w:r>
      <w:r w:rsidR="00266719" w:rsidRPr="009618E4">
        <w:rPr>
          <w:noProof/>
          <w:color w:val="000000" w:themeColor="text1"/>
        </w:rPr>
        <w:t>’</w:t>
      </w:r>
      <w:r w:rsidRPr="009618E4">
        <w:rPr>
          <w:noProof/>
          <w:color w:val="000000" w:themeColor="text1"/>
        </w:rPr>
        <w:t>évaluation et à la gouvernance sont les mêmes pour les deux programmes. Les domaines de recherche soutenus par le programme Euratom ne sont pas inclus dans «Horizon Europe» pour des raisons à la fois juridiques (traités distincts) et managériales (éviter le double emploi). Cependant, l</w:t>
      </w:r>
      <w:r w:rsidR="00266719" w:rsidRPr="009618E4">
        <w:rPr>
          <w:noProof/>
          <w:color w:val="000000" w:themeColor="text1"/>
        </w:rPr>
        <w:t>’</w:t>
      </w:r>
      <w:r w:rsidRPr="009618E4">
        <w:rPr>
          <w:noProof/>
          <w:color w:val="000000" w:themeColor="text1"/>
        </w:rPr>
        <w:t>accent sera davantage mis sur le développement de synergies avec «Horizon Europe».</w:t>
      </w:r>
    </w:p>
    <w:p w:rsidR="00F26C3B" w:rsidRPr="009618E4" w:rsidRDefault="00513FB2">
      <w:pPr>
        <w:pStyle w:val="ManualHeading2"/>
        <w:rPr>
          <w:noProof/>
        </w:rPr>
      </w:pPr>
      <w:r w:rsidRPr="0068119E">
        <w:t>1</w:t>
      </w:r>
      <w:r w:rsidRPr="009618E4">
        <w:t>.</w:t>
      </w:r>
      <w:r w:rsidRPr="0068119E">
        <w:t>3</w:t>
      </w:r>
      <w:r w:rsidRPr="009618E4">
        <w:t>.</w:t>
      </w:r>
      <w:r w:rsidRPr="009618E4">
        <w:tab/>
        <w:t>Cohérence avec les autres politiques de l</w:t>
      </w:r>
      <w:r w:rsidR="00266719" w:rsidRPr="009618E4">
        <w:t>’</w:t>
      </w:r>
      <w:r w:rsidRPr="009618E4">
        <w:t>Union</w:t>
      </w:r>
    </w:p>
    <w:p w:rsidR="00F26C3B" w:rsidRPr="009618E4" w:rsidRDefault="00513FB2">
      <w:pPr>
        <w:autoSpaceDE w:val="0"/>
        <w:autoSpaceDN w:val="0"/>
        <w:adjustRightInd w:val="0"/>
        <w:spacing w:before="0" w:after="240"/>
        <w:rPr>
          <w:noProof/>
          <w:color w:val="000000" w:themeColor="text1"/>
        </w:rPr>
      </w:pPr>
      <w:r w:rsidRPr="009618E4">
        <w:rPr>
          <w:noProof/>
          <w:color w:val="000000" w:themeColor="text1"/>
        </w:rPr>
        <w:t>La proposition est parfaitement cohérente et pleinement compatible avec les politiques existantes de l</w:t>
      </w:r>
      <w:r w:rsidR="00266719" w:rsidRPr="009618E4">
        <w:rPr>
          <w:noProof/>
          <w:color w:val="000000" w:themeColor="text1"/>
        </w:rPr>
        <w:t>’</w:t>
      </w:r>
      <w:r w:rsidRPr="009618E4">
        <w:rPr>
          <w:noProof/>
          <w:color w:val="000000" w:themeColor="text1"/>
        </w:rPr>
        <w:t>UE.</w:t>
      </w:r>
      <w:r w:rsidRPr="009618E4">
        <w:rPr>
          <w:noProof/>
          <w:color w:val="000000" w:themeColor="text1"/>
          <w:sz w:val="23"/>
        </w:rPr>
        <w:t xml:space="preserve"> </w:t>
      </w:r>
      <w:r w:rsidRPr="009618E4">
        <w:rPr>
          <w:noProof/>
          <w:color w:val="000000" w:themeColor="text1"/>
        </w:rPr>
        <w:t>Cette initiative a été développée en tenant compte des priorités actuelles de la Commission</w:t>
      </w:r>
      <w:r w:rsidRPr="009618E4">
        <w:rPr>
          <w:rStyle w:val="FootnoteReference"/>
          <w:noProof/>
          <w:color w:val="000000" w:themeColor="text1"/>
        </w:rPr>
        <w:footnoteReference w:id="9"/>
      </w:r>
      <w:r w:rsidRPr="009618E4">
        <w:rPr>
          <w:noProof/>
          <w:color w:val="000000" w:themeColor="text1"/>
        </w:rPr>
        <w:t>, de l</w:t>
      </w:r>
      <w:r w:rsidR="00266719" w:rsidRPr="009618E4">
        <w:rPr>
          <w:noProof/>
          <w:color w:val="000000" w:themeColor="text1"/>
        </w:rPr>
        <w:t>’</w:t>
      </w:r>
      <w:r w:rsidRPr="009618E4">
        <w:rPr>
          <w:noProof/>
          <w:color w:val="000000" w:themeColor="text1"/>
        </w:rPr>
        <w:t>initiative intitulée «Le budget de l</w:t>
      </w:r>
      <w:r w:rsidR="00266719" w:rsidRPr="009618E4">
        <w:rPr>
          <w:noProof/>
          <w:color w:val="000000" w:themeColor="text1"/>
        </w:rPr>
        <w:t>’</w:t>
      </w:r>
      <w:r w:rsidRPr="009618E4">
        <w:rPr>
          <w:noProof/>
          <w:color w:val="000000" w:themeColor="text1"/>
        </w:rPr>
        <w:t>UE axé sur les résultats» (signifiant que les programmes de dépenses de l</w:t>
      </w:r>
      <w:r w:rsidR="00266719" w:rsidRPr="009618E4">
        <w:rPr>
          <w:noProof/>
          <w:color w:val="000000" w:themeColor="text1"/>
        </w:rPr>
        <w:t>’</w:t>
      </w:r>
      <w:r w:rsidRPr="009618E4">
        <w:rPr>
          <w:noProof/>
          <w:color w:val="000000" w:themeColor="text1"/>
        </w:rPr>
        <w:t>UE doivent être encore plus rentables que par le passé), de la mise en œuvre de la stratégie globale de l</w:t>
      </w:r>
      <w:r w:rsidR="00266719" w:rsidRPr="009618E4">
        <w:rPr>
          <w:noProof/>
          <w:color w:val="000000" w:themeColor="text1"/>
        </w:rPr>
        <w:t>’</w:t>
      </w:r>
      <w:r w:rsidRPr="009618E4">
        <w:rPr>
          <w:noProof/>
          <w:color w:val="000000" w:themeColor="text1"/>
        </w:rPr>
        <w:t>UE</w:t>
      </w:r>
      <w:r w:rsidRPr="009618E4">
        <w:rPr>
          <w:rStyle w:val="FootnoteReference"/>
          <w:noProof/>
        </w:rPr>
        <w:footnoteReference w:id="10"/>
      </w:r>
      <w:r w:rsidRPr="009618E4">
        <w:rPr>
          <w:noProof/>
          <w:color w:val="000000" w:themeColor="text1"/>
        </w:rPr>
        <w:t xml:space="preserve"> et du prochain cadre financier de l</w:t>
      </w:r>
      <w:r w:rsidR="00266719" w:rsidRPr="009618E4">
        <w:rPr>
          <w:noProof/>
          <w:color w:val="000000" w:themeColor="text1"/>
        </w:rPr>
        <w:t>’</w:t>
      </w:r>
      <w:r w:rsidRPr="009618E4">
        <w:rPr>
          <w:noProof/>
          <w:color w:val="000000" w:themeColor="text1"/>
        </w:rPr>
        <w:t>UE à long terme.</w:t>
      </w:r>
    </w:p>
    <w:p w:rsidR="00F26C3B" w:rsidRPr="009618E4" w:rsidRDefault="00513FB2">
      <w:pPr>
        <w:autoSpaceDE w:val="0"/>
        <w:autoSpaceDN w:val="0"/>
        <w:adjustRightInd w:val="0"/>
        <w:spacing w:before="0" w:after="240"/>
        <w:rPr>
          <w:noProof/>
          <w:color w:val="000000" w:themeColor="text1"/>
        </w:rPr>
      </w:pPr>
      <w:r w:rsidRPr="009618E4">
        <w:rPr>
          <w:noProof/>
          <w:color w:val="000000" w:themeColor="text1"/>
        </w:rPr>
        <w:t>Le programme est également cohérent avec les politiques de l</w:t>
      </w:r>
      <w:r w:rsidR="00266719" w:rsidRPr="009618E4">
        <w:rPr>
          <w:noProof/>
          <w:color w:val="000000" w:themeColor="text1"/>
        </w:rPr>
        <w:t>’</w:t>
      </w:r>
      <w:r w:rsidRPr="009618E4">
        <w:rPr>
          <w:noProof/>
          <w:color w:val="000000" w:themeColor="text1"/>
        </w:rPr>
        <w:t>UE concernant les aspects nucléaires et liés à la sûreté. Il soutient donc la mise en œuvre des actes législatifs suivants:</w:t>
      </w:r>
    </w:p>
    <w:p w:rsidR="00F26C3B" w:rsidRPr="009618E4" w:rsidRDefault="00513FB2" w:rsidP="006E0C02">
      <w:pPr>
        <w:pStyle w:val="Tiret0"/>
        <w:numPr>
          <w:ilvl w:val="0"/>
          <w:numId w:val="14"/>
        </w:numPr>
        <w:rPr>
          <w:noProof/>
        </w:rPr>
      </w:pPr>
      <w:r w:rsidRPr="009618E4">
        <w:t xml:space="preserve">la directive </w:t>
      </w:r>
      <w:r w:rsidRPr="0068119E">
        <w:t>2009</w:t>
      </w:r>
      <w:r w:rsidRPr="009618E4">
        <w:t>/</w:t>
      </w:r>
      <w:r w:rsidRPr="0068119E">
        <w:t>71</w:t>
      </w:r>
      <w:r w:rsidRPr="009618E4">
        <w:t>/Euratom du Conseil établissant un cadre communautaire pour la sûreté nucléaire des installations nucléaires</w:t>
      </w:r>
      <w:r w:rsidRPr="009618E4">
        <w:rPr>
          <w:rStyle w:val="FootnoteReference"/>
          <w:noProof/>
        </w:rPr>
        <w:footnoteReference w:id="11"/>
      </w:r>
      <w:r w:rsidRPr="009618E4">
        <w:t xml:space="preserve">, telle que modifiée par la directive </w:t>
      </w:r>
      <w:r w:rsidRPr="0068119E">
        <w:t>2014</w:t>
      </w:r>
      <w:r w:rsidRPr="009618E4">
        <w:t>/</w:t>
      </w:r>
      <w:r w:rsidRPr="0068119E">
        <w:t>87</w:t>
      </w:r>
      <w:r w:rsidRPr="009618E4">
        <w:t>/Euratom du Conseil</w:t>
      </w:r>
      <w:r w:rsidRPr="009618E4">
        <w:rPr>
          <w:rStyle w:val="FootnoteReference"/>
          <w:noProof/>
        </w:rPr>
        <w:footnoteReference w:id="12"/>
      </w:r>
      <w:r w:rsidRPr="009618E4">
        <w:t>;</w:t>
      </w:r>
    </w:p>
    <w:p w:rsidR="00F26C3B" w:rsidRPr="009618E4" w:rsidRDefault="00513FB2">
      <w:pPr>
        <w:pStyle w:val="Tiret0"/>
        <w:rPr>
          <w:noProof/>
        </w:rPr>
      </w:pPr>
      <w:r w:rsidRPr="009618E4">
        <w:t xml:space="preserve">la directive </w:t>
      </w:r>
      <w:r w:rsidRPr="0068119E">
        <w:t>2011</w:t>
      </w:r>
      <w:r w:rsidRPr="009618E4">
        <w:t>/</w:t>
      </w:r>
      <w:r w:rsidRPr="0068119E">
        <w:t>70</w:t>
      </w:r>
      <w:r w:rsidRPr="009618E4">
        <w:t>/Euratom du Conseil établissant un cadre communautaire pour la gestion responsable et sûre du combustible usé et des déchets radioactifs</w:t>
      </w:r>
      <w:r w:rsidRPr="009618E4">
        <w:rPr>
          <w:rStyle w:val="FootnoteReference"/>
          <w:noProof/>
        </w:rPr>
        <w:footnoteReference w:id="13"/>
      </w:r>
      <w:r w:rsidRPr="009618E4">
        <w:t>;</w:t>
      </w:r>
    </w:p>
    <w:p w:rsidR="00F26C3B" w:rsidRPr="009618E4" w:rsidRDefault="00513FB2" w:rsidP="006E0C02">
      <w:pPr>
        <w:pStyle w:val="Tiret0"/>
        <w:numPr>
          <w:ilvl w:val="0"/>
          <w:numId w:val="13"/>
        </w:numPr>
        <w:rPr>
          <w:noProof/>
        </w:rPr>
      </w:pPr>
      <w:r w:rsidRPr="009618E4">
        <w:t xml:space="preserve">la directive </w:t>
      </w:r>
      <w:r w:rsidRPr="0068119E">
        <w:t>2013</w:t>
      </w:r>
      <w:r w:rsidRPr="009618E4">
        <w:t>/</w:t>
      </w:r>
      <w:r w:rsidRPr="0068119E">
        <w:t>59</w:t>
      </w:r>
      <w:r w:rsidRPr="009618E4">
        <w:t>/Euratom du Conseil fixant les normes de base relatives à la protection sanitaire contre les dangers résultant de l</w:t>
      </w:r>
      <w:r w:rsidR="00266719" w:rsidRPr="009618E4">
        <w:t>’</w:t>
      </w:r>
      <w:r w:rsidRPr="009618E4">
        <w:t>exposition aux rayonnements ionisants</w:t>
      </w:r>
      <w:r w:rsidRPr="009618E4">
        <w:rPr>
          <w:rStyle w:val="FootnoteReference"/>
          <w:noProof/>
        </w:rPr>
        <w:footnoteReference w:id="14"/>
      </w:r>
      <w:r w:rsidRPr="009618E4">
        <w:t>;</w:t>
      </w:r>
    </w:p>
    <w:p w:rsidR="004C4713" w:rsidRPr="009618E4" w:rsidRDefault="00513FB2" w:rsidP="004C4713">
      <w:pPr>
        <w:pStyle w:val="Tiret0"/>
        <w:rPr>
          <w:rFonts w:eastAsia="Arial Unicode MS"/>
          <w:noProof/>
        </w:rPr>
      </w:pPr>
      <w:r w:rsidRPr="009618E4">
        <w:t>le chapitre </w:t>
      </w:r>
      <w:r w:rsidRPr="0068119E">
        <w:t>7</w:t>
      </w:r>
      <w:r w:rsidRPr="009618E4">
        <w:t xml:space="preserve"> du traité Euratom, relatif au système de contrôle de sécurité de l</w:t>
      </w:r>
      <w:r w:rsidR="00266719" w:rsidRPr="009618E4">
        <w:t>’</w:t>
      </w:r>
      <w:r w:rsidRPr="009618E4">
        <w:t>UE. Le programme contribue également aux programmes et stratégies de la Communauté en matière de sécurité</w:t>
      </w:r>
      <w:r w:rsidRPr="009618E4">
        <w:rPr>
          <w:rStyle w:val="FootnoteReference"/>
          <w:noProof/>
        </w:rPr>
        <w:footnoteReference w:id="15"/>
      </w:r>
      <w:r w:rsidRPr="009618E4">
        <w:t>.</w:t>
      </w:r>
    </w:p>
    <w:p w:rsidR="004C4713" w:rsidRPr="009618E4" w:rsidRDefault="004C4713" w:rsidP="00955F36">
      <w:pPr>
        <w:rPr>
          <w:szCs w:val="24"/>
        </w:rPr>
      </w:pPr>
      <w:r w:rsidRPr="009618E4">
        <w:t>Les actions du programme devraient être utilisées, de manière proportionnée, pour remédier aux défaillances des marchés ou à l</w:t>
      </w:r>
      <w:r w:rsidR="00266719" w:rsidRPr="009618E4">
        <w:t>’</w:t>
      </w:r>
      <w:r w:rsidRPr="009618E4">
        <w:t>inadéquation de ceux-ci en matière d</w:t>
      </w:r>
      <w:r w:rsidR="00266719" w:rsidRPr="009618E4">
        <w:t>’</w:t>
      </w:r>
      <w:r w:rsidRPr="009618E4">
        <w:t>investissements, sans causer d</w:t>
      </w:r>
      <w:r w:rsidR="00266719" w:rsidRPr="009618E4">
        <w:t>’</w:t>
      </w:r>
      <w:r w:rsidRPr="009618E4">
        <w:t>éviction du financement privé ni de double emploi avec ce dernier, et devraient présenter une valeur ajoutée européenne manifeste. Cela permettra d</w:t>
      </w:r>
      <w:r w:rsidR="00266719" w:rsidRPr="009618E4">
        <w:t>’</w:t>
      </w:r>
      <w:r w:rsidRPr="009618E4">
        <w:t>assurer une cohérence entre les actions du programme et les règles de l</w:t>
      </w:r>
      <w:r w:rsidR="00266719" w:rsidRPr="009618E4">
        <w:t>’</w:t>
      </w:r>
      <w:r w:rsidRPr="009618E4">
        <w:t>UE en matière d</w:t>
      </w:r>
      <w:r w:rsidR="00266719" w:rsidRPr="009618E4">
        <w:t>’</w:t>
      </w:r>
      <w:r w:rsidRPr="009618E4">
        <w:t>aides d</w:t>
      </w:r>
      <w:r w:rsidR="00266719" w:rsidRPr="009618E4">
        <w:t>’</w:t>
      </w:r>
      <w:r w:rsidRPr="009618E4">
        <w:t>État, tout en évitant des distorsions de concurrence indues dans le marché intérieur.</w:t>
      </w:r>
    </w:p>
    <w:p w:rsidR="00F26C3B" w:rsidRPr="009618E4" w:rsidRDefault="00513FB2">
      <w:pPr>
        <w:pStyle w:val="ManualHeading1"/>
        <w:rPr>
          <w:noProof/>
        </w:rPr>
      </w:pPr>
      <w:r w:rsidRPr="0068119E">
        <w:t>2</w:t>
      </w:r>
      <w:r w:rsidRPr="009618E4">
        <w:t>.</w:t>
      </w:r>
      <w:r w:rsidRPr="009618E4">
        <w:tab/>
        <w:t>BASE JURIDIQUE, SUBSIDIARITÉ ET PROPORTIONNALITÉ</w:t>
      </w:r>
    </w:p>
    <w:p w:rsidR="00F26C3B" w:rsidRPr="009618E4" w:rsidRDefault="00513FB2">
      <w:pPr>
        <w:pStyle w:val="ManualHeading2"/>
        <w:rPr>
          <w:noProof/>
          <w:u w:color="000000"/>
          <w:bdr w:val="nil"/>
        </w:rPr>
      </w:pPr>
      <w:r w:rsidRPr="0068119E">
        <w:t>2</w:t>
      </w:r>
      <w:r w:rsidRPr="009618E4">
        <w:t>.</w:t>
      </w:r>
      <w:r w:rsidRPr="0068119E">
        <w:t>1</w:t>
      </w:r>
      <w:r w:rsidRPr="009618E4">
        <w:t>.</w:t>
      </w:r>
      <w:r w:rsidRPr="009618E4">
        <w:tab/>
        <w:t>Base juridique</w:t>
      </w:r>
    </w:p>
    <w:p w:rsidR="00F26C3B" w:rsidRPr="009618E4" w:rsidRDefault="00513FB2">
      <w:pPr>
        <w:spacing w:before="0" w:after="240"/>
        <w:rPr>
          <w:noProof/>
          <w:color w:val="000000" w:themeColor="text1"/>
        </w:rPr>
      </w:pPr>
      <w:r w:rsidRPr="009618E4">
        <w:rPr>
          <w:noProof/>
          <w:color w:val="000000" w:themeColor="text1"/>
        </w:rPr>
        <w:t>Le traité Euratom dispose que la Commission est chargée de promouvoir et de faciliter les recherches nucléaires dans les États membres et de les compléter par l</w:t>
      </w:r>
      <w:r w:rsidR="00266719" w:rsidRPr="009618E4">
        <w:rPr>
          <w:noProof/>
          <w:color w:val="000000" w:themeColor="text1"/>
        </w:rPr>
        <w:t>’</w:t>
      </w:r>
      <w:r w:rsidRPr="009618E4">
        <w:rPr>
          <w:noProof/>
          <w:color w:val="000000" w:themeColor="text1"/>
        </w:rPr>
        <w:t>exécution d</w:t>
      </w:r>
      <w:r w:rsidR="00266719" w:rsidRPr="009618E4">
        <w:rPr>
          <w:noProof/>
          <w:color w:val="000000" w:themeColor="text1"/>
        </w:rPr>
        <w:t>’</w:t>
      </w:r>
      <w:r w:rsidRPr="009618E4">
        <w:rPr>
          <w:noProof/>
          <w:color w:val="000000" w:themeColor="text1"/>
        </w:rPr>
        <w:t>un programme de recherches et d</w:t>
      </w:r>
      <w:r w:rsidR="00266719" w:rsidRPr="009618E4">
        <w:rPr>
          <w:noProof/>
          <w:color w:val="000000" w:themeColor="text1"/>
        </w:rPr>
        <w:t>’</w:t>
      </w:r>
      <w:r w:rsidRPr="009618E4">
        <w:rPr>
          <w:noProof/>
          <w:color w:val="000000" w:themeColor="text1"/>
        </w:rPr>
        <w:t>enseignement de la Communauté (article </w:t>
      </w:r>
      <w:r w:rsidRPr="0068119E">
        <w:rPr>
          <w:noProof/>
          <w:color w:val="000000" w:themeColor="text1"/>
        </w:rPr>
        <w:t>4</w:t>
      </w:r>
      <w:r w:rsidRPr="009618E4">
        <w:rPr>
          <w:noProof/>
          <w:color w:val="000000" w:themeColor="text1"/>
        </w:rPr>
        <w:t xml:space="preserve"> du traité). Ce programme doit être adopté par le Conseil statuant à l</w:t>
      </w:r>
      <w:r w:rsidR="00266719" w:rsidRPr="009618E4">
        <w:rPr>
          <w:noProof/>
          <w:color w:val="000000" w:themeColor="text1"/>
        </w:rPr>
        <w:t>’</w:t>
      </w:r>
      <w:r w:rsidRPr="009618E4">
        <w:rPr>
          <w:noProof/>
          <w:color w:val="000000" w:themeColor="text1"/>
        </w:rPr>
        <w:t>unanimité sur proposition de la Commission (article </w:t>
      </w:r>
      <w:r w:rsidRPr="0068119E">
        <w:rPr>
          <w:noProof/>
          <w:color w:val="000000" w:themeColor="text1"/>
        </w:rPr>
        <w:t>7</w:t>
      </w:r>
      <w:r w:rsidRPr="009618E4">
        <w:rPr>
          <w:noProof/>
          <w:color w:val="000000" w:themeColor="text1"/>
        </w:rPr>
        <w:t xml:space="preserve"> du traité).</w:t>
      </w:r>
    </w:p>
    <w:p w:rsidR="00F26C3B" w:rsidRPr="009618E4" w:rsidRDefault="00513FB2">
      <w:pPr>
        <w:pStyle w:val="ManualHeading2"/>
        <w:rPr>
          <w:noProof/>
          <w:u w:color="000000"/>
          <w:bdr w:val="nil"/>
        </w:rPr>
      </w:pPr>
      <w:r w:rsidRPr="0068119E">
        <w:t>2</w:t>
      </w:r>
      <w:r w:rsidRPr="009618E4">
        <w:t>.</w:t>
      </w:r>
      <w:r w:rsidRPr="0068119E">
        <w:t>2</w:t>
      </w:r>
      <w:r w:rsidRPr="009618E4">
        <w:t>.</w:t>
      </w:r>
      <w:r w:rsidRPr="009618E4">
        <w:tab/>
        <w:t>Subsidiarité</w:t>
      </w:r>
    </w:p>
    <w:p w:rsidR="00F26C3B" w:rsidRPr="009618E4" w:rsidRDefault="00513FB2">
      <w:pPr>
        <w:spacing w:before="0" w:after="240"/>
        <w:rPr>
          <w:noProof/>
          <w:color w:val="000000" w:themeColor="text1"/>
        </w:rPr>
      </w:pPr>
      <w:r w:rsidRPr="009618E4">
        <w:rPr>
          <w:noProof/>
          <w:color w:val="000000" w:themeColor="text1"/>
        </w:rPr>
        <w:t>Le problème traité par le programme Euratom s</w:t>
      </w:r>
      <w:r w:rsidR="00266719" w:rsidRPr="009618E4">
        <w:rPr>
          <w:noProof/>
          <w:color w:val="000000" w:themeColor="text1"/>
        </w:rPr>
        <w:t>’</w:t>
      </w:r>
      <w:r w:rsidRPr="009618E4">
        <w:rPr>
          <w:noProof/>
          <w:color w:val="000000" w:themeColor="text1"/>
        </w:rPr>
        <w:t>applique à l</w:t>
      </w:r>
      <w:r w:rsidR="00266719" w:rsidRPr="009618E4">
        <w:rPr>
          <w:noProof/>
          <w:color w:val="000000" w:themeColor="text1"/>
        </w:rPr>
        <w:t>’</w:t>
      </w:r>
      <w:r w:rsidRPr="009618E4">
        <w:rPr>
          <w:noProof/>
          <w:color w:val="000000" w:themeColor="text1"/>
        </w:rPr>
        <w:t>UE dans son ensemble puisque les questions de sûreté et de sécurité nucléaires dépassent les frontières, et que le développement de l</w:t>
      </w:r>
      <w:r w:rsidR="00266719" w:rsidRPr="009618E4">
        <w:rPr>
          <w:noProof/>
          <w:color w:val="000000" w:themeColor="text1"/>
        </w:rPr>
        <w:t>’</w:t>
      </w:r>
      <w:r w:rsidRPr="009618E4">
        <w:rPr>
          <w:noProof/>
          <w:color w:val="000000" w:themeColor="text1"/>
        </w:rPr>
        <w:t>énergie de fusion demande des efforts de recherche sur une très grande échelle. Bien que la moitié seulement des États membres exploitent des centrales nucléaires dans le cadre du bouquet énergétique national, beaucoup d</w:t>
      </w:r>
      <w:r w:rsidR="00266719" w:rsidRPr="009618E4">
        <w:rPr>
          <w:noProof/>
          <w:color w:val="000000" w:themeColor="text1"/>
        </w:rPr>
        <w:t>’</w:t>
      </w:r>
      <w:r w:rsidRPr="009618E4">
        <w:rPr>
          <w:noProof/>
          <w:color w:val="000000" w:themeColor="text1"/>
        </w:rPr>
        <w:t>autres exploitent des réacteurs à des fins de recherche ou pour la production de radio-isotopes. Étant donné qu</w:t>
      </w:r>
      <w:r w:rsidR="00266719" w:rsidRPr="009618E4">
        <w:rPr>
          <w:noProof/>
          <w:color w:val="000000" w:themeColor="text1"/>
        </w:rPr>
        <w:t>’</w:t>
      </w:r>
      <w:r w:rsidRPr="009618E4">
        <w:rPr>
          <w:noProof/>
          <w:color w:val="000000" w:themeColor="text1"/>
        </w:rPr>
        <w:t>un accident nucléaire pourrait affecter plusieurs États membres, indépendamment des frontières, tous les pays de l</w:t>
      </w:r>
      <w:r w:rsidR="00266719" w:rsidRPr="009618E4">
        <w:rPr>
          <w:noProof/>
          <w:color w:val="000000" w:themeColor="text1"/>
        </w:rPr>
        <w:t>’</w:t>
      </w:r>
      <w:r w:rsidRPr="009618E4">
        <w:rPr>
          <w:noProof/>
          <w:color w:val="000000" w:themeColor="text1"/>
        </w:rPr>
        <w:t>UE ont un intérêt dans la sûreté nucléaire, même s</w:t>
      </w:r>
      <w:r w:rsidR="00266719" w:rsidRPr="009618E4">
        <w:rPr>
          <w:noProof/>
          <w:color w:val="000000" w:themeColor="text1"/>
        </w:rPr>
        <w:t>’</w:t>
      </w:r>
      <w:r w:rsidRPr="009618E4">
        <w:rPr>
          <w:noProof/>
          <w:color w:val="000000" w:themeColor="text1"/>
        </w:rPr>
        <w:t>ils n</w:t>
      </w:r>
      <w:r w:rsidR="00266719" w:rsidRPr="009618E4">
        <w:rPr>
          <w:noProof/>
          <w:color w:val="000000" w:themeColor="text1"/>
        </w:rPr>
        <w:t>’</w:t>
      </w:r>
      <w:r w:rsidRPr="009618E4">
        <w:rPr>
          <w:noProof/>
          <w:color w:val="000000" w:themeColor="text1"/>
        </w:rPr>
        <w:t>exploitent pas eux-mêmes des réacteurs.</w:t>
      </w:r>
    </w:p>
    <w:p w:rsidR="00F26C3B" w:rsidRPr="009618E4" w:rsidRDefault="00513FB2">
      <w:pPr>
        <w:spacing w:before="0" w:after="240"/>
        <w:rPr>
          <w:noProof/>
          <w:color w:val="000000" w:themeColor="text1"/>
        </w:rPr>
      </w:pPr>
      <w:r w:rsidRPr="009618E4">
        <w:rPr>
          <w:noProof/>
          <w:color w:val="000000" w:themeColor="text1"/>
        </w:rPr>
        <w:t>Tous les États membres utilisent les rayonnements à des fins médicales et dans des applications industrielles (agriculture, irradiation d</w:t>
      </w:r>
      <w:r w:rsidR="00266719" w:rsidRPr="009618E4">
        <w:rPr>
          <w:noProof/>
          <w:color w:val="000000" w:themeColor="text1"/>
        </w:rPr>
        <w:t>’</w:t>
      </w:r>
      <w:r w:rsidRPr="009618E4">
        <w:rPr>
          <w:noProof/>
          <w:color w:val="000000" w:themeColor="text1"/>
        </w:rPr>
        <w:t>aliments, métrologie, etc.). Si l</w:t>
      </w:r>
      <w:r w:rsidR="00266719" w:rsidRPr="009618E4">
        <w:rPr>
          <w:noProof/>
          <w:color w:val="000000" w:themeColor="text1"/>
        </w:rPr>
        <w:t>’</w:t>
      </w:r>
      <w:r w:rsidRPr="009618E4">
        <w:rPr>
          <w:noProof/>
          <w:color w:val="000000" w:themeColor="text1"/>
        </w:rPr>
        <w:t>importance relative de la question peut varier au sein de l</w:t>
      </w:r>
      <w:r w:rsidR="00266719" w:rsidRPr="009618E4">
        <w:rPr>
          <w:noProof/>
          <w:color w:val="000000" w:themeColor="text1"/>
        </w:rPr>
        <w:t>’</w:t>
      </w:r>
      <w:r w:rsidRPr="009618E4">
        <w:rPr>
          <w:noProof/>
          <w:color w:val="000000" w:themeColor="text1"/>
        </w:rPr>
        <w:t>UE, tous les États membres ont donc un intérêt dans la sûreté nucléaire et la radioprotection et produisent tous des quantités variables de déchets radioactifs qui doivent être traités puis éliminés. Les normes harmonisées fixées par les différentes directives et leurs implications en matière de recherche soulignent clairement la nécessité d</w:t>
      </w:r>
      <w:r w:rsidR="00266719" w:rsidRPr="009618E4">
        <w:rPr>
          <w:noProof/>
          <w:color w:val="000000" w:themeColor="text1"/>
        </w:rPr>
        <w:t>’</w:t>
      </w:r>
      <w:r w:rsidRPr="009618E4">
        <w:rPr>
          <w:noProof/>
          <w:color w:val="000000" w:themeColor="text1"/>
        </w:rPr>
        <w:t>aborder les questions techniques et de formation de manière uniforme dans l</w:t>
      </w:r>
      <w:r w:rsidR="00266719" w:rsidRPr="009618E4">
        <w:rPr>
          <w:noProof/>
          <w:color w:val="000000" w:themeColor="text1"/>
        </w:rPr>
        <w:t>’</w:t>
      </w:r>
      <w:r w:rsidRPr="009618E4">
        <w:rPr>
          <w:noProof/>
          <w:color w:val="000000" w:themeColor="text1"/>
        </w:rPr>
        <w:t>ensemble de l</w:t>
      </w:r>
      <w:r w:rsidR="00266719" w:rsidRPr="009618E4">
        <w:rPr>
          <w:noProof/>
          <w:color w:val="000000" w:themeColor="text1"/>
        </w:rPr>
        <w:t>’</w:t>
      </w:r>
      <w:r w:rsidRPr="009618E4">
        <w:rPr>
          <w:noProof/>
          <w:color w:val="000000" w:themeColor="text1"/>
        </w:rPr>
        <w:t>UE.</w:t>
      </w:r>
    </w:p>
    <w:p w:rsidR="00F26C3B" w:rsidRPr="009618E4" w:rsidRDefault="00513FB2">
      <w:pPr>
        <w:spacing w:before="0" w:after="240"/>
        <w:rPr>
          <w:noProof/>
          <w:color w:val="000000" w:themeColor="text1"/>
        </w:rPr>
      </w:pPr>
      <w:r w:rsidRPr="009618E4">
        <w:rPr>
          <w:noProof/>
          <w:color w:val="000000" w:themeColor="text1"/>
        </w:rPr>
        <w:t>Bien que la sécurité nucléaire relève de la compétence nationale, les actions directes du programme contribuent à relever certains défis de sécurité auxquels est confrontée l</w:t>
      </w:r>
      <w:r w:rsidR="00266719" w:rsidRPr="009618E4">
        <w:rPr>
          <w:noProof/>
          <w:color w:val="000000" w:themeColor="text1"/>
        </w:rPr>
        <w:t>’</w:t>
      </w:r>
      <w:r w:rsidRPr="009618E4">
        <w:rPr>
          <w:noProof/>
          <w:color w:val="000000" w:themeColor="text1"/>
        </w:rPr>
        <w:t>UE et à intégrer leurs dimensions planétaires dans le domaine de la détection nucléaire, de la criminalistique nucléaire et des formations connexes.</w:t>
      </w:r>
    </w:p>
    <w:p w:rsidR="00F26C3B" w:rsidRPr="009618E4" w:rsidRDefault="00513FB2">
      <w:pPr>
        <w:pStyle w:val="ManualHeading2"/>
        <w:rPr>
          <w:noProof/>
          <w:u w:color="000000"/>
          <w:bdr w:val="nil"/>
        </w:rPr>
      </w:pPr>
      <w:r w:rsidRPr="0068119E">
        <w:t>2</w:t>
      </w:r>
      <w:r w:rsidRPr="009618E4">
        <w:t>.</w:t>
      </w:r>
      <w:r w:rsidRPr="0068119E">
        <w:t>3</w:t>
      </w:r>
      <w:r w:rsidRPr="009618E4">
        <w:t>.</w:t>
      </w:r>
      <w:r w:rsidRPr="009618E4">
        <w:tab/>
        <w:t>Proportionnalité</w:t>
      </w:r>
    </w:p>
    <w:p w:rsidR="00F26C3B" w:rsidRPr="009618E4" w:rsidRDefault="00513FB2">
      <w:pPr>
        <w:spacing w:before="0" w:after="240"/>
        <w:rPr>
          <w:noProof/>
          <w:color w:val="000000" w:themeColor="text1"/>
        </w:rPr>
      </w:pPr>
      <w:r w:rsidRPr="009618E4">
        <w:rPr>
          <w:noProof/>
          <w:color w:val="000000" w:themeColor="text1"/>
        </w:rPr>
        <w:t>Des mesures seront prises au niveau de l</w:t>
      </w:r>
      <w:r w:rsidR="00266719" w:rsidRPr="009618E4">
        <w:rPr>
          <w:noProof/>
          <w:color w:val="000000" w:themeColor="text1"/>
        </w:rPr>
        <w:t>’</w:t>
      </w:r>
      <w:r w:rsidRPr="009618E4">
        <w:rPr>
          <w:noProof/>
          <w:color w:val="000000" w:themeColor="text1"/>
        </w:rPr>
        <w:t>UE pour renforcer le cadre global de recherche et d</w:t>
      </w:r>
      <w:r w:rsidR="00266719" w:rsidRPr="009618E4">
        <w:rPr>
          <w:noProof/>
          <w:color w:val="000000" w:themeColor="text1"/>
        </w:rPr>
        <w:t>’</w:t>
      </w:r>
      <w:r w:rsidRPr="009618E4">
        <w:rPr>
          <w:noProof/>
          <w:color w:val="000000" w:themeColor="text1"/>
        </w:rPr>
        <w:t>innovation et coordonner les efforts de recherche des États membres de manière à éviter le double emploi, en conservant une masse critique dans des domaines clés et en garantissant une utilisation optimale du financement public. Ces mesures peuvent permettre de mobiliser davantage de fonds publics et privés en faveur de la recherche et de l</w:t>
      </w:r>
      <w:r w:rsidR="00266719" w:rsidRPr="009618E4">
        <w:rPr>
          <w:noProof/>
          <w:color w:val="000000" w:themeColor="text1"/>
        </w:rPr>
        <w:t>’</w:t>
      </w:r>
      <w:r w:rsidRPr="009618E4">
        <w:rPr>
          <w:noProof/>
          <w:color w:val="000000" w:themeColor="text1"/>
        </w:rPr>
        <w:t>innovation. Elles sont également nécessaires pour soutenir l</w:t>
      </w:r>
      <w:r w:rsidR="00266719" w:rsidRPr="009618E4">
        <w:rPr>
          <w:noProof/>
          <w:color w:val="000000" w:themeColor="text1"/>
        </w:rPr>
        <w:t>’</w:t>
      </w:r>
      <w:r w:rsidRPr="009618E4">
        <w:rPr>
          <w:noProof/>
          <w:color w:val="000000" w:themeColor="text1"/>
        </w:rPr>
        <w:t>élaboration des politiques de l</w:t>
      </w:r>
      <w:r w:rsidR="00266719" w:rsidRPr="009618E4">
        <w:rPr>
          <w:noProof/>
          <w:color w:val="000000" w:themeColor="text1"/>
        </w:rPr>
        <w:t>’</w:t>
      </w:r>
      <w:r w:rsidRPr="009618E4">
        <w:rPr>
          <w:noProof/>
          <w:color w:val="000000" w:themeColor="text1"/>
        </w:rPr>
        <w:t>UE et atteindre les objectifs fixés dans ces politiques. Les mesures proposées n</w:t>
      </w:r>
      <w:r w:rsidR="00266719" w:rsidRPr="009618E4">
        <w:rPr>
          <w:noProof/>
          <w:color w:val="000000" w:themeColor="text1"/>
        </w:rPr>
        <w:t>’</w:t>
      </w:r>
      <w:r w:rsidRPr="009618E4">
        <w:rPr>
          <w:noProof/>
          <w:color w:val="000000" w:themeColor="text1"/>
        </w:rPr>
        <w:t>excèdent pas ce qui est requis pour atteindre les objectifs de la Communauté.</w:t>
      </w:r>
    </w:p>
    <w:p w:rsidR="00F26C3B" w:rsidRPr="009618E4" w:rsidRDefault="00513FB2">
      <w:pPr>
        <w:pStyle w:val="ManualHeading2"/>
        <w:rPr>
          <w:noProof/>
          <w:u w:color="000000"/>
          <w:bdr w:val="nil"/>
        </w:rPr>
      </w:pPr>
      <w:r w:rsidRPr="0068119E">
        <w:t>2</w:t>
      </w:r>
      <w:r w:rsidRPr="009618E4">
        <w:t>.</w:t>
      </w:r>
      <w:r w:rsidRPr="0068119E">
        <w:t>4</w:t>
      </w:r>
      <w:r w:rsidRPr="009618E4">
        <w:t>.</w:t>
      </w:r>
      <w:r w:rsidRPr="009618E4">
        <w:tab/>
        <w:t>Choix de l</w:t>
      </w:r>
      <w:r w:rsidR="00266719" w:rsidRPr="009618E4">
        <w:t>’</w:t>
      </w:r>
      <w:r w:rsidRPr="009618E4">
        <w:t>instrument</w:t>
      </w:r>
    </w:p>
    <w:p w:rsidR="00F26C3B" w:rsidRPr="009618E4" w:rsidRDefault="00513FB2">
      <w:pPr>
        <w:autoSpaceDE w:val="0"/>
        <w:autoSpaceDN w:val="0"/>
        <w:adjustRightInd w:val="0"/>
        <w:rPr>
          <w:noProof/>
          <w:color w:val="000000" w:themeColor="text1"/>
        </w:rPr>
      </w:pPr>
      <w:r w:rsidRPr="009618E4">
        <w:rPr>
          <w:noProof/>
          <w:color w:val="000000" w:themeColor="text1"/>
        </w:rPr>
        <w:t>L</w:t>
      </w:r>
      <w:r w:rsidR="00266719" w:rsidRPr="009618E4">
        <w:rPr>
          <w:noProof/>
          <w:color w:val="000000" w:themeColor="text1"/>
        </w:rPr>
        <w:t>’</w:t>
      </w:r>
      <w:r w:rsidRPr="009618E4">
        <w:rPr>
          <w:noProof/>
          <w:color w:val="000000" w:themeColor="text1"/>
        </w:rPr>
        <w:t>acte juridique revêt la forme d</w:t>
      </w:r>
      <w:r w:rsidR="00266719" w:rsidRPr="009618E4">
        <w:rPr>
          <w:noProof/>
          <w:color w:val="000000" w:themeColor="text1"/>
        </w:rPr>
        <w:t>’</w:t>
      </w:r>
      <w:r w:rsidRPr="009618E4">
        <w:rPr>
          <w:noProof/>
          <w:color w:val="000000" w:themeColor="text1"/>
        </w:rPr>
        <w:t>un règlement, car il crée pour les bénéficiaires des droits et des obligations qui sont contraignants dans leur intégralité et directement applicables dans tous les États membres de l</w:t>
      </w:r>
      <w:r w:rsidR="00266719" w:rsidRPr="009618E4">
        <w:rPr>
          <w:noProof/>
          <w:color w:val="000000" w:themeColor="text1"/>
        </w:rPr>
        <w:t>’</w:t>
      </w:r>
      <w:r w:rsidRPr="009618E4">
        <w:rPr>
          <w:noProof/>
          <w:color w:val="000000" w:themeColor="text1"/>
        </w:rPr>
        <w:t>UE et pays associés au programme.</w:t>
      </w:r>
    </w:p>
    <w:p w:rsidR="00F26C3B" w:rsidRPr="009618E4" w:rsidRDefault="00513FB2">
      <w:pPr>
        <w:pStyle w:val="ManualHeading1"/>
        <w:rPr>
          <w:noProof/>
        </w:rPr>
      </w:pPr>
      <w:r w:rsidRPr="0068119E">
        <w:t>3</w:t>
      </w:r>
      <w:r w:rsidRPr="009618E4">
        <w:t>.</w:t>
      </w:r>
      <w:r w:rsidRPr="009618E4">
        <w:tab/>
        <w:t>Résultats des évaluations ex post, des consultations des parties intéressées et des analyses d</w:t>
      </w:r>
      <w:r w:rsidR="00266719" w:rsidRPr="009618E4">
        <w:t>’</w:t>
      </w:r>
      <w:r w:rsidRPr="009618E4">
        <w:t>impact</w:t>
      </w:r>
    </w:p>
    <w:p w:rsidR="00F26C3B" w:rsidRPr="009618E4" w:rsidRDefault="00513FB2">
      <w:pPr>
        <w:pStyle w:val="ManualHeading2"/>
        <w:rPr>
          <w:noProof/>
          <w:u w:color="000000"/>
          <w:bdr w:val="nil"/>
        </w:rPr>
      </w:pPr>
      <w:r w:rsidRPr="0068119E">
        <w:t>3</w:t>
      </w:r>
      <w:r w:rsidRPr="009618E4">
        <w:t>.</w:t>
      </w:r>
      <w:r w:rsidRPr="0068119E">
        <w:t>1</w:t>
      </w:r>
      <w:r w:rsidRPr="009618E4">
        <w:t>.</w:t>
      </w:r>
      <w:r w:rsidRPr="009618E4">
        <w:tab/>
        <w:t>Évaluations ex post/bilans de qualité de la législation existante</w:t>
      </w:r>
    </w:p>
    <w:p w:rsidR="00F26C3B" w:rsidRPr="009618E4" w:rsidRDefault="00513FB2">
      <w:pPr>
        <w:rPr>
          <w:noProof/>
        </w:rPr>
      </w:pPr>
      <w:r w:rsidRPr="009618E4">
        <w:t>Il ressort de l</w:t>
      </w:r>
      <w:r w:rsidR="00266719" w:rsidRPr="009618E4">
        <w:t>’</w:t>
      </w:r>
      <w:r w:rsidRPr="009618E4">
        <w:t xml:space="preserve">évaluation intermédiaire du programme Euratom </w:t>
      </w:r>
      <w:r w:rsidRPr="0068119E">
        <w:t>2014</w:t>
      </w:r>
      <w:r w:rsidRPr="009618E4">
        <w:t>–</w:t>
      </w:r>
      <w:r w:rsidRPr="0068119E">
        <w:t>2018</w:t>
      </w:r>
      <w:r w:rsidRPr="009618E4">
        <w:rPr>
          <w:rStyle w:val="FootnoteReference"/>
          <w:noProof/>
        </w:rPr>
        <w:footnoteReference w:id="16"/>
      </w:r>
      <w:r w:rsidRPr="009618E4">
        <w:t xml:space="preserve"> que ce dernier est très pertinent en ce qui concerne toutes les activités couvertes, y compris la sûreté, la sécurité et les garanties nucléaires, la gestion des déchets radioactifs, la radioprotection et l</w:t>
      </w:r>
      <w:r w:rsidR="00266719" w:rsidRPr="009618E4">
        <w:t>’</w:t>
      </w:r>
      <w:r w:rsidRPr="009618E4">
        <w:t>énergie de fusion. En ce qui concerne l</w:t>
      </w:r>
      <w:r w:rsidR="00266719" w:rsidRPr="009618E4">
        <w:t>’</w:t>
      </w:r>
      <w:r w:rsidRPr="009618E4">
        <w:t>efficience et l</w:t>
      </w:r>
      <w:r w:rsidR="00266719" w:rsidRPr="009618E4">
        <w:t>’</w:t>
      </w:r>
      <w:r w:rsidRPr="009618E4">
        <w:t>efficacité, l</w:t>
      </w:r>
      <w:r w:rsidR="00266719" w:rsidRPr="009618E4">
        <w:t>’</w:t>
      </w:r>
      <w:r w:rsidRPr="009618E4">
        <w:t>évaluation a identifié un certain nombre de domaines nécessitant une action de la part de la Commission et/ou des bénéficiaires. En conclusion de l</w:t>
      </w:r>
      <w:r w:rsidR="00266719" w:rsidRPr="009618E4">
        <w:t>’</w:t>
      </w:r>
      <w:r w:rsidRPr="009618E4">
        <w:t>évaluation, il conviendrait de:</w:t>
      </w:r>
    </w:p>
    <w:p w:rsidR="00F26C3B" w:rsidRPr="009618E4" w:rsidRDefault="00513FB2">
      <w:pPr>
        <w:pStyle w:val="Tiret0"/>
        <w:rPr>
          <w:noProof/>
        </w:rPr>
      </w:pPr>
      <w:r w:rsidRPr="009618E4">
        <w:t>continuer à soutenir la recherche nucléaire, en mettant l</w:t>
      </w:r>
      <w:r w:rsidR="00266719" w:rsidRPr="009618E4">
        <w:t>’</w:t>
      </w:r>
      <w:r w:rsidRPr="009618E4">
        <w:t xml:space="preserve">accent sur la sûreté nucléaire, les garanties, la sécurité, la gestion des déchets, la radioprotection et en développant la fusion; </w:t>
      </w:r>
    </w:p>
    <w:p w:rsidR="00F26C3B" w:rsidRPr="009618E4" w:rsidRDefault="00513FB2">
      <w:pPr>
        <w:pStyle w:val="Tiret0"/>
        <w:rPr>
          <w:noProof/>
        </w:rPr>
      </w:pPr>
      <w:r w:rsidRPr="009618E4">
        <w:t>continuer à renforcer, en collaboration avec les bénéficiaires, l</w:t>
      </w:r>
      <w:r w:rsidR="00266719" w:rsidRPr="009618E4">
        <w:t>’</w:t>
      </w:r>
      <w:r w:rsidRPr="009618E4">
        <w:t>organisation et la gestion de programmes européens communs dans le domaine nucléaire;</w:t>
      </w:r>
    </w:p>
    <w:p w:rsidR="00F26C3B" w:rsidRPr="009618E4" w:rsidRDefault="00513FB2">
      <w:pPr>
        <w:pStyle w:val="Tiret0"/>
        <w:rPr>
          <w:noProof/>
        </w:rPr>
      </w:pPr>
      <w:r w:rsidRPr="009618E4">
        <w:t>poursuivre et intensifier les actions d</w:t>
      </w:r>
      <w:r w:rsidR="00266719" w:rsidRPr="009618E4">
        <w:t>’</w:t>
      </w:r>
      <w:r w:rsidRPr="009618E4">
        <w:t>éducation et de formation d</w:t>
      </w:r>
      <w:r w:rsidR="00266719" w:rsidRPr="009618E4">
        <w:t>’</w:t>
      </w:r>
      <w:r w:rsidRPr="009618E4">
        <w:t>Euratom, afin de développer les connaissances et compétences pertinentes qui sous-tendent tous les aspects de la sûreté nucléaire, de la sécurité et de la radioprotection;</w:t>
      </w:r>
    </w:p>
    <w:p w:rsidR="00F26C3B" w:rsidRPr="009618E4" w:rsidRDefault="00513FB2">
      <w:pPr>
        <w:pStyle w:val="Tiret0"/>
        <w:rPr>
          <w:noProof/>
        </w:rPr>
      </w:pPr>
      <w:r w:rsidRPr="009618E4">
        <w:t>exploiter davantage les synergies entre le programme Euratom et d</w:t>
      </w:r>
      <w:r w:rsidR="00266719" w:rsidRPr="009618E4">
        <w:t>’</w:t>
      </w:r>
      <w:r w:rsidRPr="009618E4">
        <w:t>autres domaines thématiques du programme-cadre de l</w:t>
      </w:r>
      <w:r w:rsidR="00266719" w:rsidRPr="009618E4">
        <w:t>’</w:t>
      </w:r>
      <w:r w:rsidRPr="009618E4">
        <w:t>UE, en traitant les aspects transversaux tels que les applications médicales des rayonnements, les changements climatiques, la sécurité, la préparation aux situations d</w:t>
      </w:r>
      <w:r w:rsidR="00266719" w:rsidRPr="009618E4">
        <w:t>’</w:t>
      </w:r>
      <w:r w:rsidRPr="009618E4">
        <w:t>urgence et la contribution de la science nucléaire;</w:t>
      </w:r>
    </w:p>
    <w:p w:rsidR="00F26C3B" w:rsidRPr="009618E4" w:rsidRDefault="00513FB2">
      <w:pPr>
        <w:pStyle w:val="Tiret0"/>
        <w:rPr>
          <w:noProof/>
        </w:rPr>
      </w:pPr>
      <w:r w:rsidRPr="009618E4">
        <w:t>exploiter davantage les synergies entre les actions directes et indirectes relevant du programme Euratom.</w:t>
      </w:r>
    </w:p>
    <w:p w:rsidR="00F26C3B" w:rsidRPr="009618E4" w:rsidRDefault="00513FB2">
      <w:pPr>
        <w:pBdr>
          <w:top w:val="nil"/>
          <w:left w:val="nil"/>
          <w:bottom w:val="nil"/>
          <w:right w:val="nil"/>
          <w:between w:val="nil"/>
          <w:bar w:val="nil"/>
        </w:pBdr>
        <w:spacing w:before="0" w:after="240"/>
        <w:rPr>
          <w:noProof/>
          <w:color w:val="000000"/>
        </w:rPr>
      </w:pPr>
      <w:r w:rsidRPr="009618E4">
        <w:rPr>
          <w:noProof/>
          <w:color w:val="000000"/>
        </w:rPr>
        <w:t>L</w:t>
      </w:r>
      <w:r w:rsidR="00266719" w:rsidRPr="009618E4">
        <w:rPr>
          <w:noProof/>
          <w:color w:val="000000"/>
        </w:rPr>
        <w:t>’</w:t>
      </w:r>
      <w:r w:rsidRPr="009618E4">
        <w:rPr>
          <w:noProof/>
          <w:color w:val="000000"/>
        </w:rPr>
        <w:t>analyse d</w:t>
      </w:r>
      <w:r w:rsidR="00266719" w:rsidRPr="009618E4">
        <w:rPr>
          <w:noProof/>
          <w:color w:val="000000"/>
        </w:rPr>
        <w:t>’</w:t>
      </w:r>
      <w:r w:rsidRPr="009618E4">
        <w:rPr>
          <w:noProof/>
          <w:color w:val="000000"/>
        </w:rPr>
        <w:t>impact contient des explications plus détaillées sur la manière dont ces problèmes sont abordés dans la présente proposition.</w:t>
      </w:r>
    </w:p>
    <w:p w:rsidR="00F26C3B" w:rsidRPr="009618E4" w:rsidRDefault="00513FB2">
      <w:pPr>
        <w:pStyle w:val="ManualHeading2"/>
        <w:rPr>
          <w:noProof/>
          <w:u w:color="000000"/>
          <w:bdr w:val="nil"/>
        </w:rPr>
      </w:pPr>
      <w:r w:rsidRPr="0068119E">
        <w:t>3</w:t>
      </w:r>
      <w:r w:rsidRPr="009618E4">
        <w:t>.</w:t>
      </w:r>
      <w:r w:rsidRPr="0068119E">
        <w:t>2</w:t>
      </w:r>
      <w:r w:rsidRPr="009618E4">
        <w:t>.</w:t>
      </w:r>
      <w:r w:rsidRPr="009618E4">
        <w:tab/>
        <w:t>Consultation des parties intéressées</w:t>
      </w:r>
    </w:p>
    <w:p w:rsidR="00F26C3B" w:rsidRPr="009618E4" w:rsidRDefault="00513FB2">
      <w:pPr>
        <w:pBdr>
          <w:top w:val="nil"/>
          <w:left w:val="nil"/>
          <w:bottom w:val="nil"/>
          <w:right w:val="nil"/>
          <w:between w:val="nil"/>
          <w:bar w:val="nil"/>
        </w:pBdr>
        <w:spacing w:before="0" w:after="240"/>
        <w:rPr>
          <w:noProof/>
          <w:color w:val="000000" w:themeColor="text1"/>
        </w:rPr>
      </w:pPr>
      <w:r w:rsidRPr="009618E4">
        <w:rPr>
          <w:noProof/>
          <w:color w:val="000000" w:themeColor="text1"/>
        </w:rPr>
        <w:t xml:space="preserve">Les services de la Commission ont mené les consultations suivantes: une consultation générale sur le cadre financier pluriannuel (CFP) et le chapitre «Compétitivité», y compris la recherche (janvier-mars </w:t>
      </w:r>
      <w:r w:rsidRPr="0068119E">
        <w:rPr>
          <w:noProof/>
          <w:color w:val="000000" w:themeColor="text1"/>
        </w:rPr>
        <w:t>2018</w:t>
      </w:r>
      <w:r w:rsidRPr="009618E4">
        <w:rPr>
          <w:noProof/>
          <w:color w:val="000000" w:themeColor="text1"/>
        </w:rPr>
        <w:t xml:space="preserve">), une consultation ciblée sur certaines activités du programme basée sur un questionnaire en ligne (janvier-février </w:t>
      </w:r>
      <w:r w:rsidRPr="0068119E">
        <w:rPr>
          <w:noProof/>
          <w:color w:val="000000" w:themeColor="text1"/>
        </w:rPr>
        <w:t>2018</w:t>
      </w:r>
      <w:r w:rsidRPr="009618E4">
        <w:rPr>
          <w:noProof/>
          <w:color w:val="000000" w:themeColor="text1"/>
        </w:rPr>
        <w:t xml:space="preserve">) et un atelier avec les acteurs de la recherche qui a eu lieu le </w:t>
      </w:r>
      <w:r w:rsidRPr="0068119E">
        <w:rPr>
          <w:noProof/>
          <w:color w:val="000000" w:themeColor="text1"/>
        </w:rPr>
        <w:t>21</w:t>
      </w:r>
      <w:r w:rsidRPr="009618E4">
        <w:rPr>
          <w:noProof/>
          <w:color w:val="000000" w:themeColor="text1"/>
        </w:rPr>
        <w:t xml:space="preserve"> février </w:t>
      </w:r>
      <w:r w:rsidRPr="0068119E">
        <w:rPr>
          <w:noProof/>
          <w:color w:val="000000" w:themeColor="text1"/>
        </w:rPr>
        <w:t>2018</w:t>
      </w:r>
      <w:r w:rsidRPr="009618E4">
        <w:rPr>
          <w:noProof/>
          <w:color w:val="000000" w:themeColor="text1"/>
        </w:rPr>
        <w:t xml:space="preserve"> à Bruxelles. La consultation a couvert tous les domaines clés pertinents de l</w:t>
      </w:r>
      <w:r w:rsidR="00266719" w:rsidRPr="009618E4">
        <w:rPr>
          <w:noProof/>
          <w:color w:val="000000" w:themeColor="text1"/>
        </w:rPr>
        <w:t>’</w:t>
      </w:r>
      <w:r w:rsidRPr="009618E4">
        <w:rPr>
          <w:noProof/>
          <w:color w:val="000000" w:themeColor="text1"/>
        </w:rPr>
        <w:t>analyse d</w:t>
      </w:r>
      <w:r w:rsidR="00266719" w:rsidRPr="009618E4">
        <w:rPr>
          <w:noProof/>
          <w:color w:val="000000" w:themeColor="text1"/>
        </w:rPr>
        <w:t>’</w:t>
      </w:r>
      <w:r w:rsidRPr="009618E4">
        <w:rPr>
          <w:noProof/>
          <w:color w:val="000000" w:themeColor="text1"/>
        </w:rPr>
        <w:t>impact, y compris la pertinence, l</w:t>
      </w:r>
      <w:r w:rsidR="00266719" w:rsidRPr="009618E4">
        <w:rPr>
          <w:noProof/>
          <w:color w:val="000000" w:themeColor="text1"/>
        </w:rPr>
        <w:t>’</w:t>
      </w:r>
      <w:r w:rsidRPr="009618E4">
        <w:rPr>
          <w:noProof/>
          <w:color w:val="000000" w:themeColor="text1"/>
        </w:rPr>
        <w:t>efficacité, l</w:t>
      </w:r>
      <w:r w:rsidR="00266719" w:rsidRPr="009618E4">
        <w:rPr>
          <w:noProof/>
          <w:color w:val="000000" w:themeColor="text1"/>
        </w:rPr>
        <w:t>’</w:t>
      </w:r>
      <w:r w:rsidRPr="009618E4">
        <w:rPr>
          <w:noProof/>
          <w:color w:val="000000" w:themeColor="text1"/>
        </w:rPr>
        <w:t>efficience, la mise en œuvre et la valeur ajoutée de l</w:t>
      </w:r>
      <w:r w:rsidR="00266719" w:rsidRPr="009618E4">
        <w:rPr>
          <w:noProof/>
          <w:color w:val="000000" w:themeColor="text1"/>
        </w:rPr>
        <w:t>’</w:t>
      </w:r>
      <w:r w:rsidRPr="009618E4">
        <w:rPr>
          <w:noProof/>
          <w:color w:val="000000" w:themeColor="text1"/>
        </w:rPr>
        <w:t xml:space="preserve">UE. Plusieurs acteurs de la recherche ont également présenté des documents de prise de position sur les différents aspects de la recherche Euratom à la Commission. </w:t>
      </w:r>
      <w:r w:rsidRPr="009618E4">
        <w:t>L</w:t>
      </w:r>
      <w:r w:rsidR="00266719" w:rsidRPr="009618E4">
        <w:t>’</w:t>
      </w:r>
      <w:r w:rsidRPr="009618E4">
        <w:t>analyse d</w:t>
      </w:r>
      <w:r w:rsidR="00266719" w:rsidRPr="009618E4">
        <w:t>’</w:t>
      </w:r>
      <w:r w:rsidRPr="009618E4">
        <w:t>impact résume les contributions reçues et explique comment ces dernières ont été prises en compte dans la proposition.</w:t>
      </w:r>
    </w:p>
    <w:p w:rsidR="00F26C3B" w:rsidRPr="009618E4" w:rsidRDefault="00513FB2">
      <w:pPr>
        <w:pStyle w:val="ManualHeading2"/>
        <w:rPr>
          <w:noProof/>
          <w:u w:color="000000"/>
          <w:bdr w:val="nil"/>
        </w:rPr>
      </w:pPr>
      <w:r w:rsidRPr="0068119E">
        <w:t>3</w:t>
      </w:r>
      <w:r w:rsidRPr="009618E4">
        <w:t>.</w:t>
      </w:r>
      <w:r w:rsidRPr="0068119E">
        <w:t>3</w:t>
      </w:r>
      <w:r w:rsidRPr="009618E4">
        <w:t>.</w:t>
      </w:r>
      <w:r w:rsidRPr="009618E4">
        <w:tab/>
        <w:t>Obtention et utilisation d</w:t>
      </w:r>
      <w:r w:rsidR="00266719" w:rsidRPr="009618E4">
        <w:t>’</w:t>
      </w:r>
      <w:r w:rsidRPr="009618E4">
        <w:t>expertise</w:t>
      </w:r>
    </w:p>
    <w:p w:rsidR="00F26C3B" w:rsidRPr="009618E4" w:rsidRDefault="00513FB2">
      <w:pPr>
        <w:rPr>
          <w:noProof/>
          <w:color w:val="000000" w:themeColor="text1"/>
        </w:rPr>
      </w:pPr>
      <w:r w:rsidRPr="009618E4">
        <w:rPr>
          <w:noProof/>
          <w:color w:val="000000" w:themeColor="text1"/>
        </w:rPr>
        <w:t>Lors de la préparation de sa proposition, la Commission a recueilli des contributions et s</w:t>
      </w:r>
      <w:r w:rsidR="00266719" w:rsidRPr="009618E4">
        <w:rPr>
          <w:noProof/>
          <w:color w:val="000000" w:themeColor="text1"/>
        </w:rPr>
        <w:t>’</w:t>
      </w:r>
      <w:r w:rsidRPr="009618E4">
        <w:rPr>
          <w:noProof/>
          <w:color w:val="000000" w:themeColor="text1"/>
        </w:rPr>
        <w:t>est appuyée sur l</w:t>
      </w:r>
      <w:r w:rsidR="00266719" w:rsidRPr="009618E4">
        <w:rPr>
          <w:noProof/>
          <w:color w:val="000000" w:themeColor="text1"/>
        </w:rPr>
        <w:t>’</w:t>
      </w:r>
      <w:r w:rsidRPr="009618E4">
        <w:rPr>
          <w:noProof/>
          <w:color w:val="000000" w:themeColor="text1"/>
        </w:rPr>
        <w:t xml:space="preserve">expertise de plusieurs sources. En </w:t>
      </w:r>
      <w:r w:rsidRPr="0068119E">
        <w:rPr>
          <w:noProof/>
          <w:color w:val="000000" w:themeColor="text1"/>
        </w:rPr>
        <w:t>2017</w:t>
      </w:r>
      <w:r w:rsidRPr="009618E4">
        <w:rPr>
          <w:noProof/>
          <w:color w:val="000000" w:themeColor="text1"/>
        </w:rPr>
        <w:t>, le comité scientifique et technique d</w:t>
      </w:r>
      <w:r w:rsidR="00266719" w:rsidRPr="009618E4">
        <w:rPr>
          <w:noProof/>
          <w:color w:val="000000" w:themeColor="text1"/>
        </w:rPr>
        <w:t>’</w:t>
      </w:r>
      <w:r w:rsidRPr="009618E4">
        <w:rPr>
          <w:noProof/>
          <w:color w:val="000000" w:themeColor="text1"/>
        </w:rPr>
        <w:t>Euratom (CST) a émis un avis sur le futur programme Euratom et deux groupes d</w:t>
      </w:r>
      <w:r w:rsidR="00266719" w:rsidRPr="009618E4">
        <w:rPr>
          <w:noProof/>
          <w:color w:val="000000" w:themeColor="text1"/>
        </w:rPr>
        <w:t>’</w:t>
      </w:r>
      <w:r w:rsidRPr="009618E4">
        <w:rPr>
          <w:noProof/>
          <w:color w:val="000000" w:themeColor="text1"/>
        </w:rPr>
        <w:t>experts indépendants ont fait rapport sur l</w:t>
      </w:r>
      <w:r w:rsidR="00266719" w:rsidRPr="009618E4">
        <w:rPr>
          <w:noProof/>
          <w:color w:val="000000" w:themeColor="text1"/>
        </w:rPr>
        <w:t>’</w:t>
      </w:r>
      <w:r w:rsidRPr="009618E4">
        <w:rPr>
          <w:noProof/>
          <w:color w:val="000000" w:themeColor="text1"/>
        </w:rPr>
        <w:t xml:space="preserve">évaluation intermédiaire des actions directes et indirectes mises en œuvre au titre du programme Euratom </w:t>
      </w:r>
      <w:r w:rsidRPr="0068119E">
        <w:rPr>
          <w:noProof/>
          <w:color w:val="000000" w:themeColor="text1"/>
        </w:rPr>
        <w:t>2014</w:t>
      </w:r>
      <w:r w:rsidRPr="009618E4">
        <w:rPr>
          <w:noProof/>
          <w:color w:val="000000" w:themeColor="text1"/>
        </w:rPr>
        <w:t>–</w:t>
      </w:r>
      <w:r w:rsidRPr="0068119E">
        <w:rPr>
          <w:noProof/>
          <w:color w:val="000000" w:themeColor="text1"/>
        </w:rPr>
        <w:t>2018</w:t>
      </w:r>
      <w:r w:rsidRPr="009618E4">
        <w:rPr>
          <w:rStyle w:val="FootnoteReference"/>
          <w:noProof/>
        </w:rPr>
        <w:footnoteReference w:id="17"/>
      </w:r>
      <w:r w:rsidRPr="009618E4">
        <w:rPr>
          <w:noProof/>
          <w:color w:val="000000" w:themeColor="text1"/>
        </w:rPr>
        <w:t xml:space="preserve">. En </w:t>
      </w:r>
      <w:r w:rsidRPr="0068119E">
        <w:rPr>
          <w:noProof/>
          <w:color w:val="000000" w:themeColor="text1"/>
        </w:rPr>
        <w:t>2016</w:t>
      </w:r>
      <w:r w:rsidRPr="009618E4">
        <w:rPr>
          <w:noProof/>
          <w:color w:val="000000" w:themeColor="text1"/>
        </w:rPr>
        <w:t>, un groupe distinct d</w:t>
      </w:r>
      <w:r w:rsidR="00266719" w:rsidRPr="009618E4">
        <w:rPr>
          <w:noProof/>
          <w:color w:val="000000" w:themeColor="text1"/>
        </w:rPr>
        <w:t>’</w:t>
      </w:r>
      <w:r w:rsidRPr="009618E4">
        <w:rPr>
          <w:noProof/>
          <w:color w:val="000000" w:themeColor="text1"/>
        </w:rPr>
        <w:t xml:space="preserve">experts a réalisé une évaluation à mi-parcours du programme européen commun de recherche sur la fusion, mis en œuvre par le consortium EUROfusion. </w:t>
      </w:r>
      <w:r w:rsidRPr="009618E4">
        <w:t>L</w:t>
      </w:r>
      <w:r w:rsidR="00266719" w:rsidRPr="009618E4">
        <w:t>’</w:t>
      </w:r>
      <w:r w:rsidRPr="009618E4">
        <w:t>analyse d</w:t>
      </w:r>
      <w:r w:rsidR="00266719" w:rsidRPr="009618E4">
        <w:t>’</w:t>
      </w:r>
      <w:r w:rsidRPr="009618E4">
        <w:t>impact détaille l</w:t>
      </w:r>
      <w:r w:rsidR="00266719" w:rsidRPr="009618E4">
        <w:t>’</w:t>
      </w:r>
      <w:r w:rsidRPr="009618E4">
        <w:t>expertise obtenue et explique comment elle a été prise en compte dans la proposition.</w:t>
      </w:r>
    </w:p>
    <w:p w:rsidR="00F26C3B" w:rsidRPr="009618E4" w:rsidRDefault="00513FB2">
      <w:pPr>
        <w:pStyle w:val="ManualHeading2"/>
        <w:rPr>
          <w:noProof/>
          <w:u w:color="000000"/>
          <w:bdr w:val="nil"/>
        </w:rPr>
      </w:pPr>
      <w:r w:rsidRPr="0068119E">
        <w:t>3</w:t>
      </w:r>
      <w:r w:rsidRPr="009618E4">
        <w:t>.</w:t>
      </w:r>
      <w:r w:rsidRPr="0068119E">
        <w:t>4</w:t>
      </w:r>
      <w:r w:rsidRPr="009618E4">
        <w:t>.</w:t>
      </w:r>
      <w:r w:rsidRPr="009618E4">
        <w:tab/>
        <w:t>Analyse d</w:t>
      </w:r>
      <w:r w:rsidR="00266719" w:rsidRPr="009618E4">
        <w:t>’</w:t>
      </w:r>
      <w:r w:rsidRPr="009618E4">
        <w:t>impact</w:t>
      </w:r>
    </w:p>
    <w:p w:rsidR="00F26C3B" w:rsidRPr="009618E4" w:rsidRDefault="00513FB2">
      <w:pPr>
        <w:pBdr>
          <w:top w:val="nil"/>
          <w:left w:val="nil"/>
          <w:bottom w:val="nil"/>
          <w:right w:val="nil"/>
          <w:between w:val="nil"/>
          <w:bar w:val="nil"/>
        </w:pBdr>
        <w:spacing w:before="0" w:after="240"/>
        <w:rPr>
          <w:noProof/>
          <w:color w:val="000000" w:themeColor="text1"/>
        </w:rPr>
      </w:pPr>
      <w:r w:rsidRPr="009618E4">
        <w:rPr>
          <w:noProof/>
          <w:color w:val="000000" w:themeColor="text1"/>
        </w:rPr>
        <w:t>La présente proposition est accompagnée d</w:t>
      </w:r>
      <w:r w:rsidR="00266719" w:rsidRPr="009618E4">
        <w:rPr>
          <w:noProof/>
          <w:color w:val="000000" w:themeColor="text1"/>
        </w:rPr>
        <w:t>’</w:t>
      </w:r>
      <w:r w:rsidRPr="009618E4">
        <w:rPr>
          <w:noProof/>
          <w:color w:val="000000" w:themeColor="text1"/>
        </w:rPr>
        <w:t>une analyse d</w:t>
      </w:r>
      <w:r w:rsidR="00266719" w:rsidRPr="009618E4">
        <w:rPr>
          <w:noProof/>
          <w:color w:val="000000" w:themeColor="text1"/>
        </w:rPr>
        <w:t>’</w:t>
      </w:r>
      <w:r w:rsidRPr="009618E4">
        <w:rPr>
          <w:noProof/>
          <w:color w:val="000000" w:themeColor="text1"/>
        </w:rPr>
        <w:t>impact concernant laquelle le comité d</w:t>
      </w:r>
      <w:r w:rsidR="00266719" w:rsidRPr="009618E4">
        <w:rPr>
          <w:noProof/>
          <w:color w:val="000000" w:themeColor="text1"/>
        </w:rPr>
        <w:t>’</w:t>
      </w:r>
      <w:r w:rsidRPr="009618E4">
        <w:rPr>
          <w:noProof/>
          <w:color w:val="000000" w:themeColor="text1"/>
        </w:rPr>
        <w:t>examen de la réglementation a émis un avis favorable.</w:t>
      </w:r>
    </w:p>
    <w:p w:rsidR="00F26C3B" w:rsidRPr="009618E4" w:rsidRDefault="00513FB2">
      <w:pPr>
        <w:pBdr>
          <w:top w:val="nil"/>
          <w:left w:val="nil"/>
          <w:bottom w:val="nil"/>
          <w:right w:val="nil"/>
          <w:between w:val="nil"/>
          <w:bar w:val="nil"/>
        </w:pBdr>
        <w:spacing w:before="0" w:after="240"/>
        <w:rPr>
          <w:noProof/>
          <w:color w:val="000000" w:themeColor="text1"/>
        </w:rPr>
      </w:pPr>
      <w:r w:rsidRPr="009618E4">
        <w:rPr>
          <w:noProof/>
          <w:color w:val="000000" w:themeColor="text1"/>
        </w:rPr>
        <w:t>L</w:t>
      </w:r>
      <w:r w:rsidR="00266719" w:rsidRPr="009618E4">
        <w:rPr>
          <w:noProof/>
          <w:color w:val="000000" w:themeColor="text1"/>
        </w:rPr>
        <w:t>’</w:t>
      </w:r>
      <w:r w:rsidRPr="009618E4">
        <w:rPr>
          <w:noProof/>
          <w:color w:val="000000" w:themeColor="text1"/>
        </w:rPr>
        <w:t>analyse d</w:t>
      </w:r>
      <w:r w:rsidR="00266719" w:rsidRPr="009618E4">
        <w:rPr>
          <w:noProof/>
          <w:color w:val="000000" w:themeColor="text1"/>
        </w:rPr>
        <w:t>’</w:t>
      </w:r>
      <w:r w:rsidRPr="009618E4">
        <w:rPr>
          <w:noProof/>
          <w:color w:val="000000" w:themeColor="text1"/>
        </w:rPr>
        <w:t>impact accompagnant la présente proposition est centrée sur les résultats de l</w:t>
      </w:r>
      <w:r w:rsidR="00266719" w:rsidRPr="009618E4">
        <w:rPr>
          <w:noProof/>
          <w:color w:val="000000" w:themeColor="text1"/>
        </w:rPr>
        <w:t>’</w:t>
      </w:r>
      <w:r w:rsidRPr="009618E4">
        <w:rPr>
          <w:noProof/>
          <w:color w:val="000000" w:themeColor="text1"/>
        </w:rPr>
        <w:t>évaluation intermédiaire du programme Euratom et de la consultation des parties prenantes. Elle recense les changements à apporter au champ d</w:t>
      </w:r>
      <w:r w:rsidR="00266719" w:rsidRPr="009618E4">
        <w:rPr>
          <w:noProof/>
          <w:color w:val="000000" w:themeColor="text1"/>
        </w:rPr>
        <w:t>’</w:t>
      </w:r>
      <w:r w:rsidRPr="009618E4">
        <w:rPr>
          <w:noProof/>
          <w:color w:val="000000" w:themeColor="text1"/>
        </w:rPr>
        <w:t>application, aux objectifs et aux modalités de la mise en œuvre du programme, et tient compte des objectifs transversaux du nouveau cadre financier pluriannuel (la flexibilité; l</w:t>
      </w:r>
      <w:r w:rsidR="00266719" w:rsidRPr="009618E4">
        <w:rPr>
          <w:noProof/>
          <w:color w:val="000000" w:themeColor="text1"/>
        </w:rPr>
        <w:t>’</w:t>
      </w:r>
      <w:r w:rsidRPr="009618E4">
        <w:rPr>
          <w:noProof/>
          <w:color w:val="000000" w:themeColor="text1"/>
        </w:rPr>
        <w:t>accent sur la performance, la cohérence et les synergies; et la simplification). Elle satisfait aux exigences du règlement financier en ce qui concerne la réalisation d</w:t>
      </w:r>
      <w:r w:rsidR="00266719" w:rsidRPr="009618E4">
        <w:rPr>
          <w:noProof/>
          <w:color w:val="000000" w:themeColor="text1"/>
        </w:rPr>
        <w:t>’</w:t>
      </w:r>
      <w:r w:rsidRPr="009618E4">
        <w:rPr>
          <w:noProof/>
          <w:color w:val="000000" w:themeColor="text1"/>
        </w:rPr>
        <w:t xml:space="preserve">une évaluation ex ante de la proposition de règlement du Conseil établissant le programme de recherche et de formation Euratom pour la période </w:t>
      </w:r>
      <w:r w:rsidRPr="0068119E">
        <w:rPr>
          <w:noProof/>
          <w:color w:val="000000" w:themeColor="text1"/>
        </w:rPr>
        <w:t>2021</w:t>
      </w:r>
      <w:r w:rsidRPr="009618E4">
        <w:rPr>
          <w:noProof/>
          <w:color w:val="000000" w:themeColor="text1"/>
        </w:rPr>
        <w:t>–</w:t>
      </w:r>
      <w:r w:rsidRPr="0068119E">
        <w:rPr>
          <w:noProof/>
          <w:color w:val="000000" w:themeColor="text1"/>
        </w:rPr>
        <w:t>2025</w:t>
      </w:r>
      <w:r w:rsidRPr="009618E4">
        <w:rPr>
          <w:noProof/>
          <w:color w:val="000000" w:themeColor="text1"/>
        </w:rPr>
        <w:t>.</w:t>
      </w:r>
    </w:p>
    <w:p w:rsidR="00F26C3B" w:rsidRPr="009618E4" w:rsidRDefault="00513FB2">
      <w:pPr>
        <w:pStyle w:val="ManualHeading2"/>
        <w:rPr>
          <w:noProof/>
          <w:u w:color="000000"/>
          <w:bdr w:val="nil"/>
        </w:rPr>
      </w:pPr>
      <w:r w:rsidRPr="0068119E">
        <w:t>3</w:t>
      </w:r>
      <w:r w:rsidRPr="009618E4">
        <w:t>.</w:t>
      </w:r>
      <w:r w:rsidRPr="0068119E">
        <w:t>5</w:t>
      </w:r>
      <w:r w:rsidRPr="009618E4">
        <w:t>.</w:t>
      </w:r>
      <w:r w:rsidRPr="009618E4">
        <w:tab/>
        <w:t>Simplification</w:t>
      </w:r>
    </w:p>
    <w:p w:rsidR="00F26C3B" w:rsidRPr="009618E4" w:rsidRDefault="00513FB2">
      <w:pPr>
        <w:pBdr>
          <w:top w:val="nil"/>
          <w:left w:val="nil"/>
          <w:bottom w:val="nil"/>
          <w:right w:val="nil"/>
          <w:between w:val="nil"/>
          <w:bar w:val="nil"/>
        </w:pBdr>
        <w:spacing w:before="0" w:after="240"/>
        <w:rPr>
          <w:b/>
          <w:i/>
          <w:noProof/>
          <w:color w:val="000000" w:themeColor="text1"/>
        </w:rPr>
      </w:pPr>
      <w:r w:rsidRPr="009618E4">
        <w:rPr>
          <w:noProof/>
          <w:color w:val="000000" w:themeColor="text1"/>
        </w:rPr>
        <w:t>Le programme sera mis en œuvre en utilisant les instruments et les règles de participation applicables au programme-cadre «Horizon Europe». Les mesures de simplification proposées dans «Horizon Europe» s</w:t>
      </w:r>
      <w:r w:rsidR="00266719" w:rsidRPr="009618E4">
        <w:rPr>
          <w:noProof/>
          <w:color w:val="000000" w:themeColor="text1"/>
        </w:rPr>
        <w:t>’</w:t>
      </w:r>
      <w:r w:rsidRPr="009618E4">
        <w:rPr>
          <w:noProof/>
          <w:color w:val="000000" w:themeColor="text1"/>
        </w:rPr>
        <w:t>appliqueront aux demandeurs et aux bénéficiaires du programme Euratom. Tout en répondant au besoin de continuité, le cas échéant, les règles proposées devraient réduire davantage les charges administratives, poursuivant ainsi le processus de simplification visé par les programmes actuels. Le programme sera encore simplifié en ce sens qu</w:t>
      </w:r>
      <w:r w:rsidR="00266719" w:rsidRPr="009618E4">
        <w:rPr>
          <w:noProof/>
          <w:color w:val="000000" w:themeColor="text1"/>
        </w:rPr>
        <w:t>’</w:t>
      </w:r>
      <w:r w:rsidRPr="009618E4">
        <w:rPr>
          <w:noProof/>
          <w:color w:val="000000" w:themeColor="text1"/>
        </w:rPr>
        <w:t>il proposera une liste unique d</w:t>
      </w:r>
      <w:r w:rsidR="00266719" w:rsidRPr="009618E4">
        <w:rPr>
          <w:noProof/>
          <w:color w:val="000000" w:themeColor="text1"/>
        </w:rPr>
        <w:t>’</w:t>
      </w:r>
      <w:r w:rsidRPr="009618E4">
        <w:rPr>
          <w:noProof/>
          <w:color w:val="000000" w:themeColor="text1"/>
        </w:rPr>
        <w:t>objectifs pour les actions directes et indirectes. Les répercussions probables sur la simplification et les charges administratives sont examinées plus en détail dans l</w:t>
      </w:r>
      <w:r w:rsidR="00266719" w:rsidRPr="009618E4">
        <w:rPr>
          <w:noProof/>
          <w:color w:val="000000" w:themeColor="text1"/>
        </w:rPr>
        <w:t>’</w:t>
      </w:r>
      <w:r w:rsidRPr="009618E4">
        <w:rPr>
          <w:noProof/>
          <w:color w:val="000000" w:themeColor="text1"/>
        </w:rPr>
        <w:t>analyse d</w:t>
      </w:r>
      <w:r w:rsidR="00266719" w:rsidRPr="009618E4">
        <w:rPr>
          <w:noProof/>
          <w:color w:val="000000" w:themeColor="text1"/>
        </w:rPr>
        <w:t>’</w:t>
      </w:r>
      <w:r w:rsidRPr="009618E4">
        <w:rPr>
          <w:noProof/>
          <w:color w:val="000000" w:themeColor="text1"/>
        </w:rPr>
        <w:t>impact.</w:t>
      </w:r>
    </w:p>
    <w:p w:rsidR="00F26C3B" w:rsidRPr="009618E4" w:rsidRDefault="00513FB2">
      <w:pPr>
        <w:pStyle w:val="ManualHeading2"/>
        <w:rPr>
          <w:noProof/>
          <w:u w:color="000000"/>
          <w:bdr w:val="nil"/>
        </w:rPr>
      </w:pPr>
      <w:r w:rsidRPr="0068119E">
        <w:t>3</w:t>
      </w:r>
      <w:r w:rsidRPr="009618E4">
        <w:t>.</w:t>
      </w:r>
      <w:r w:rsidRPr="0068119E">
        <w:t>6</w:t>
      </w:r>
      <w:r w:rsidRPr="009618E4">
        <w:t>.</w:t>
      </w:r>
      <w:r w:rsidRPr="009618E4">
        <w:tab/>
        <w:t>Droits fondamentaux</w:t>
      </w:r>
    </w:p>
    <w:p w:rsidR="00F26C3B" w:rsidRPr="009618E4" w:rsidRDefault="00513FB2">
      <w:pPr>
        <w:autoSpaceDE w:val="0"/>
        <w:autoSpaceDN w:val="0"/>
        <w:adjustRightInd w:val="0"/>
        <w:rPr>
          <w:noProof/>
          <w:szCs w:val="24"/>
        </w:rPr>
      </w:pPr>
      <w:r w:rsidRPr="009618E4">
        <w:t>Le présent règlement respecte les droits fondamentaux et les principes consacrés par la charte des droits fondamentaux de l</w:t>
      </w:r>
      <w:r w:rsidR="00266719" w:rsidRPr="009618E4">
        <w:t>’</w:t>
      </w:r>
      <w:r w:rsidRPr="009618E4">
        <w:t>Union européenne.</w:t>
      </w:r>
    </w:p>
    <w:p w:rsidR="00F26C3B" w:rsidRPr="009618E4" w:rsidRDefault="00513FB2">
      <w:pPr>
        <w:pStyle w:val="ManualHeading1"/>
        <w:rPr>
          <w:noProof/>
        </w:rPr>
      </w:pPr>
      <w:r w:rsidRPr="0068119E">
        <w:t>4</w:t>
      </w:r>
      <w:r w:rsidRPr="009618E4">
        <w:t>.</w:t>
      </w:r>
      <w:r w:rsidRPr="009618E4">
        <w:tab/>
        <w:t>Incidence budgétaire</w:t>
      </w:r>
    </w:p>
    <w:p w:rsidR="00F26C3B" w:rsidRPr="009618E4" w:rsidRDefault="00513FB2">
      <w:pPr>
        <w:pBdr>
          <w:top w:val="nil"/>
          <w:left w:val="nil"/>
          <w:bottom w:val="nil"/>
          <w:right w:val="nil"/>
          <w:between w:val="nil"/>
          <w:bar w:val="nil"/>
        </w:pBdr>
        <w:spacing w:before="0" w:after="240"/>
        <w:rPr>
          <w:noProof/>
          <w:color w:val="000000" w:themeColor="text1"/>
        </w:rPr>
      </w:pPr>
      <w:r w:rsidRPr="009618E4">
        <w:rPr>
          <w:noProof/>
          <w:color w:val="000000" w:themeColor="text1"/>
        </w:rPr>
        <w:t>Le budget de la présente proposition est indiqué en prix courants. La fiche financière législative jointe à la proposition décrit les implications en termes de budget et de ressources humaines et administratives.</w:t>
      </w:r>
    </w:p>
    <w:p w:rsidR="00F26C3B" w:rsidRPr="009618E4" w:rsidRDefault="00513FB2">
      <w:pPr>
        <w:pStyle w:val="ManualHeading1"/>
        <w:rPr>
          <w:noProof/>
        </w:rPr>
      </w:pPr>
      <w:r w:rsidRPr="0068119E">
        <w:t>5</w:t>
      </w:r>
      <w:r w:rsidRPr="009618E4">
        <w:t>.</w:t>
      </w:r>
      <w:r w:rsidRPr="009618E4">
        <w:tab/>
        <w:t>Autres aspects</w:t>
      </w:r>
    </w:p>
    <w:p w:rsidR="00F26C3B" w:rsidRPr="009618E4" w:rsidRDefault="00513FB2">
      <w:pPr>
        <w:pStyle w:val="ManualHeading2"/>
        <w:rPr>
          <w:noProof/>
          <w:u w:color="000000"/>
          <w:bdr w:val="nil"/>
        </w:rPr>
      </w:pPr>
      <w:r w:rsidRPr="0068119E">
        <w:t>5</w:t>
      </w:r>
      <w:r w:rsidRPr="009618E4">
        <w:t>.</w:t>
      </w:r>
      <w:r w:rsidRPr="0068119E">
        <w:t>1</w:t>
      </w:r>
      <w:r w:rsidRPr="009618E4">
        <w:t>.</w:t>
      </w:r>
      <w:r w:rsidRPr="009618E4">
        <w:tab/>
        <w:t>Plans de mise en œuvre et modalités de suivi, d</w:t>
      </w:r>
      <w:r w:rsidR="00266719" w:rsidRPr="009618E4">
        <w:t>’</w:t>
      </w:r>
      <w:r w:rsidRPr="009618E4">
        <w:t>évaluation et d</w:t>
      </w:r>
      <w:r w:rsidR="00266719" w:rsidRPr="009618E4">
        <w:t>’</w:t>
      </w:r>
      <w:r w:rsidRPr="009618E4">
        <w:t>information</w:t>
      </w:r>
    </w:p>
    <w:p w:rsidR="00F26C3B" w:rsidRPr="009618E4" w:rsidRDefault="00513FB2">
      <w:pPr>
        <w:rPr>
          <w:noProof/>
          <w:color w:val="000000" w:themeColor="text1"/>
        </w:rPr>
      </w:pPr>
      <w:r w:rsidRPr="009618E4">
        <w:rPr>
          <w:noProof/>
          <w:color w:val="000000" w:themeColor="text1"/>
        </w:rPr>
        <w:t>Les services de la Commission mettront en œuvre le programme. Toutefois, la Commission peut décider, si cela semble approprié, de déléguer la mise en œuvre de certaines parties du programme à des États membres, personnes ou entreprises ainsi qu</w:t>
      </w:r>
      <w:r w:rsidR="00266719" w:rsidRPr="009618E4">
        <w:rPr>
          <w:noProof/>
          <w:color w:val="000000" w:themeColor="text1"/>
        </w:rPr>
        <w:t>’</w:t>
      </w:r>
      <w:r w:rsidRPr="009618E4">
        <w:rPr>
          <w:noProof/>
          <w:color w:val="000000" w:themeColor="text1"/>
        </w:rPr>
        <w:t>à des États tiers, des organisations internationales ou des ressortissants d</w:t>
      </w:r>
      <w:r w:rsidR="00266719" w:rsidRPr="009618E4">
        <w:rPr>
          <w:noProof/>
          <w:color w:val="000000" w:themeColor="text1"/>
        </w:rPr>
        <w:t>’</w:t>
      </w:r>
      <w:r w:rsidRPr="009618E4">
        <w:rPr>
          <w:noProof/>
          <w:color w:val="000000" w:themeColor="text1"/>
        </w:rPr>
        <w:t>États tiers, comme prévu à l</w:t>
      </w:r>
      <w:r w:rsidR="00266719" w:rsidRPr="009618E4">
        <w:rPr>
          <w:noProof/>
          <w:color w:val="000000" w:themeColor="text1"/>
        </w:rPr>
        <w:t>’</w:t>
      </w:r>
      <w:r w:rsidRPr="009618E4">
        <w:rPr>
          <w:noProof/>
          <w:color w:val="000000" w:themeColor="text1"/>
        </w:rPr>
        <w:t>article </w:t>
      </w:r>
      <w:r w:rsidRPr="0068119E">
        <w:rPr>
          <w:noProof/>
          <w:color w:val="000000" w:themeColor="text1"/>
        </w:rPr>
        <w:t>10</w:t>
      </w:r>
      <w:r w:rsidRPr="009618E4">
        <w:rPr>
          <w:noProof/>
          <w:color w:val="000000" w:themeColor="text1"/>
        </w:rPr>
        <w:t xml:space="preserve"> du traité Euratom.</w:t>
      </w:r>
    </w:p>
    <w:p w:rsidR="00F26C3B" w:rsidRPr="009618E4" w:rsidRDefault="00513FB2">
      <w:pPr>
        <w:rPr>
          <w:noProof/>
          <w:color w:val="000000" w:themeColor="text1"/>
        </w:rPr>
      </w:pPr>
      <w:r w:rsidRPr="009618E4">
        <w:rPr>
          <w:noProof/>
          <w:color w:val="000000" w:themeColor="text1"/>
        </w:rPr>
        <w:t>Des évaluations seront effectuées conformément aux paragraphes </w:t>
      </w:r>
      <w:r w:rsidRPr="0068119E">
        <w:rPr>
          <w:noProof/>
          <w:color w:val="000000" w:themeColor="text1"/>
        </w:rPr>
        <w:t>22</w:t>
      </w:r>
      <w:r w:rsidRPr="009618E4">
        <w:rPr>
          <w:noProof/>
          <w:color w:val="000000" w:themeColor="text1"/>
        </w:rPr>
        <w:t xml:space="preserve"> et </w:t>
      </w:r>
      <w:r w:rsidRPr="0068119E">
        <w:rPr>
          <w:noProof/>
          <w:color w:val="000000" w:themeColor="text1"/>
        </w:rPr>
        <w:t>23</w:t>
      </w:r>
      <w:r w:rsidRPr="009618E4">
        <w:rPr>
          <w:noProof/>
          <w:color w:val="000000" w:themeColor="text1"/>
        </w:rPr>
        <w:t xml:space="preserve"> de l</w:t>
      </w:r>
      <w:r w:rsidR="00266719" w:rsidRPr="009618E4">
        <w:rPr>
          <w:noProof/>
          <w:color w:val="000000" w:themeColor="text1"/>
        </w:rPr>
        <w:t>’</w:t>
      </w:r>
      <w:r w:rsidRPr="009618E4">
        <w:rPr>
          <w:noProof/>
          <w:color w:val="000000" w:themeColor="text1"/>
        </w:rPr>
        <w:t>accord interinstitutionnel du </w:t>
      </w:r>
      <w:r w:rsidRPr="0068119E">
        <w:rPr>
          <w:noProof/>
          <w:color w:val="000000" w:themeColor="text1"/>
        </w:rPr>
        <w:t>13</w:t>
      </w:r>
      <w:r w:rsidRPr="009618E4">
        <w:rPr>
          <w:noProof/>
          <w:color w:val="000000" w:themeColor="text1"/>
        </w:rPr>
        <w:t> avril </w:t>
      </w:r>
      <w:r w:rsidRPr="0068119E">
        <w:rPr>
          <w:noProof/>
          <w:color w:val="000000" w:themeColor="text1"/>
        </w:rPr>
        <w:t>2016</w:t>
      </w:r>
      <w:r w:rsidRPr="009618E4">
        <w:rPr>
          <w:rStyle w:val="FootnoteReference"/>
          <w:noProof/>
        </w:rPr>
        <w:footnoteReference w:id="18"/>
      </w:r>
      <w:r w:rsidRPr="009618E4">
        <w:rPr>
          <w:noProof/>
          <w:color w:val="000000" w:themeColor="text1"/>
        </w:rPr>
        <w:t>, dans lequel les trois institutions ont confirmé que les évaluations de la législation et de la stratégie existantes devraient servir de base aux analyses d</w:t>
      </w:r>
      <w:r w:rsidR="00266719" w:rsidRPr="009618E4">
        <w:rPr>
          <w:noProof/>
          <w:color w:val="000000" w:themeColor="text1"/>
        </w:rPr>
        <w:t>’</w:t>
      </w:r>
      <w:r w:rsidRPr="009618E4">
        <w:rPr>
          <w:noProof/>
          <w:color w:val="000000" w:themeColor="text1"/>
        </w:rPr>
        <w:t>impact des options en vue d</w:t>
      </w:r>
      <w:r w:rsidR="00266719" w:rsidRPr="009618E4">
        <w:rPr>
          <w:noProof/>
          <w:color w:val="000000" w:themeColor="text1"/>
        </w:rPr>
        <w:t>’</w:t>
      </w:r>
      <w:r w:rsidRPr="009618E4">
        <w:rPr>
          <w:noProof/>
          <w:color w:val="000000" w:themeColor="text1"/>
        </w:rPr>
        <w:t>une action future. Les évaluations apprécieront les effets du programme sur le terrain au moyen de ses indicateurs et objectifs et d</w:t>
      </w:r>
      <w:r w:rsidR="00266719" w:rsidRPr="009618E4">
        <w:rPr>
          <w:noProof/>
          <w:color w:val="000000" w:themeColor="text1"/>
        </w:rPr>
        <w:t>’</w:t>
      </w:r>
      <w:r w:rsidRPr="009618E4">
        <w:rPr>
          <w:noProof/>
          <w:color w:val="000000" w:themeColor="text1"/>
        </w:rPr>
        <w:t>une analyse détaillée de son degré de pertinence, d</w:t>
      </w:r>
      <w:r w:rsidR="00266719" w:rsidRPr="009618E4">
        <w:rPr>
          <w:noProof/>
          <w:color w:val="000000" w:themeColor="text1"/>
        </w:rPr>
        <w:t>’</w:t>
      </w:r>
      <w:r w:rsidRPr="009618E4">
        <w:rPr>
          <w:noProof/>
          <w:color w:val="000000" w:themeColor="text1"/>
        </w:rPr>
        <w:t>efficacité, d</w:t>
      </w:r>
      <w:r w:rsidR="00266719" w:rsidRPr="009618E4">
        <w:rPr>
          <w:noProof/>
          <w:color w:val="000000" w:themeColor="text1"/>
        </w:rPr>
        <w:t>’</w:t>
      </w:r>
      <w:r w:rsidRPr="009618E4">
        <w:rPr>
          <w:noProof/>
          <w:color w:val="000000" w:themeColor="text1"/>
        </w:rPr>
        <w:t>efficience, d</w:t>
      </w:r>
      <w:r w:rsidR="00266719" w:rsidRPr="009618E4">
        <w:rPr>
          <w:noProof/>
          <w:color w:val="000000" w:themeColor="text1"/>
        </w:rPr>
        <w:t>’</w:t>
      </w:r>
      <w:r w:rsidRPr="009618E4">
        <w:rPr>
          <w:noProof/>
          <w:color w:val="000000" w:themeColor="text1"/>
        </w:rPr>
        <w:t>apport d</w:t>
      </w:r>
      <w:r w:rsidR="00266719" w:rsidRPr="009618E4">
        <w:rPr>
          <w:noProof/>
          <w:color w:val="000000" w:themeColor="text1"/>
        </w:rPr>
        <w:t>’</w:t>
      </w:r>
      <w:r w:rsidRPr="009618E4">
        <w:rPr>
          <w:noProof/>
          <w:color w:val="000000" w:themeColor="text1"/>
        </w:rPr>
        <w:t>une valeur ajoutée de l</w:t>
      </w:r>
      <w:r w:rsidR="00266719" w:rsidRPr="009618E4">
        <w:rPr>
          <w:noProof/>
          <w:color w:val="000000" w:themeColor="text1"/>
        </w:rPr>
        <w:t>’</w:t>
      </w:r>
      <w:r w:rsidRPr="009618E4">
        <w:rPr>
          <w:noProof/>
          <w:color w:val="000000" w:themeColor="text1"/>
        </w:rPr>
        <w:t>Union suffisante et de cohérence avec les autres politiques de l</w:t>
      </w:r>
      <w:r w:rsidR="00266719" w:rsidRPr="009618E4">
        <w:rPr>
          <w:noProof/>
          <w:color w:val="000000" w:themeColor="text1"/>
        </w:rPr>
        <w:t>’</w:t>
      </w:r>
      <w:r w:rsidRPr="009618E4">
        <w:rPr>
          <w:noProof/>
          <w:color w:val="000000" w:themeColor="text1"/>
        </w:rPr>
        <w:t>UE. Elles contiendront des enseignements sur la manière de détecter les lacunes/problèmes éventuels survenus ou susceptibles de survenir, afin d</w:t>
      </w:r>
      <w:r w:rsidR="00266719" w:rsidRPr="009618E4">
        <w:rPr>
          <w:noProof/>
          <w:color w:val="000000" w:themeColor="text1"/>
        </w:rPr>
        <w:t>’</w:t>
      </w:r>
      <w:r w:rsidRPr="009618E4">
        <w:rPr>
          <w:noProof/>
          <w:color w:val="000000" w:themeColor="text1"/>
        </w:rPr>
        <w:t>améliorer encore les actions ou leurs résultats et de contribuer à optimiser leur exploitation et leurs effets.</w:t>
      </w:r>
    </w:p>
    <w:p w:rsidR="00F26C3B" w:rsidRPr="009618E4" w:rsidRDefault="00513FB2">
      <w:pPr>
        <w:rPr>
          <w:noProof/>
          <w:color w:val="000000" w:themeColor="text1"/>
        </w:rPr>
      </w:pPr>
      <w:r w:rsidRPr="009618E4">
        <w:rPr>
          <w:noProof/>
          <w:color w:val="000000" w:themeColor="text1"/>
        </w:rPr>
        <w:t>Le système de suivi et d</w:t>
      </w:r>
      <w:r w:rsidR="00266719" w:rsidRPr="009618E4">
        <w:rPr>
          <w:noProof/>
          <w:color w:val="000000" w:themeColor="text1"/>
        </w:rPr>
        <w:t>’</w:t>
      </w:r>
      <w:r w:rsidRPr="009618E4">
        <w:rPr>
          <w:noProof/>
          <w:color w:val="000000" w:themeColor="text1"/>
        </w:rPr>
        <w:t>évaluation, qui se retrouve dans «Horizon Europe», prévoit des chemins d</w:t>
      </w:r>
      <w:r w:rsidR="00266719" w:rsidRPr="009618E4">
        <w:rPr>
          <w:noProof/>
          <w:color w:val="000000" w:themeColor="text1"/>
        </w:rPr>
        <w:t>’</w:t>
      </w:r>
      <w:r w:rsidRPr="009618E4">
        <w:rPr>
          <w:noProof/>
          <w:color w:val="000000" w:themeColor="text1"/>
        </w:rPr>
        <w:t>impact clés, qui aideront à rendre compte des progrès accomplis dans la réalisation des objectifs du programme. Les impacts sont répartis en quatre catégories complémentaires (impacts scientifiques, sociaux, liés à l</w:t>
      </w:r>
      <w:r w:rsidR="00266719" w:rsidRPr="009618E4">
        <w:rPr>
          <w:noProof/>
          <w:color w:val="000000" w:themeColor="text1"/>
        </w:rPr>
        <w:t>’</w:t>
      </w:r>
      <w:r w:rsidRPr="009618E4">
        <w:rPr>
          <w:noProof/>
          <w:color w:val="000000" w:themeColor="text1"/>
        </w:rPr>
        <w:t>innovation et politiques), qui reflètent la nature des investissements R&amp;I. Pour chacune de ces catégories d</w:t>
      </w:r>
      <w:r w:rsidR="00266719" w:rsidRPr="009618E4">
        <w:rPr>
          <w:noProof/>
          <w:color w:val="000000" w:themeColor="text1"/>
        </w:rPr>
        <w:t>’</w:t>
      </w:r>
      <w:r w:rsidRPr="009618E4">
        <w:rPr>
          <w:noProof/>
          <w:color w:val="000000" w:themeColor="text1"/>
        </w:rPr>
        <w:t>impact, des indicateurs seront utilisés pour rendre compte des progrès accomplis à court, moyen et long terme. Les actions directes et indirectes feront l</w:t>
      </w:r>
      <w:r w:rsidR="00266719" w:rsidRPr="009618E4">
        <w:rPr>
          <w:noProof/>
          <w:color w:val="000000" w:themeColor="text1"/>
        </w:rPr>
        <w:t>’</w:t>
      </w:r>
      <w:r w:rsidRPr="009618E4">
        <w:rPr>
          <w:noProof/>
          <w:color w:val="000000" w:themeColor="text1"/>
        </w:rPr>
        <w:t>objet d</w:t>
      </w:r>
      <w:r w:rsidR="00266719" w:rsidRPr="009618E4">
        <w:rPr>
          <w:noProof/>
          <w:color w:val="000000" w:themeColor="text1"/>
        </w:rPr>
        <w:t>’</w:t>
      </w:r>
      <w:r w:rsidRPr="009618E4">
        <w:rPr>
          <w:noProof/>
          <w:color w:val="000000" w:themeColor="text1"/>
        </w:rPr>
        <w:t>une évaluation intermédiaire commune.</w:t>
      </w:r>
    </w:p>
    <w:p w:rsidR="00F26C3B" w:rsidRPr="009618E4" w:rsidRDefault="00513FB2">
      <w:pPr>
        <w:pStyle w:val="ManualHeading2"/>
        <w:rPr>
          <w:noProof/>
          <w:u w:color="000000"/>
          <w:bdr w:val="nil"/>
        </w:rPr>
      </w:pPr>
      <w:r w:rsidRPr="0068119E">
        <w:t>5</w:t>
      </w:r>
      <w:r w:rsidRPr="009618E4">
        <w:t>.</w:t>
      </w:r>
      <w:r w:rsidRPr="0068119E">
        <w:t>2</w:t>
      </w:r>
      <w:r w:rsidRPr="009618E4">
        <w:t>.</w:t>
      </w:r>
      <w:r w:rsidRPr="009618E4">
        <w:tab/>
        <w:t>Explication détaillée des différentes dispositions de la proposition</w:t>
      </w:r>
    </w:p>
    <w:p w:rsidR="00F26C3B" w:rsidRPr="009618E4" w:rsidRDefault="00513FB2">
      <w:pPr>
        <w:pStyle w:val="Text1"/>
        <w:ind w:left="0"/>
        <w:rPr>
          <w:noProof/>
          <w:color w:val="000000" w:themeColor="text1"/>
        </w:rPr>
      </w:pPr>
      <w:r w:rsidRPr="009618E4">
        <w:rPr>
          <w:noProof/>
          <w:color w:val="000000" w:themeColor="text1"/>
        </w:rPr>
        <w:t>La proposition modifiera le programme Euratom actuel comme suit:</w:t>
      </w:r>
    </w:p>
    <w:p w:rsidR="00F26C3B" w:rsidRPr="009618E4" w:rsidRDefault="00513FB2">
      <w:pPr>
        <w:pStyle w:val="Tiret0"/>
        <w:rPr>
          <w:noProof/>
        </w:rPr>
      </w:pPr>
      <w:r w:rsidRPr="009618E4">
        <w:rPr>
          <w:u w:val="single"/>
        </w:rPr>
        <w:t>Structure des objectifs spécifiques (article </w:t>
      </w:r>
      <w:r w:rsidRPr="0068119E">
        <w:rPr>
          <w:u w:val="single"/>
        </w:rPr>
        <w:t>3</w:t>
      </w:r>
      <w:r w:rsidRPr="009618E4">
        <w:rPr>
          <w:u w:val="single"/>
        </w:rPr>
        <w:t xml:space="preserve"> et annexe I):</w:t>
      </w:r>
      <w:r w:rsidRPr="009618E4">
        <w:t xml:space="preserve"> l</w:t>
      </w:r>
      <w:r w:rsidR="00266719" w:rsidRPr="009618E4">
        <w:t>’</w:t>
      </w:r>
      <w:r w:rsidRPr="009618E4">
        <w:t>acte de base prévoit un ensemble unique d</w:t>
      </w:r>
      <w:r w:rsidR="00266719" w:rsidRPr="009618E4">
        <w:t>’</w:t>
      </w:r>
      <w:r w:rsidRPr="009618E4">
        <w:t>objectifs spécifiques pour les actions tant directes qu</w:t>
      </w:r>
      <w:r w:rsidR="00266719" w:rsidRPr="009618E4">
        <w:t>’</w:t>
      </w:r>
      <w:r w:rsidRPr="009618E4">
        <w:t>indirectes. Cela permettra à la Commission, lors de l</w:t>
      </w:r>
      <w:r w:rsidR="00266719" w:rsidRPr="009618E4">
        <w:t>’</w:t>
      </w:r>
      <w:r w:rsidRPr="009618E4">
        <w:t>élaboration des programmes de travail, de proposer des instruments et actifs combinés tels que ses propres infrastructures de recherche et la base de connaissances du JRC. Cette approche est destinée à permettre la réalisation de l</w:t>
      </w:r>
      <w:r w:rsidR="00266719" w:rsidRPr="009618E4">
        <w:t>’</w:t>
      </w:r>
      <w:r w:rsidRPr="009618E4">
        <w:t>un des objectifs transversaux du CFP: la simplification et l</w:t>
      </w:r>
      <w:r w:rsidR="00266719" w:rsidRPr="009618E4">
        <w:t>’</w:t>
      </w:r>
      <w:r w:rsidRPr="009618E4">
        <w:t>obtention de synergies.</w:t>
      </w:r>
    </w:p>
    <w:p w:rsidR="00F26C3B" w:rsidRPr="009618E4" w:rsidRDefault="00513FB2">
      <w:pPr>
        <w:pStyle w:val="Tiret0"/>
        <w:rPr>
          <w:noProof/>
        </w:rPr>
      </w:pPr>
      <w:r w:rsidRPr="009618E4">
        <w:rPr>
          <w:u w:val="single"/>
        </w:rPr>
        <w:t>Révision des objectifs spécifiques (article </w:t>
      </w:r>
      <w:r w:rsidRPr="0068119E">
        <w:rPr>
          <w:u w:val="single"/>
        </w:rPr>
        <w:t>3</w:t>
      </w:r>
      <w:r w:rsidRPr="009618E4">
        <w:rPr>
          <w:u w:val="single"/>
        </w:rPr>
        <w:t xml:space="preserve"> et annexe I):</w:t>
      </w:r>
      <w:r w:rsidRPr="009618E4">
        <w:t xml:space="preserve"> </w:t>
      </w:r>
    </w:p>
    <w:p w:rsidR="00F26C3B" w:rsidRPr="009618E4" w:rsidRDefault="00513FB2" w:rsidP="006E0C02">
      <w:pPr>
        <w:pStyle w:val="Bullet1"/>
        <w:numPr>
          <w:ilvl w:val="0"/>
          <w:numId w:val="15"/>
        </w:numPr>
        <w:rPr>
          <w:noProof/>
        </w:rPr>
      </w:pPr>
      <w:r w:rsidRPr="009618E4">
        <w:t>Réduction du nombre d</w:t>
      </w:r>
      <w:r w:rsidR="00266719" w:rsidRPr="009618E4">
        <w:t>’</w:t>
      </w:r>
      <w:r w:rsidRPr="009618E4">
        <w:t xml:space="preserve">objectifs spécifiques dans le programme </w:t>
      </w:r>
      <w:r w:rsidRPr="0068119E">
        <w:t>2014</w:t>
      </w:r>
      <w:r w:rsidRPr="009618E4">
        <w:t>–</w:t>
      </w:r>
      <w:r w:rsidRPr="0068119E">
        <w:t>2018</w:t>
      </w:r>
      <w:r w:rsidRPr="009618E4">
        <w:t xml:space="preserve"> pour les actions directes et indirectes, qui passe de treize à quatre.</w:t>
      </w:r>
    </w:p>
    <w:p w:rsidR="00F26C3B" w:rsidRPr="009618E4" w:rsidRDefault="00513FB2">
      <w:pPr>
        <w:pStyle w:val="Bullet1"/>
        <w:rPr>
          <w:noProof/>
        </w:rPr>
      </w:pPr>
      <w:r w:rsidRPr="009618E4">
        <w:t>Introduction d</w:t>
      </w:r>
      <w:r w:rsidR="00266719" w:rsidRPr="009618E4">
        <w:t>’</w:t>
      </w:r>
      <w:r w:rsidRPr="009618E4">
        <w:t>un objectif spécifique de soutien de la politique de l</w:t>
      </w:r>
      <w:r w:rsidR="00266719" w:rsidRPr="009618E4">
        <w:t>’</w:t>
      </w:r>
      <w:r w:rsidRPr="009618E4">
        <w:t>Union en matière de sûreté, de garanties et de sécurité nucléaires.</w:t>
      </w:r>
    </w:p>
    <w:p w:rsidR="00F26C3B" w:rsidRPr="009618E4" w:rsidRDefault="00513FB2">
      <w:pPr>
        <w:pStyle w:val="Bullet1"/>
        <w:rPr>
          <w:noProof/>
        </w:rPr>
      </w:pPr>
      <w:r w:rsidRPr="009618E4">
        <w:t>Définition du soutien à la recherche pour le déclassement: les mesures éligibles comprennent la recherche étayant le développement et l</w:t>
      </w:r>
      <w:r w:rsidR="00266719" w:rsidRPr="009618E4">
        <w:t>’</w:t>
      </w:r>
      <w:r w:rsidRPr="009618E4">
        <w:t>évaluation des technologies de déclassement et d</w:t>
      </w:r>
      <w:r w:rsidR="00266719" w:rsidRPr="009618E4">
        <w:t>’</w:t>
      </w:r>
      <w:r w:rsidRPr="009618E4">
        <w:t>assainissement environnemental des installations nucléaires, et le partage des bonnes pratiques et des connaissances. L</w:t>
      </w:r>
      <w:r w:rsidR="00266719" w:rsidRPr="009618E4">
        <w:t>’</w:t>
      </w:r>
      <w:r w:rsidRPr="009618E4">
        <w:t>accent mis sur le déclassement reflète la demande croissante pour ce type de services, le principe de l</w:t>
      </w:r>
      <w:r w:rsidR="00266719" w:rsidRPr="009618E4">
        <w:t>’</w:t>
      </w:r>
      <w:r w:rsidRPr="009618E4">
        <w:t>assainissement de l</w:t>
      </w:r>
      <w:r w:rsidR="00266719" w:rsidRPr="009618E4">
        <w:t>’</w:t>
      </w:r>
      <w:r w:rsidRPr="009618E4">
        <w:t>environnement et le grand nombre de réacteurs nucléaires qui seront définitivement mis à l</w:t>
      </w:r>
      <w:r w:rsidR="00266719" w:rsidRPr="009618E4">
        <w:t>’</w:t>
      </w:r>
      <w:r w:rsidRPr="009618E4">
        <w:t>arrêt.</w:t>
      </w:r>
    </w:p>
    <w:p w:rsidR="00F26C3B" w:rsidRPr="009618E4" w:rsidRDefault="00513FB2">
      <w:pPr>
        <w:pStyle w:val="Bullet1"/>
        <w:rPr>
          <w:noProof/>
        </w:rPr>
      </w:pPr>
      <w:r w:rsidRPr="009618E4">
        <w:t>Révision de la portée de la recherche sur la radioprotection, qui est également destinée à contribuer à l</w:t>
      </w:r>
      <w:r w:rsidR="00266719" w:rsidRPr="009618E4">
        <w:t>’</w:t>
      </w:r>
      <w:r w:rsidRPr="009618E4">
        <w:t>utilisation sûre des applications scientifiques et technologiques nucléaires des rayonnements ionisants, y compris la fourniture et l</w:t>
      </w:r>
      <w:r w:rsidR="00266719" w:rsidRPr="009618E4">
        <w:t>’</w:t>
      </w:r>
      <w:r w:rsidRPr="009618E4">
        <w:t>utilisation des radio-isotopes en toute sûreté et sécurité. Les applications médicales, industrielles, spatiales et de recherche constituent quelques-unes des options.</w:t>
      </w:r>
    </w:p>
    <w:p w:rsidR="00F26C3B" w:rsidRPr="009618E4" w:rsidRDefault="00513FB2">
      <w:pPr>
        <w:pStyle w:val="Bullet1"/>
        <w:rPr>
          <w:noProof/>
        </w:rPr>
      </w:pPr>
      <w:r w:rsidRPr="009618E4">
        <w:t>L</w:t>
      </w:r>
      <w:r w:rsidR="00266719" w:rsidRPr="009618E4">
        <w:t>’</w:t>
      </w:r>
      <w:r w:rsidRPr="009618E4">
        <w:t>objectif spécifique unique de la recherche en matière de fusion reflète une évolution vers la conception des futures centrales électriques à fusion. Le nouvel objectif de la recherche sur la fusion combine trois objectifs spécifiques du programme actuel.</w:t>
      </w:r>
    </w:p>
    <w:p w:rsidR="00F26C3B" w:rsidRPr="009618E4" w:rsidRDefault="00513FB2">
      <w:pPr>
        <w:pStyle w:val="Bullet1"/>
        <w:rPr>
          <w:noProof/>
        </w:rPr>
      </w:pPr>
      <w:r w:rsidRPr="009618E4">
        <w:t>Un objectif spécifique unique pour toutes les mesures nécessaires en vue de maintenir et de continuer à développer l</w:t>
      </w:r>
      <w:r w:rsidR="00266719" w:rsidRPr="009618E4">
        <w:t>’</w:t>
      </w:r>
      <w:r w:rsidRPr="009618E4">
        <w:t>expertise et l</w:t>
      </w:r>
      <w:r w:rsidR="00266719" w:rsidRPr="009618E4">
        <w:t>’</w:t>
      </w:r>
      <w:r w:rsidRPr="009618E4">
        <w:t>excellence dans l</w:t>
      </w:r>
      <w:r w:rsidR="00266719" w:rsidRPr="009618E4">
        <w:t>’</w:t>
      </w:r>
      <w:r w:rsidRPr="009618E4">
        <w:t>UE. Il comprend des actions d</w:t>
      </w:r>
      <w:r w:rsidR="00266719" w:rsidRPr="009618E4">
        <w:t>’</w:t>
      </w:r>
      <w:r w:rsidRPr="009618E4">
        <w:t>éducation et de formation, un soutien à la mobilité, l</w:t>
      </w:r>
      <w:r w:rsidR="00266719" w:rsidRPr="009618E4">
        <w:t>’</w:t>
      </w:r>
      <w:r w:rsidRPr="009618E4">
        <w:t>accès aux infrastructures de recherche, le transfert de technologie ainsi que la gestion et la diffusion des connaissances (le programme actuel contient des objectifs distincts pour ces actions).</w:t>
      </w:r>
    </w:p>
    <w:p w:rsidR="00F26C3B" w:rsidRPr="009618E4" w:rsidRDefault="00513FB2">
      <w:pPr>
        <w:pStyle w:val="Tiret0"/>
        <w:rPr>
          <w:noProof/>
        </w:rPr>
      </w:pPr>
      <w:r w:rsidRPr="009618E4">
        <w:rPr>
          <w:u w:val="single"/>
        </w:rPr>
        <w:t>Ouverture des «Actions Marie Skłodowska-Curie» (AMSC) aux chercheurs dans le domaine du nucléaire:</w:t>
      </w:r>
      <w:r w:rsidRPr="009618E4">
        <w:t xml:space="preserve"> les nouvelles dispositions proposées pour «Horizon Europe» et pour le programme Euratom permettront aux étudiants et chercheurs du nucléaire d</w:t>
      </w:r>
      <w:r w:rsidR="00266719" w:rsidRPr="009618E4">
        <w:t>’</w:t>
      </w:r>
      <w:r w:rsidRPr="009618E4">
        <w:t>être admissibles aux AMSC. En utilisant un instrument bien établi pour soutenir l</w:t>
      </w:r>
      <w:r w:rsidR="00266719" w:rsidRPr="009618E4">
        <w:t>’</w:t>
      </w:r>
      <w:r w:rsidRPr="009618E4">
        <w:t>éducation et la formation en Europe, le nouveau programme est conçu pour répondre à l</w:t>
      </w:r>
      <w:r w:rsidR="00266719" w:rsidRPr="009618E4">
        <w:t>’</w:t>
      </w:r>
      <w:r w:rsidRPr="009618E4">
        <w:t>un des objectifs transversaux du CFP: l</w:t>
      </w:r>
      <w:r w:rsidR="00266719" w:rsidRPr="009618E4">
        <w:t>’</w:t>
      </w:r>
      <w:r w:rsidRPr="009618E4">
        <w:t>obtention de synergies entre les instruments de financement.</w:t>
      </w:r>
    </w:p>
    <w:p w:rsidR="00F26C3B" w:rsidRPr="009618E4" w:rsidRDefault="00513FB2">
      <w:pPr>
        <w:pStyle w:val="Tiret0"/>
        <w:rPr>
          <w:noProof/>
        </w:rPr>
      </w:pPr>
      <w:r w:rsidRPr="009618E4">
        <w:rPr>
          <w:u w:val="single"/>
        </w:rPr>
        <w:t>Dispositions juridiques facilitant les synergies entre le programme Euratom et «Horizon Europe» (annexe  </w:t>
      </w:r>
      <w:r w:rsidRPr="0068119E">
        <w:rPr>
          <w:u w:val="single"/>
        </w:rPr>
        <w:t>1</w:t>
      </w:r>
      <w:r w:rsidRPr="009618E4">
        <w:rPr>
          <w:u w:val="single"/>
        </w:rPr>
        <w:t xml:space="preserve"> de l</w:t>
      </w:r>
      <w:r w:rsidR="00266719" w:rsidRPr="009618E4">
        <w:rPr>
          <w:u w:val="single"/>
        </w:rPr>
        <w:t>’</w:t>
      </w:r>
      <w:r w:rsidRPr="009618E4">
        <w:rPr>
          <w:u w:val="single"/>
        </w:rPr>
        <w:t>acte de base pour «Horizon Europe»):</w:t>
      </w:r>
      <w:r w:rsidRPr="009618E4">
        <w:t xml:space="preserve"> les deux actes de base créeront des synergies dont les modalités seront arrêtées dans les programmes de travail, en consultation avec les États membres.</w:t>
      </w:r>
    </w:p>
    <w:p w:rsidR="00F26C3B" w:rsidRPr="009618E4" w:rsidRDefault="00513FB2">
      <w:pPr>
        <w:autoSpaceDE w:val="0"/>
        <w:autoSpaceDN w:val="0"/>
        <w:rPr>
          <w:noProof/>
          <w:color w:val="000000" w:themeColor="text1"/>
        </w:rPr>
      </w:pPr>
      <w:r w:rsidRPr="009618E4">
        <w:rPr>
          <w:noProof/>
          <w:color w:val="000000" w:themeColor="text1"/>
        </w:rPr>
        <w:t>Pour le nouveau programme Euratom, comme pour les précédents, les critères d</w:t>
      </w:r>
      <w:r w:rsidR="00266719" w:rsidRPr="009618E4">
        <w:rPr>
          <w:noProof/>
          <w:color w:val="000000" w:themeColor="text1"/>
        </w:rPr>
        <w:t>’</w:t>
      </w:r>
      <w:r w:rsidRPr="009618E4">
        <w:rPr>
          <w:noProof/>
          <w:color w:val="000000" w:themeColor="text1"/>
        </w:rPr>
        <w:t>attribution seront l</w:t>
      </w:r>
      <w:r w:rsidR="00266719" w:rsidRPr="009618E4">
        <w:rPr>
          <w:noProof/>
          <w:color w:val="000000" w:themeColor="text1"/>
        </w:rPr>
        <w:t>’</w:t>
      </w:r>
      <w:r w:rsidRPr="009618E4">
        <w:rPr>
          <w:noProof/>
          <w:color w:val="000000" w:themeColor="text1"/>
        </w:rPr>
        <w:t>excellence, l</w:t>
      </w:r>
      <w:r w:rsidR="00266719" w:rsidRPr="009618E4">
        <w:rPr>
          <w:noProof/>
          <w:color w:val="000000" w:themeColor="text1"/>
        </w:rPr>
        <w:t>’</w:t>
      </w:r>
      <w:r w:rsidRPr="009618E4">
        <w:rPr>
          <w:noProof/>
          <w:color w:val="000000" w:themeColor="text1"/>
        </w:rPr>
        <w:t>impact, ainsi que la qualité et l</w:t>
      </w:r>
      <w:r w:rsidR="00266719" w:rsidRPr="009618E4">
        <w:rPr>
          <w:noProof/>
          <w:color w:val="000000" w:themeColor="text1"/>
        </w:rPr>
        <w:t>’</w:t>
      </w:r>
      <w:r w:rsidRPr="009618E4">
        <w:rPr>
          <w:noProof/>
          <w:color w:val="000000" w:themeColor="text1"/>
        </w:rPr>
        <w:t>efficience de la mise en œuvre.</w:t>
      </w:r>
    </w:p>
    <w:p w:rsidR="002044C3" w:rsidRPr="009618E4" w:rsidRDefault="00513FB2" w:rsidP="00955F36">
      <w:pPr>
        <w:rPr>
          <w:b/>
          <w:noProof/>
        </w:rPr>
      </w:pPr>
      <w:r w:rsidRPr="009618E4">
        <w:rPr>
          <w:noProof/>
          <w:color w:val="000000" w:themeColor="text1"/>
        </w:rPr>
        <w:t>Les règles de participation et de diffusion d</w:t>
      </w:r>
      <w:r w:rsidR="00266719" w:rsidRPr="009618E4">
        <w:rPr>
          <w:noProof/>
          <w:color w:val="000000" w:themeColor="text1"/>
        </w:rPr>
        <w:t>’</w:t>
      </w:r>
      <w:r w:rsidRPr="009618E4">
        <w:rPr>
          <w:noProof/>
          <w:color w:val="000000" w:themeColor="text1"/>
        </w:rPr>
        <w:t>«Horizon Europe» s</w:t>
      </w:r>
      <w:r w:rsidR="00266719" w:rsidRPr="009618E4">
        <w:rPr>
          <w:noProof/>
          <w:color w:val="000000" w:themeColor="text1"/>
        </w:rPr>
        <w:t>’</w:t>
      </w:r>
      <w:r w:rsidRPr="009618E4">
        <w:rPr>
          <w:noProof/>
          <w:color w:val="000000" w:themeColor="text1"/>
        </w:rPr>
        <w:t>appliqueront également au programme Euratom.</w:t>
      </w:r>
    </w:p>
    <w:p w:rsidR="002044C3" w:rsidRPr="009618E4" w:rsidRDefault="002044C3" w:rsidP="002044C3">
      <w:pPr>
        <w:rPr>
          <w:noProof/>
        </w:rPr>
      </w:pPr>
      <w:r w:rsidRPr="009618E4">
        <w:t>Pour la mise en œuvre du programme, la Commission sera assistée par un comité (voir l</w:t>
      </w:r>
      <w:r w:rsidR="00266719" w:rsidRPr="009618E4">
        <w:t>’</w:t>
      </w:r>
      <w:r w:rsidRPr="009618E4">
        <w:t>article </w:t>
      </w:r>
      <w:r w:rsidRPr="0068119E">
        <w:t>16</w:t>
      </w:r>
      <w:r w:rsidRPr="009618E4">
        <w:t>) au sens du règlement (UE) nº </w:t>
      </w:r>
      <w:r w:rsidRPr="0068119E">
        <w:t>182</w:t>
      </w:r>
      <w:r w:rsidRPr="009618E4">
        <w:t>/</w:t>
      </w:r>
      <w:r w:rsidRPr="0068119E">
        <w:t>2011</w:t>
      </w:r>
      <w:r w:rsidRPr="009618E4">
        <w:t>. Il se réunira en différentes formations (fission et fusion), selon le thème à examiner.</w:t>
      </w:r>
    </w:p>
    <w:p w:rsidR="002044C3" w:rsidRPr="009618E4" w:rsidRDefault="002044C3">
      <w:pPr>
        <w:rPr>
          <w:noProof/>
        </w:rPr>
        <w:sectPr w:rsidR="002044C3" w:rsidRPr="009618E4" w:rsidSect="00CE7948">
          <w:footerReference w:type="default" r:id="rId19"/>
          <w:footerReference w:type="first" r:id="rId20"/>
          <w:pgSz w:w="11907" w:h="16839"/>
          <w:pgMar w:top="1134" w:right="1417" w:bottom="1134" w:left="1417" w:header="709" w:footer="709" w:gutter="0"/>
          <w:cols w:space="720"/>
          <w:docGrid w:linePitch="360"/>
        </w:sectPr>
      </w:pPr>
    </w:p>
    <w:p w:rsidR="00F26C3B" w:rsidRPr="009618E4" w:rsidRDefault="00CE7948" w:rsidP="00CE7948">
      <w:pPr>
        <w:pStyle w:val="Rfrenceinterinstitutionnelle"/>
        <w:rPr>
          <w:noProof/>
        </w:rPr>
      </w:pPr>
      <w:r w:rsidRPr="00CE7948">
        <w:t>2018/0226 (NLE)</w:t>
      </w:r>
    </w:p>
    <w:p w:rsidR="00F26C3B" w:rsidRPr="009618E4" w:rsidRDefault="009618E4" w:rsidP="009618E4">
      <w:pPr>
        <w:pStyle w:val="Statut"/>
        <w:rPr>
          <w:noProof/>
        </w:rPr>
      </w:pPr>
      <w:r w:rsidRPr="009618E4">
        <w:t>Proposition de</w:t>
      </w:r>
    </w:p>
    <w:p w:rsidR="00F26C3B" w:rsidRPr="009618E4" w:rsidRDefault="009618E4" w:rsidP="009618E4">
      <w:pPr>
        <w:pStyle w:val="Typedudocument"/>
        <w:rPr>
          <w:noProof/>
        </w:rPr>
      </w:pPr>
      <w:r w:rsidRPr="009618E4">
        <w:t>RÈGLEMENT DU CONSEIL</w:t>
      </w:r>
    </w:p>
    <w:p w:rsidR="00F26C3B" w:rsidRPr="009618E4" w:rsidRDefault="009618E4" w:rsidP="009618E4">
      <w:pPr>
        <w:pStyle w:val="Titreobjet"/>
        <w:rPr>
          <w:noProof/>
        </w:rPr>
      </w:pPr>
      <w:proofErr w:type="gramStart"/>
      <w:r w:rsidRPr="009618E4">
        <w:t>établissant</w:t>
      </w:r>
      <w:proofErr w:type="gramEnd"/>
      <w:r w:rsidRPr="009618E4">
        <w:t xml:space="preserve"> le programme de recherche et de formation de la Communauté européenne de l’énergie atomique pour la période </w:t>
      </w:r>
      <w:r w:rsidRPr="0068119E">
        <w:t>2021</w:t>
      </w:r>
      <w:r w:rsidRPr="009618E4">
        <w:t>–</w:t>
      </w:r>
      <w:r w:rsidRPr="0068119E">
        <w:t>2025</w:t>
      </w:r>
      <w:r w:rsidRPr="009618E4">
        <w:t xml:space="preserve"> complétant le programme-cadre pour la recherche et l’innovation «Horizon Europe»</w:t>
      </w:r>
    </w:p>
    <w:p w:rsidR="00F26C3B" w:rsidRPr="009618E4" w:rsidRDefault="00513FB2">
      <w:pPr>
        <w:pStyle w:val="Institutionquiagit"/>
        <w:rPr>
          <w:noProof/>
          <w:color w:val="000000" w:themeColor="text1"/>
        </w:rPr>
      </w:pPr>
      <w:r w:rsidRPr="009618E4">
        <w:rPr>
          <w:noProof/>
          <w:color w:val="000000" w:themeColor="text1"/>
        </w:rPr>
        <w:t>LE CONSEIL DE L</w:t>
      </w:r>
      <w:r w:rsidR="00266719" w:rsidRPr="009618E4">
        <w:rPr>
          <w:noProof/>
          <w:color w:val="000000" w:themeColor="text1"/>
        </w:rPr>
        <w:t>’</w:t>
      </w:r>
      <w:r w:rsidRPr="009618E4">
        <w:rPr>
          <w:noProof/>
          <w:color w:val="000000" w:themeColor="text1"/>
        </w:rPr>
        <w:t>UNION EUROPÉENNE,</w:t>
      </w:r>
    </w:p>
    <w:p w:rsidR="00F26C3B" w:rsidRPr="009618E4" w:rsidRDefault="00513FB2">
      <w:pPr>
        <w:rPr>
          <w:noProof/>
          <w:color w:val="000000" w:themeColor="text1"/>
        </w:rPr>
      </w:pPr>
      <w:proofErr w:type="gramStart"/>
      <w:r w:rsidRPr="009618E4">
        <w:t>vu</w:t>
      </w:r>
      <w:proofErr w:type="gramEnd"/>
      <w:r w:rsidRPr="009618E4">
        <w:t xml:space="preserve"> le traité instituant la Communauté européenne de l</w:t>
      </w:r>
      <w:r w:rsidR="00266719" w:rsidRPr="009618E4">
        <w:t>’</w:t>
      </w:r>
      <w:r w:rsidRPr="009618E4">
        <w:t>énergie atomique, et notamment son article </w:t>
      </w:r>
      <w:r w:rsidRPr="0068119E">
        <w:t>7</w:t>
      </w:r>
      <w:r w:rsidRPr="009618E4">
        <w:t>,</w:t>
      </w:r>
    </w:p>
    <w:p w:rsidR="00F26C3B" w:rsidRPr="009618E4" w:rsidRDefault="00513FB2">
      <w:pPr>
        <w:rPr>
          <w:noProof/>
          <w:color w:val="000000" w:themeColor="text1"/>
        </w:rPr>
      </w:pPr>
      <w:r w:rsidRPr="009618E4">
        <w:rPr>
          <w:noProof/>
          <w:color w:val="000000" w:themeColor="text1"/>
        </w:rPr>
        <w:t>vu la proposition de la Commission européenne,</w:t>
      </w:r>
    </w:p>
    <w:p w:rsidR="00F26C3B" w:rsidRPr="009618E4" w:rsidRDefault="00513FB2">
      <w:pPr>
        <w:rPr>
          <w:noProof/>
          <w:color w:val="000000" w:themeColor="text1"/>
        </w:rPr>
      </w:pPr>
      <w:r w:rsidRPr="009618E4">
        <w:rPr>
          <w:noProof/>
          <w:color w:val="000000" w:themeColor="text1"/>
        </w:rPr>
        <w:t>vu l</w:t>
      </w:r>
      <w:r w:rsidR="00266719" w:rsidRPr="009618E4">
        <w:rPr>
          <w:noProof/>
          <w:color w:val="000000" w:themeColor="text1"/>
        </w:rPr>
        <w:t>’</w:t>
      </w:r>
      <w:r w:rsidRPr="009618E4">
        <w:rPr>
          <w:noProof/>
          <w:color w:val="000000" w:themeColor="text1"/>
        </w:rPr>
        <w:t>avis du Parlement européen</w:t>
      </w:r>
      <w:r w:rsidRPr="009618E4">
        <w:rPr>
          <w:rStyle w:val="FootnoteReference"/>
          <w:noProof/>
          <w:color w:val="000000" w:themeColor="text1"/>
        </w:rPr>
        <w:footnoteReference w:id="19"/>
      </w:r>
      <w:r w:rsidRPr="009618E4">
        <w:rPr>
          <w:noProof/>
          <w:color w:val="000000" w:themeColor="text1"/>
        </w:rPr>
        <w:t>,</w:t>
      </w:r>
    </w:p>
    <w:p w:rsidR="00F26C3B" w:rsidRPr="009618E4" w:rsidRDefault="00513FB2">
      <w:pPr>
        <w:rPr>
          <w:noProof/>
          <w:color w:val="000000" w:themeColor="text1"/>
        </w:rPr>
      </w:pPr>
      <w:r w:rsidRPr="009618E4">
        <w:rPr>
          <w:noProof/>
          <w:color w:val="000000" w:themeColor="text1"/>
        </w:rPr>
        <w:t>vu l</w:t>
      </w:r>
      <w:r w:rsidR="00266719" w:rsidRPr="009618E4">
        <w:rPr>
          <w:noProof/>
          <w:color w:val="000000" w:themeColor="text1"/>
        </w:rPr>
        <w:t>’</w:t>
      </w:r>
      <w:r w:rsidRPr="009618E4">
        <w:rPr>
          <w:noProof/>
          <w:color w:val="000000" w:themeColor="text1"/>
        </w:rPr>
        <w:t>avis du Comité économique et social européen</w:t>
      </w:r>
      <w:r w:rsidRPr="009618E4">
        <w:rPr>
          <w:rStyle w:val="FootnoteReference"/>
          <w:noProof/>
        </w:rPr>
        <w:footnoteReference w:id="20"/>
      </w:r>
      <w:r w:rsidRPr="009618E4">
        <w:rPr>
          <w:noProof/>
          <w:color w:val="000000" w:themeColor="text1"/>
        </w:rPr>
        <w:t>,</w:t>
      </w:r>
    </w:p>
    <w:p w:rsidR="00F26C3B" w:rsidRPr="009618E4" w:rsidRDefault="00513FB2">
      <w:pPr>
        <w:rPr>
          <w:noProof/>
          <w:color w:val="000000" w:themeColor="text1"/>
        </w:rPr>
      </w:pPr>
      <w:r w:rsidRPr="009618E4">
        <w:rPr>
          <w:noProof/>
          <w:color w:val="000000" w:themeColor="text1"/>
        </w:rPr>
        <w:t>considérant ce qui suit:</w:t>
      </w:r>
    </w:p>
    <w:p w:rsidR="00F26C3B" w:rsidRPr="009618E4" w:rsidRDefault="00513FB2">
      <w:pPr>
        <w:pStyle w:val="ManualConsidrant"/>
        <w:rPr>
          <w:noProof/>
        </w:rPr>
      </w:pPr>
      <w:r w:rsidRPr="009618E4">
        <w:t>(</w:t>
      </w:r>
      <w:r w:rsidRPr="0068119E">
        <w:t>1</w:t>
      </w:r>
      <w:r w:rsidRPr="009618E4">
        <w:t>)</w:t>
      </w:r>
      <w:r w:rsidRPr="009618E4">
        <w:tab/>
        <w:t>L</w:t>
      </w:r>
      <w:r w:rsidR="00266719" w:rsidRPr="009618E4">
        <w:t>’</w:t>
      </w:r>
      <w:r w:rsidRPr="009618E4">
        <w:t>un des objectifs de la Communauté européenne de l</w:t>
      </w:r>
      <w:r w:rsidR="00266719" w:rsidRPr="009618E4">
        <w:t>’</w:t>
      </w:r>
      <w:r w:rsidRPr="009618E4">
        <w:t>énergie atomique (ci-après dénommée la «Communauté») est de contribuer à l</w:t>
      </w:r>
      <w:r w:rsidR="00266719" w:rsidRPr="009618E4">
        <w:t>’</w:t>
      </w:r>
      <w:r w:rsidRPr="009618E4">
        <w:t>élévation du niveau de vie dans les États membres, y compris en favorisant et en facilitant la recherche nucléaire dans les États membres et en la complétant par l</w:t>
      </w:r>
      <w:r w:rsidR="00266719" w:rsidRPr="009618E4">
        <w:t>’</w:t>
      </w:r>
      <w:r w:rsidRPr="009618E4">
        <w:t>exécution d</w:t>
      </w:r>
      <w:r w:rsidR="00266719" w:rsidRPr="009618E4">
        <w:t>’</w:t>
      </w:r>
      <w:r w:rsidRPr="009618E4">
        <w:t>un programme de recherche et de formation de la Communauté.</w:t>
      </w:r>
    </w:p>
    <w:p w:rsidR="00F26C3B" w:rsidRPr="009618E4" w:rsidRDefault="00513FB2">
      <w:pPr>
        <w:pStyle w:val="ManualConsidrant"/>
        <w:rPr>
          <w:noProof/>
        </w:rPr>
      </w:pPr>
      <w:r w:rsidRPr="009618E4">
        <w:t>(</w:t>
      </w:r>
      <w:r w:rsidRPr="0068119E">
        <w:t>2</w:t>
      </w:r>
      <w:r w:rsidRPr="009618E4">
        <w:t>)</w:t>
      </w:r>
      <w:r w:rsidRPr="009618E4">
        <w:tab/>
        <w:t>La recherche nucléaire peut contribuer au bien-être social, à la prospérité économique et à la viabilité environnementale par l</w:t>
      </w:r>
      <w:r w:rsidR="00266719" w:rsidRPr="009618E4">
        <w:t>’</w:t>
      </w:r>
      <w:r w:rsidRPr="009618E4">
        <w:t>amélioration de la sûreté nucléaire, de la sécurité et de la radioprotection. La recherche sur la radioprotection a amené des améliorations dans les technologies médicales dont bénéficient de nombreux citoyens, et cette recherche peut à présent aboutir à des améliorations dans d</w:t>
      </w:r>
      <w:r w:rsidR="00266719" w:rsidRPr="009618E4">
        <w:t>’</w:t>
      </w:r>
      <w:r w:rsidRPr="009618E4">
        <w:t>autres secteurs tels que l</w:t>
      </w:r>
      <w:r w:rsidR="00266719" w:rsidRPr="009618E4">
        <w:t>’</w:t>
      </w:r>
      <w:r w:rsidRPr="009618E4">
        <w:t>industrie, l</w:t>
      </w:r>
      <w:r w:rsidR="00266719" w:rsidRPr="009618E4">
        <w:t>’</w:t>
      </w:r>
      <w:r w:rsidRPr="009618E4">
        <w:t>agriculture, l</w:t>
      </w:r>
      <w:r w:rsidR="00266719" w:rsidRPr="009618E4">
        <w:t>’</w:t>
      </w:r>
      <w:r w:rsidRPr="009618E4">
        <w:t>environnement et la sécurité. La contribution potentielle de la recherche nucléaire à la décarbonation à long terme du système énergétique d</w:t>
      </w:r>
      <w:r w:rsidR="00266719" w:rsidRPr="009618E4">
        <w:t>’</w:t>
      </w:r>
      <w:r w:rsidRPr="009618E4">
        <w:t>une façon sûre, efficiente et sécurisée est tout aussi importante.</w:t>
      </w:r>
    </w:p>
    <w:p w:rsidR="00F26C3B" w:rsidRPr="009618E4" w:rsidRDefault="00513FB2">
      <w:pPr>
        <w:pStyle w:val="ManualConsidrant"/>
        <w:rPr>
          <w:noProof/>
          <w:color w:val="000000" w:themeColor="text1"/>
        </w:rPr>
      </w:pPr>
      <w:r w:rsidRPr="009618E4">
        <w:t>(</w:t>
      </w:r>
      <w:r w:rsidRPr="0068119E">
        <w:t>3</w:t>
      </w:r>
      <w:r w:rsidRPr="009618E4">
        <w:t>)</w:t>
      </w:r>
      <w:r w:rsidRPr="009618E4">
        <w:tab/>
        <w:t>Afin d</w:t>
      </w:r>
      <w:r w:rsidR="00266719" w:rsidRPr="009618E4">
        <w:t>’</w:t>
      </w:r>
      <w:r w:rsidRPr="009618E4">
        <w:t>assurer la continuité de la recherche nucléaire au niveau communautaire, il est nécessaire d</w:t>
      </w:r>
      <w:r w:rsidR="00266719" w:rsidRPr="009618E4">
        <w:t>’</w:t>
      </w:r>
      <w:r w:rsidRPr="009618E4">
        <w:t xml:space="preserve">établir le programme de recherche et de formation de la Communauté pour la période comprise entre le </w:t>
      </w:r>
      <w:r w:rsidRPr="0068119E">
        <w:t>1</w:t>
      </w:r>
      <w:r w:rsidRPr="009618E4">
        <w:rPr>
          <w:vertAlign w:val="superscript"/>
        </w:rPr>
        <w:t>er</w:t>
      </w:r>
      <w:r w:rsidRPr="009618E4">
        <w:t xml:space="preserve"> janvier </w:t>
      </w:r>
      <w:r w:rsidRPr="0068119E">
        <w:t>2021</w:t>
      </w:r>
      <w:r w:rsidRPr="009618E4">
        <w:t xml:space="preserve"> et le </w:t>
      </w:r>
      <w:r w:rsidRPr="0068119E">
        <w:t>31</w:t>
      </w:r>
      <w:r w:rsidRPr="009618E4">
        <w:t xml:space="preserve"> décembre </w:t>
      </w:r>
      <w:r w:rsidRPr="0068119E">
        <w:t>2025</w:t>
      </w:r>
      <w:r w:rsidRPr="009618E4">
        <w:t xml:space="preserve"> (ci-après le «programme»). Le programme devrait continuer à exécuter les principales activités de recherche des programmes précédents, tout en introduisant de nouveaux objectifs spécifiques, et utiliser le même mode de mise en œuvre.</w:t>
      </w:r>
    </w:p>
    <w:p w:rsidR="00F26C3B" w:rsidRPr="009618E4" w:rsidRDefault="00513FB2">
      <w:pPr>
        <w:pStyle w:val="ManualConsidrant"/>
        <w:rPr>
          <w:noProof/>
        </w:rPr>
      </w:pPr>
      <w:r w:rsidRPr="009618E4">
        <w:t>(</w:t>
      </w:r>
      <w:r w:rsidRPr="0068119E">
        <w:t>4</w:t>
      </w:r>
      <w:r w:rsidRPr="009618E4">
        <w:t>)</w:t>
      </w:r>
      <w:r w:rsidRPr="009618E4">
        <w:tab/>
        <w:t>Le rapport de la Commission sur l</w:t>
      </w:r>
      <w:r w:rsidR="00266719" w:rsidRPr="009618E4">
        <w:t>’</w:t>
      </w:r>
      <w:r w:rsidRPr="009618E4">
        <w:t xml:space="preserve">évaluation intermédiaire du programme de recherche et de formation </w:t>
      </w:r>
      <w:r w:rsidRPr="0068119E">
        <w:t>2014</w:t>
      </w:r>
      <w:r w:rsidRPr="009618E4">
        <w:t>–</w:t>
      </w:r>
      <w:r w:rsidRPr="0068119E">
        <w:t>2018</w:t>
      </w:r>
      <w:r w:rsidRPr="009618E4">
        <w:t xml:space="preserve"> d</w:t>
      </w:r>
      <w:r w:rsidR="00266719" w:rsidRPr="009618E4">
        <w:t>’</w:t>
      </w:r>
      <w:r w:rsidRPr="009618E4">
        <w:t>Euratom [COM(</w:t>
      </w:r>
      <w:r w:rsidRPr="0068119E">
        <w:t>2017</w:t>
      </w:r>
      <w:r w:rsidRPr="009618E4">
        <w:t xml:space="preserve">) </w:t>
      </w:r>
      <w:r w:rsidRPr="0068119E">
        <w:t>697</w:t>
      </w:r>
      <w:r w:rsidRPr="009618E4">
        <w:t xml:space="preserve"> final] définit une série de principes directeurs pour le programme, Il s</w:t>
      </w:r>
      <w:r w:rsidR="00266719" w:rsidRPr="009618E4">
        <w:t>’</w:t>
      </w:r>
      <w:r w:rsidRPr="009618E4">
        <w:t>agit notamment de: continuer à soutenir la recherche nucléaire axée sur la sûreté nucléaire, les garanties, la sécurité, la gestion des déchets, la radioprotection et le développement de la fusion; continuer à renforcer, en collaboration avec les bénéficiaires, l</w:t>
      </w:r>
      <w:r w:rsidR="00266719" w:rsidRPr="009618E4">
        <w:t>’</w:t>
      </w:r>
      <w:r w:rsidRPr="009618E4">
        <w:t>organisation et la gestion de programmes européens communs dans le domaine nucléaire; poursuivre et renforcer les actions d</w:t>
      </w:r>
      <w:r w:rsidR="00266719" w:rsidRPr="009618E4">
        <w:t>’</w:t>
      </w:r>
      <w:r w:rsidRPr="009618E4">
        <w:t>éducation et de formation d</w:t>
      </w:r>
      <w:r w:rsidR="00266719" w:rsidRPr="009618E4">
        <w:t>’</w:t>
      </w:r>
      <w:r w:rsidRPr="009618E4">
        <w:t>Euratom visant à développer les compétences pertinentes qui sous-tendent tous les aspects de la sûreté nucléaire, de la sécurité et de la radioprotection; continuer à exploiter les synergies entre le programme Euratom et d</w:t>
      </w:r>
      <w:r w:rsidR="00266719" w:rsidRPr="009618E4">
        <w:t>’</w:t>
      </w:r>
      <w:r w:rsidRPr="009618E4">
        <w:t>autres domaines thématiques du programme-cadre de l</w:t>
      </w:r>
      <w:r w:rsidR="00266719" w:rsidRPr="009618E4">
        <w:t>’</w:t>
      </w:r>
      <w:r w:rsidRPr="009618E4">
        <w:t>Union; et continuer à exploiter les synergies entre les actions directes et indirectes du programme Euratom.</w:t>
      </w:r>
    </w:p>
    <w:p w:rsidR="00F26C3B" w:rsidRPr="009618E4" w:rsidRDefault="00513FB2">
      <w:pPr>
        <w:pStyle w:val="ManualConsidrant"/>
        <w:rPr>
          <w:noProof/>
        </w:rPr>
      </w:pPr>
      <w:r w:rsidRPr="009618E4">
        <w:t>(</w:t>
      </w:r>
      <w:r w:rsidRPr="0068119E">
        <w:t>5</w:t>
      </w:r>
      <w:r w:rsidRPr="009618E4">
        <w:t>)</w:t>
      </w:r>
      <w:r w:rsidRPr="009618E4">
        <w:tab/>
        <w:t>Le programme est conçu en fonction de la nécessité d</w:t>
      </w:r>
      <w:r w:rsidR="00266719" w:rsidRPr="009618E4">
        <w:t>’</w:t>
      </w:r>
      <w:r w:rsidRPr="009618E4">
        <w:t>établir une masse critique d</w:t>
      </w:r>
      <w:r w:rsidR="00266719" w:rsidRPr="009618E4">
        <w:t>’</w:t>
      </w:r>
      <w:r w:rsidRPr="009618E4">
        <w:t>activités bénéficiant d</w:t>
      </w:r>
      <w:r w:rsidR="00266719" w:rsidRPr="009618E4">
        <w:t>’</w:t>
      </w:r>
      <w:r w:rsidRPr="009618E4">
        <w:t>un soutien. Ce résultat est obtenu en établissant un nombre limité d</w:t>
      </w:r>
      <w:r w:rsidR="00266719" w:rsidRPr="009618E4">
        <w:t>’</w:t>
      </w:r>
      <w:r w:rsidRPr="009618E4">
        <w:t>objectifs spécifiques axés sur l</w:t>
      </w:r>
      <w:r w:rsidR="00266719" w:rsidRPr="009618E4">
        <w:t>’</w:t>
      </w:r>
      <w:r w:rsidRPr="009618E4">
        <w:t>utilisation sûre de la fission nucléaire en vue d</w:t>
      </w:r>
      <w:r w:rsidR="00266719" w:rsidRPr="009618E4">
        <w:t>’</w:t>
      </w:r>
      <w:r w:rsidRPr="009618E4">
        <w:t>applications liées ou non à la production d</w:t>
      </w:r>
      <w:r w:rsidR="00266719" w:rsidRPr="009618E4">
        <w:t>’</w:t>
      </w:r>
      <w:r w:rsidRPr="009618E4">
        <w:t>électricité, en maintenant et en développant l</w:t>
      </w:r>
      <w:r w:rsidR="00266719" w:rsidRPr="009618E4">
        <w:t>’</w:t>
      </w:r>
      <w:r w:rsidRPr="009618E4">
        <w:t>expertise nécessaire, en promouvant l</w:t>
      </w:r>
      <w:r w:rsidR="00266719" w:rsidRPr="009618E4">
        <w:t>’</w:t>
      </w:r>
      <w:r w:rsidRPr="009618E4">
        <w:t>énergie de fusion et en soutenant la politique de l</w:t>
      </w:r>
      <w:r w:rsidR="00266719" w:rsidRPr="009618E4">
        <w:t>’</w:t>
      </w:r>
      <w:r w:rsidRPr="009618E4">
        <w:t>Union en matière de sûreté, sauvegardes et sécurité nucléaires.</w:t>
      </w:r>
    </w:p>
    <w:p w:rsidR="00F26C3B" w:rsidRPr="009618E4" w:rsidRDefault="00513FB2">
      <w:pPr>
        <w:pStyle w:val="ManualConsidrant"/>
        <w:rPr>
          <w:noProof/>
        </w:rPr>
      </w:pPr>
      <w:r w:rsidRPr="009618E4">
        <w:t>(</w:t>
      </w:r>
      <w:r w:rsidRPr="0068119E">
        <w:t>6</w:t>
      </w:r>
      <w:r w:rsidRPr="009618E4">
        <w:t>)</w:t>
      </w:r>
      <w:r w:rsidRPr="009618E4">
        <w:tab/>
        <w:t>La recherche sur l</w:t>
      </w:r>
      <w:r w:rsidR="00266719" w:rsidRPr="009618E4">
        <w:t>’</w:t>
      </w:r>
      <w:r w:rsidRPr="009618E4">
        <w:t>énergie de fusion est mise en œuvre conformément à la feuille de route européenne pour la fusion, qui définit les recherches et développements nécessaires pour fournir la base d</w:t>
      </w:r>
      <w:r w:rsidR="00266719" w:rsidRPr="009618E4">
        <w:t>’</w:t>
      </w:r>
      <w:r w:rsidRPr="009618E4">
        <w:t>une centrale électrique à fusion. À court ou moyen terme, l</w:t>
      </w:r>
      <w:r w:rsidR="00266719" w:rsidRPr="009618E4">
        <w:t>’</w:t>
      </w:r>
      <w:r w:rsidRPr="009618E4">
        <w:t>étape clé est la construction et l</w:t>
      </w:r>
      <w:r w:rsidR="00266719" w:rsidRPr="009618E4">
        <w:t>’</w:t>
      </w:r>
      <w:r w:rsidRPr="009618E4">
        <w:t>exploitation de l</w:t>
      </w:r>
      <w:r w:rsidR="00266719" w:rsidRPr="009618E4">
        <w:t>’</w:t>
      </w:r>
      <w:r w:rsidRPr="009618E4">
        <w:t>ITER, et un vigoureux programme de recherche sur la fusion va compléter les activités européennes concernant l</w:t>
      </w:r>
      <w:r w:rsidR="00266719" w:rsidRPr="009618E4">
        <w:t>’</w:t>
      </w:r>
      <w:r w:rsidRPr="009618E4">
        <w:t>ITER afin de soutenir les futures opérations d</w:t>
      </w:r>
      <w:r w:rsidR="00266719" w:rsidRPr="009618E4">
        <w:t>’</w:t>
      </w:r>
      <w:r w:rsidRPr="009618E4">
        <w:t>ITER et les travaux préparatoires pour DEMO.</w:t>
      </w:r>
    </w:p>
    <w:p w:rsidR="00F26C3B" w:rsidRPr="009618E4" w:rsidRDefault="00513FB2">
      <w:pPr>
        <w:pStyle w:val="ManualConsidrant"/>
        <w:rPr>
          <w:noProof/>
        </w:rPr>
      </w:pPr>
      <w:r w:rsidRPr="009618E4">
        <w:t>(</w:t>
      </w:r>
      <w:r w:rsidRPr="0068119E">
        <w:t>7</w:t>
      </w:r>
      <w:r w:rsidRPr="009618E4">
        <w:t>)</w:t>
      </w:r>
      <w:r w:rsidRPr="009618E4">
        <w:tab/>
        <w:t>En soutenant la recherche nucléaire, le programme devrait contribuer à la réalisation des objectifs du programme-cadre pour la recherche et l</w:t>
      </w:r>
      <w:r w:rsidR="00266719" w:rsidRPr="009618E4">
        <w:t>’</w:t>
      </w:r>
      <w:r w:rsidRPr="009618E4">
        <w:t>innovation «Horizon Europe» (dénommé «Horizon Europe») établi par le règlement (UE) nº [...] du Parlement européen et du Conseil</w:t>
      </w:r>
      <w:r w:rsidRPr="009618E4">
        <w:rPr>
          <w:rStyle w:val="FootnoteReference"/>
          <w:noProof/>
        </w:rPr>
        <w:footnoteReference w:id="21"/>
      </w:r>
      <w:r w:rsidRPr="009618E4">
        <w:t xml:space="preserve"> et faciliter la mise en œuvre de la stratégie «Europe </w:t>
      </w:r>
      <w:r w:rsidRPr="0068119E">
        <w:t>2030</w:t>
      </w:r>
      <w:r w:rsidRPr="009618E4">
        <w:t>» ainsi que le renforcement de l</w:t>
      </w:r>
      <w:r w:rsidR="00266719" w:rsidRPr="009618E4">
        <w:t>’</w:t>
      </w:r>
      <w:r w:rsidRPr="009618E4">
        <w:t>Espace européen de la recherche.</w:t>
      </w:r>
    </w:p>
    <w:p w:rsidR="00EE6722" w:rsidRPr="009618E4" w:rsidRDefault="00513FB2" w:rsidP="00EB12C9">
      <w:pPr>
        <w:ind w:left="709" w:hanging="709"/>
      </w:pPr>
      <w:r w:rsidRPr="009618E4">
        <w:t>(</w:t>
      </w:r>
      <w:r w:rsidRPr="0068119E">
        <w:t>8</w:t>
      </w:r>
      <w:r w:rsidRPr="009618E4">
        <w:t>)</w:t>
      </w:r>
      <w:r w:rsidRPr="009618E4">
        <w:tab/>
        <w:t>Le programme devrait rechercher des synergies avec «Horizon Europe» et avec d</w:t>
      </w:r>
      <w:r w:rsidR="00266719" w:rsidRPr="009618E4">
        <w:t>’</w:t>
      </w:r>
      <w:r w:rsidRPr="009618E4">
        <w:t>autres programmes de l</w:t>
      </w:r>
      <w:r w:rsidR="00266719" w:rsidRPr="009618E4">
        <w:t>’</w:t>
      </w:r>
      <w:r w:rsidRPr="009618E4">
        <w:t>Union, de leur conception et de la planification stratégique à la sélection des projets, la gestion, la communication, la diffusion et l</w:t>
      </w:r>
      <w:r w:rsidR="00266719" w:rsidRPr="009618E4">
        <w:t>’</w:t>
      </w:r>
      <w:r w:rsidRPr="009618E4">
        <w:t>exploitation des résultats, le suivi, l</w:t>
      </w:r>
      <w:r w:rsidR="00266719" w:rsidRPr="009618E4">
        <w:t>’</w:t>
      </w:r>
      <w:r w:rsidRPr="009618E4">
        <w:t>audit et la gouvernance.</w:t>
      </w:r>
      <w:r w:rsidRPr="009618E4">
        <w:rPr>
          <w:noProof/>
        </w:rPr>
        <w:t xml:space="preserve"> Afin d</w:t>
      </w:r>
      <w:r w:rsidR="00266719" w:rsidRPr="009618E4">
        <w:rPr>
          <w:noProof/>
        </w:rPr>
        <w:t>’</w:t>
      </w:r>
      <w:r w:rsidRPr="009618E4">
        <w:rPr>
          <w:noProof/>
        </w:rPr>
        <w:t>éviter les chevauchements et le double emploi et d</w:t>
      </w:r>
      <w:r w:rsidR="00266719" w:rsidRPr="009618E4">
        <w:rPr>
          <w:noProof/>
        </w:rPr>
        <w:t>’</w:t>
      </w:r>
      <w:r w:rsidRPr="009618E4">
        <w:rPr>
          <w:noProof/>
        </w:rPr>
        <w:t>accroître l</w:t>
      </w:r>
      <w:r w:rsidR="00266719" w:rsidRPr="009618E4">
        <w:rPr>
          <w:noProof/>
        </w:rPr>
        <w:t>’</w:t>
      </w:r>
      <w:r w:rsidRPr="009618E4">
        <w:rPr>
          <w:noProof/>
        </w:rPr>
        <w:t>effet de levier du financement de l</w:t>
      </w:r>
      <w:r w:rsidR="00266719" w:rsidRPr="009618E4">
        <w:rPr>
          <w:noProof/>
        </w:rPr>
        <w:t>’</w:t>
      </w:r>
      <w:r w:rsidRPr="009618E4">
        <w:rPr>
          <w:noProof/>
        </w:rPr>
        <w:t>UE, des transferts peuvent avoir lieu d</w:t>
      </w:r>
      <w:r w:rsidR="00266719" w:rsidRPr="009618E4">
        <w:rPr>
          <w:noProof/>
        </w:rPr>
        <w:t>’</w:t>
      </w:r>
      <w:r w:rsidRPr="009618E4">
        <w:rPr>
          <w:noProof/>
        </w:rPr>
        <w:t>autres programmes de l</w:t>
      </w:r>
      <w:r w:rsidR="00266719" w:rsidRPr="009618E4">
        <w:rPr>
          <w:noProof/>
        </w:rPr>
        <w:t>’</w:t>
      </w:r>
      <w:r w:rsidRPr="009618E4">
        <w:rPr>
          <w:noProof/>
        </w:rPr>
        <w:t>Union vers des activités «Horizon Europe». Dans ce cas, ils respectent les règles d</w:t>
      </w:r>
      <w:r w:rsidR="00266719" w:rsidRPr="009618E4">
        <w:rPr>
          <w:noProof/>
        </w:rPr>
        <w:t>’</w:t>
      </w:r>
      <w:r w:rsidRPr="009618E4">
        <w:rPr>
          <w:noProof/>
        </w:rPr>
        <w:t xml:space="preserve">«Horizon Europe» </w:t>
      </w:r>
      <w:r w:rsidRPr="009618E4">
        <w:tab/>
      </w:r>
    </w:p>
    <w:p w:rsidR="0091640D" w:rsidRPr="009618E4" w:rsidRDefault="00AB5FA1" w:rsidP="00B643B4">
      <w:pPr>
        <w:pStyle w:val="ManualConsidrant"/>
      </w:pPr>
      <w:r w:rsidRPr="009618E4">
        <w:t>(</w:t>
      </w:r>
      <w:r w:rsidRPr="0068119E">
        <w:t>9</w:t>
      </w:r>
      <w:r w:rsidRPr="009618E4">
        <w:t>)</w:t>
      </w:r>
      <w:r w:rsidRPr="009618E4">
        <w:tab/>
        <w:t>Les actions du programme devraient néanmoins être utilisées, de manière proportionnée, pour remédier aux défaillances des marchés ou à l</w:t>
      </w:r>
      <w:r w:rsidR="00266719" w:rsidRPr="009618E4">
        <w:t>’</w:t>
      </w:r>
      <w:r w:rsidRPr="009618E4">
        <w:t>inadéquation de ceux-ci en matière d</w:t>
      </w:r>
      <w:r w:rsidR="00266719" w:rsidRPr="009618E4">
        <w:t>’</w:t>
      </w:r>
      <w:r w:rsidRPr="009618E4">
        <w:t>investissements, sans causer d</w:t>
      </w:r>
      <w:r w:rsidR="00266719" w:rsidRPr="009618E4">
        <w:t>’</w:t>
      </w:r>
      <w:r w:rsidRPr="009618E4">
        <w:t>éviction du financement privé ni de double emploi avec ce dernier, et devraient présenter une valeur ajoutée européenne manifeste. Cela permettra d</w:t>
      </w:r>
      <w:r w:rsidR="00266719" w:rsidRPr="009618E4">
        <w:t>’</w:t>
      </w:r>
      <w:r w:rsidRPr="009618E4">
        <w:t>assurer une cohérence entre les actions du programme et les règles de l</w:t>
      </w:r>
      <w:r w:rsidR="00266719" w:rsidRPr="009618E4">
        <w:t>’</w:t>
      </w:r>
      <w:r w:rsidRPr="009618E4">
        <w:t>UE en matière d</w:t>
      </w:r>
      <w:r w:rsidR="00266719" w:rsidRPr="009618E4">
        <w:t>’</w:t>
      </w:r>
      <w:r w:rsidRPr="009618E4">
        <w:t>aides d</w:t>
      </w:r>
      <w:r w:rsidR="00266719" w:rsidRPr="009618E4">
        <w:t>’</w:t>
      </w:r>
      <w:r w:rsidRPr="009618E4">
        <w:t>État, tout en évitant des distorsions de concurrence indues dans le marché intérieur.</w:t>
      </w:r>
    </w:p>
    <w:p w:rsidR="00F26C3B" w:rsidRPr="009618E4" w:rsidRDefault="00EB12C9">
      <w:pPr>
        <w:pStyle w:val="ManualConsidrant"/>
      </w:pPr>
      <w:r w:rsidRPr="009618E4">
        <w:t>(</w:t>
      </w:r>
      <w:r w:rsidRPr="0068119E">
        <w:t>10</w:t>
      </w:r>
      <w:r w:rsidRPr="009618E4">
        <w:t>)</w:t>
      </w:r>
      <w:r w:rsidRPr="009618E4">
        <w:tab/>
        <w:t>Le présent règlement établit l</w:t>
      </w:r>
      <w:r w:rsidR="00266719" w:rsidRPr="009618E4">
        <w:t>’</w:t>
      </w:r>
      <w:r w:rsidRPr="009618E4">
        <w:t>enveloppe financière du programme Euratom de recherche et de formation qui doit constituer le montant de référence principal, au sens du [</w:t>
      </w:r>
      <w:r w:rsidRPr="009618E4">
        <w:rPr>
          <w:color w:val="000000" w:themeColor="text1"/>
        </w:rPr>
        <w:t>référence à mettre à jour, le cas échéant, conformément au nouvel accord interinstitutionnel:</w:t>
      </w:r>
      <w:r w:rsidRPr="009618E4">
        <w:t xml:space="preserve"> point </w:t>
      </w:r>
      <w:r w:rsidRPr="0068119E">
        <w:t>17</w:t>
      </w:r>
      <w:r w:rsidRPr="009618E4">
        <w:t xml:space="preserve"> de l</w:t>
      </w:r>
      <w:r w:rsidR="00266719" w:rsidRPr="009618E4">
        <w:t>’</w:t>
      </w:r>
      <w:r w:rsidRPr="009618E4">
        <w:t xml:space="preserve">accord interinstitutionnel du </w:t>
      </w:r>
      <w:r w:rsidRPr="0068119E">
        <w:t>2</w:t>
      </w:r>
      <w:r w:rsidRPr="009618E4">
        <w:t xml:space="preserve"> décembre </w:t>
      </w:r>
      <w:r w:rsidRPr="0068119E">
        <w:t>2013</w:t>
      </w:r>
      <w:r w:rsidRPr="009618E4">
        <w:t xml:space="preserve"> entre le Parlement européen, le Conseil et la Commission sur la discipline budgétaire, la coopération en matière budgétaire et la bonne gestion financière], pour le Parlement européen et le Conseil au cours de la procédure budgétaire annuelle.</w:t>
      </w:r>
    </w:p>
    <w:p w:rsidR="00F26C3B" w:rsidRPr="009618E4" w:rsidRDefault="00513FB2">
      <w:pPr>
        <w:pStyle w:val="ManualConsidrant"/>
        <w:rPr>
          <w:noProof/>
        </w:rPr>
      </w:pPr>
      <w:r w:rsidRPr="009618E4">
        <w:t>(</w:t>
      </w:r>
      <w:r w:rsidRPr="0068119E">
        <w:t>11</w:t>
      </w:r>
      <w:r w:rsidRPr="009618E4">
        <w:t>)</w:t>
      </w:r>
      <w:r w:rsidRPr="009618E4">
        <w:tab/>
        <w:t>Le règlement (UE, Euratom) nº [...] du Parlement européen et du Conseil</w:t>
      </w:r>
      <w:r w:rsidRPr="009618E4">
        <w:rPr>
          <w:rStyle w:val="FootnoteReference"/>
          <w:noProof/>
        </w:rPr>
        <w:footnoteReference w:id="22"/>
      </w:r>
      <w:r w:rsidRPr="009618E4">
        <w:t xml:space="preserve"> (ci-après le «règlement financier») devrait s</w:t>
      </w:r>
      <w:r w:rsidR="00266719" w:rsidRPr="009618E4">
        <w:t>’</w:t>
      </w:r>
      <w:r w:rsidRPr="009618E4">
        <w:t>appliquer au programme, sauf disposition contraire du présent règlement. Il énonce les règles relatives à l</w:t>
      </w:r>
      <w:r w:rsidR="00266719" w:rsidRPr="009618E4">
        <w:t>’</w:t>
      </w:r>
      <w:r w:rsidRPr="009618E4">
        <w:t>exécution du budget de l</w:t>
      </w:r>
      <w:r w:rsidR="00266719" w:rsidRPr="009618E4">
        <w:t>’</w:t>
      </w:r>
      <w:r w:rsidRPr="009618E4">
        <w:t>Union, y compris celles sur les subventions, les prix, les marchés, l</w:t>
      </w:r>
      <w:r w:rsidR="00266719" w:rsidRPr="009618E4">
        <w:t>’</w:t>
      </w:r>
      <w:r w:rsidRPr="009618E4">
        <w:t>exécution indirecte, l</w:t>
      </w:r>
      <w:r w:rsidR="00266719" w:rsidRPr="009618E4">
        <w:t>’</w:t>
      </w:r>
      <w:r w:rsidRPr="009618E4">
        <w:t>assistance financière, les instruments financiers et les garanties budgétaires.</w:t>
      </w:r>
    </w:p>
    <w:p w:rsidR="00F26C3B" w:rsidRPr="009618E4" w:rsidRDefault="00513FB2">
      <w:pPr>
        <w:pStyle w:val="ManualConsidrant"/>
        <w:rPr>
          <w:noProof/>
        </w:rPr>
      </w:pPr>
      <w:r w:rsidRPr="009618E4">
        <w:t>(</w:t>
      </w:r>
      <w:r w:rsidRPr="0068119E">
        <w:t>12</w:t>
      </w:r>
      <w:r w:rsidRPr="009618E4">
        <w:t>)</w:t>
      </w:r>
      <w:r w:rsidRPr="009618E4">
        <w:tab/>
        <w:t>Les types de financement et les modes d</w:t>
      </w:r>
      <w:r w:rsidR="00266719" w:rsidRPr="009618E4">
        <w:t>’</w:t>
      </w:r>
      <w:r w:rsidRPr="009618E4">
        <w:t>exécution prévus par le présent règlement devraient être choisis en fonction de leur capacité à atteindre les objectifs spécifiques des actions et à produire des résultats, compte tenu notamment des coûts liés aux contrôles, de la charge administrative et du risque attendu de non-respect des règles. Pour les subventions, il convient aussi d</w:t>
      </w:r>
      <w:r w:rsidR="00266719" w:rsidRPr="009618E4">
        <w:t>’</w:t>
      </w:r>
      <w:r w:rsidRPr="009618E4">
        <w:t>envisager le recours aux montants forfaitaires, aux taux forfaitaires et aux coûts unitaires.</w:t>
      </w:r>
    </w:p>
    <w:p w:rsidR="00F26C3B" w:rsidRPr="009618E4" w:rsidRDefault="00513FB2">
      <w:pPr>
        <w:pStyle w:val="ManualConsidrant"/>
        <w:rPr>
          <w:noProof/>
        </w:rPr>
      </w:pPr>
      <w:r w:rsidRPr="009618E4">
        <w:t>(</w:t>
      </w:r>
      <w:r w:rsidRPr="0068119E">
        <w:t>13</w:t>
      </w:r>
      <w:r w:rsidRPr="009618E4">
        <w:t>)</w:t>
      </w:r>
      <w:r w:rsidRPr="009618E4">
        <w:tab/>
      </w:r>
      <w:r w:rsidRPr="009618E4">
        <w:tab/>
        <w:t>Les règles financières horizontales adoptées par le Parlement européen et le Conseil sur la base de l</w:t>
      </w:r>
      <w:r w:rsidR="00266719" w:rsidRPr="009618E4">
        <w:t>’</w:t>
      </w:r>
      <w:r w:rsidRPr="009618E4">
        <w:t>article </w:t>
      </w:r>
      <w:r w:rsidRPr="0068119E">
        <w:t>322</w:t>
      </w:r>
      <w:r w:rsidRPr="009618E4">
        <w:t xml:space="preserve"> du traité sur le fonctionnement de l</w:t>
      </w:r>
      <w:r w:rsidR="00266719" w:rsidRPr="009618E4">
        <w:t>’</w:t>
      </w:r>
      <w:r w:rsidRPr="009618E4">
        <w:t>Union européenne (TFUE) et de l</w:t>
      </w:r>
      <w:r w:rsidR="00266719" w:rsidRPr="009618E4">
        <w:t>’</w:t>
      </w:r>
      <w:r w:rsidRPr="009618E4">
        <w:t>article </w:t>
      </w:r>
      <w:r w:rsidRPr="0068119E">
        <w:t>106</w:t>
      </w:r>
      <w:r w:rsidRPr="009618E4">
        <w:t> </w:t>
      </w:r>
      <w:r w:rsidRPr="009618E4">
        <w:rPr>
          <w:i/>
        </w:rPr>
        <w:t>bis</w:t>
      </w:r>
      <w:r w:rsidRPr="009618E4">
        <w:t xml:space="preserve"> du traité Euratom s</w:t>
      </w:r>
      <w:r w:rsidR="00266719" w:rsidRPr="009618E4">
        <w:t>’</w:t>
      </w:r>
      <w:r w:rsidRPr="009618E4">
        <w:t>appliquent au présent règlement. Ces règles sont énoncées dans le règlement financier et fixent notamment les modalités d</w:t>
      </w:r>
      <w:r w:rsidR="00266719" w:rsidRPr="009618E4">
        <w:t>’</w:t>
      </w:r>
      <w:r w:rsidRPr="009618E4">
        <w:t>établissement et d</w:t>
      </w:r>
      <w:r w:rsidR="00266719" w:rsidRPr="009618E4">
        <w:t>’</w:t>
      </w:r>
      <w:r w:rsidRPr="009618E4">
        <w:t>exécution du budget au moyen de subventions, de marchés, de prix et d</w:t>
      </w:r>
      <w:r w:rsidR="00266719" w:rsidRPr="009618E4">
        <w:t>’</w:t>
      </w:r>
      <w:r w:rsidRPr="009618E4">
        <w:t>exécution indirecte, et organisent le contrôle de la responsabilité des acteurs financiers. Les règles adoptées sur la base de l</w:t>
      </w:r>
      <w:r w:rsidR="00266719" w:rsidRPr="009618E4">
        <w:t>’</w:t>
      </w:r>
      <w:r w:rsidRPr="009618E4">
        <w:t>article </w:t>
      </w:r>
      <w:r w:rsidRPr="0068119E">
        <w:t>322</w:t>
      </w:r>
      <w:r w:rsidRPr="009618E4">
        <w:t xml:space="preserve"> du TFUE et de l</w:t>
      </w:r>
      <w:r w:rsidR="00266719" w:rsidRPr="009618E4">
        <w:t>’</w:t>
      </w:r>
      <w:r w:rsidRPr="009618E4">
        <w:t>article </w:t>
      </w:r>
      <w:r w:rsidRPr="0068119E">
        <w:t>106</w:t>
      </w:r>
      <w:r w:rsidRPr="009618E4">
        <w:t> </w:t>
      </w:r>
      <w:r w:rsidRPr="009618E4">
        <w:rPr>
          <w:i/>
        </w:rPr>
        <w:t>bis</w:t>
      </w:r>
      <w:r w:rsidRPr="009618E4">
        <w:t xml:space="preserve"> du traité Euratom concernent également la protection du budget de l</w:t>
      </w:r>
      <w:r w:rsidR="00266719" w:rsidRPr="009618E4">
        <w:t>’</w:t>
      </w:r>
      <w:r w:rsidRPr="009618E4">
        <w:t>Union en cas de défaillance généralisée de l</w:t>
      </w:r>
      <w:r w:rsidR="00266719" w:rsidRPr="009618E4">
        <w:t>’</w:t>
      </w:r>
      <w:r w:rsidRPr="009618E4">
        <w:t>état de droit dans les États membres, étant donné que le respect de l</w:t>
      </w:r>
      <w:r w:rsidR="00266719" w:rsidRPr="009618E4">
        <w:t>’</w:t>
      </w:r>
      <w:r w:rsidRPr="009618E4">
        <w:t>état de droit est une condition préalable essentielle à la bonne gestion financière et à un financement efficace de la Communauté.</w:t>
      </w:r>
    </w:p>
    <w:p w:rsidR="00F26C3B" w:rsidRPr="009618E4" w:rsidRDefault="00513FB2">
      <w:pPr>
        <w:pStyle w:val="ManualConsidrant"/>
        <w:rPr>
          <w:noProof/>
          <w:color w:val="000000" w:themeColor="text1"/>
        </w:rPr>
      </w:pPr>
      <w:r w:rsidRPr="009618E4">
        <w:t>(</w:t>
      </w:r>
      <w:r w:rsidRPr="0068119E">
        <w:t>14</w:t>
      </w:r>
      <w:r w:rsidRPr="009618E4">
        <w:t>)</w:t>
      </w:r>
      <w:r w:rsidRPr="009618E4">
        <w:tab/>
        <w:t>Les objectifs d</w:t>
      </w:r>
      <w:r w:rsidR="00266719" w:rsidRPr="009618E4">
        <w:t>’</w:t>
      </w:r>
      <w:r w:rsidRPr="009618E4">
        <w:t>action du présent programme peuvent également être pris en compte par les instruments financiers prévus par le volet «recherche et innovation» du fonds InvestEU. Le soutien financier devrait être utilisé, de manière proportionnée, pour remédier aux défaillances des marchés ou à l</w:t>
      </w:r>
      <w:r w:rsidR="00266719" w:rsidRPr="009618E4">
        <w:t>’</w:t>
      </w:r>
      <w:r w:rsidRPr="009618E4">
        <w:t>inadéquation de ceux-ci en matière d</w:t>
      </w:r>
      <w:r w:rsidR="00266719" w:rsidRPr="009618E4">
        <w:t>’</w:t>
      </w:r>
      <w:r w:rsidRPr="009618E4">
        <w:t>investissements et ne devrait pas causer d</w:t>
      </w:r>
      <w:r w:rsidR="00266719" w:rsidRPr="009618E4">
        <w:t>’</w:t>
      </w:r>
      <w:r w:rsidRPr="009618E4">
        <w:t>éviction du financement privé ni de double emploi avec ce dernier, ni fausser la concurrence dans le marché intérieur. Les actions devraient présenter une valeur ajoutée européenne manifeste.</w:t>
      </w:r>
    </w:p>
    <w:p w:rsidR="00F26C3B" w:rsidRPr="009618E4" w:rsidRDefault="00513FB2">
      <w:pPr>
        <w:pStyle w:val="ManualConsidrant"/>
        <w:rPr>
          <w:noProof/>
        </w:rPr>
      </w:pPr>
      <w:r w:rsidRPr="009618E4">
        <w:t>(</w:t>
      </w:r>
      <w:r w:rsidRPr="0068119E">
        <w:t>15</w:t>
      </w:r>
      <w:r w:rsidRPr="009618E4">
        <w:t>)</w:t>
      </w:r>
      <w:r w:rsidRPr="009618E4">
        <w:tab/>
        <w:t>Pour assurer la mise en œuvre la plus efficace possible et parvenir à un cadre cohérent, complet et transparent pour les bénéficiaires, la participation au programme et la diffusion des résultats de la recherche devraient être soumises aux règles pertinentes d</w:t>
      </w:r>
      <w:r w:rsidR="00266719" w:rsidRPr="009618E4">
        <w:t>’</w:t>
      </w:r>
      <w:r w:rsidRPr="009618E4">
        <w:t>«Horizon Europe», avec certaines adaptations ou exceptions. Les définitions et les principaux types d</w:t>
      </w:r>
      <w:r w:rsidR="00266719" w:rsidRPr="009618E4">
        <w:t>’</w:t>
      </w:r>
      <w:r w:rsidRPr="009618E4">
        <w:t>actions énoncés dans «Horizon Europe» devraient s</w:t>
      </w:r>
      <w:r w:rsidR="00266719" w:rsidRPr="009618E4">
        <w:t>’</w:t>
      </w:r>
      <w:r w:rsidRPr="009618E4">
        <w:t>appliquer au programme.</w:t>
      </w:r>
    </w:p>
    <w:p w:rsidR="00F26C3B" w:rsidRPr="009618E4" w:rsidRDefault="00513FB2">
      <w:pPr>
        <w:pStyle w:val="ManualConsidrant"/>
        <w:rPr>
          <w:noProof/>
        </w:rPr>
      </w:pPr>
      <w:r w:rsidRPr="009618E4">
        <w:t>(</w:t>
      </w:r>
      <w:r w:rsidRPr="0068119E">
        <w:t>16</w:t>
      </w:r>
      <w:r w:rsidRPr="009618E4">
        <w:t>)</w:t>
      </w:r>
      <w:r w:rsidRPr="009618E4">
        <w:tab/>
        <w:t>Le fonds de garantie des participants établi dans le cadre d</w:t>
      </w:r>
      <w:r w:rsidR="00266719" w:rsidRPr="009618E4">
        <w:t>’</w:t>
      </w:r>
      <w:r w:rsidRPr="009618E4">
        <w:t>«Horizon </w:t>
      </w:r>
      <w:r w:rsidRPr="0068119E">
        <w:t>2020</w:t>
      </w:r>
      <w:r w:rsidRPr="009618E4">
        <w:t>» et géré par la Commission s</w:t>
      </w:r>
      <w:r w:rsidR="00266719" w:rsidRPr="009618E4">
        <w:t>’</w:t>
      </w:r>
      <w:r w:rsidRPr="009618E4">
        <w:t>est avéré constituer un important mécanisme de sauvegarde qui atténue les risques associés aux montants dus et non remboursés par des participants défaillants. Par conséquent, il devrait être poursuivi et le mécanisme d</w:t>
      </w:r>
      <w:r w:rsidR="00266719" w:rsidRPr="009618E4">
        <w:t>’</w:t>
      </w:r>
      <w:r w:rsidRPr="009618E4">
        <w:t>assurance mutuelle (le «mécanisme») établi conformément au programme «Horizon Europe» devrait également couvrir les actions menées au titre du présent règlement.</w:t>
      </w:r>
    </w:p>
    <w:p w:rsidR="00F26C3B" w:rsidRPr="009618E4" w:rsidRDefault="00513FB2">
      <w:pPr>
        <w:pStyle w:val="ManualConsidrant"/>
        <w:rPr>
          <w:noProof/>
        </w:rPr>
      </w:pPr>
      <w:r w:rsidRPr="009618E4">
        <w:t>(</w:t>
      </w:r>
      <w:r w:rsidRPr="0068119E">
        <w:t>17</w:t>
      </w:r>
      <w:r w:rsidRPr="009618E4">
        <w:t>)</w:t>
      </w:r>
      <w:r w:rsidRPr="009618E4">
        <w:tab/>
        <w:t>Le Centre commun de recherche (JRC) devrait continuer d</w:t>
      </w:r>
      <w:r w:rsidR="00266719" w:rsidRPr="009618E4">
        <w:t>’</w:t>
      </w:r>
      <w:r w:rsidRPr="009618E4">
        <w:t>apporter aux politiques de l</w:t>
      </w:r>
      <w:r w:rsidR="00266719" w:rsidRPr="009618E4">
        <w:t>’</w:t>
      </w:r>
      <w:r w:rsidRPr="009618E4">
        <w:t>Union un appui scientifique et technique indépendant orienté vers le client tout au long du cycle des politiques. Les actions directes du JRC devraient être mises en œuvre selon une approche souple, efficace et transparente, tenant compte des besoins des utilisateurs du JRC et des besoins des politiques de l</w:t>
      </w:r>
      <w:r w:rsidR="00266719" w:rsidRPr="009618E4">
        <w:t>’</w:t>
      </w:r>
      <w:r w:rsidRPr="009618E4">
        <w:t>Union, et assurant la protection des intérêts financiers de l</w:t>
      </w:r>
      <w:r w:rsidR="00266719" w:rsidRPr="009618E4">
        <w:t>’</w:t>
      </w:r>
      <w:r w:rsidRPr="009618E4">
        <w:t>Union. Le JRC devrait continuer à générer des ressources supplémentaires.</w:t>
      </w:r>
    </w:p>
    <w:p w:rsidR="00F26C3B" w:rsidRPr="009618E4" w:rsidRDefault="00513FB2">
      <w:pPr>
        <w:pStyle w:val="ManualConsidrant"/>
        <w:rPr>
          <w:noProof/>
        </w:rPr>
      </w:pPr>
      <w:r w:rsidRPr="009618E4">
        <w:t>(</w:t>
      </w:r>
      <w:r w:rsidRPr="0068119E">
        <w:t>18</w:t>
      </w:r>
      <w:r w:rsidRPr="009618E4">
        <w:t>)</w:t>
      </w:r>
      <w:r w:rsidRPr="009618E4">
        <w:tab/>
        <w:t>Conformément au règlement financier, au règlement (UE, Euratom) nº </w:t>
      </w:r>
      <w:r w:rsidRPr="0068119E">
        <w:t>883</w:t>
      </w:r>
      <w:r w:rsidRPr="009618E4">
        <w:t>/</w:t>
      </w:r>
      <w:r w:rsidRPr="0068119E">
        <w:t>2013</w:t>
      </w:r>
      <w:r w:rsidRPr="009618E4">
        <w:t xml:space="preserve"> du Parlement européen et du Conseil</w:t>
      </w:r>
      <w:r w:rsidRPr="009618E4">
        <w:rPr>
          <w:rStyle w:val="FootnoteReference"/>
          <w:noProof/>
        </w:rPr>
        <w:footnoteReference w:id="23"/>
      </w:r>
      <w:r w:rsidRPr="009618E4">
        <w:t>, au règlement (CE, Euratom) nº </w:t>
      </w:r>
      <w:r w:rsidRPr="0068119E">
        <w:t>2988</w:t>
      </w:r>
      <w:r w:rsidRPr="009618E4">
        <w:t>/</w:t>
      </w:r>
      <w:r w:rsidRPr="0068119E">
        <w:t>95</w:t>
      </w:r>
      <w:r w:rsidRPr="009618E4">
        <w:t xml:space="preserve"> du Conseil</w:t>
      </w:r>
      <w:r w:rsidRPr="009618E4">
        <w:rPr>
          <w:rStyle w:val="FootnoteReference"/>
          <w:noProof/>
        </w:rPr>
        <w:footnoteReference w:id="24"/>
      </w:r>
      <w:r w:rsidRPr="009618E4">
        <w:t>, au règlement (Euratom, CE) nº </w:t>
      </w:r>
      <w:r w:rsidRPr="0068119E">
        <w:t>2185</w:t>
      </w:r>
      <w:r w:rsidRPr="009618E4">
        <w:t>/</w:t>
      </w:r>
      <w:r w:rsidRPr="0068119E">
        <w:t>96</w:t>
      </w:r>
      <w:r w:rsidRPr="009618E4">
        <w:t xml:space="preserve"> du Conseil</w:t>
      </w:r>
      <w:r w:rsidRPr="009618E4">
        <w:rPr>
          <w:rStyle w:val="FootnoteReference"/>
          <w:noProof/>
        </w:rPr>
        <w:footnoteReference w:id="25"/>
      </w:r>
      <w:r w:rsidRPr="009618E4">
        <w:t xml:space="preserve"> et au règlement (UE) </w:t>
      </w:r>
      <w:r w:rsidRPr="0068119E">
        <w:t>2017</w:t>
      </w:r>
      <w:r w:rsidRPr="009618E4">
        <w:t>/</w:t>
      </w:r>
      <w:r w:rsidRPr="0068119E">
        <w:t>193</w:t>
      </w:r>
      <w:r w:rsidRPr="009618E4">
        <w:t xml:space="preserve"> du Conseil</w:t>
      </w:r>
      <w:r w:rsidRPr="009618E4">
        <w:rPr>
          <w:rStyle w:val="FootnoteReference"/>
          <w:noProof/>
        </w:rPr>
        <w:footnoteReference w:id="26"/>
      </w:r>
      <w:r w:rsidRPr="009618E4">
        <w:t>, les intérêts financiers de l</w:t>
      </w:r>
      <w:r w:rsidR="00266719" w:rsidRPr="009618E4">
        <w:t>’</w:t>
      </w:r>
      <w:r w:rsidRPr="009618E4">
        <w:t>Union doivent être protégés au moyen de mesures proportionnées, notamment par la prévention, la détection et la correction des irrégularités, y compris la fraude, ainsi que les enquêtes en la matière, par le recouvrement des fonds perdus, indûment versés ou mal employés et, si nécessaire, par l</w:t>
      </w:r>
      <w:r w:rsidR="00266719" w:rsidRPr="009618E4">
        <w:t>’</w:t>
      </w:r>
      <w:r w:rsidRPr="009618E4">
        <w:t>application de sanctions administratives. En particulier, conformément au règlement (UE, Euratom) nº </w:t>
      </w:r>
      <w:r w:rsidRPr="0068119E">
        <w:t>883</w:t>
      </w:r>
      <w:r w:rsidRPr="009618E4">
        <w:t>/</w:t>
      </w:r>
      <w:r w:rsidRPr="0068119E">
        <w:t>2013</w:t>
      </w:r>
      <w:r w:rsidRPr="009618E4">
        <w:t xml:space="preserve"> et au règlement (Euratom, CE) nº </w:t>
      </w:r>
      <w:r w:rsidRPr="0068119E">
        <w:t>2185</w:t>
      </w:r>
      <w:r w:rsidRPr="009618E4">
        <w:t>/</w:t>
      </w:r>
      <w:r w:rsidRPr="0068119E">
        <w:t>96</w:t>
      </w:r>
      <w:r w:rsidRPr="009618E4">
        <w:t>, l</w:t>
      </w:r>
      <w:r w:rsidR="00266719" w:rsidRPr="009618E4">
        <w:t>’</w:t>
      </w:r>
      <w:r w:rsidRPr="009618E4">
        <w:t>Office européen de lutte antifraude (OLAF) peut effectuer des enquêtes administratives, y compris des contrôles et vérifications sur place, en vue d</w:t>
      </w:r>
      <w:r w:rsidR="00266719" w:rsidRPr="009618E4">
        <w:t>’</w:t>
      </w:r>
      <w:r w:rsidRPr="009618E4">
        <w:t>établir l</w:t>
      </w:r>
      <w:r w:rsidR="00266719" w:rsidRPr="009618E4">
        <w:t>’</w:t>
      </w:r>
      <w:r w:rsidRPr="009618E4">
        <w:t>existence éventuelle d</w:t>
      </w:r>
      <w:r w:rsidR="00266719" w:rsidRPr="009618E4">
        <w:t>’</w:t>
      </w:r>
      <w:r w:rsidRPr="009618E4">
        <w:t>une fraude, d</w:t>
      </w:r>
      <w:r w:rsidR="00266719" w:rsidRPr="009618E4">
        <w:t>’</w:t>
      </w:r>
      <w:r w:rsidRPr="009618E4">
        <w:t>un acte de corruption ou de toute autre activité illégale portant atteinte aux intérêts financiers de l</w:t>
      </w:r>
      <w:r w:rsidR="00266719" w:rsidRPr="009618E4">
        <w:t>’</w:t>
      </w:r>
      <w:r w:rsidRPr="009618E4">
        <w:t xml:space="preserve">Union. Conformément au règlement (UE) </w:t>
      </w:r>
      <w:r w:rsidRPr="0068119E">
        <w:t>2017</w:t>
      </w:r>
      <w:r w:rsidRPr="009618E4">
        <w:t>/</w:t>
      </w:r>
      <w:r w:rsidRPr="0068119E">
        <w:t>1939</w:t>
      </w:r>
      <w:r w:rsidRPr="009618E4">
        <w:t>, le Parquet européen peut mener des enquêtes et engager des poursuites dans le cadre de la lutte contre la fraude et les autres infractions pénales portant atteinte aux intérêts financiers de l</w:t>
      </w:r>
      <w:r w:rsidR="00266719" w:rsidRPr="009618E4">
        <w:t>’</w:t>
      </w:r>
      <w:r w:rsidRPr="009618E4">
        <w:t xml:space="preserve">Union, comme prévu par la directive (UE) </w:t>
      </w:r>
      <w:r w:rsidRPr="0068119E">
        <w:t>2017</w:t>
      </w:r>
      <w:r w:rsidRPr="009618E4">
        <w:t>/</w:t>
      </w:r>
      <w:r w:rsidRPr="0068119E">
        <w:t>1371</w:t>
      </w:r>
      <w:r w:rsidRPr="009618E4">
        <w:t xml:space="preserve"> du Parlement européen et du Conseil</w:t>
      </w:r>
      <w:r w:rsidRPr="009618E4">
        <w:rPr>
          <w:rStyle w:val="FootnoteReference"/>
          <w:noProof/>
        </w:rPr>
        <w:footnoteReference w:id="27"/>
      </w:r>
      <w:r w:rsidRPr="009618E4">
        <w:t>. Conformément au règlement financier, toute personne ou entité qui reçoit des fonds de l</w:t>
      </w:r>
      <w:r w:rsidR="00266719" w:rsidRPr="009618E4">
        <w:t>’</w:t>
      </w:r>
      <w:r w:rsidRPr="009618E4">
        <w:t>Union doit coopérer pleinement à la protection des intérêts financiers de l</w:t>
      </w:r>
      <w:r w:rsidR="00266719" w:rsidRPr="009618E4">
        <w:t>’</w:t>
      </w:r>
      <w:r w:rsidRPr="009618E4">
        <w:t>Union et accorder les droits et accès nécessaires à la Commission, à OLAF, au Parquet européen et à la Cour des comptes européenne et veiller à ce que tout tiers participant à l</w:t>
      </w:r>
      <w:r w:rsidR="00266719" w:rsidRPr="009618E4">
        <w:t>’</w:t>
      </w:r>
      <w:r w:rsidRPr="009618E4">
        <w:t>exécution des fonds de l</w:t>
      </w:r>
      <w:r w:rsidR="00266719" w:rsidRPr="009618E4">
        <w:t>’</w:t>
      </w:r>
      <w:r w:rsidRPr="009618E4">
        <w:t>Union accorde des droits équivalents.</w:t>
      </w:r>
    </w:p>
    <w:p w:rsidR="00F26C3B" w:rsidRPr="009618E4" w:rsidRDefault="00513FB2">
      <w:pPr>
        <w:pStyle w:val="ManualConsidrant"/>
        <w:rPr>
          <w:noProof/>
        </w:rPr>
      </w:pPr>
      <w:r w:rsidRPr="009618E4">
        <w:t>(</w:t>
      </w:r>
      <w:r w:rsidRPr="0068119E">
        <w:t>19</w:t>
      </w:r>
      <w:r w:rsidRPr="009618E4">
        <w:t>)</w:t>
      </w:r>
      <w:r w:rsidRPr="009618E4">
        <w:tab/>
        <w:t>Afin d</w:t>
      </w:r>
      <w:r w:rsidR="00266719" w:rsidRPr="009618E4">
        <w:t>’</w:t>
      </w:r>
      <w:r w:rsidRPr="009618E4">
        <w:t>uniformiser les modalités de la mise en œuvre des actions menées au titre du programme, il convient de conférer des compétences d</w:t>
      </w:r>
      <w:r w:rsidR="00266719" w:rsidRPr="009618E4">
        <w:t>’</w:t>
      </w:r>
      <w:r w:rsidRPr="009618E4">
        <w:t>exécution à la Commission. Ces compétences devraient être exercées en conformité avec le règlement (UE) nº </w:t>
      </w:r>
      <w:r w:rsidRPr="0068119E">
        <w:t>182</w:t>
      </w:r>
      <w:r w:rsidRPr="009618E4">
        <w:t>/</w:t>
      </w:r>
      <w:r w:rsidRPr="0068119E">
        <w:t>2011</w:t>
      </w:r>
      <w:r w:rsidRPr="009618E4">
        <w:t xml:space="preserve"> du Parlement européen et du Conseil</w:t>
      </w:r>
      <w:r w:rsidRPr="009618E4">
        <w:rPr>
          <w:rStyle w:val="FootnoteReference"/>
          <w:noProof/>
        </w:rPr>
        <w:footnoteReference w:id="28"/>
      </w:r>
      <w:r w:rsidRPr="009618E4">
        <w:t>.</w:t>
      </w:r>
    </w:p>
    <w:p w:rsidR="00F26C3B" w:rsidRPr="009618E4" w:rsidRDefault="00513FB2">
      <w:pPr>
        <w:pStyle w:val="ManualConsidrant"/>
        <w:rPr>
          <w:noProof/>
        </w:rPr>
      </w:pPr>
      <w:r w:rsidRPr="009618E4">
        <w:t>(</w:t>
      </w:r>
      <w:r w:rsidRPr="0068119E">
        <w:t>20</w:t>
      </w:r>
      <w:r w:rsidRPr="009618E4">
        <w:t>)</w:t>
      </w:r>
      <w:r w:rsidRPr="009618E4">
        <w:tab/>
        <w:t>Conformément aux points </w:t>
      </w:r>
      <w:r w:rsidRPr="0068119E">
        <w:t>22</w:t>
      </w:r>
      <w:r w:rsidRPr="009618E4">
        <w:t xml:space="preserve"> et </w:t>
      </w:r>
      <w:r w:rsidRPr="0068119E">
        <w:t>23</w:t>
      </w:r>
      <w:r w:rsidRPr="009618E4">
        <w:t xml:space="preserve"> de l</w:t>
      </w:r>
      <w:r w:rsidR="00266719" w:rsidRPr="009618E4">
        <w:t>’</w:t>
      </w:r>
      <w:r w:rsidRPr="009618E4">
        <w:t xml:space="preserve">accord interinstitutionnel «Mieux légiférer» du </w:t>
      </w:r>
      <w:r w:rsidRPr="0068119E">
        <w:t>13</w:t>
      </w:r>
      <w:r w:rsidRPr="009618E4">
        <w:t> avril </w:t>
      </w:r>
      <w:r w:rsidRPr="0068119E">
        <w:t>2016</w:t>
      </w:r>
      <w:r w:rsidRPr="009618E4">
        <w:t>, il convient d</w:t>
      </w:r>
      <w:r w:rsidR="00266719" w:rsidRPr="009618E4">
        <w:t>’</w:t>
      </w:r>
      <w:r w:rsidRPr="009618E4">
        <w:t>évaluer le présent programme sur la base des informations obtenues grâce à des exigences spécifiques en matière d</w:t>
      </w:r>
      <w:r w:rsidR="00266719" w:rsidRPr="009618E4">
        <w:t>’</w:t>
      </w:r>
      <w:r w:rsidRPr="009618E4">
        <w:t>information, tout en évitant une réglementation excessive et des lourdeurs administratives, en particulier pour les États membres. S</w:t>
      </w:r>
      <w:r w:rsidR="00266719" w:rsidRPr="009618E4">
        <w:t>’</w:t>
      </w:r>
      <w:r w:rsidRPr="009618E4">
        <w:t>il y a lieu, ces exigences peuvent contenir des indicateurs mesurables pour servir de base à l</w:t>
      </w:r>
      <w:r w:rsidR="00266719" w:rsidRPr="009618E4">
        <w:t>’</w:t>
      </w:r>
      <w:r w:rsidRPr="009618E4">
        <w:t>évaluation de l</w:t>
      </w:r>
      <w:r w:rsidR="00266719" w:rsidRPr="009618E4">
        <w:t>’</w:t>
      </w:r>
      <w:r w:rsidRPr="009618E4">
        <w:t>impact du programme sur le terrain.</w:t>
      </w:r>
    </w:p>
    <w:p w:rsidR="00F26C3B" w:rsidRPr="009618E4" w:rsidRDefault="00513FB2">
      <w:pPr>
        <w:pStyle w:val="ManualConsidrant"/>
        <w:rPr>
          <w:noProof/>
        </w:rPr>
      </w:pPr>
      <w:r w:rsidRPr="009618E4">
        <w:t>(</w:t>
      </w:r>
      <w:r w:rsidRPr="0068119E">
        <w:t>21</w:t>
      </w:r>
      <w:r w:rsidRPr="009618E4">
        <w:t>)</w:t>
      </w:r>
      <w:r w:rsidRPr="009618E4">
        <w:tab/>
        <w:t>Le conseil d</w:t>
      </w:r>
      <w:r w:rsidR="00266719" w:rsidRPr="009618E4">
        <w:t>’</w:t>
      </w:r>
      <w:r w:rsidRPr="009618E4">
        <w:t xml:space="preserve">administration du Centre commun de recherche (JRC), créé par la décision </w:t>
      </w:r>
      <w:r w:rsidRPr="0068119E">
        <w:t>96</w:t>
      </w:r>
      <w:r w:rsidRPr="009618E4">
        <w:t>/</w:t>
      </w:r>
      <w:r w:rsidRPr="0068119E">
        <w:t>282</w:t>
      </w:r>
      <w:r w:rsidRPr="009618E4">
        <w:t>/Euratom de la Commission</w:t>
      </w:r>
      <w:r w:rsidRPr="009618E4">
        <w:rPr>
          <w:rStyle w:val="FootnoteReference"/>
          <w:noProof/>
        </w:rPr>
        <w:footnoteReference w:id="29"/>
      </w:r>
      <w:r w:rsidRPr="009618E4">
        <w:t>, a été consulté sur le contenu scientifique et technologique des actions directes du JRC.</w:t>
      </w:r>
    </w:p>
    <w:p w:rsidR="00F26C3B" w:rsidRPr="009618E4" w:rsidRDefault="00513FB2">
      <w:pPr>
        <w:pStyle w:val="ManualConsidrant"/>
        <w:rPr>
          <w:noProof/>
        </w:rPr>
      </w:pPr>
      <w:r w:rsidRPr="009618E4">
        <w:t>(</w:t>
      </w:r>
      <w:r w:rsidRPr="0068119E">
        <w:t>22</w:t>
      </w:r>
      <w:r w:rsidRPr="009618E4">
        <w:t>)</w:t>
      </w:r>
      <w:r w:rsidRPr="009618E4">
        <w:tab/>
        <w:t>La Commission a consulté le comité scientifique et technique d</w:t>
      </w:r>
      <w:r w:rsidR="00266719" w:rsidRPr="009618E4">
        <w:t>’</w:t>
      </w:r>
      <w:r w:rsidRPr="009618E4">
        <w:t>Euratom.</w:t>
      </w:r>
    </w:p>
    <w:p w:rsidR="00F26C3B" w:rsidRPr="009618E4" w:rsidRDefault="00513FB2">
      <w:pPr>
        <w:pStyle w:val="ManualConsidrant"/>
        <w:rPr>
          <w:noProof/>
        </w:rPr>
      </w:pPr>
      <w:r w:rsidRPr="009618E4">
        <w:t>(</w:t>
      </w:r>
      <w:r w:rsidRPr="0068119E">
        <w:t>23</w:t>
      </w:r>
      <w:r w:rsidRPr="009618E4">
        <w:t>)</w:t>
      </w:r>
      <w:r w:rsidRPr="009618E4">
        <w:tab/>
        <w:t>Pour des raisons de sécurité juridique, il convient d</w:t>
      </w:r>
      <w:r w:rsidR="00266719" w:rsidRPr="009618E4">
        <w:t>’</w:t>
      </w:r>
      <w:r w:rsidRPr="009618E4">
        <w:t>abroger le règlement (Euratom) nº [...],</w:t>
      </w:r>
    </w:p>
    <w:p w:rsidR="00F26C3B" w:rsidRPr="009618E4" w:rsidRDefault="00513FB2">
      <w:pPr>
        <w:pStyle w:val="Formuledadoption"/>
        <w:rPr>
          <w:noProof/>
          <w:color w:val="000000" w:themeColor="text1"/>
        </w:rPr>
      </w:pPr>
      <w:r w:rsidRPr="009618E4">
        <w:rPr>
          <w:noProof/>
          <w:color w:val="000000" w:themeColor="text1"/>
        </w:rPr>
        <w:t>A ADOPTÉ LE PRÉSENT RÈGLEMENT:</w:t>
      </w:r>
    </w:p>
    <w:p w:rsidR="00F26C3B" w:rsidRPr="009618E4" w:rsidRDefault="00513FB2">
      <w:pPr>
        <w:pStyle w:val="ChapterTitle"/>
        <w:rPr>
          <w:noProof/>
        </w:rPr>
      </w:pPr>
      <w:r w:rsidRPr="009618E4">
        <w:t>CHAPITRE I</w:t>
      </w:r>
    </w:p>
    <w:p w:rsidR="00F26C3B" w:rsidRPr="009618E4" w:rsidRDefault="00513FB2">
      <w:pPr>
        <w:pStyle w:val="ChapterTitle"/>
        <w:rPr>
          <w:noProof/>
        </w:rPr>
      </w:pPr>
      <w:r w:rsidRPr="009618E4">
        <w:t>DISPOSITIONS GÉNÉRALES</w:t>
      </w:r>
    </w:p>
    <w:p w:rsidR="00F26C3B" w:rsidRPr="009618E4" w:rsidRDefault="00513FB2">
      <w:pPr>
        <w:pStyle w:val="Titrearticle"/>
        <w:rPr>
          <w:noProof/>
        </w:rPr>
      </w:pPr>
      <w:r w:rsidRPr="009618E4">
        <w:t>Article premier</w:t>
      </w:r>
    </w:p>
    <w:p w:rsidR="00F26C3B" w:rsidRPr="009618E4" w:rsidRDefault="00513FB2" w:rsidP="00513FB2">
      <w:pPr>
        <w:pStyle w:val="NormalCentered"/>
        <w:keepNext/>
        <w:rPr>
          <w:noProof/>
          <w:color w:val="000000" w:themeColor="text1"/>
        </w:rPr>
      </w:pPr>
      <w:r w:rsidRPr="009618E4">
        <w:rPr>
          <w:b/>
          <w:noProof/>
        </w:rPr>
        <w:t>Objet</w:t>
      </w:r>
    </w:p>
    <w:p w:rsidR="00F26C3B" w:rsidRPr="009618E4" w:rsidRDefault="00513FB2">
      <w:pPr>
        <w:rPr>
          <w:noProof/>
        </w:rPr>
      </w:pPr>
      <w:r w:rsidRPr="009618E4">
        <w:t>Le présent règlement établit le programme de recherche et de formation de la Communauté européenne de l</w:t>
      </w:r>
      <w:r w:rsidR="00266719" w:rsidRPr="009618E4">
        <w:t>’</w:t>
      </w:r>
      <w:r w:rsidRPr="009618E4">
        <w:t xml:space="preserve">énergie atomique pour la période du </w:t>
      </w:r>
      <w:r w:rsidRPr="0068119E">
        <w:t>1</w:t>
      </w:r>
      <w:r w:rsidRPr="009618E4">
        <w:rPr>
          <w:vertAlign w:val="superscript"/>
        </w:rPr>
        <w:t>er</w:t>
      </w:r>
      <w:r w:rsidRPr="009618E4">
        <w:t xml:space="preserve"> janvier </w:t>
      </w:r>
      <w:r w:rsidRPr="0068119E">
        <w:t>2021</w:t>
      </w:r>
      <w:r w:rsidRPr="009618E4">
        <w:t xml:space="preserve"> au </w:t>
      </w:r>
      <w:r w:rsidRPr="0068119E">
        <w:t>31</w:t>
      </w:r>
      <w:r w:rsidRPr="009618E4">
        <w:t xml:space="preserve"> décembre </w:t>
      </w:r>
      <w:r w:rsidRPr="0068119E">
        <w:t>2025</w:t>
      </w:r>
      <w:r w:rsidRPr="009618E4">
        <w:t xml:space="preserve"> (le «programme») ainsi que les règles de participation aux actions indirectes relevant du programme et les règles de diffusion des résultats.</w:t>
      </w:r>
    </w:p>
    <w:p w:rsidR="00F26C3B" w:rsidRPr="009618E4" w:rsidRDefault="00513FB2">
      <w:pPr>
        <w:rPr>
          <w:noProof/>
        </w:rPr>
      </w:pPr>
      <w:r w:rsidRPr="009618E4">
        <w:t xml:space="preserve">Il fixe les objectifs du programme et arrête le budget pour la période </w:t>
      </w:r>
      <w:r w:rsidRPr="0068119E">
        <w:t>2021</w:t>
      </w:r>
      <w:r w:rsidRPr="009618E4">
        <w:t>–</w:t>
      </w:r>
      <w:r w:rsidRPr="0068119E">
        <w:t>2025</w:t>
      </w:r>
      <w:r w:rsidRPr="009618E4">
        <w:t>, ainsi que les formes de financement de la Communauté européenne de l</w:t>
      </w:r>
      <w:r w:rsidR="00266719" w:rsidRPr="009618E4">
        <w:t>’</w:t>
      </w:r>
      <w:r w:rsidRPr="009618E4">
        <w:t>énergie atomique (la «Communauté») et les règles relatives à l</w:t>
      </w:r>
      <w:r w:rsidR="00266719" w:rsidRPr="009618E4">
        <w:t>’</w:t>
      </w:r>
      <w:r w:rsidRPr="009618E4">
        <w:t>octroi d</w:t>
      </w:r>
      <w:r w:rsidR="00266719" w:rsidRPr="009618E4">
        <w:t>’</w:t>
      </w:r>
      <w:r w:rsidRPr="009618E4">
        <w:t>un tel financement.</w:t>
      </w:r>
    </w:p>
    <w:p w:rsidR="00F26C3B" w:rsidRPr="009618E4" w:rsidRDefault="00513FB2">
      <w:pPr>
        <w:pStyle w:val="Titrearticle"/>
        <w:spacing w:before="0" w:after="240"/>
        <w:rPr>
          <w:noProof/>
          <w:color w:val="000000" w:themeColor="text1"/>
        </w:rPr>
      </w:pPr>
      <w:r w:rsidRPr="009618E4">
        <w:rPr>
          <w:noProof/>
          <w:color w:val="000000" w:themeColor="text1"/>
        </w:rPr>
        <w:t xml:space="preserve">Article </w:t>
      </w:r>
      <w:r w:rsidRPr="0068119E">
        <w:rPr>
          <w:noProof/>
          <w:color w:val="000000" w:themeColor="text1"/>
        </w:rPr>
        <w:t>2</w:t>
      </w:r>
    </w:p>
    <w:p w:rsidR="00F26C3B" w:rsidRPr="009618E4" w:rsidRDefault="00513FB2" w:rsidP="00513FB2">
      <w:pPr>
        <w:pStyle w:val="NormalCentered"/>
        <w:keepNext/>
        <w:rPr>
          <w:b/>
          <w:i/>
          <w:noProof/>
        </w:rPr>
      </w:pPr>
      <w:r w:rsidRPr="009618E4">
        <w:rPr>
          <w:b/>
          <w:noProof/>
        </w:rPr>
        <w:t>Définitions</w:t>
      </w:r>
    </w:p>
    <w:p w:rsidR="00F26C3B" w:rsidRPr="009618E4" w:rsidRDefault="00513FB2">
      <w:pPr>
        <w:spacing w:before="0"/>
        <w:rPr>
          <w:noProof/>
          <w:color w:val="000000" w:themeColor="text1"/>
        </w:rPr>
      </w:pPr>
      <w:r w:rsidRPr="009618E4">
        <w:rPr>
          <w:noProof/>
          <w:color w:val="000000" w:themeColor="text1"/>
        </w:rPr>
        <w:t>Aux fins du présent règlement, les définitions énoncées dans le règlement (UE) nº [xxx] du Parlement européen et du Conseil («Horizon Europe»)</w:t>
      </w:r>
      <w:r w:rsidRPr="009618E4">
        <w:rPr>
          <w:rStyle w:val="FootnoteReference"/>
          <w:noProof/>
          <w:color w:val="000000" w:themeColor="text1"/>
        </w:rPr>
        <w:footnoteReference w:id="30"/>
      </w:r>
      <w:r w:rsidRPr="009618E4">
        <w:rPr>
          <w:noProof/>
          <w:color w:val="000000" w:themeColor="text1"/>
        </w:rPr>
        <w:t xml:space="preserve"> s</w:t>
      </w:r>
      <w:r w:rsidR="00266719" w:rsidRPr="009618E4">
        <w:rPr>
          <w:noProof/>
          <w:color w:val="000000" w:themeColor="text1"/>
        </w:rPr>
        <w:t>’</w:t>
      </w:r>
      <w:r w:rsidRPr="009618E4">
        <w:rPr>
          <w:noProof/>
          <w:color w:val="000000" w:themeColor="text1"/>
        </w:rPr>
        <w:t>appliquent. Les références à l</w:t>
      </w:r>
      <w:r w:rsidR="00266719" w:rsidRPr="009618E4">
        <w:rPr>
          <w:noProof/>
          <w:color w:val="000000" w:themeColor="text1"/>
        </w:rPr>
        <w:t>’</w:t>
      </w:r>
      <w:r w:rsidRPr="009618E4">
        <w:rPr>
          <w:noProof/>
          <w:color w:val="000000" w:themeColor="text1"/>
        </w:rPr>
        <w:t>Union et au programme qui figurent dans les définitions s</w:t>
      </w:r>
      <w:r w:rsidR="00266719" w:rsidRPr="009618E4">
        <w:rPr>
          <w:noProof/>
          <w:color w:val="000000" w:themeColor="text1"/>
        </w:rPr>
        <w:t>’</w:t>
      </w:r>
      <w:r w:rsidRPr="009618E4">
        <w:rPr>
          <w:noProof/>
          <w:color w:val="000000" w:themeColor="text1"/>
        </w:rPr>
        <w:t xml:space="preserve">entendent comme faites à la Communauté et au présent programme. </w:t>
      </w:r>
      <w:r w:rsidRPr="009618E4">
        <w:t>Par dérogation, on entend par «programme de travail» le document adopté par la Commission pour la mise en œuvre du programme conformément à l</w:t>
      </w:r>
      <w:r w:rsidR="00266719" w:rsidRPr="009618E4">
        <w:t>’</w:t>
      </w:r>
      <w:r w:rsidRPr="009618E4">
        <w:t>article </w:t>
      </w:r>
      <w:r w:rsidRPr="0068119E">
        <w:t>16</w:t>
      </w:r>
      <w:r w:rsidRPr="009618E4">
        <w:t xml:space="preserve"> du présent règlement.</w:t>
      </w:r>
    </w:p>
    <w:p w:rsidR="00F26C3B" w:rsidRPr="009618E4" w:rsidRDefault="00513FB2" w:rsidP="00FD5B64">
      <w:pPr>
        <w:pStyle w:val="Titrearticle"/>
        <w:rPr>
          <w:noProof/>
          <w:color w:val="000000" w:themeColor="text1"/>
        </w:rPr>
      </w:pPr>
      <w:r w:rsidRPr="009618E4">
        <w:rPr>
          <w:noProof/>
          <w:color w:val="000000" w:themeColor="text1"/>
        </w:rPr>
        <w:t xml:space="preserve">Article </w:t>
      </w:r>
      <w:r w:rsidRPr="0068119E">
        <w:rPr>
          <w:noProof/>
          <w:color w:val="000000" w:themeColor="text1"/>
        </w:rPr>
        <w:t>3</w:t>
      </w:r>
    </w:p>
    <w:p w:rsidR="00F26C3B" w:rsidRPr="009618E4" w:rsidRDefault="00513FB2" w:rsidP="00513FB2">
      <w:pPr>
        <w:pStyle w:val="NormalCentered"/>
        <w:keepNext/>
        <w:rPr>
          <w:b/>
          <w:noProof/>
        </w:rPr>
      </w:pPr>
      <w:r w:rsidRPr="009618E4">
        <w:rPr>
          <w:b/>
          <w:noProof/>
        </w:rPr>
        <w:t>Objectifs du programme</w:t>
      </w:r>
    </w:p>
    <w:p w:rsidR="00F26C3B" w:rsidRPr="009618E4" w:rsidRDefault="00513FB2">
      <w:pPr>
        <w:pStyle w:val="ManualNumPar1"/>
        <w:rPr>
          <w:noProof/>
        </w:rPr>
      </w:pPr>
      <w:r w:rsidRPr="0068119E">
        <w:t>1</w:t>
      </w:r>
      <w:r w:rsidRPr="009618E4">
        <w:t>.</w:t>
      </w:r>
      <w:r w:rsidRPr="009618E4">
        <w:tab/>
        <w:t>Le programme poursuit les objectifs généraux suivants:</w:t>
      </w:r>
    </w:p>
    <w:p w:rsidR="00F26C3B" w:rsidRPr="009618E4" w:rsidRDefault="00513FB2" w:rsidP="006E0C02">
      <w:pPr>
        <w:pStyle w:val="Point1letter"/>
        <w:numPr>
          <w:ilvl w:val="3"/>
          <w:numId w:val="16"/>
        </w:numPr>
        <w:rPr>
          <w:noProof/>
        </w:rPr>
      </w:pPr>
      <w:r w:rsidRPr="009618E4">
        <w:t>poursuivre les activités de recherche et de formation nucléaires en vue de soutenir l</w:t>
      </w:r>
      <w:r w:rsidR="00266719" w:rsidRPr="009618E4">
        <w:t>’</w:t>
      </w:r>
      <w:r w:rsidRPr="009618E4">
        <w:t>amélioration continue de la sûreté nucléaire, de la sécurité et de la radioprotection;</w:t>
      </w:r>
    </w:p>
    <w:p w:rsidR="00F26C3B" w:rsidRPr="009618E4" w:rsidRDefault="00513FB2">
      <w:pPr>
        <w:pStyle w:val="Point1letter"/>
        <w:rPr>
          <w:noProof/>
        </w:rPr>
      </w:pPr>
      <w:r w:rsidRPr="009618E4">
        <w:t>contribuer potentiellement à la décarbonation à long terme du système énergétique d</w:t>
      </w:r>
      <w:r w:rsidR="00266719" w:rsidRPr="009618E4">
        <w:t>’</w:t>
      </w:r>
      <w:r w:rsidRPr="009618E4">
        <w:t>une façon sûre, efficiente et sécurisée.</w:t>
      </w:r>
    </w:p>
    <w:p w:rsidR="00F26C3B" w:rsidRPr="009618E4" w:rsidRDefault="00513FB2">
      <w:pPr>
        <w:pStyle w:val="ManualNumPar1"/>
        <w:rPr>
          <w:noProof/>
        </w:rPr>
      </w:pPr>
      <w:r w:rsidRPr="0068119E">
        <w:t>2</w:t>
      </w:r>
      <w:r w:rsidRPr="009618E4">
        <w:t>.</w:t>
      </w:r>
      <w:r w:rsidRPr="009618E4">
        <w:tab/>
        <w:t>Le programme poursuit les objectifs spécifiques suivants:</w:t>
      </w:r>
    </w:p>
    <w:p w:rsidR="00F26C3B" w:rsidRPr="009618E4" w:rsidRDefault="00513FB2" w:rsidP="006E0C02">
      <w:pPr>
        <w:pStyle w:val="Point1letter"/>
        <w:numPr>
          <w:ilvl w:val="3"/>
          <w:numId w:val="19"/>
        </w:numPr>
        <w:rPr>
          <w:noProof/>
          <w:color w:val="000000" w:themeColor="text1"/>
        </w:rPr>
      </w:pPr>
      <w:r w:rsidRPr="009618E4">
        <w:rPr>
          <w:noProof/>
          <w:color w:val="000000" w:themeColor="text1"/>
        </w:rPr>
        <w:t>améliorer la sûreté et la sécurité de l</w:t>
      </w:r>
      <w:r w:rsidR="00266719" w:rsidRPr="009618E4">
        <w:rPr>
          <w:noProof/>
          <w:color w:val="000000" w:themeColor="text1"/>
        </w:rPr>
        <w:t>’</w:t>
      </w:r>
      <w:r w:rsidRPr="009618E4">
        <w:rPr>
          <w:noProof/>
          <w:color w:val="000000" w:themeColor="text1"/>
        </w:rPr>
        <w:t>utilisation de l</w:t>
      </w:r>
      <w:r w:rsidR="00266719" w:rsidRPr="009618E4">
        <w:rPr>
          <w:noProof/>
          <w:color w:val="000000" w:themeColor="text1"/>
        </w:rPr>
        <w:t>’</w:t>
      </w:r>
      <w:r w:rsidRPr="009618E4">
        <w:rPr>
          <w:noProof/>
          <w:color w:val="000000" w:themeColor="text1"/>
        </w:rPr>
        <w:t>énergie nucléaire et des applications des rayonnements ionisants non liées à la production d</w:t>
      </w:r>
      <w:r w:rsidR="00266719" w:rsidRPr="009618E4">
        <w:rPr>
          <w:noProof/>
          <w:color w:val="000000" w:themeColor="text1"/>
        </w:rPr>
        <w:t>’</w:t>
      </w:r>
      <w:r w:rsidRPr="009618E4">
        <w:rPr>
          <w:noProof/>
          <w:color w:val="000000" w:themeColor="text1"/>
        </w:rPr>
        <w:t>électricité, y compris la sûreté nucléaire, la sécurité, les garanties, la radioprotection, la gestion sûre du combustible usé et des déchets radioactifs ainsi que le déclassement;</w:t>
      </w:r>
    </w:p>
    <w:p w:rsidR="00F26C3B" w:rsidRPr="009618E4" w:rsidRDefault="00513FB2">
      <w:pPr>
        <w:pStyle w:val="Point1letter"/>
        <w:rPr>
          <w:noProof/>
        </w:rPr>
      </w:pPr>
      <w:r w:rsidRPr="009618E4">
        <w:t xml:space="preserve"> maintenir et continuer à développer l</w:t>
      </w:r>
      <w:r w:rsidR="00266719" w:rsidRPr="009618E4">
        <w:t>’</w:t>
      </w:r>
      <w:r w:rsidRPr="009618E4">
        <w:t xml:space="preserve">expertise et la compétence dans la Communauté; </w:t>
      </w:r>
    </w:p>
    <w:p w:rsidR="00F26C3B" w:rsidRPr="009618E4" w:rsidRDefault="00513FB2">
      <w:pPr>
        <w:pStyle w:val="Point1letter"/>
        <w:rPr>
          <w:noProof/>
        </w:rPr>
      </w:pPr>
      <w:r w:rsidRPr="009618E4">
        <w:t>promouvoir le développement de l</w:t>
      </w:r>
      <w:r w:rsidR="00266719" w:rsidRPr="009618E4">
        <w:t>’</w:t>
      </w:r>
      <w:r w:rsidRPr="009618E4">
        <w:t xml:space="preserve">énergie de fusion et contribuer à la mise en œuvre de la feuille de route pour la fusion; </w:t>
      </w:r>
    </w:p>
    <w:p w:rsidR="00F26C3B" w:rsidRPr="009618E4" w:rsidRDefault="00513FB2">
      <w:pPr>
        <w:pStyle w:val="Point1letter"/>
        <w:rPr>
          <w:noProof/>
          <w:color w:val="000000" w:themeColor="text1"/>
        </w:rPr>
      </w:pPr>
      <w:r w:rsidRPr="009618E4">
        <w:t xml:space="preserve"> soutenir la politique de la Communauté en matière de sûreté, de garanties et de sécurité nucléaires.</w:t>
      </w:r>
    </w:p>
    <w:p w:rsidR="00F26C3B" w:rsidRPr="009618E4" w:rsidRDefault="00513FB2">
      <w:pPr>
        <w:pStyle w:val="ManualNumPar1"/>
        <w:rPr>
          <w:noProof/>
        </w:rPr>
      </w:pPr>
      <w:r w:rsidRPr="0068119E">
        <w:t>3</w:t>
      </w:r>
      <w:r w:rsidRPr="009618E4">
        <w:t>.</w:t>
      </w:r>
      <w:r w:rsidRPr="009618E4">
        <w:tab/>
        <w:t>Les objectifs énumérés aux paragraphes </w:t>
      </w:r>
      <w:r w:rsidRPr="0068119E">
        <w:t>1</w:t>
      </w:r>
      <w:r w:rsidRPr="009618E4">
        <w:t xml:space="preserve"> et </w:t>
      </w:r>
      <w:r w:rsidRPr="0068119E">
        <w:t>2</w:t>
      </w:r>
      <w:r w:rsidRPr="009618E4">
        <w:t xml:space="preserve"> sont mis en œuvre conformément à l</w:t>
      </w:r>
      <w:r w:rsidR="00266719" w:rsidRPr="009618E4">
        <w:t>’</w:t>
      </w:r>
      <w:r w:rsidRPr="009618E4">
        <w:t>annexe I.</w:t>
      </w:r>
    </w:p>
    <w:p w:rsidR="00F26C3B" w:rsidRPr="009618E4" w:rsidRDefault="00513FB2">
      <w:pPr>
        <w:pStyle w:val="Titrearticle"/>
        <w:rPr>
          <w:noProof/>
          <w:color w:val="000000" w:themeColor="text1"/>
        </w:rPr>
      </w:pPr>
      <w:r w:rsidRPr="009618E4">
        <w:rPr>
          <w:noProof/>
          <w:color w:val="000000" w:themeColor="text1"/>
        </w:rPr>
        <w:t xml:space="preserve">Article </w:t>
      </w:r>
      <w:r w:rsidRPr="0068119E">
        <w:rPr>
          <w:noProof/>
          <w:color w:val="000000" w:themeColor="text1"/>
        </w:rPr>
        <w:t>4</w:t>
      </w:r>
    </w:p>
    <w:p w:rsidR="00F26C3B" w:rsidRPr="009618E4" w:rsidRDefault="00513FB2" w:rsidP="00513FB2">
      <w:pPr>
        <w:pStyle w:val="NormalCentered"/>
        <w:keepNext/>
        <w:rPr>
          <w:b/>
          <w:noProof/>
        </w:rPr>
      </w:pPr>
      <w:r w:rsidRPr="009618E4">
        <w:rPr>
          <w:b/>
          <w:noProof/>
        </w:rPr>
        <w:t>Budget</w:t>
      </w:r>
    </w:p>
    <w:p w:rsidR="00F26C3B" w:rsidRPr="009618E4" w:rsidRDefault="00513FB2">
      <w:pPr>
        <w:pStyle w:val="ManualNumPar1"/>
        <w:rPr>
          <w:noProof/>
        </w:rPr>
      </w:pPr>
      <w:r w:rsidRPr="0068119E">
        <w:t>1</w:t>
      </w:r>
      <w:r w:rsidRPr="009618E4">
        <w:t>.</w:t>
      </w:r>
      <w:r w:rsidRPr="009618E4">
        <w:tab/>
        <w:t>L</w:t>
      </w:r>
      <w:r w:rsidR="00266719" w:rsidRPr="009618E4">
        <w:t>’</w:t>
      </w:r>
      <w:r w:rsidRPr="009618E4">
        <w:t xml:space="preserve">enveloppe financière pour la mise en œuvre du programme est fixée à </w:t>
      </w:r>
      <w:r w:rsidRPr="0068119E">
        <w:t>1</w:t>
      </w:r>
      <w:r w:rsidRPr="009618E4">
        <w:t> </w:t>
      </w:r>
      <w:r w:rsidRPr="0068119E">
        <w:t>675</w:t>
      </w:r>
      <w:r w:rsidRPr="009618E4">
        <w:t> </w:t>
      </w:r>
      <w:r w:rsidRPr="0068119E">
        <w:t>000</w:t>
      </w:r>
      <w:r w:rsidRPr="009618E4">
        <w:t> </w:t>
      </w:r>
      <w:r w:rsidRPr="0068119E">
        <w:t>000</w:t>
      </w:r>
      <w:r w:rsidRPr="009618E4">
        <w:t> EUR en prix courants.</w:t>
      </w:r>
    </w:p>
    <w:p w:rsidR="00F26C3B" w:rsidRPr="009618E4" w:rsidRDefault="00513FB2">
      <w:pPr>
        <w:pStyle w:val="ManualNumPar1"/>
        <w:rPr>
          <w:noProof/>
        </w:rPr>
      </w:pPr>
      <w:r w:rsidRPr="0068119E">
        <w:t>2</w:t>
      </w:r>
      <w:r w:rsidRPr="009618E4">
        <w:t>.</w:t>
      </w:r>
      <w:r w:rsidRPr="009618E4">
        <w:tab/>
        <w:t>La répartition indicative du montant mentionné au paragraphe </w:t>
      </w:r>
      <w:r w:rsidRPr="0068119E">
        <w:t>1</w:t>
      </w:r>
      <w:r w:rsidRPr="009618E4">
        <w:t xml:space="preserve"> est la suivante: </w:t>
      </w:r>
    </w:p>
    <w:p w:rsidR="00F26C3B" w:rsidRPr="009618E4" w:rsidRDefault="00513FB2" w:rsidP="006E0C02">
      <w:pPr>
        <w:pStyle w:val="Point1letter"/>
        <w:numPr>
          <w:ilvl w:val="3"/>
          <w:numId w:val="1"/>
        </w:numPr>
        <w:rPr>
          <w:noProof/>
        </w:rPr>
      </w:pPr>
      <w:r w:rsidRPr="0068119E">
        <w:t>724</w:t>
      </w:r>
      <w:r w:rsidRPr="009618E4">
        <w:t> </w:t>
      </w:r>
      <w:r w:rsidRPr="0068119E">
        <w:t>563</w:t>
      </w:r>
      <w:r w:rsidRPr="009618E4">
        <w:t> </w:t>
      </w:r>
      <w:r w:rsidRPr="0068119E">
        <w:t>000</w:t>
      </w:r>
      <w:r w:rsidRPr="009618E4">
        <w:t> EUR pour la recherche et le développement sur la fusion;</w:t>
      </w:r>
      <w:r w:rsidRPr="009618E4">
        <w:rPr>
          <w:noProof/>
          <w:color w:val="000000" w:themeColor="text1"/>
        </w:rPr>
        <w:t xml:space="preserve"> </w:t>
      </w:r>
    </w:p>
    <w:p w:rsidR="00F26C3B" w:rsidRPr="009618E4" w:rsidRDefault="00513FB2" w:rsidP="006E0C02">
      <w:pPr>
        <w:pStyle w:val="Point1letter"/>
        <w:numPr>
          <w:ilvl w:val="3"/>
          <w:numId w:val="1"/>
        </w:numPr>
        <w:rPr>
          <w:noProof/>
        </w:rPr>
      </w:pPr>
      <w:r w:rsidRPr="0068119E">
        <w:t>330</w:t>
      </w:r>
      <w:r w:rsidRPr="009618E4">
        <w:t> </w:t>
      </w:r>
      <w:r w:rsidRPr="0068119E">
        <w:t>930</w:t>
      </w:r>
      <w:r w:rsidRPr="009618E4">
        <w:t> </w:t>
      </w:r>
      <w:r w:rsidRPr="0068119E">
        <w:t>000</w:t>
      </w:r>
      <w:r w:rsidRPr="009618E4">
        <w:t> EUR pour la fission nucléaire, la sûreté et la radioprotection;</w:t>
      </w:r>
    </w:p>
    <w:p w:rsidR="00F26C3B" w:rsidRPr="009618E4" w:rsidRDefault="00513FB2" w:rsidP="006E0C02">
      <w:pPr>
        <w:pStyle w:val="Point1letter"/>
        <w:numPr>
          <w:ilvl w:val="3"/>
          <w:numId w:val="1"/>
        </w:numPr>
        <w:rPr>
          <w:noProof/>
        </w:rPr>
      </w:pPr>
      <w:r w:rsidRPr="0068119E">
        <w:t>619</w:t>
      </w:r>
      <w:r w:rsidRPr="009618E4">
        <w:t> </w:t>
      </w:r>
      <w:r w:rsidRPr="0068119E">
        <w:t>507</w:t>
      </w:r>
      <w:r w:rsidRPr="009618E4">
        <w:t> </w:t>
      </w:r>
      <w:r w:rsidRPr="0068119E">
        <w:t>000</w:t>
      </w:r>
      <w:r w:rsidRPr="009618E4">
        <w:t> EUR pour les actions directes menées par le Centre commun de recherche.</w:t>
      </w:r>
    </w:p>
    <w:p w:rsidR="00F26C3B" w:rsidRPr="009618E4" w:rsidRDefault="00513FB2">
      <w:pPr>
        <w:pStyle w:val="Text1"/>
        <w:rPr>
          <w:noProof/>
        </w:rPr>
      </w:pPr>
      <w:r w:rsidRPr="009618E4">
        <w:t>La Commission ne peut s</w:t>
      </w:r>
      <w:r w:rsidR="00266719" w:rsidRPr="009618E4">
        <w:t>’</w:t>
      </w:r>
      <w:r w:rsidRPr="009618E4">
        <w:t>écarter, dans le cadre de la procédure budgétaire annuelle, du montant visé au paragraphe </w:t>
      </w:r>
      <w:r w:rsidRPr="0068119E">
        <w:t>2</w:t>
      </w:r>
      <w:r w:rsidRPr="009618E4">
        <w:t>, point c), du présent article.</w:t>
      </w:r>
    </w:p>
    <w:p w:rsidR="00F26C3B" w:rsidRPr="009618E4" w:rsidRDefault="00513FB2">
      <w:pPr>
        <w:pStyle w:val="ManualNumPar1"/>
        <w:rPr>
          <w:noProof/>
        </w:rPr>
      </w:pPr>
      <w:r w:rsidRPr="0068119E">
        <w:t>3</w:t>
      </w:r>
      <w:r w:rsidRPr="009618E4">
        <w:t>.</w:t>
      </w:r>
      <w:r w:rsidRPr="009618E4">
        <w:tab/>
        <w:t>Le montant visé au paragraphe </w:t>
      </w:r>
      <w:r w:rsidRPr="0068119E">
        <w:t>1</w:t>
      </w:r>
      <w:r w:rsidRPr="009618E4">
        <w:t xml:space="preserve"> peut également couvrir les dépenses relatives aux activités de préparation, de suivi, de contrôle, d</w:t>
      </w:r>
      <w:r w:rsidR="00266719" w:rsidRPr="009618E4">
        <w:t>’</w:t>
      </w:r>
      <w:r w:rsidRPr="009618E4">
        <w:t>audit, d</w:t>
      </w:r>
      <w:r w:rsidR="00266719" w:rsidRPr="009618E4">
        <w:t>’</w:t>
      </w:r>
      <w:r w:rsidRPr="009618E4">
        <w:t>évaluation, et aux autres activités et frais qui sont nécessaires à la gestion et à la mise en œuvre du programme, y compris les dépenses administratives, ainsi qu</w:t>
      </w:r>
      <w:r w:rsidR="00266719" w:rsidRPr="009618E4">
        <w:t>’</w:t>
      </w:r>
      <w:r w:rsidRPr="009618E4">
        <w:t>à l</w:t>
      </w:r>
      <w:r w:rsidR="00266719" w:rsidRPr="009618E4">
        <w:t>’</w:t>
      </w:r>
      <w:r w:rsidRPr="009618E4">
        <w:t>évaluation de la réalisation de ses objectifs. Il peut, en outre, couvrir les dépenses d</w:t>
      </w:r>
      <w:r w:rsidR="00266719" w:rsidRPr="009618E4">
        <w:t>’</w:t>
      </w:r>
      <w:r w:rsidRPr="009618E4">
        <w:t>études, de réunions d</w:t>
      </w:r>
      <w:r w:rsidR="00266719" w:rsidRPr="009618E4">
        <w:t>’</w:t>
      </w:r>
      <w:r w:rsidRPr="009618E4">
        <w:t>experts, d</w:t>
      </w:r>
      <w:r w:rsidR="00266719" w:rsidRPr="009618E4">
        <w:t>’</w:t>
      </w:r>
      <w:r w:rsidRPr="009618E4">
        <w:t>actions d</w:t>
      </w:r>
      <w:r w:rsidR="00266719" w:rsidRPr="009618E4">
        <w:t>’</w:t>
      </w:r>
      <w:r w:rsidRPr="009618E4">
        <w:t>information et de communication, dans la mesure où ces dépenses sont liées aux objectifs du programme, ainsi que les dépenses liées aux réseaux informatiques spécialement destinés au traitement et à l</w:t>
      </w:r>
      <w:r w:rsidR="00266719" w:rsidRPr="009618E4">
        <w:t>’</w:t>
      </w:r>
      <w:r w:rsidRPr="009618E4">
        <w:t>échange d</w:t>
      </w:r>
      <w:r w:rsidR="00266719" w:rsidRPr="009618E4">
        <w:t>’</w:t>
      </w:r>
      <w:r w:rsidRPr="009618E4">
        <w:t>informations, y compris les outils informatiques internes et les autres dépenses d</w:t>
      </w:r>
      <w:r w:rsidR="00266719" w:rsidRPr="009618E4">
        <w:t>’</w:t>
      </w:r>
      <w:r w:rsidRPr="009618E4">
        <w:t>assistance technique et administrative nécessaires pour la gestion du programme.</w:t>
      </w:r>
    </w:p>
    <w:p w:rsidR="00F26C3B" w:rsidRPr="009618E4" w:rsidRDefault="00513FB2">
      <w:pPr>
        <w:pStyle w:val="ManualNumPar1"/>
        <w:rPr>
          <w:noProof/>
        </w:rPr>
      </w:pPr>
      <w:r w:rsidRPr="0068119E">
        <w:t>4</w:t>
      </w:r>
      <w:r w:rsidRPr="009618E4">
        <w:t>.</w:t>
      </w:r>
      <w:r w:rsidRPr="009618E4">
        <w:tab/>
        <w:t xml:space="preserve">Si nécessaire, des crédits peuvent être inscrits au budget après </w:t>
      </w:r>
      <w:r w:rsidRPr="0068119E">
        <w:t>2025</w:t>
      </w:r>
      <w:r w:rsidRPr="009618E4">
        <w:t xml:space="preserve"> pour couvrir les dépenses prévues à l</w:t>
      </w:r>
      <w:r w:rsidR="00266719" w:rsidRPr="009618E4">
        <w:t>’</w:t>
      </w:r>
      <w:r w:rsidRPr="009618E4">
        <w:t>article </w:t>
      </w:r>
      <w:r w:rsidRPr="0068119E">
        <w:t>3</w:t>
      </w:r>
      <w:r w:rsidRPr="009618E4">
        <w:t>, pour permettre la gestion des actions qui n</w:t>
      </w:r>
      <w:r w:rsidR="00266719" w:rsidRPr="009618E4">
        <w:t>’</w:t>
      </w:r>
      <w:r w:rsidRPr="009618E4">
        <w:t xml:space="preserve">auront pas été achevées au </w:t>
      </w:r>
      <w:r w:rsidRPr="0068119E">
        <w:t>31</w:t>
      </w:r>
      <w:r w:rsidRPr="009618E4">
        <w:t xml:space="preserve"> décembre </w:t>
      </w:r>
      <w:r w:rsidRPr="0068119E">
        <w:t>2027</w:t>
      </w:r>
      <w:r w:rsidRPr="009618E4">
        <w:t>.</w:t>
      </w:r>
    </w:p>
    <w:p w:rsidR="00F26C3B" w:rsidRPr="009618E4" w:rsidRDefault="00513FB2">
      <w:pPr>
        <w:pStyle w:val="ManualNumPar1"/>
        <w:rPr>
          <w:noProof/>
        </w:rPr>
      </w:pPr>
      <w:r w:rsidRPr="0068119E">
        <w:t>5</w:t>
      </w:r>
      <w:r w:rsidRPr="009618E4">
        <w:t>.</w:t>
      </w:r>
      <w:r w:rsidRPr="009618E4">
        <w:tab/>
        <w:t>Les engagements budgétaires contractés pour des actions dont la réalisation s</w:t>
      </w:r>
      <w:r w:rsidR="00266719" w:rsidRPr="009618E4">
        <w:t>’</w:t>
      </w:r>
      <w:r w:rsidRPr="009618E4">
        <w:t>étend sur plus d</w:t>
      </w:r>
      <w:r w:rsidR="00266719" w:rsidRPr="009618E4">
        <w:t>’</w:t>
      </w:r>
      <w:r w:rsidRPr="009618E4">
        <w:t>un exercice peuvent être fractionnés sur plusieurs exercices en tranches annuelles.</w:t>
      </w:r>
    </w:p>
    <w:p w:rsidR="00F26C3B" w:rsidRPr="009618E4" w:rsidRDefault="00513FB2">
      <w:pPr>
        <w:pStyle w:val="ManualNumPar1"/>
        <w:rPr>
          <w:noProof/>
        </w:rPr>
      </w:pPr>
      <w:r w:rsidRPr="0068119E">
        <w:t>6</w:t>
      </w:r>
      <w:r w:rsidRPr="009618E4">
        <w:t>.</w:t>
      </w:r>
      <w:r w:rsidRPr="009618E4">
        <w:tab/>
        <w:t xml:space="preserve">Sans préjudice du règlement financier, les dépenses afférentes aux actions résultant de projets figurant dans le premier programme de travail peuvent être éligibles à partir du </w:t>
      </w:r>
      <w:r w:rsidRPr="0068119E">
        <w:t>1</w:t>
      </w:r>
      <w:r w:rsidRPr="009618E4">
        <w:rPr>
          <w:vertAlign w:val="superscript"/>
        </w:rPr>
        <w:t>er</w:t>
      </w:r>
      <w:r w:rsidRPr="009618E4">
        <w:t xml:space="preserve"> janvier </w:t>
      </w:r>
      <w:r w:rsidRPr="0068119E">
        <w:t>2021</w:t>
      </w:r>
      <w:r w:rsidRPr="009618E4">
        <w:t>.</w:t>
      </w:r>
    </w:p>
    <w:p w:rsidR="004C32B7" w:rsidRPr="009618E4" w:rsidRDefault="004C32B7" w:rsidP="00EB12C9">
      <w:pPr>
        <w:pStyle w:val="ManualNumPar2"/>
      </w:pPr>
      <w:r w:rsidRPr="0068119E">
        <w:t>7</w:t>
      </w:r>
      <w:r w:rsidRPr="009618E4">
        <w:t>.</w:t>
      </w:r>
      <w:r w:rsidRPr="009618E4">
        <w:tab/>
        <w:t>Les ressources allouées aux États membres dans le cadre de la gestion partagée et transférables conformément à l</w:t>
      </w:r>
      <w:r w:rsidR="00266719" w:rsidRPr="009618E4">
        <w:t>’</w:t>
      </w:r>
      <w:r w:rsidRPr="009618E4">
        <w:t>article </w:t>
      </w:r>
      <w:r w:rsidRPr="0068119E">
        <w:t>21</w:t>
      </w:r>
      <w:r w:rsidRPr="009618E4">
        <w:t xml:space="preserve"> du règlement (EU) XX [règlement portant dispositions communes] peuvent, à la demande de ceux-ci, être transférées au programme. La Commission exécute ces ressources en mode direct, conformément à l</w:t>
      </w:r>
      <w:r w:rsidR="00266719" w:rsidRPr="009618E4">
        <w:t>’</w:t>
      </w:r>
      <w:r w:rsidRPr="009618E4">
        <w:t>article </w:t>
      </w:r>
      <w:r w:rsidRPr="0068119E">
        <w:t>62</w:t>
      </w:r>
      <w:r w:rsidRPr="009618E4">
        <w:t>, paragraphe </w:t>
      </w:r>
      <w:r w:rsidRPr="0068119E">
        <w:t>1</w:t>
      </w:r>
      <w:r w:rsidRPr="009618E4">
        <w:t>, point a), du règlement financier, ou en mode indirect, conformément au paragraphe </w:t>
      </w:r>
      <w:r w:rsidRPr="0068119E">
        <w:t>1</w:t>
      </w:r>
      <w:r w:rsidRPr="009618E4">
        <w:t>, point c) dudit article. Ces ressources sont utilisées si possible au profit de l</w:t>
      </w:r>
      <w:r w:rsidR="00266719" w:rsidRPr="009618E4">
        <w:t>’</w:t>
      </w:r>
      <w:r w:rsidRPr="009618E4">
        <w:t>État membre concerné.</w:t>
      </w:r>
    </w:p>
    <w:p w:rsidR="00F26C3B" w:rsidRPr="009618E4" w:rsidRDefault="00F26C3B" w:rsidP="00B643B4">
      <w:pPr>
        <w:pStyle w:val="ManualNumPar2"/>
        <w:rPr>
          <w:noProof/>
        </w:rPr>
      </w:pPr>
    </w:p>
    <w:p w:rsidR="00F26C3B" w:rsidRPr="009618E4" w:rsidRDefault="00513FB2">
      <w:pPr>
        <w:pStyle w:val="Titrearticle"/>
        <w:rPr>
          <w:noProof/>
          <w:color w:val="000000" w:themeColor="text1"/>
        </w:rPr>
      </w:pPr>
      <w:r w:rsidRPr="009618E4">
        <w:rPr>
          <w:noProof/>
          <w:color w:val="000000" w:themeColor="text1"/>
        </w:rPr>
        <w:t xml:space="preserve">Article </w:t>
      </w:r>
      <w:r w:rsidRPr="0068119E">
        <w:rPr>
          <w:noProof/>
          <w:color w:val="000000" w:themeColor="text1"/>
        </w:rPr>
        <w:t>5</w:t>
      </w:r>
    </w:p>
    <w:p w:rsidR="00F26C3B" w:rsidRPr="009618E4" w:rsidRDefault="00513FB2" w:rsidP="00513FB2">
      <w:pPr>
        <w:keepNext/>
        <w:jc w:val="center"/>
        <w:rPr>
          <w:b/>
          <w:noProof/>
          <w:szCs w:val="24"/>
        </w:rPr>
      </w:pPr>
      <w:r w:rsidRPr="009618E4">
        <w:rPr>
          <w:b/>
          <w:noProof/>
        </w:rPr>
        <w:t>Pays tiers associés au programme</w:t>
      </w:r>
    </w:p>
    <w:p w:rsidR="00F26C3B" w:rsidRPr="009618E4" w:rsidRDefault="00513FB2">
      <w:pPr>
        <w:pStyle w:val="ManualNumPar1"/>
        <w:rPr>
          <w:noProof/>
        </w:rPr>
      </w:pPr>
      <w:r w:rsidRPr="0068119E">
        <w:t>1</w:t>
      </w:r>
      <w:r w:rsidRPr="009618E4">
        <w:t>.</w:t>
      </w:r>
      <w:r w:rsidRPr="009618E4">
        <w:tab/>
        <w:t>Le programme est ouvert à l</w:t>
      </w:r>
      <w:r w:rsidR="00266719" w:rsidRPr="009618E4">
        <w:t>’</w:t>
      </w:r>
      <w:r w:rsidRPr="009618E4">
        <w:t>association des pays tiers suivants:</w:t>
      </w:r>
    </w:p>
    <w:p w:rsidR="00F26C3B" w:rsidRPr="009618E4" w:rsidRDefault="00513FB2">
      <w:pPr>
        <w:pStyle w:val="ListNumberLevel2"/>
        <w:rPr>
          <w:noProof/>
        </w:rPr>
      </w:pPr>
      <w:r w:rsidRPr="009618E4">
        <w:t>les pays en voie d</w:t>
      </w:r>
      <w:r w:rsidR="00266719" w:rsidRPr="009618E4">
        <w:t>’</w:t>
      </w:r>
      <w:r w:rsidRPr="009618E4">
        <w:t>adhésion, les pays candidats et les candidats potentiels, conformément aux principes généraux et aux modalités et conditions générales applicables à la participation de ces pays aux programmes de la Communauté établis dans les accords-cadres, les décisions des conseils d</w:t>
      </w:r>
      <w:r w:rsidR="00266719" w:rsidRPr="009618E4">
        <w:t>’</w:t>
      </w:r>
      <w:r w:rsidRPr="009618E4">
        <w:t>association ou les accords similaires respectifs, et conformément aux conditions prévues dans les accords entre la Communauté et ces pays;</w:t>
      </w:r>
    </w:p>
    <w:p w:rsidR="00270443" w:rsidRPr="009618E4" w:rsidRDefault="00513FB2">
      <w:pPr>
        <w:pStyle w:val="ListNumberLevel2"/>
        <w:rPr>
          <w:noProof/>
        </w:rPr>
      </w:pPr>
      <w:r w:rsidRPr="009618E4">
        <w:t>les pays couverts par la politique européenne de voisinage, conformément aux principes généraux et aux modalités et conditions générales applicables à la participation de ces pays aux programmes de la Communauté établis dans les accords-cadres, les décisions des conseils d</w:t>
      </w:r>
      <w:r w:rsidR="00266719" w:rsidRPr="009618E4">
        <w:t>’</w:t>
      </w:r>
      <w:r w:rsidRPr="009618E4">
        <w:t>association ou les accords similaires respectifs, et conformément aux conditions prévues dans les accords entre la Communauté et ces pays;</w:t>
      </w:r>
    </w:p>
    <w:p w:rsidR="00F26C3B" w:rsidRPr="009618E4" w:rsidRDefault="00513FB2">
      <w:pPr>
        <w:pStyle w:val="ListNumberLevel2"/>
        <w:rPr>
          <w:noProof/>
        </w:rPr>
      </w:pPr>
      <w:r w:rsidRPr="009618E4">
        <w:t>les pays tiers et territoires qui remplissent l</w:t>
      </w:r>
      <w:r w:rsidR="00266719" w:rsidRPr="009618E4">
        <w:t>’</w:t>
      </w:r>
      <w:r w:rsidRPr="009618E4">
        <w:t>ensemble des critères suivants:</w:t>
      </w:r>
    </w:p>
    <w:p w:rsidR="00F26C3B" w:rsidRPr="009618E4" w:rsidRDefault="00513FB2" w:rsidP="00B643B4">
      <w:pPr>
        <w:pStyle w:val="ListNumberLevel3"/>
        <w:rPr>
          <w:noProof/>
        </w:rPr>
      </w:pPr>
      <w:r w:rsidRPr="009618E4">
        <w:t>bonnes capacités dans les domaines scientifique, technologique et de l</w:t>
      </w:r>
      <w:r w:rsidR="00266719" w:rsidRPr="009618E4">
        <w:t>’</w:t>
      </w:r>
      <w:r w:rsidRPr="009618E4">
        <w:t>innovation;</w:t>
      </w:r>
    </w:p>
    <w:p w:rsidR="00F26C3B" w:rsidRPr="009618E4" w:rsidRDefault="00513FB2" w:rsidP="00B643B4">
      <w:pPr>
        <w:pStyle w:val="ListNumberLevel3"/>
        <w:rPr>
          <w:noProof/>
        </w:rPr>
      </w:pPr>
      <w:r w:rsidRPr="009618E4">
        <w:t>engagement en faveur d</w:t>
      </w:r>
      <w:r w:rsidR="00266719" w:rsidRPr="009618E4">
        <w:t>’</w:t>
      </w:r>
      <w:r w:rsidRPr="009618E4">
        <w:t>une économie de marché ouverte fondée sur des règles, notamment un traitement juste et équitable des droits de propriété intellectuelle, et soutenue par des institutions démocratiques;</w:t>
      </w:r>
    </w:p>
    <w:p w:rsidR="00F26C3B" w:rsidRPr="009618E4" w:rsidRDefault="00513FB2" w:rsidP="00B643B4">
      <w:pPr>
        <w:pStyle w:val="ListNumberLevel3"/>
        <w:rPr>
          <w:noProof/>
        </w:rPr>
      </w:pPr>
      <w:r w:rsidRPr="009618E4">
        <w:t>promotion active de politiques destinées à améliorer le bien-être économique et social des citoyens.</w:t>
      </w:r>
    </w:p>
    <w:p w:rsidR="00F26C3B" w:rsidRPr="009618E4" w:rsidRDefault="00513FB2" w:rsidP="00270443">
      <w:pPr>
        <w:ind w:left="851"/>
        <w:rPr>
          <w:noProof/>
        </w:rPr>
      </w:pPr>
      <w:r w:rsidRPr="009618E4">
        <w:t>L</w:t>
      </w:r>
      <w:r w:rsidR="00266719" w:rsidRPr="009618E4">
        <w:t>’</w:t>
      </w:r>
      <w:r w:rsidRPr="009618E4">
        <w:t>association au programme de chacun des pays tiers au titre du point c) est conforme aux conditions stipulées dans un accord spécifique concernant la participation du pays tiers à tout programme de la Communauté ou de l</w:t>
      </w:r>
      <w:r w:rsidR="00266719" w:rsidRPr="009618E4">
        <w:t>’</w:t>
      </w:r>
      <w:r w:rsidRPr="009618E4">
        <w:t>Union, pour autant que cet accord:</w:t>
      </w:r>
    </w:p>
    <w:p w:rsidR="00F26C3B" w:rsidRPr="009618E4" w:rsidRDefault="00513FB2" w:rsidP="006E0C02">
      <w:pPr>
        <w:pStyle w:val="Tiret1"/>
        <w:numPr>
          <w:ilvl w:val="0"/>
          <w:numId w:val="22"/>
        </w:numPr>
        <w:rPr>
          <w:noProof/>
        </w:rPr>
      </w:pPr>
      <w:r w:rsidRPr="009618E4">
        <w:t>assure un juste équilibre en ce qui concerne les contributions du pays tiers participant au programme et les bénéfices qu</w:t>
      </w:r>
      <w:r w:rsidR="00266719" w:rsidRPr="009618E4">
        <w:t>’</w:t>
      </w:r>
      <w:r w:rsidRPr="009618E4">
        <w:t>il en retire;</w:t>
      </w:r>
    </w:p>
    <w:p w:rsidR="00F26C3B" w:rsidRPr="009618E4" w:rsidRDefault="00513FB2">
      <w:pPr>
        <w:pStyle w:val="Tiret1"/>
        <w:rPr>
          <w:noProof/>
        </w:rPr>
      </w:pPr>
      <w:r w:rsidRPr="009618E4">
        <w:t>établisse les conditions de participation au programme, y compris le calcul des contributions financières au programme et de ses coûts administratifs. Ces contributions constituent des recettes affectées conformément à l</w:t>
      </w:r>
      <w:r w:rsidR="00266719" w:rsidRPr="009618E4">
        <w:t>’</w:t>
      </w:r>
      <w:r w:rsidRPr="009618E4">
        <w:t>article </w:t>
      </w:r>
      <w:r w:rsidRPr="0068119E">
        <w:t>21</w:t>
      </w:r>
      <w:r w:rsidRPr="009618E4">
        <w:t>, paragraphe </w:t>
      </w:r>
      <w:r w:rsidRPr="0068119E">
        <w:t>5</w:t>
      </w:r>
      <w:r w:rsidRPr="009618E4">
        <w:t>, du règlement financier;</w:t>
      </w:r>
    </w:p>
    <w:p w:rsidR="00F26C3B" w:rsidRPr="009618E4" w:rsidRDefault="00513FB2">
      <w:pPr>
        <w:pStyle w:val="Tiret1"/>
        <w:rPr>
          <w:noProof/>
        </w:rPr>
      </w:pPr>
      <w:r w:rsidRPr="009618E4">
        <w:t>ne confère pas au pays tiers un pouvoir de décision sur le programme;</w:t>
      </w:r>
    </w:p>
    <w:p w:rsidR="00F26C3B" w:rsidRPr="009618E4" w:rsidRDefault="00513FB2">
      <w:pPr>
        <w:pStyle w:val="Tiret1"/>
        <w:rPr>
          <w:noProof/>
        </w:rPr>
      </w:pPr>
      <w:r w:rsidRPr="009618E4">
        <w:t>garantisse les droits dont dispose l</w:t>
      </w:r>
      <w:r w:rsidR="00266719" w:rsidRPr="009618E4">
        <w:t>’</w:t>
      </w:r>
      <w:r w:rsidRPr="009618E4">
        <w:t>Union de veiller à la bonne gestion financière et de protéger ses intérêts financiers.</w:t>
      </w:r>
    </w:p>
    <w:p w:rsidR="00F26C3B" w:rsidRPr="009618E4" w:rsidRDefault="00513FB2">
      <w:pPr>
        <w:pStyle w:val="ManualNumPar1"/>
        <w:rPr>
          <w:noProof/>
        </w:rPr>
      </w:pPr>
      <w:r w:rsidRPr="0068119E">
        <w:t>2</w:t>
      </w:r>
      <w:r w:rsidRPr="009618E4">
        <w:t>.</w:t>
      </w:r>
      <w:r w:rsidRPr="009618E4">
        <w:tab/>
        <w:t>La portée de l</w:t>
      </w:r>
      <w:r w:rsidR="00266719" w:rsidRPr="009618E4">
        <w:t>’</w:t>
      </w:r>
      <w:r w:rsidRPr="009618E4">
        <w:t>association de chaque pays tiers au programme tient compte de l</w:t>
      </w:r>
      <w:r w:rsidR="00266719" w:rsidRPr="009618E4">
        <w:t>’</w:t>
      </w:r>
      <w:r w:rsidRPr="009618E4">
        <w:t>objectif de stimuler la croissance économique dans l</w:t>
      </w:r>
      <w:r w:rsidR="00266719" w:rsidRPr="009618E4">
        <w:t>’</w:t>
      </w:r>
      <w:r w:rsidRPr="009618E4">
        <w:t>Union grâce à l</w:t>
      </w:r>
      <w:r w:rsidR="00266719" w:rsidRPr="009618E4">
        <w:t>’</w:t>
      </w:r>
      <w:r w:rsidRPr="009618E4">
        <w:t>innovation. En conséquence, sauf pour les pays en voie d</w:t>
      </w:r>
      <w:r w:rsidR="00266719" w:rsidRPr="009618E4">
        <w:t>’</w:t>
      </w:r>
      <w:r w:rsidRPr="009618E4">
        <w:t>adhésion, les pays candidats et les candidats potentiels, certaines parties du programme peuvent être exclues de l</w:t>
      </w:r>
      <w:r w:rsidR="00266719" w:rsidRPr="009618E4">
        <w:t>’</w:t>
      </w:r>
      <w:r w:rsidRPr="009618E4">
        <w:t>accord d</w:t>
      </w:r>
      <w:r w:rsidR="00266719" w:rsidRPr="009618E4">
        <w:t>’</w:t>
      </w:r>
      <w:r w:rsidRPr="009618E4">
        <w:t>association pour un pays donné.</w:t>
      </w:r>
    </w:p>
    <w:p w:rsidR="00F26C3B" w:rsidRPr="009618E4" w:rsidRDefault="00513FB2">
      <w:pPr>
        <w:pStyle w:val="ManualNumPar1"/>
        <w:rPr>
          <w:noProof/>
        </w:rPr>
      </w:pPr>
      <w:r w:rsidRPr="0068119E">
        <w:t>3</w:t>
      </w:r>
      <w:r w:rsidRPr="009618E4">
        <w:t>.</w:t>
      </w:r>
      <w:r w:rsidRPr="009618E4">
        <w:tab/>
        <w:t>L</w:t>
      </w:r>
      <w:r w:rsidR="00266719" w:rsidRPr="009618E4">
        <w:t>’</w:t>
      </w:r>
      <w:r w:rsidRPr="009618E4">
        <w:t>accord d</w:t>
      </w:r>
      <w:r w:rsidR="00266719" w:rsidRPr="009618E4">
        <w:t>’</w:t>
      </w:r>
      <w:r w:rsidRPr="009618E4">
        <w:t>association prévoit, le cas échéant, la participation d</w:t>
      </w:r>
      <w:r w:rsidR="00266719" w:rsidRPr="009618E4">
        <w:t>’</w:t>
      </w:r>
      <w:r w:rsidRPr="009618E4">
        <w:t>entités juridiques établies dans l</w:t>
      </w:r>
      <w:r w:rsidR="00266719" w:rsidRPr="009618E4">
        <w:t>’</w:t>
      </w:r>
      <w:r w:rsidRPr="009618E4">
        <w:t>Union à des programmes équivalents de pays associés, conformément aux conditions qui y sont prévues.</w:t>
      </w:r>
    </w:p>
    <w:p w:rsidR="00F26C3B" w:rsidRPr="009618E4" w:rsidRDefault="00513FB2">
      <w:pPr>
        <w:pStyle w:val="ManualNumPar1"/>
        <w:rPr>
          <w:noProof/>
        </w:rPr>
      </w:pPr>
      <w:r w:rsidRPr="0068119E">
        <w:t>4</w:t>
      </w:r>
      <w:r w:rsidRPr="009618E4">
        <w:t>.</w:t>
      </w:r>
      <w:r w:rsidRPr="009618E4">
        <w:tab/>
        <w:t>Les conditions qui déterminent le niveau de contribution financière assurent une correction automatique en cas de déséquilibre significatif par rapport au montant que les entités établies dans le pays associé reçoivent en raison de leur participation au programme, compte tenu des coûts liés à la gestion, à l</w:t>
      </w:r>
      <w:r w:rsidR="00266719" w:rsidRPr="009618E4">
        <w:t>’</w:t>
      </w:r>
      <w:r w:rsidRPr="009618E4">
        <w:t>exécution et au fonctionnement du programme.</w:t>
      </w:r>
    </w:p>
    <w:p w:rsidR="00F26C3B" w:rsidRPr="009618E4" w:rsidRDefault="00513FB2" w:rsidP="00FD5B64">
      <w:pPr>
        <w:pStyle w:val="Titrearticle"/>
        <w:rPr>
          <w:noProof/>
          <w:color w:val="000000" w:themeColor="text1"/>
        </w:rPr>
      </w:pPr>
      <w:r w:rsidRPr="009618E4">
        <w:rPr>
          <w:noProof/>
          <w:color w:val="000000" w:themeColor="text1"/>
        </w:rPr>
        <w:t xml:space="preserve">Article </w:t>
      </w:r>
      <w:r w:rsidRPr="0068119E">
        <w:rPr>
          <w:noProof/>
          <w:color w:val="000000" w:themeColor="text1"/>
        </w:rPr>
        <w:t>6</w:t>
      </w:r>
    </w:p>
    <w:p w:rsidR="00F26C3B" w:rsidRPr="009618E4" w:rsidRDefault="00513FB2" w:rsidP="00FD5B64">
      <w:pPr>
        <w:pStyle w:val="NormalCentered"/>
        <w:keepNext/>
        <w:rPr>
          <w:b/>
          <w:noProof/>
        </w:rPr>
      </w:pPr>
      <w:r w:rsidRPr="009618E4">
        <w:rPr>
          <w:b/>
          <w:noProof/>
        </w:rPr>
        <w:t>Mise en œuvre et formes de financement de l</w:t>
      </w:r>
      <w:r w:rsidR="00266719" w:rsidRPr="009618E4">
        <w:rPr>
          <w:b/>
          <w:noProof/>
        </w:rPr>
        <w:t>’</w:t>
      </w:r>
      <w:r w:rsidRPr="009618E4">
        <w:rPr>
          <w:b/>
          <w:noProof/>
        </w:rPr>
        <w:t>UE</w:t>
      </w:r>
    </w:p>
    <w:p w:rsidR="00F26C3B" w:rsidRPr="009618E4" w:rsidRDefault="00513FB2">
      <w:pPr>
        <w:pStyle w:val="ManualNumPar1"/>
        <w:rPr>
          <w:noProof/>
        </w:rPr>
      </w:pPr>
      <w:r w:rsidRPr="0068119E">
        <w:t>1</w:t>
      </w:r>
      <w:r w:rsidRPr="009618E4">
        <w:t>.</w:t>
      </w:r>
      <w:r w:rsidRPr="009618E4">
        <w:tab/>
        <w:t>Le programme est mis en œuvre en gestion directe, conformément au règlement financier, ou en gestion indirecte avec des organismes de financement mentionnés à l</w:t>
      </w:r>
      <w:r w:rsidR="00266719" w:rsidRPr="009618E4">
        <w:t>’</w:t>
      </w:r>
      <w:r w:rsidRPr="009618E4">
        <w:t>article </w:t>
      </w:r>
      <w:r w:rsidRPr="0068119E">
        <w:t>61</w:t>
      </w:r>
      <w:r w:rsidRPr="009618E4">
        <w:t>, paragraphe </w:t>
      </w:r>
      <w:r w:rsidRPr="0068119E">
        <w:t>1</w:t>
      </w:r>
      <w:r w:rsidRPr="009618E4">
        <w:t>, point c) du règlement financier.</w:t>
      </w:r>
    </w:p>
    <w:p w:rsidR="00F26C3B" w:rsidRPr="009618E4" w:rsidRDefault="00513FB2">
      <w:pPr>
        <w:pStyle w:val="ManualNumPar1"/>
        <w:rPr>
          <w:noProof/>
        </w:rPr>
      </w:pPr>
      <w:r w:rsidRPr="0068119E">
        <w:t>2</w:t>
      </w:r>
      <w:r w:rsidRPr="009618E4">
        <w:t>.</w:t>
      </w:r>
      <w:r w:rsidRPr="009618E4">
        <w:tab/>
        <w:t>Le programme peut allouer des fonds sous l</w:t>
      </w:r>
      <w:r w:rsidR="00266719" w:rsidRPr="009618E4">
        <w:t>’</w:t>
      </w:r>
      <w:r w:rsidRPr="009618E4">
        <w:t>une ou l</w:t>
      </w:r>
      <w:r w:rsidR="00266719" w:rsidRPr="009618E4">
        <w:t>’</w:t>
      </w:r>
      <w:r w:rsidRPr="009618E4">
        <w:t>autre forme prévue dans le règlement financier, en particulier des subventions, des prix et des marchés. Il peut aussi fournir un financement sous la forme d</w:t>
      </w:r>
      <w:r w:rsidR="00266719" w:rsidRPr="009618E4">
        <w:t>’</w:t>
      </w:r>
      <w:r w:rsidRPr="009618E4">
        <w:t>instruments financiers dans le cadre d</w:t>
      </w:r>
      <w:r w:rsidR="00266719" w:rsidRPr="009618E4">
        <w:t>’</w:t>
      </w:r>
      <w:r w:rsidRPr="009618E4">
        <w:t>opérations de financement mixte.</w:t>
      </w:r>
    </w:p>
    <w:p w:rsidR="00F26C3B" w:rsidRPr="009618E4" w:rsidRDefault="00513FB2">
      <w:pPr>
        <w:pStyle w:val="ManualNumPar1"/>
        <w:rPr>
          <w:noProof/>
          <w:color w:val="000000" w:themeColor="text1"/>
        </w:rPr>
      </w:pPr>
      <w:r w:rsidRPr="0068119E">
        <w:t>3</w:t>
      </w:r>
      <w:r w:rsidRPr="009618E4">
        <w:t>.</w:t>
      </w:r>
      <w:r w:rsidRPr="009618E4">
        <w:tab/>
        <w:t>Les principaux types d</w:t>
      </w:r>
      <w:r w:rsidR="00266719" w:rsidRPr="009618E4">
        <w:t>’</w:t>
      </w:r>
      <w:r w:rsidRPr="009618E4">
        <w:t>actions à utiliser dans le cadre du programme sont énoncés et définis à l</w:t>
      </w:r>
      <w:r w:rsidR="00266719" w:rsidRPr="009618E4">
        <w:t>’</w:t>
      </w:r>
      <w:r w:rsidRPr="009618E4">
        <w:t>annexe II d</w:t>
      </w:r>
      <w:r w:rsidR="00266719" w:rsidRPr="009618E4">
        <w:t>’</w:t>
      </w:r>
      <w:r w:rsidRPr="009618E4">
        <w:t xml:space="preserve">«Horizon Europe». </w:t>
      </w:r>
    </w:p>
    <w:p w:rsidR="00F26C3B" w:rsidRPr="009618E4" w:rsidRDefault="00513FB2">
      <w:pPr>
        <w:pStyle w:val="ManualNumPar1"/>
        <w:rPr>
          <w:noProof/>
        </w:rPr>
      </w:pPr>
      <w:r w:rsidRPr="0068119E">
        <w:t>4</w:t>
      </w:r>
      <w:r w:rsidRPr="009618E4">
        <w:t>.</w:t>
      </w:r>
      <w:r w:rsidRPr="009618E4">
        <w:tab/>
        <w:t>Le programme soutient également les actions directes entreprises par le JRC.</w:t>
      </w:r>
    </w:p>
    <w:p w:rsidR="00F26C3B" w:rsidRPr="009618E4" w:rsidRDefault="00513FB2">
      <w:pPr>
        <w:pStyle w:val="Titrearticle"/>
        <w:rPr>
          <w:noProof/>
        </w:rPr>
      </w:pPr>
      <w:r w:rsidRPr="009618E4">
        <w:t xml:space="preserve">Article </w:t>
      </w:r>
      <w:r w:rsidRPr="0068119E">
        <w:t>7</w:t>
      </w:r>
    </w:p>
    <w:p w:rsidR="00F26C3B" w:rsidRPr="009618E4" w:rsidRDefault="00513FB2" w:rsidP="00FD5B64">
      <w:pPr>
        <w:pStyle w:val="NormalCentered"/>
        <w:keepNext/>
        <w:rPr>
          <w:b/>
          <w:noProof/>
        </w:rPr>
      </w:pPr>
      <w:r w:rsidRPr="009618E4">
        <w:rPr>
          <w:b/>
          <w:noProof/>
        </w:rPr>
        <w:t>Partenariats européens</w:t>
      </w:r>
    </w:p>
    <w:p w:rsidR="00F26C3B" w:rsidRPr="009618E4" w:rsidRDefault="00513FB2">
      <w:pPr>
        <w:pStyle w:val="ManualNumPar1"/>
        <w:rPr>
          <w:noProof/>
        </w:rPr>
      </w:pPr>
      <w:r w:rsidRPr="0068119E">
        <w:t>1</w:t>
      </w:r>
      <w:r w:rsidRPr="009618E4">
        <w:t>.</w:t>
      </w:r>
      <w:r w:rsidRPr="009618E4">
        <w:tab/>
        <w:t>Certaines parties du programme peuvent être mises en œuvre au moyen de partenariats européens.</w:t>
      </w:r>
    </w:p>
    <w:p w:rsidR="00F26C3B" w:rsidRPr="009618E4" w:rsidRDefault="00513FB2">
      <w:pPr>
        <w:pStyle w:val="ManualNumPar1"/>
        <w:rPr>
          <w:noProof/>
        </w:rPr>
      </w:pPr>
      <w:r w:rsidRPr="0068119E">
        <w:t>2</w:t>
      </w:r>
      <w:r w:rsidRPr="009618E4">
        <w:t>.</w:t>
      </w:r>
      <w:r w:rsidRPr="009618E4">
        <w:tab/>
        <w:t>L</w:t>
      </w:r>
      <w:r w:rsidR="00266719" w:rsidRPr="009618E4">
        <w:t>’</w:t>
      </w:r>
      <w:r w:rsidRPr="009618E4">
        <w:t>implication de la Communauté dans les partenariats européens peut prendre l</w:t>
      </w:r>
      <w:r w:rsidR="00266719" w:rsidRPr="009618E4">
        <w:t>’</w:t>
      </w:r>
      <w:r w:rsidRPr="009618E4">
        <w:t>une des formes suivantes:</w:t>
      </w:r>
    </w:p>
    <w:p w:rsidR="00F26C3B" w:rsidRPr="009618E4" w:rsidRDefault="00513FB2" w:rsidP="006E0C02">
      <w:pPr>
        <w:pStyle w:val="Point1letter"/>
        <w:numPr>
          <w:ilvl w:val="3"/>
          <w:numId w:val="17"/>
        </w:numPr>
        <w:rPr>
          <w:noProof/>
        </w:rPr>
      </w:pPr>
      <w:r w:rsidRPr="009618E4">
        <w:t>participation à des partenariats établis sur la base de protocoles d</w:t>
      </w:r>
      <w:r w:rsidR="00266719" w:rsidRPr="009618E4">
        <w:t>’</w:t>
      </w:r>
      <w:r w:rsidRPr="009618E4">
        <w:t>accord ou de dispositions contractuelles entre la Commission et des partenaires publics ou privés précisant les objectifs du partenariat, les engagements correspondants relatifs aux contributions financières et/ou en nature des partenaires, les indicateurs de performance et d</w:t>
      </w:r>
      <w:r w:rsidR="00266719" w:rsidRPr="009618E4">
        <w:t>’</w:t>
      </w:r>
      <w:r w:rsidRPr="009618E4">
        <w:t>impact clés et les réalisations à fournir. Les activités complémentaires de recherche et d</w:t>
      </w:r>
      <w:r w:rsidR="00266719" w:rsidRPr="009618E4">
        <w:t>’</w:t>
      </w:r>
      <w:r w:rsidRPr="009618E4">
        <w:t>innovation qui sont mises en œuvre par les partenaires et par le programme sont indiquées (partenariats européens coprogrammés);</w:t>
      </w:r>
    </w:p>
    <w:p w:rsidR="00F26C3B" w:rsidRPr="009618E4" w:rsidRDefault="00513FB2" w:rsidP="006E0C02">
      <w:pPr>
        <w:pStyle w:val="Point1letter"/>
        <w:numPr>
          <w:ilvl w:val="3"/>
          <w:numId w:val="17"/>
        </w:numPr>
        <w:rPr>
          <w:noProof/>
        </w:rPr>
      </w:pPr>
      <w:r w:rsidRPr="009618E4">
        <w:t>participation et contribution financière à un programme d</w:t>
      </w:r>
      <w:r w:rsidR="00266719" w:rsidRPr="009618E4">
        <w:t>’</w:t>
      </w:r>
      <w:r w:rsidRPr="009618E4">
        <w:t>activités de recherche et d</w:t>
      </w:r>
      <w:r w:rsidR="00266719" w:rsidRPr="009618E4">
        <w:t>’</w:t>
      </w:r>
      <w:r w:rsidRPr="009618E4">
        <w:t>innovation, fondées sur l</w:t>
      </w:r>
      <w:r w:rsidR="00266719" w:rsidRPr="009618E4">
        <w:t>’</w:t>
      </w:r>
      <w:r w:rsidRPr="009618E4">
        <w:t>engagement des partenaires concernant leurs contributions financières et/ou en nature et sur l</w:t>
      </w:r>
      <w:r w:rsidR="00266719" w:rsidRPr="009618E4">
        <w:t>’</w:t>
      </w:r>
      <w:r w:rsidRPr="009618E4">
        <w:t>intégration de leurs activités pertinentes au moyen d</w:t>
      </w:r>
      <w:r w:rsidR="00266719" w:rsidRPr="009618E4">
        <w:t>’</w:t>
      </w:r>
      <w:r w:rsidRPr="009618E4">
        <w:t>une action de cofinancement au titre de programme (partenariats européens cofinancés).</w:t>
      </w:r>
    </w:p>
    <w:p w:rsidR="00F26C3B" w:rsidRPr="009618E4" w:rsidRDefault="00513FB2">
      <w:pPr>
        <w:pStyle w:val="ManualNumPar1"/>
        <w:rPr>
          <w:noProof/>
        </w:rPr>
      </w:pPr>
      <w:r w:rsidRPr="0068119E">
        <w:t>3</w:t>
      </w:r>
      <w:r w:rsidRPr="009618E4">
        <w:t>.</w:t>
      </w:r>
      <w:r w:rsidRPr="009618E4">
        <w:tab/>
        <w:t>Les partenariats européens:</w:t>
      </w:r>
    </w:p>
    <w:p w:rsidR="00F26C3B" w:rsidRPr="009618E4" w:rsidRDefault="00513FB2" w:rsidP="006E0C02">
      <w:pPr>
        <w:pStyle w:val="Point1letter"/>
        <w:numPr>
          <w:ilvl w:val="3"/>
          <w:numId w:val="18"/>
        </w:numPr>
        <w:rPr>
          <w:noProof/>
        </w:rPr>
      </w:pPr>
      <w:r w:rsidRPr="009618E4">
        <w:t>sont établis dans les cas où ils permettent d</w:t>
      </w:r>
      <w:r w:rsidR="00266719" w:rsidRPr="009618E4">
        <w:t>’</w:t>
      </w:r>
      <w:r w:rsidRPr="009618E4">
        <w:t>atteindre plus efficacement les objectifs du programme que la Communauté à elle seule;</w:t>
      </w:r>
    </w:p>
    <w:p w:rsidR="00F26C3B" w:rsidRPr="009618E4" w:rsidRDefault="00513FB2">
      <w:pPr>
        <w:pStyle w:val="Point1letter"/>
        <w:rPr>
          <w:noProof/>
        </w:rPr>
      </w:pPr>
      <w:r w:rsidRPr="009618E4">
        <w:t>respectent les principes de valeur ajoutée de l</w:t>
      </w:r>
      <w:r w:rsidR="00266719" w:rsidRPr="009618E4">
        <w:t>’</w:t>
      </w:r>
      <w:r w:rsidRPr="009618E4">
        <w:t>Union, de transparence, d</w:t>
      </w:r>
      <w:r w:rsidR="00266719" w:rsidRPr="009618E4">
        <w:t>’</w:t>
      </w:r>
      <w:r w:rsidRPr="009618E4">
        <w:t>ouverture, d</w:t>
      </w:r>
      <w:r w:rsidR="00266719" w:rsidRPr="009618E4">
        <w:t>’</w:t>
      </w:r>
      <w:r w:rsidRPr="009618E4">
        <w:t>impact, d</w:t>
      </w:r>
      <w:r w:rsidR="00266719" w:rsidRPr="009618E4">
        <w:t>’</w:t>
      </w:r>
      <w:r w:rsidRPr="009618E4">
        <w:t>effet de levier, d</w:t>
      </w:r>
      <w:r w:rsidR="00266719" w:rsidRPr="009618E4">
        <w:t>’</w:t>
      </w:r>
      <w:r w:rsidRPr="009618E4">
        <w:t>engagement financier à long terme de toutes les parties concernées, de flexibilité, de cohérence et de complémentarité avec les initiatives prises au niveau européen, local, régional, national et international;</w:t>
      </w:r>
    </w:p>
    <w:p w:rsidR="00F26C3B" w:rsidRPr="009618E4" w:rsidRDefault="00513FB2">
      <w:pPr>
        <w:pStyle w:val="Point1letter"/>
        <w:rPr>
          <w:noProof/>
        </w:rPr>
      </w:pPr>
      <w:r w:rsidRPr="009618E4">
        <w:t>sont limités dans le temps et comportent des conditions relatives à la suppression progressive du financement du programme.</w:t>
      </w:r>
    </w:p>
    <w:p w:rsidR="00F26C3B" w:rsidRPr="009618E4" w:rsidRDefault="00513FB2">
      <w:pPr>
        <w:pStyle w:val="ManualNumPar1"/>
        <w:rPr>
          <w:noProof/>
        </w:rPr>
      </w:pPr>
      <w:r w:rsidRPr="0068119E">
        <w:t>4</w:t>
      </w:r>
      <w:r w:rsidRPr="009618E4">
        <w:t>.</w:t>
      </w:r>
      <w:r w:rsidRPr="009618E4">
        <w:tab/>
        <w:t>Les modalités et critères de sélection, de mise en œuvre, de suivi, d</w:t>
      </w:r>
      <w:r w:rsidR="00266719" w:rsidRPr="009618E4">
        <w:t>’</w:t>
      </w:r>
      <w:r w:rsidRPr="009618E4">
        <w:t>évaluation et de suppression progressive sont énoncés à l</w:t>
      </w:r>
      <w:r w:rsidR="00266719" w:rsidRPr="009618E4">
        <w:t>’</w:t>
      </w:r>
      <w:r w:rsidRPr="009618E4">
        <w:t>annexe III d</w:t>
      </w:r>
      <w:r w:rsidR="00266719" w:rsidRPr="009618E4">
        <w:t>’</w:t>
      </w:r>
      <w:r w:rsidRPr="009618E4">
        <w:t>«Horizon Europe».</w:t>
      </w:r>
    </w:p>
    <w:p w:rsidR="00F26C3B" w:rsidRPr="009618E4" w:rsidRDefault="00513FB2">
      <w:pPr>
        <w:pStyle w:val="Titrearticle"/>
        <w:rPr>
          <w:noProof/>
        </w:rPr>
      </w:pPr>
      <w:r w:rsidRPr="009618E4">
        <w:t xml:space="preserve">Article </w:t>
      </w:r>
      <w:r w:rsidRPr="0068119E">
        <w:t>8</w:t>
      </w:r>
    </w:p>
    <w:p w:rsidR="00F26C3B" w:rsidRPr="009618E4" w:rsidRDefault="00513FB2">
      <w:pPr>
        <w:pStyle w:val="NormalCentered"/>
        <w:rPr>
          <w:b/>
          <w:noProof/>
        </w:rPr>
      </w:pPr>
      <w:r w:rsidRPr="009618E4">
        <w:rPr>
          <w:b/>
          <w:noProof/>
        </w:rPr>
        <w:t>Accès ouvert et science ouverte</w:t>
      </w:r>
    </w:p>
    <w:p w:rsidR="00F26C3B" w:rsidRPr="009618E4" w:rsidRDefault="00513FB2">
      <w:pPr>
        <w:rPr>
          <w:noProof/>
        </w:rPr>
      </w:pPr>
      <w:r w:rsidRPr="009618E4">
        <w:t>Les dispositions relatives à l</w:t>
      </w:r>
      <w:r w:rsidR="00266719" w:rsidRPr="009618E4">
        <w:t>’</w:t>
      </w:r>
      <w:r w:rsidRPr="009618E4">
        <w:t>accès ouvert et à la science ouverte énoncées dans «Horizon Europe» s</w:t>
      </w:r>
      <w:r w:rsidR="00266719" w:rsidRPr="009618E4">
        <w:t>’</w:t>
      </w:r>
      <w:r w:rsidRPr="009618E4">
        <w:t>appliquent au programme.</w:t>
      </w:r>
    </w:p>
    <w:p w:rsidR="00F26C3B" w:rsidRPr="009618E4" w:rsidRDefault="00513FB2" w:rsidP="00FD5B64">
      <w:pPr>
        <w:pStyle w:val="Titrearticle"/>
        <w:spacing w:before="120"/>
        <w:rPr>
          <w:noProof/>
          <w:color w:val="000000" w:themeColor="text1"/>
        </w:rPr>
      </w:pPr>
      <w:r w:rsidRPr="009618E4">
        <w:rPr>
          <w:noProof/>
          <w:color w:val="000000" w:themeColor="text1"/>
        </w:rPr>
        <w:t xml:space="preserve">Article </w:t>
      </w:r>
      <w:r w:rsidRPr="0068119E">
        <w:rPr>
          <w:noProof/>
          <w:color w:val="000000" w:themeColor="text1"/>
        </w:rPr>
        <w:t>9</w:t>
      </w:r>
    </w:p>
    <w:p w:rsidR="00F26C3B" w:rsidRPr="009618E4" w:rsidRDefault="00513FB2" w:rsidP="00FD5B64">
      <w:pPr>
        <w:pStyle w:val="NormalCentered"/>
        <w:keepNext/>
        <w:rPr>
          <w:b/>
          <w:noProof/>
        </w:rPr>
      </w:pPr>
      <w:r w:rsidRPr="009618E4">
        <w:rPr>
          <w:b/>
          <w:noProof/>
        </w:rPr>
        <w:t>Actions éligibles et règles de participation et de diffusion des résultats de la recherche</w:t>
      </w:r>
    </w:p>
    <w:p w:rsidR="00F26C3B" w:rsidRPr="009618E4" w:rsidRDefault="00513FB2">
      <w:pPr>
        <w:pStyle w:val="ManualNumPar1"/>
        <w:rPr>
          <w:noProof/>
        </w:rPr>
      </w:pPr>
      <w:r w:rsidRPr="0068119E">
        <w:t>1</w:t>
      </w:r>
      <w:r w:rsidRPr="009618E4">
        <w:t>.</w:t>
      </w:r>
      <w:r w:rsidRPr="009618E4">
        <w:tab/>
        <w:t>Seules les actions mettant en œuvre les objectifs mentionnés à l</w:t>
      </w:r>
      <w:r w:rsidR="00266719" w:rsidRPr="009618E4">
        <w:t>’</w:t>
      </w:r>
      <w:r w:rsidRPr="009618E4">
        <w:t>article </w:t>
      </w:r>
      <w:r w:rsidRPr="0068119E">
        <w:t>3</w:t>
      </w:r>
      <w:r w:rsidRPr="009618E4">
        <w:t xml:space="preserve"> sont éligibles au financement.</w:t>
      </w:r>
    </w:p>
    <w:p w:rsidR="00F26C3B" w:rsidRPr="009618E4" w:rsidRDefault="00513FB2">
      <w:pPr>
        <w:pStyle w:val="ManualNumPar1"/>
        <w:rPr>
          <w:noProof/>
        </w:rPr>
      </w:pPr>
      <w:r w:rsidRPr="0068119E">
        <w:t>2</w:t>
      </w:r>
      <w:r w:rsidRPr="009618E4">
        <w:t>.</w:t>
      </w:r>
      <w:r w:rsidRPr="009618E4">
        <w:tab/>
        <w:t>Sous réserve des troisième et quatrième paragraphes du présent article, le titre II d</w:t>
      </w:r>
      <w:r w:rsidR="00266719" w:rsidRPr="009618E4">
        <w:t>’</w:t>
      </w:r>
      <w:r w:rsidRPr="009618E4">
        <w:t>«Horizon Europe» consacré aux règles de participation s</w:t>
      </w:r>
      <w:r w:rsidR="00266719" w:rsidRPr="009618E4">
        <w:t>’</w:t>
      </w:r>
      <w:r w:rsidRPr="009618E4">
        <w:t>applique aux actions bénéficiant d</w:t>
      </w:r>
      <w:r w:rsidR="00266719" w:rsidRPr="009618E4">
        <w:t>’</w:t>
      </w:r>
      <w:r w:rsidRPr="009618E4">
        <w:t>un soutien au titre du programme. Les références qu</w:t>
      </w:r>
      <w:r w:rsidR="00266719" w:rsidRPr="009618E4">
        <w:t>’</w:t>
      </w:r>
      <w:r w:rsidRPr="009618E4">
        <w:t>il contient à l</w:t>
      </w:r>
      <w:r w:rsidR="00266719" w:rsidRPr="009618E4">
        <w:t>’</w:t>
      </w:r>
      <w:r w:rsidRPr="009618E4">
        <w:t>Union et au programme s</w:t>
      </w:r>
      <w:r w:rsidR="00266719" w:rsidRPr="009618E4">
        <w:t>’</w:t>
      </w:r>
      <w:r w:rsidRPr="009618E4">
        <w:t>entendent comme faites à la Communauté et au présent programme, le cas échéant. Les références qu</w:t>
      </w:r>
      <w:r w:rsidR="00266719" w:rsidRPr="009618E4">
        <w:t>’</w:t>
      </w:r>
      <w:r w:rsidRPr="009618E4">
        <w:t>il contient aux «considérations de sécurité» englobent les intérêts de la défense des États membres au sens de l</w:t>
      </w:r>
      <w:r w:rsidR="00266719" w:rsidRPr="009618E4">
        <w:t>’</w:t>
      </w:r>
      <w:r w:rsidRPr="009618E4">
        <w:t>article </w:t>
      </w:r>
      <w:r w:rsidRPr="0068119E">
        <w:t>24</w:t>
      </w:r>
      <w:r w:rsidRPr="009618E4">
        <w:t xml:space="preserve"> du traité.</w:t>
      </w:r>
    </w:p>
    <w:p w:rsidR="00F26C3B" w:rsidRPr="009618E4" w:rsidRDefault="00513FB2">
      <w:pPr>
        <w:pStyle w:val="ManualNumPar1"/>
        <w:rPr>
          <w:noProof/>
        </w:rPr>
      </w:pPr>
      <w:r w:rsidRPr="0068119E">
        <w:t>3</w:t>
      </w:r>
      <w:r w:rsidRPr="009618E4">
        <w:t>.</w:t>
      </w:r>
      <w:r w:rsidRPr="009618E4">
        <w:tab/>
        <w:t>Par dérogation à l</w:t>
      </w:r>
      <w:r w:rsidR="00266719" w:rsidRPr="009618E4">
        <w:t>’</w:t>
      </w:r>
      <w:r w:rsidRPr="009618E4">
        <w:t>article </w:t>
      </w:r>
      <w:r w:rsidRPr="0068119E">
        <w:t>36</w:t>
      </w:r>
      <w:r w:rsidRPr="009618E4">
        <w:t>, paragraphe </w:t>
      </w:r>
      <w:r w:rsidRPr="0068119E">
        <w:t>4</w:t>
      </w:r>
      <w:r w:rsidRPr="009618E4">
        <w:t>, d</w:t>
      </w:r>
      <w:r w:rsidR="00266719" w:rsidRPr="009618E4">
        <w:t>’</w:t>
      </w:r>
      <w:r w:rsidRPr="009618E4">
        <w:t>«Horizon Europe», le droit d</w:t>
      </w:r>
      <w:r w:rsidR="00266719" w:rsidRPr="009618E4">
        <w:t>’</w:t>
      </w:r>
      <w:r w:rsidRPr="009618E4">
        <w:t>opposition peut s</w:t>
      </w:r>
      <w:r w:rsidR="00266719" w:rsidRPr="009618E4">
        <w:t>’</w:t>
      </w:r>
      <w:r w:rsidRPr="009618E4">
        <w:t>étendre à l</w:t>
      </w:r>
      <w:r w:rsidR="00266719" w:rsidRPr="009618E4">
        <w:t>’</w:t>
      </w:r>
      <w:r w:rsidRPr="009618E4">
        <w:t>octroi de licences non exclusives.</w:t>
      </w:r>
    </w:p>
    <w:p w:rsidR="00F26C3B" w:rsidRPr="009618E4" w:rsidRDefault="00513FB2">
      <w:pPr>
        <w:pStyle w:val="ManualNumPar1"/>
        <w:rPr>
          <w:noProof/>
        </w:rPr>
      </w:pPr>
      <w:r w:rsidRPr="0068119E">
        <w:t>4</w:t>
      </w:r>
      <w:r w:rsidRPr="009618E4">
        <w:t>.</w:t>
      </w:r>
      <w:r w:rsidRPr="009618E4">
        <w:tab/>
        <w:t>Par dérogation à l</w:t>
      </w:r>
      <w:r w:rsidR="00266719" w:rsidRPr="009618E4">
        <w:t>’</w:t>
      </w:r>
      <w:r w:rsidRPr="009618E4">
        <w:t>article </w:t>
      </w:r>
      <w:r w:rsidRPr="0068119E">
        <w:t>37</w:t>
      </w:r>
      <w:r w:rsidRPr="009618E4">
        <w:t>, paragraphe </w:t>
      </w:r>
      <w:r w:rsidRPr="0068119E">
        <w:t>5</w:t>
      </w:r>
      <w:r w:rsidRPr="009618E4">
        <w:t>, d</w:t>
      </w:r>
      <w:r w:rsidR="00266719" w:rsidRPr="009618E4">
        <w:t>’</w:t>
      </w:r>
      <w:r w:rsidRPr="009618E4">
        <w:t>«Horizon Europe», un bénéficiaire ayant reçu un financement de la Communauté concède des droits d</w:t>
      </w:r>
      <w:r w:rsidR="00266719" w:rsidRPr="009618E4">
        <w:t>’</w:t>
      </w:r>
      <w:r w:rsidRPr="009618E4">
        <w:t>accès à ses résultats aux institutions de la Communauté, aux organismes de financement ou à l</w:t>
      </w:r>
      <w:r w:rsidR="00266719" w:rsidRPr="009618E4">
        <w:t>’</w:t>
      </w:r>
      <w:r w:rsidRPr="009618E4">
        <w:t>entreprise commune «Fusion for Energy» aux fins du développement, de la mise en œuvre et du suivi de politiques et programmes de la Communauté ou d</w:t>
      </w:r>
      <w:r w:rsidR="00266719" w:rsidRPr="009618E4">
        <w:t>’</w:t>
      </w:r>
      <w:r w:rsidRPr="009618E4">
        <w:t>obligations dans le cadre de la coopération internationale avec des pays tiers et des organisations internationales. Ces droits d</w:t>
      </w:r>
      <w:r w:rsidR="00266719" w:rsidRPr="009618E4">
        <w:t>’</w:t>
      </w:r>
      <w:r w:rsidRPr="009618E4">
        <w:t>accès comprennent le droit d</w:t>
      </w:r>
      <w:r w:rsidR="00266719" w:rsidRPr="009618E4">
        <w:t>’</w:t>
      </w:r>
      <w:r w:rsidRPr="009618E4">
        <w:t>autoriser des tiers à utiliser les résultats dans des marchés publics et le droit de concéder des sous-licences; ils sont limités à un usage non commercial et non concurrentiel et sont accordés en exemption de redevances.</w:t>
      </w:r>
    </w:p>
    <w:p w:rsidR="00F26C3B" w:rsidRPr="009618E4" w:rsidRDefault="00513FB2">
      <w:pPr>
        <w:pStyle w:val="ManualNumPar1"/>
        <w:rPr>
          <w:noProof/>
        </w:rPr>
      </w:pPr>
      <w:r w:rsidRPr="0068119E">
        <w:t>5</w:t>
      </w:r>
      <w:r w:rsidRPr="009618E4">
        <w:t>.</w:t>
      </w:r>
      <w:r w:rsidRPr="009618E4">
        <w:tab/>
        <w:t>Le mécanisme d</w:t>
      </w:r>
      <w:r w:rsidR="00266719" w:rsidRPr="009618E4">
        <w:t>’</w:t>
      </w:r>
      <w:r w:rsidRPr="009618E4">
        <w:t>assurance mutuelle établi conformément à «Horizon Europe» couvre les risques liés au non-recouvrement des montants dus par des bénéficiaires à la Commission ou à des organismes de financement en vertu du présent règlement.</w:t>
      </w:r>
    </w:p>
    <w:p w:rsidR="00F26C3B" w:rsidRPr="009618E4" w:rsidRDefault="00513FB2">
      <w:pPr>
        <w:pStyle w:val="Titrearticle"/>
        <w:rPr>
          <w:noProof/>
        </w:rPr>
      </w:pPr>
      <w:r w:rsidRPr="009618E4">
        <w:t xml:space="preserve">Article </w:t>
      </w:r>
      <w:r w:rsidRPr="0068119E">
        <w:t>10</w:t>
      </w:r>
    </w:p>
    <w:p w:rsidR="00F26C3B" w:rsidRPr="009618E4" w:rsidRDefault="004A1356" w:rsidP="00FD5B64">
      <w:pPr>
        <w:pStyle w:val="NormalCentered"/>
        <w:keepNext/>
        <w:rPr>
          <w:b/>
          <w:noProof/>
        </w:rPr>
      </w:pPr>
      <w:r w:rsidRPr="009618E4">
        <w:rPr>
          <w:b/>
          <w:noProof/>
        </w:rPr>
        <w:t>Financement cumulé, complémentaire et combiné</w:t>
      </w:r>
    </w:p>
    <w:p w:rsidR="00F26C3B" w:rsidRPr="009618E4" w:rsidRDefault="00513FB2" w:rsidP="00B643B4">
      <w:pPr>
        <w:pStyle w:val="Text1"/>
        <w:rPr>
          <w:noProof/>
        </w:rPr>
      </w:pPr>
      <w:r w:rsidRPr="0068119E">
        <w:t>1</w:t>
      </w:r>
      <w:r w:rsidRPr="009618E4">
        <w:t>.</w:t>
      </w:r>
      <w:r w:rsidRPr="009618E4">
        <w:tab/>
        <w:t>Le programme est mis en œuvre en synergie avec d</w:t>
      </w:r>
      <w:r w:rsidR="00266719" w:rsidRPr="009618E4">
        <w:t>’</w:t>
      </w:r>
      <w:r w:rsidRPr="009618E4">
        <w:t>autres programmes de financement de l</w:t>
      </w:r>
      <w:r w:rsidR="00266719" w:rsidRPr="009618E4">
        <w:t>’</w:t>
      </w:r>
      <w:r w:rsidRPr="009618E4">
        <w:t>Union. Afin d</w:t>
      </w:r>
      <w:r w:rsidR="00266719" w:rsidRPr="009618E4">
        <w:t>’</w:t>
      </w:r>
      <w:r w:rsidRPr="009618E4">
        <w:t>atteindre les objectifs du programme et de relever les défis communs au programme et à «Horizon Europe», les activités recoupant l</w:t>
      </w:r>
      <w:r w:rsidR="00266719" w:rsidRPr="009618E4">
        <w:t>’</w:t>
      </w:r>
      <w:r w:rsidRPr="009618E4">
        <w:t>ensemble des objectifs énoncés dans le programme et/ou celles exécutant «Horizon Europe» peuvent bénéficier d</w:t>
      </w:r>
      <w:r w:rsidR="00266719" w:rsidRPr="009618E4">
        <w:t>’</w:t>
      </w:r>
      <w:r w:rsidRPr="009618E4">
        <w:t>une contribution financière de la Communauté. En particulier, le programme peut une contribution financière aux actions Marie Skłodowska-Curie (AMSC) afin de soutenir des activités pertinentes pour la recherche nucléaire.</w:t>
      </w:r>
    </w:p>
    <w:p w:rsidR="00D118C1" w:rsidRPr="009618E4" w:rsidRDefault="00637FB6" w:rsidP="00955F36">
      <w:pPr>
        <w:pStyle w:val="Text1"/>
        <w:ind w:left="720" w:hanging="720"/>
      </w:pPr>
      <w:r w:rsidRPr="0068119E">
        <w:t>2</w:t>
      </w:r>
      <w:r w:rsidRPr="009618E4">
        <w:t>.</w:t>
      </w:r>
      <w:r w:rsidRPr="009618E4">
        <w:tab/>
        <w:t>Une action ayant reçu une contribution d</w:t>
      </w:r>
      <w:r w:rsidR="00266719" w:rsidRPr="009618E4">
        <w:t>’</w:t>
      </w:r>
      <w:r w:rsidRPr="009618E4">
        <w:t>un autre programme de l</w:t>
      </w:r>
      <w:r w:rsidR="00266719" w:rsidRPr="009618E4">
        <w:t>’</w:t>
      </w:r>
      <w:r w:rsidRPr="009618E4">
        <w:t>Union peut aussi recevoir une contribution au titre du programme, pour autant que les contributions ne couvrent pas les mêmes coûts. Les règles de chaque programme contributeur de l</w:t>
      </w:r>
      <w:r w:rsidR="00266719" w:rsidRPr="009618E4">
        <w:t>’</w:t>
      </w:r>
      <w:r w:rsidRPr="009618E4">
        <w:t>Union s</w:t>
      </w:r>
      <w:r w:rsidR="00266719" w:rsidRPr="009618E4">
        <w:t>’</w:t>
      </w:r>
      <w:r w:rsidRPr="009618E4">
        <w:t>appliquent à la contribution que ce programme a fournie à l</w:t>
      </w:r>
      <w:r w:rsidR="00266719" w:rsidRPr="009618E4">
        <w:t>’</w:t>
      </w:r>
      <w:r w:rsidRPr="009618E4">
        <w:t>action. Le financement cumulé ne dépasse pas le total des coûts éligibles de l</w:t>
      </w:r>
      <w:r w:rsidR="00266719" w:rsidRPr="009618E4">
        <w:t>’</w:t>
      </w:r>
      <w:r w:rsidRPr="009618E4">
        <w:t>action et le soutien au titre des différents programmes de l</w:t>
      </w:r>
      <w:r w:rsidR="00266719" w:rsidRPr="009618E4">
        <w:t>’</w:t>
      </w:r>
      <w:r w:rsidRPr="009618E4">
        <w:t>Union peut être calculé au prorata conformément aux documents énonçant les conditions du soutien.</w:t>
      </w:r>
    </w:p>
    <w:p w:rsidR="00637FB6" w:rsidRPr="009618E4" w:rsidRDefault="00637FB6" w:rsidP="00B643B4">
      <w:r w:rsidRPr="0068119E">
        <w:t>3</w:t>
      </w:r>
      <w:r w:rsidRPr="009618E4">
        <w:t>.</w:t>
      </w:r>
      <w:r w:rsidRPr="009618E4">
        <w:tab/>
        <w:t xml:space="preserve">Les actions qui remplissent les conditions cumulatives et comparatives suivantes: </w:t>
      </w:r>
    </w:p>
    <w:p w:rsidR="00637FB6" w:rsidRPr="009618E4" w:rsidRDefault="00637FB6" w:rsidP="00637FB6">
      <w:pPr>
        <w:ind w:left="1984" w:hanging="567"/>
      </w:pPr>
      <w:r w:rsidRPr="009618E4">
        <w:t>a)</w:t>
      </w:r>
      <w:r w:rsidRPr="009618E4">
        <w:tab/>
        <w:t>évaluées dans le cadre d</w:t>
      </w:r>
      <w:r w:rsidR="00266719" w:rsidRPr="009618E4">
        <w:t>’</w:t>
      </w:r>
      <w:r w:rsidRPr="009618E4">
        <w:t>un appel à propositions au titre du programme,</w:t>
      </w:r>
    </w:p>
    <w:p w:rsidR="00637FB6" w:rsidRPr="009618E4" w:rsidRDefault="00637FB6" w:rsidP="00637FB6">
      <w:pPr>
        <w:ind w:left="1984" w:hanging="567"/>
      </w:pPr>
      <w:r w:rsidRPr="009618E4">
        <w:t>b)</w:t>
      </w:r>
      <w:r w:rsidRPr="009618E4">
        <w:tab/>
        <w:t>respectant les exigences minimales de qualité de cet appel à propositions,</w:t>
      </w:r>
    </w:p>
    <w:p w:rsidR="00637FB6" w:rsidRPr="009618E4" w:rsidRDefault="00637FB6" w:rsidP="00637FB6">
      <w:pPr>
        <w:ind w:left="1984" w:hanging="567"/>
      </w:pPr>
      <w:r w:rsidRPr="009618E4">
        <w:t>c)</w:t>
      </w:r>
      <w:r w:rsidRPr="009618E4">
        <w:tab/>
        <w:t>ne pouvant être financées au titre de cet appel à propositions en raison de contraintes budgétaires,</w:t>
      </w:r>
    </w:p>
    <w:p w:rsidR="00F26C3B" w:rsidRPr="009618E4" w:rsidRDefault="00B86F6C" w:rsidP="00B643B4">
      <w:pPr>
        <w:pStyle w:val="ManualNumPar1"/>
        <w:ind w:hanging="130"/>
        <w:rPr>
          <w:noProof/>
        </w:rPr>
      </w:pPr>
      <w:r w:rsidRPr="009618E4">
        <w:t>peuvent bénéficier d</w:t>
      </w:r>
      <w:r w:rsidR="00266719" w:rsidRPr="009618E4">
        <w:t>’</w:t>
      </w:r>
      <w:r w:rsidRPr="009618E4">
        <w:t>un soutien du Fonds européen de développement régional, du Fonds de cohésion, du Fonds social européen + ou du Fonds européen agricole pour le développement rural, conformément à l</w:t>
      </w:r>
      <w:r w:rsidR="00266719" w:rsidRPr="009618E4">
        <w:t>’</w:t>
      </w:r>
      <w:r w:rsidRPr="009618E4">
        <w:t>article [</w:t>
      </w:r>
      <w:r w:rsidRPr="0068119E">
        <w:t>67</w:t>
      </w:r>
      <w:r w:rsidRPr="009618E4">
        <w:t>], paragraphe </w:t>
      </w:r>
      <w:r w:rsidRPr="0068119E">
        <w:t>5</w:t>
      </w:r>
      <w:r w:rsidRPr="009618E4">
        <w:t>, du règlement (UE) XXX [règlement portant dispositions communes] et à l</w:t>
      </w:r>
      <w:r w:rsidR="00266719" w:rsidRPr="009618E4">
        <w:t>’</w:t>
      </w:r>
      <w:r w:rsidRPr="009618E4">
        <w:t>article [</w:t>
      </w:r>
      <w:r w:rsidRPr="0068119E">
        <w:t>8</w:t>
      </w:r>
      <w:r w:rsidRPr="009618E4">
        <w:t>] du règlement (UE) XXX [relatif au financement, à la gestion et au suivi de la politique agricole commune], pour autant que ces actions soient compatibles avec les objectifs du programme concerné. Les règles du Fonds fournissant le soutien s</w:t>
      </w:r>
      <w:r w:rsidR="00266719" w:rsidRPr="009618E4">
        <w:t>’</w:t>
      </w:r>
      <w:r w:rsidRPr="009618E4">
        <w:t>appliquent.</w:t>
      </w:r>
      <w:r w:rsidRPr="009618E4">
        <w:tab/>
      </w:r>
    </w:p>
    <w:p w:rsidR="00F26C3B" w:rsidRPr="009618E4" w:rsidRDefault="00513FB2">
      <w:pPr>
        <w:pStyle w:val="ChapterTitle"/>
        <w:rPr>
          <w:noProof/>
        </w:rPr>
      </w:pPr>
      <w:bookmarkStart w:id="0" w:name="_DV_M298"/>
      <w:bookmarkStart w:id="1" w:name="_DV_M299"/>
      <w:bookmarkStart w:id="2" w:name="_DV_M301"/>
      <w:bookmarkStart w:id="3" w:name="_DV_M302"/>
      <w:bookmarkEnd w:id="0"/>
      <w:bookmarkEnd w:id="1"/>
      <w:bookmarkEnd w:id="2"/>
      <w:bookmarkEnd w:id="3"/>
      <w:r w:rsidRPr="009618E4">
        <w:t>CHAPITRE II</w:t>
      </w:r>
    </w:p>
    <w:p w:rsidR="00F26C3B" w:rsidRPr="009618E4" w:rsidRDefault="00513FB2">
      <w:pPr>
        <w:pStyle w:val="ChapterTitle"/>
        <w:rPr>
          <w:noProof/>
        </w:rPr>
      </w:pPr>
      <w:r w:rsidRPr="009618E4">
        <w:t>PROGRAMMATION, SUIVI, ÉVALUATION ET CONTRÔLE</w:t>
      </w:r>
    </w:p>
    <w:p w:rsidR="00F26C3B" w:rsidRPr="009618E4" w:rsidRDefault="00513FB2">
      <w:pPr>
        <w:pStyle w:val="Titrearticle"/>
        <w:rPr>
          <w:noProof/>
        </w:rPr>
      </w:pPr>
      <w:r w:rsidRPr="009618E4">
        <w:t xml:space="preserve">Article </w:t>
      </w:r>
      <w:r w:rsidRPr="0068119E">
        <w:t>11</w:t>
      </w:r>
    </w:p>
    <w:p w:rsidR="00F26C3B" w:rsidRPr="009618E4" w:rsidRDefault="00513FB2" w:rsidP="00FD5B64">
      <w:pPr>
        <w:pStyle w:val="NormalCentered"/>
        <w:keepNext/>
        <w:rPr>
          <w:b/>
          <w:noProof/>
        </w:rPr>
      </w:pPr>
      <w:r w:rsidRPr="009618E4">
        <w:rPr>
          <w:b/>
          <w:noProof/>
        </w:rPr>
        <w:t>Programmes de travail</w:t>
      </w:r>
    </w:p>
    <w:p w:rsidR="00F26C3B" w:rsidRPr="009618E4" w:rsidRDefault="00513FB2">
      <w:pPr>
        <w:pStyle w:val="ManualNumPar1"/>
        <w:rPr>
          <w:noProof/>
        </w:rPr>
      </w:pPr>
      <w:r w:rsidRPr="0068119E">
        <w:t>1</w:t>
      </w:r>
      <w:r w:rsidRPr="009618E4">
        <w:t>.</w:t>
      </w:r>
      <w:r w:rsidRPr="009618E4">
        <w:tab/>
        <w:t>Le programme est mis en œuvre par des programmes de travail visés à l</w:t>
      </w:r>
      <w:r w:rsidR="00266719" w:rsidRPr="009618E4">
        <w:t>’</w:t>
      </w:r>
      <w:r w:rsidRPr="009618E4">
        <w:t>article </w:t>
      </w:r>
      <w:r w:rsidRPr="0068119E">
        <w:t>110</w:t>
      </w:r>
      <w:r w:rsidRPr="009618E4">
        <w:t xml:space="preserve"> du règlement financier au moyen d</w:t>
      </w:r>
      <w:r w:rsidR="00266719" w:rsidRPr="009618E4">
        <w:t>’</w:t>
      </w:r>
      <w:r w:rsidRPr="009618E4">
        <w:t>actes d</w:t>
      </w:r>
      <w:r w:rsidR="00266719" w:rsidRPr="009618E4">
        <w:t>’</w:t>
      </w:r>
      <w:r w:rsidRPr="009618E4">
        <w:t>exécution conformément à la procédure d</w:t>
      </w:r>
      <w:r w:rsidR="00266719" w:rsidRPr="009618E4">
        <w:t>’</w:t>
      </w:r>
      <w:r w:rsidRPr="009618E4">
        <w:t>examen prévue à l</w:t>
      </w:r>
      <w:r w:rsidR="00266719" w:rsidRPr="009618E4">
        <w:t>’</w:t>
      </w:r>
      <w:r w:rsidRPr="009618E4">
        <w:t>article </w:t>
      </w:r>
      <w:r w:rsidRPr="0068119E">
        <w:t>16</w:t>
      </w:r>
      <w:r w:rsidRPr="009618E4">
        <w:t>, paragraphe </w:t>
      </w:r>
      <w:r w:rsidRPr="0068119E">
        <w:t>4</w:t>
      </w:r>
      <w:r w:rsidRPr="009618E4">
        <w:t>. Les programmes de travail indiquent, le cas échéant, le montant global réservé à des opérations de financement mixtes.</w:t>
      </w:r>
    </w:p>
    <w:p w:rsidR="00F26C3B" w:rsidRPr="009618E4" w:rsidRDefault="00513FB2">
      <w:pPr>
        <w:pStyle w:val="ManualNumPar1"/>
        <w:rPr>
          <w:noProof/>
        </w:rPr>
      </w:pPr>
      <w:r w:rsidRPr="0068119E">
        <w:t>2</w:t>
      </w:r>
      <w:r w:rsidRPr="009618E4">
        <w:t>.</w:t>
      </w:r>
      <w:r w:rsidRPr="009618E4">
        <w:tab/>
        <w:t>Outre les exigences figurant à l</w:t>
      </w:r>
      <w:r w:rsidR="00266719" w:rsidRPr="009618E4">
        <w:t>’</w:t>
      </w:r>
      <w:r w:rsidRPr="009618E4">
        <w:t>article </w:t>
      </w:r>
      <w:r w:rsidRPr="0068119E">
        <w:t>110</w:t>
      </w:r>
      <w:r w:rsidRPr="009618E4">
        <w:t xml:space="preserve"> du règlement financier, les programmes de travail comportent les éléments suivants:</w:t>
      </w:r>
    </w:p>
    <w:p w:rsidR="00F26C3B" w:rsidRPr="009618E4" w:rsidRDefault="00513FB2" w:rsidP="006E0C02">
      <w:pPr>
        <w:pStyle w:val="Point1letter"/>
        <w:numPr>
          <w:ilvl w:val="3"/>
          <w:numId w:val="21"/>
        </w:numPr>
        <w:rPr>
          <w:noProof/>
        </w:rPr>
      </w:pPr>
      <w:r w:rsidRPr="009618E4">
        <w:t>une indication du montant alloué à chaque action et un calendrier indicatif de mise en œuvre;</w:t>
      </w:r>
    </w:p>
    <w:p w:rsidR="00F26C3B" w:rsidRPr="009618E4" w:rsidRDefault="00513FB2">
      <w:pPr>
        <w:pStyle w:val="Point1letter"/>
        <w:rPr>
          <w:noProof/>
        </w:rPr>
      </w:pPr>
      <w:r w:rsidRPr="009618E4">
        <w:t>pour les subventions, les priorités, les critères de sélection et d</w:t>
      </w:r>
      <w:r w:rsidR="00266719" w:rsidRPr="009618E4">
        <w:t>’</w:t>
      </w:r>
      <w:r w:rsidRPr="009618E4">
        <w:t>attribution et le poids relatif des différents critères d</w:t>
      </w:r>
      <w:r w:rsidR="00266719" w:rsidRPr="009618E4">
        <w:t>’</w:t>
      </w:r>
      <w:r w:rsidRPr="009618E4">
        <w:t xml:space="preserve">attribution, ainsi que le taux maximal de financement des coûts éligibles totaux; </w:t>
      </w:r>
    </w:p>
    <w:p w:rsidR="00F26C3B" w:rsidRPr="009618E4" w:rsidRDefault="00513FB2" w:rsidP="00996FEE">
      <w:pPr>
        <w:pStyle w:val="Point1letter"/>
        <w:rPr>
          <w:noProof/>
        </w:rPr>
      </w:pPr>
      <w:r w:rsidRPr="009618E4">
        <w:t>les éventuelles obligations supplémentaires auxquelles sont soumis les bénéficiaires, conformément aux articles </w:t>
      </w:r>
      <w:r w:rsidRPr="0068119E">
        <w:t>35</w:t>
      </w:r>
      <w:r w:rsidRPr="009618E4">
        <w:t xml:space="preserve"> et </w:t>
      </w:r>
      <w:r w:rsidRPr="0068119E">
        <w:t>37</w:t>
      </w:r>
      <w:r w:rsidRPr="009618E4">
        <w:t xml:space="preserve"> d</w:t>
      </w:r>
      <w:r w:rsidR="00266719" w:rsidRPr="009618E4">
        <w:t>’</w:t>
      </w:r>
      <w:r w:rsidRPr="009618E4">
        <w:t>«Horizon Europe».</w:t>
      </w:r>
    </w:p>
    <w:p w:rsidR="00F26C3B" w:rsidRPr="009618E4" w:rsidRDefault="00513FB2">
      <w:pPr>
        <w:pStyle w:val="ManualNumPar1"/>
        <w:rPr>
          <w:noProof/>
          <w:color w:val="000000" w:themeColor="text1"/>
        </w:rPr>
      </w:pPr>
      <w:r w:rsidRPr="0068119E">
        <w:t>3</w:t>
      </w:r>
      <w:r w:rsidRPr="009618E4">
        <w:t>.</w:t>
      </w:r>
      <w:r w:rsidRPr="009618E4">
        <w:tab/>
        <w:t>Pour le programme de travail pluriannuel relatif aux actions directes entreprises par le JRC, la Commission demande l</w:t>
      </w:r>
      <w:r w:rsidR="00266719" w:rsidRPr="009618E4">
        <w:t>’</w:t>
      </w:r>
      <w:r w:rsidRPr="009618E4">
        <w:t>avis du conseil d</w:t>
      </w:r>
      <w:r w:rsidR="00266719" w:rsidRPr="009618E4">
        <w:t>’</w:t>
      </w:r>
      <w:r w:rsidRPr="009618E4">
        <w:t xml:space="preserve">administration du JRC conformément à la décision </w:t>
      </w:r>
      <w:r w:rsidRPr="0068119E">
        <w:t>96</w:t>
      </w:r>
      <w:r w:rsidRPr="009618E4">
        <w:t>/</w:t>
      </w:r>
      <w:r w:rsidRPr="0068119E">
        <w:t>282</w:t>
      </w:r>
      <w:r w:rsidRPr="009618E4">
        <w:t>/Euratom.</w:t>
      </w:r>
    </w:p>
    <w:p w:rsidR="00F26C3B" w:rsidRPr="009618E4" w:rsidRDefault="00513FB2">
      <w:pPr>
        <w:pStyle w:val="Titrearticle"/>
        <w:rPr>
          <w:noProof/>
        </w:rPr>
      </w:pPr>
      <w:r w:rsidRPr="009618E4">
        <w:t xml:space="preserve">Article </w:t>
      </w:r>
      <w:r w:rsidRPr="0068119E">
        <w:t>12</w:t>
      </w:r>
    </w:p>
    <w:p w:rsidR="00F26C3B" w:rsidRPr="009618E4" w:rsidRDefault="00513FB2" w:rsidP="00FD5B64">
      <w:pPr>
        <w:pStyle w:val="NormalCentered"/>
        <w:keepNext/>
        <w:rPr>
          <w:b/>
          <w:noProof/>
        </w:rPr>
      </w:pPr>
      <w:r w:rsidRPr="009618E4">
        <w:rPr>
          <w:b/>
          <w:noProof/>
        </w:rPr>
        <w:t>Suivi et rapports</w:t>
      </w:r>
    </w:p>
    <w:p w:rsidR="00F26C3B" w:rsidRPr="009618E4" w:rsidRDefault="00513FB2">
      <w:pPr>
        <w:pStyle w:val="ManualNumPar1"/>
        <w:rPr>
          <w:noProof/>
        </w:rPr>
      </w:pPr>
      <w:r w:rsidRPr="0068119E">
        <w:t>1</w:t>
      </w:r>
      <w:r w:rsidRPr="009618E4">
        <w:t>.</w:t>
      </w:r>
      <w:r w:rsidRPr="009618E4">
        <w:tab/>
        <w:t>Les indicateurs servant à rendre compte de l</w:t>
      </w:r>
      <w:r w:rsidR="00266719" w:rsidRPr="009618E4">
        <w:t>’</w:t>
      </w:r>
      <w:r w:rsidRPr="009618E4">
        <w:t>état d</w:t>
      </w:r>
      <w:r w:rsidR="00266719" w:rsidRPr="009618E4">
        <w:t>’</w:t>
      </w:r>
      <w:r w:rsidRPr="009618E4">
        <w:t>avancement du programme en ce qui concerne la réalisation des objectifs établis à l</w:t>
      </w:r>
      <w:r w:rsidR="00266719" w:rsidRPr="009618E4">
        <w:t>’</w:t>
      </w:r>
      <w:r w:rsidRPr="009618E4">
        <w:t>article </w:t>
      </w:r>
      <w:r w:rsidRPr="0068119E">
        <w:t>3</w:t>
      </w:r>
      <w:r w:rsidRPr="009618E4">
        <w:t xml:space="preserve"> sont définis à l</w:t>
      </w:r>
      <w:r w:rsidR="00266719" w:rsidRPr="009618E4">
        <w:t>’</w:t>
      </w:r>
      <w:r w:rsidRPr="009618E4">
        <w:t>annexe II sur la base de chemins d</w:t>
      </w:r>
      <w:r w:rsidR="00266719" w:rsidRPr="009618E4">
        <w:t>’</w:t>
      </w:r>
      <w:r w:rsidRPr="009618E4">
        <w:t>impact.</w:t>
      </w:r>
    </w:p>
    <w:p w:rsidR="008D5A77" w:rsidRPr="009618E4" w:rsidRDefault="008D5A77">
      <w:pPr>
        <w:pStyle w:val="ManualNumPar1"/>
      </w:pPr>
      <w:r w:rsidRPr="0068119E">
        <w:t>2</w:t>
      </w:r>
      <w:r w:rsidRPr="009618E4">
        <w:t>.</w:t>
      </w:r>
      <w:r w:rsidRPr="009618E4">
        <w:tab/>
        <w:t>Pour garantir une évaluation effective de l</w:t>
      </w:r>
      <w:r w:rsidR="00266719" w:rsidRPr="009618E4">
        <w:t>’</w:t>
      </w:r>
      <w:r w:rsidRPr="009618E4">
        <w:t>état d</w:t>
      </w:r>
      <w:r w:rsidR="00266719" w:rsidRPr="009618E4">
        <w:t>’</w:t>
      </w:r>
      <w:r w:rsidRPr="009618E4">
        <w:t>avancement du programme en ce qui concerne la réalisation de ses objectifs, la Commission adopte des actes d</w:t>
      </w:r>
      <w:r w:rsidR="00266719" w:rsidRPr="009618E4">
        <w:t>’</w:t>
      </w:r>
      <w:r w:rsidRPr="009618E4">
        <w:t>exécution en vue d</w:t>
      </w:r>
      <w:r w:rsidR="00266719" w:rsidRPr="009618E4">
        <w:t>’</w:t>
      </w:r>
      <w:r w:rsidRPr="009618E4">
        <w:t>élaborer les dispositions en matière de cadre de suivi et d</w:t>
      </w:r>
      <w:r w:rsidR="00266719" w:rsidRPr="009618E4">
        <w:t>’</w:t>
      </w:r>
      <w:r w:rsidRPr="009618E4">
        <w:t>évaluation, notamment grâce à des modifications de l</w:t>
      </w:r>
      <w:r w:rsidR="00266719" w:rsidRPr="009618E4">
        <w:t>’</w:t>
      </w:r>
      <w:r w:rsidRPr="009618E4">
        <w:t>annexe II afin de réviser ou compléter les indicateurs des chemins d</w:t>
      </w:r>
      <w:r w:rsidR="00266719" w:rsidRPr="009618E4">
        <w:t>’</w:t>
      </w:r>
      <w:r w:rsidRPr="009618E4">
        <w:t>impact lorsque cela est nécessaire et de fixer des valeurs de référence et des objectifs chiffrés. Ces actes d</w:t>
      </w:r>
      <w:r w:rsidR="00266719" w:rsidRPr="009618E4">
        <w:t>’</w:t>
      </w:r>
      <w:r w:rsidRPr="009618E4">
        <w:t>exécution sont adoptés conformément à la procédure consultative en application de l</w:t>
      </w:r>
      <w:r w:rsidR="00266719" w:rsidRPr="009618E4">
        <w:t>’</w:t>
      </w:r>
      <w:r w:rsidRPr="009618E4">
        <w:t>article </w:t>
      </w:r>
      <w:r w:rsidRPr="0068119E">
        <w:t>16</w:t>
      </w:r>
      <w:r w:rsidRPr="009618E4">
        <w:t>, paragraphe </w:t>
      </w:r>
      <w:r w:rsidRPr="0068119E">
        <w:t>3</w:t>
      </w:r>
      <w:r w:rsidRPr="009618E4">
        <w:t>.</w:t>
      </w:r>
    </w:p>
    <w:p w:rsidR="00F26C3B" w:rsidRPr="009618E4" w:rsidRDefault="008D5A77">
      <w:pPr>
        <w:pStyle w:val="ManualNumPar1"/>
        <w:rPr>
          <w:noProof/>
        </w:rPr>
      </w:pPr>
      <w:r w:rsidRPr="0068119E">
        <w:t>3</w:t>
      </w:r>
      <w:r w:rsidRPr="009618E4">
        <w:t>.</w:t>
      </w:r>
      <w:r w:rsidRPr="009618E4">
        <w:tab/>
        <w:t>Le système de déclaration de performance garantit que les données permettant de suivre la mise en œuvre et les résultats du programme sont collectées de manière efficiente, efficace et rapide. Pour ce faire, des obligations de déclaration proportionnées sont imposées aux destinataires de fonds de la Communauté et, si nécessaire, aux États membres.</w:t>
      </w:r>
    </w:p>
    <w:p w:rsidR="00F26C3B" w:rsidRPr="009618E4" w:rsidRDefault="00513FB2">
      <w:pPr>
        <w:pStyle w:val="Titrearticle"/>
        <w:rPr>
          <w:i w:val="0"/>
          <w:noProof/>
        </w:rPr>
      </w:pPr>
      <w:r w:rsidRPr="009618E4">
        <w:t xml:space="preserve">Article </w:t>
      </w:r>
      <w:r w:rsidRPr="0068119E">
        <w:t>13</w:t>
      </w:r>
    </w:p>
    <w:p w:rsidR="00F26C3B" w:rsidRPr="009618E4" w:rsidRDefault="00513FB2" w:rsidP="00FD5B64">
      <w:pPr>
        <w:pStyle w:val="NormalCentered"/>
        <w:keepNext/>
        <w:rPr>
          <w:b/>
          <w:noProof/>
        </w:rPr>
      </w:pPr>
      <w:r w:rsidRPr="009618E4">
        <w:rPr>
          <w:b/>
          <w:noProof/>
        </w:rPr>
        <w:t>Information, communication, publicité, diffusion et exploitation</w:t>
      </w:r>
    </w:p>
    <w:p w:rsidR="00EF4030" w:rsidRPr="009618E4" w:rsidRDefault="00EF4030">
      <w:pPr>
        <w:pStyle w:val="ManualNumPar1"/>
      </w:pPr>
      <w:r w:rsidRPr="0068119E">
        <w:t>1</w:t>
      </w:r>
      <w:r w:rsidRPr="009618E4">
        <w:t>.</w:t>
      </w:r>
      <w:r w:rsidRPr="009618E4">
        <w:tab/>
        <w:t>Les destinataires de financements du programme sont tenus de faire état de l</w:t>
      </w:r>
      <w:r w:rsidR="00266719" w:rsidRPr="009618E4">
        <w:t>’</w:t>
      </w:r>
      <w:r w:rsidRPr="009618E4">
        <w:t>origine des financements de la Communauté (en particulier lorsqu</w:t>
      </w:r>
      <w:r w:rsidR="00266719" w:rsidRPr="009618E4">
        <w:t>’</w:t>
      </w:r>
      <w:r w:rsidRPr="009618E4">
        <w:t>il s</w:t>
      </w:r>
      <w:r w:rsidR="00266719" w:rsidRPr="009618E4">
        <w:t>’</w:t>
      </w:r>
      <w:r w:rsidRPr="009618E4">
        <w:t>agit de promouvoir les actions et leurs résultats) et d</w:t>
      </w:r>
      <w:r w:rsidR="00266719" w:rsidRPr="009618E4">
        <w:t>’</w:t>
      </w:r>
      <w:r w:rsidRPr="009618E4">
        <w:t>en assurer la visibilité en fournissant des informations ciblées, cohérentes, efficaces et proportionnées à divers groupes, notamment aux médias et au grand public.</w:t>
      </w:r>
    </w:p>
    <w:p w:rsidR="00EF4030" w:rsidRPr="009618E4" w:rsidRDefault="00EF4030" w:rsidP="00EF4030">
      <w:pPr>
        <w:pStyle w:val="ManualNumPar1"/>
      </w:pPr>
      <w:r w:rsidRPr="0068119E">
        <w:t>2</w:t>
      </w:r>
      <w:r w:rsidRPr="009618E4">
        <w:t>.</w:t>
      </w:r>
      <w:r w:rsidRPr="009618E4">
        <w:tab/>
        <w:t>La Commission met en œuvre des activités d</w:t>
      </w:r>
      <w:r w:rsidR="00266719" w:rsidRPr="009618E4">
        <w:t>’</w:t>
      </w:r>
      <w:r w:rsidRPr="009618E4">
        <w:t>information et de communication relatives au programme, à ses actions et à ses résultats. Les ressources financières allouées au programme contribuent également à la communication institutionnelle sur les priorités politiques de la Communauté, dans la mesure où celles-ci concernent les objectifs mentionnés à l</w:t>
      </w:r>
      <w:r w:rsidR="00266719" w:rsidRPr="009618E4">
        <w:t>’</w:t>
      </w:r>
      <w:r w:rsidRPr="009618E4">
        <w:t>article </w:t>
      </w:r>
      <w:r w:rsidRPr="0068119E">
        <w:t>3</w:t>
      </w:r>
      <w:r w:rsidRPr="009618E4">
        <w:t>.</w:t>
      </w:r>
    </w:p>
    <w:p w:rsidR="00FE12A1" w:rsidRPr="009618E4" w:rsidRDefault="00EF4030" w:rsidP="00955F36">
      <w:pPr>
        <w:pStyle w:val="Titrearticle"/>
        <w:ind w:left="720" w:hanging="720"/>
        <w:jc w:val="both"/>
        <w:rPr>
          <w:i w:val="0"/>
        </w:rPr>
      </w:pPr>
      <w:r w:rsidRPr="0068119E">
        <w:t>3</w:t>
      </w:r>
      <w:r w:rsidRPr="009618E4">
        <w:t>.</w:t>
      </w:r>
      <w:r w:rsidRPr="009618E4">
        <w:tab/>
      </w:r>
      <w:r w:rsidRPr="009618E4">
        <w:rPr>
          <w:i w:val="0"/>
        </w:rPr>
        <w:t>La Commission établit également une stratégie de diffusion et d</w:t>
      </w:r>
      <w:r w:rsidR="00266719" w:rsidRPr="009618E4">
        <w:rPr>
          <w:i w:val="0"/>
        </w:rPr>
        <w:t>’</w:t>
      </w:r>
      <w:r w:rsidRPr="009618E4">
        <w:rPr>
          <w:i w:val="0"/>
        </w:rPr>
        <w:t>exploitation pour accroître la disponibilité et la propagation des résultats de recherche et d</w:t>
      </w:r>
      <w:r w:rsidR="00266719" w:rsidRPr="009618E4">
        <w:rPr>
          <w:i w:val="0"/>
        </w:rPr>
        <w:t>’</w:t>
      </w:r>
      <w:r w:rsidRPr="009618E4">
        <w:rPr>
          <w:i w:val="0"/>
        </w:rPr>
        <w:t>innovation et des connaissances générés par le programme, afin d</w:t>
      </w:r>
      <w:r w:rsidR="00266719" w:rsidRPr="009618E4">
        <w:rPr>
          <w:i w:val="0"/>
        </w:rPr>
        <w:t>’</w:t>
      </w:r>
      <w:r w:rsidRPr="009618E4">
        <w:rPr>
          <w:i w:val="0"/>
        </w:rPr>
        <w:t>accélérer leur exploitation en vue d</w:t>
      </w:r>
      <w:r w:rsidR="00266719" w:rsidRPr="009618E4">
        <w:rPr>
          <w:i w:val="0"/>
        </w:rPr>
        <w:t>’</w:t>
      </w:r>
      <w:r w:rsidRPr="009618E4">
        <w:rPr>
          <w:i w:val="0"/>
        </w:rPr>
        <w:t>une commercialisation et de doper l</w:t>
      </w:r>
      <w:r w:rsidR="00266719" w:rsidRPr="009618E4">
        <w:rPr>
          <w:i w:val="0"/>
        </w:rPr>
        <w:t>’</w:t>
      </w:r>
      <w:r w:rsidRPr="009618E4">
        <w:rPr>
          <w:i w:val="0"/>
        </w:rPr>
        <w:t>impact du programme. Les ressources financières allouées au programme contribuent également à la communication institutionnelle sur les priorités politiques de la Communauté ainsi qu</w:t>
      </w:r>
      <w:r w:rsidR="00266719" w:rsidRPr="009618E4">
        <w:rPr>
          <w:i w:val="0"/>
        </w:rPr>
        <w:t>’</w:t>
      </w:r>
      <w:r w:rsidRPr="009618E4">
        <w:rPr>
          <w:i w:val="0"/>
        </w:rPr>
        <w:t>aux activités d</w:t>
      </w:r>
      <w:r w:rsidR="00266719" w:rsidRPr="009618E4">
        <w:rPr>
          <w:i w:val="0"/>
        </w:rPr>
        <w:t>’</w:t>
      </w:r>
      <w:r w:rsidRPr="009618E4">
        <w:rPr>
          <w:i w:val="0"/>
        </w:rPr>
        <w:t>information, de communication, de publicité, de diffusion et d</w:t>
      </w:r>
      <w:r w:rsidR="00266719" w:rsidRPr="009618E4">
        <w:rPr>
          <w:i w:val="0"/>
        </w:rPr>
        <w:t>’</w:t>
      </w:r>
      <w:r w:rsidRPr="009618E4">
        <w:rPr>
          <w:i w:val="0"/>
        </w:rPr>
        <w:t>exploitation, dans la mesure où celles-ci concernent les objectifs mentionnés à l</w:t>
      </w:r>
      <w:r w:rsidR="00266719" w:rsidRPr="009618E4">
        <w:rPr>
          <w:i w:val="0"/>
        </w:rPr>
        <w:t>’</w:t>
      </w:r>
      <w:r w:rsidRPr="009618E4">
        <w:rPr>
          <w:i w:val="0"/>
        </w:rPr>
        <w:t>article </w:t>
      </w:r>
      <w:r w:rsidRPr="0068119E">
        <w:rPr>
          <w:i w:val="0"/>
        </w:rPr>
        <w:t>3</w:t>
      </w:r>
      <w:r w:rsidRPr="009618E4">
        <w:rPr>
          <w:i w:val="0"/>
        </w:rPr>
        <w:t>.</w:t>
      </w:r>
    </w:p>
    <w:p w:rsidR="00F26C3B" w:rsidRPr="009618E4" w:rsidRDefault="00513FB2" w:rsidP="00955F36">
      <w:pPr>
        <w:pStyle w:val="Titrearticle"/>
        <w:ind w:left="720" w:hanging="720"/>
      </w:pPr>
      <w:r w:rsidRPr="009618E4">
        <w:t xml:space="preserve">Article </w:t>
      </w:r>
      <w:r w:rsidRPr="0068119E">
        <w:t>14</w:t>
      </w:r>
    </w:p>
    <w:p w:rsidR="00F26C3B" w:rsidRPr="009618E4" w:rsidRDefault="00513FB2" w:rsidP="00FD5B64">
      <w:pPr>
        <w:pStyle w:val="NormalCentered"/>
        <w:keepNext/>
        <w:rPr>
          <w:b/>
          <w:noProof/>
        </w:rPr>
      </w:pPr>
      <w:r w:rsidRPr="009618E4">
        <w:rPr>
          <w:b/>
          <w:noProof/>
        </w:rPr>
        <w:t>Évaluation</w:t>
      </w:r>
    </w:p>
    <w:p w:rsidR="00F26C3B" w:rsidRPr="009618E4" w:rsidRDefault="00513FB2">
      <w:pPr>
        <w:pStyle w:val="ManualNumPar1"/>
        <w:rPr>
          <w:noProof/>
        </w:rPr>
      </w:pPr>
      <w:r w:rsidRPr="0068119E">
        <w:t>1</w:t>
      </w:r>
      <w:r w:rsidRPr="009618E4">
        <w:t>.</w:t>
      </w:r>
      <w:r w:rsidRPr="009618E4">
        <w:tab/>
        <w:t>Les évaluations sont réalisées en temps utile pour pouvoir être prises en considération dans le cadre du processus décisionnel concernant le programme, le programme qui lui succédera, ainsi que d</w:t>
      </w:r>
      <w:r w:rsidR="00266719" w:rsidRPr="009618E4">
        <w:t>’</w:t>
      </w:r>
      <w:r w:rsidRPr="009618E4">
        <w:t>autres initiatives pertinentes en matière de recherche et d</w:t>
      </w:r>
      <w:r w:rsidR="00266719" w:rsidRPr="009618E4">
        <w:t>’</w:t>
      </w:r>
      <w:r w:rsidRPr="009618E4">
        <w:t>innovation.</w:t>
      </w:r>
    </w:p>
    <w:p w:rsidR="00F26C3B" w:rsidRPr="009618E4" w:rsidRDefault="00513FB2">
      <w:pPr>
        <w:pStyle w:val="ManualNumPar1"/>
        <w:rPr>
          <w:noProof/>
        </w:rPr>
      </w:pPr>
      <w:r w:rsidRPr="0068119E">
        <w:t>2</w:t>
      </w:r>
      <w:r w:rsidRPr="009618E4">
        <w:t>.</w:t>
      </w:r>
      <w:r w:rsidRPr="009618E4">
        <w:tab/>
        <w:t>L</w:t>
      </w:r>
      <w:r w:rsidR="00266719" w:rsidRPr="009618E4">
        <w:t>’</w:t>
      </w:r>
      <w:r w:rsidRPr="009618E4">
        <w:t>évaluation intermédiaire du programme est réalisée dès lors qu</w:t>
      </w:r>
      <w:r w:rsidR="00266719" w:rsidRPr="009618E4">
        <w:t>’</w:t>
      </w:r>
      <w:r w:rsidRPr="009618E4">
        <w:t>il existe suffisamment d</w:t>
      </w:r>
      <w:r w:rsidR="00266719" w:rsidRPr="009618E4">
        <w:t>’</w:t>
      </w:r>
      <w:r w:rsidRPr="009618E4">
        <w:t>informations sur sa mise en œuvre, mais au plus tard trois ans après le début de celle-ci. Elle comprend une évaluation de l</w:t>
      </w:r>
      <w:r w:rsidR="00266719" w:rsidRPr="009618E4">
        <w:t>’</w:t>
      </w:r>
      <w:r w:rsidRPr="009618E4">
        <w:t>incidence à long terme des programmes Euratom précédents et sert de base à l</w:t>
      </w:r>
      <w:r w:rsidR="00266719" w:rsidRPr="009618E4">
        <w:t>’</w:t>
      </w:r>
      <w:r w:rsidRPr="009618E4">
        <w:t>ajustement de la mise en œuvre du programme, le cas échéant.</w:t>
      </w:r>
    </w:p>
    <w:p w:rsidR="00F26C3B" w:rsidRPr="009618E4" w:rsidRDefault="00513FB2">
      <w:pPr>
        <w:pStyle w:val="ManualNumPar1"/>
        <w:rPr>
          <w:noProof/>
        </w:rPr>
      </w:pPr>
      <w:r w:rsidRPr="0068119E">
        <w:t>3</w:t>
      </w:r>
      <w:r w:rsidRPr="009618E4">
        <w:t>.</w:t>
      </w:r>
      <w:r w:rsidRPr="009618E4">
        <w:tab/>
        <w:t>À la fin de la mise en œuvre du programme, et au plus tard quatre ans après la fin de la période spécifiée à l</w:t>
      </w:r>
      <w:r w:rsidR="00266719" w:rsidRPr="009618E4">
        <w:t>’</w:t>
      </w:r>
      <w:r w:rsidRPr="009618E4">
        <w:t>article </w:t>
      </w:r>
      <w:r w:rsidRPr="0068119E">
        <w:t>1</w:t>
      </w:r>
      <w:r w:rsidRPr="009618E4">
        <w:rPr>
          <w:vertAlign w:val="superscript"/>
        </w:rPr>
        <w:t>er</w:t>
      </w:r>
      <w:r w:rsidRPr="009618E4">
        <w:t>, la Commission procède à une évaluation finale du programme. Elle comprend une évaluation de l</w:t>
      </w:r>
      <w:r w:rsidR="00266719" w:rsidRPr="009618E4">
        <w:t>’</w:t>
      </w:r>
      <w:r w:rsidRPr="009618E4">
        <w:t>incidence à long terme des programmes précédents.</w:t>
      </w:r>
    </w:p>
    <w:p w:rsidR="00F26C3B" w:rsidRPr="009618E4" w:rsidRDefault="00513FB2">
      <w:pPr>
        <w:pStyle w:val="ManualNumPar1"/>
        <w:rPr>
          <w:noProof/>
        </w:rPr>
      </w:pPr>
      <w:r w:rsidRPr="0068119E">
        <w:t>4</w:t>
      </w:r>
      <w:r w:rsidRPr="009618E4">
        <w:t>.</w:t>
      </w:r>
      <w:r w:rsidRPr="009618E4">
        <w:tab/>
        <w:t>La Commission communique les conclusions des évaluations, accompagnées de ses observations, au Parlement européen, au Conseil, au Comité économique et social européen et au Comité des régions.</w:t>
      </w:r>
    </w:p>
    <w:p w:rsidR="00F26C3B" w:rsidRPr="009618E4" w:rsidRDefault="00513FB2">
      <w:pPr>
        <w:pStyle w:val="Titrearticle"/>
        <w:rPr>
          <w:noProof/>
        </w:rPr>
      </w:pPr>
      <w:r w:rsidRPr="009618E4">
        <w:t xml:space="preserve">Article </w:t>
      </w:r>
      <w:r w:rsidRPr="0068119E">
        <w:t>15</w:t>
      </w:r>
    </w:p>
    <w:p w:rsidR="00F26C3B" w:rsidRPr="009618E4" w:rsidRDefault="00513FB2" w:rsidP="00FD5B64">
      <w:pPr>
        <w:pStyle w:val="NormalCentered"/>
        <w:keepNext/>
        <w:rPr>
          <w:b/>
          <w:noProof/>
        </w:rPr>
      </w:pPr>
      <w:r w:rsidRPr="009618E4">
        <w:rPr>
          <w:b/>
          <w:noProof/>
        </w:rPr>
        <w:t>Audits</w:t>
      </w:r>
    </w:p>
    <w:p w:rsidR="00F26C3B" w:rsidRPr="009618E4" w:rsidRDefault="00513FB2">
      <w:pPr>
        <w:pStyle w:val="ManualNumPar1"/>
        <w:rPr>
          <w:noProof/>
        </w:rPr>
      </w:pPr>
      <w:r w:rsidRPr="0068119E">
        <w:t>1</w:t>
      </w:r>
      <w:r w:rsidRPr="009618E4">
        <w:t>.</w:t>
      </w:r>
      <w:r w:rsidRPr="009618E4">
        <w:tab/>
        <w:t>Le système de contrôle du programme assure un équilibre approprié entre la confiance et le contrôle, en tenant compte des coûts administratifs et autres générés par les contrôles à tous les niveaux, en particulier pour les bénéficiaires.</w:t>
      </w:r>
    </w:p>
    <w:p w:rsidR="00F26C3B" w:rsidRPr="009618E4" w:rsidRDefault="00513FB2">
      <w:pPr>
        <w:pStyle w:val="ManualNumPar1"/>
        <w:rPr>
          <w:noProof/>
        </w:rPr>
      </w:pPr>
      <w:r w:rsidRPr="0068119E">
        <w:t>2</w:t>
      </w:r>
      <w:r w:rsidRPr="009618E4">
        <w:t>.</w:t>
      </w:r>
      <w:r w:rsidRPr="009618E4">
        <w:tab/>
        <w:t>Les actions qui bénéficient d</w:t>
      </w:r>
      <w:r w:rsidR="00266719" w:rsidRPr="009618E4">
        <w:t>’</w:t>
      </w:r>
      <w:r w:rsidRPr="009618E4">
        <w:t>un financement conjoint de plusieurs programmes de l</w:t>
      </w:r>
      <w:r w:rsidR="00266719" w:rsidRPr="009618E4">
        <w:t>’</w:t>
      </w:r>
      <w:r w:rsidRPr="009618E4">
        <w:t>Union ne sont soumises qu</w:t>
      </w:r>
      <w:r w:rsidR="00266719" w:rsidRPr="009618E4">
        <w:t>’</w:t>
      </w:r>
      <w:r w:rsidRPr="009618E4">
        <w:t>à un seul audit, couvrant l</w:t>
      </w:r>
      <w:r w:rsidR="00266719" w:rsidRPr="009618E4">
        <w:t>’</w:t>
      </w:r>
      <w:r w:rsidRPr="009618E4">
        <w:t>ensemble des programmes concernés ainsi que leurs règles applicables respectives.</w:t>
      </w:r>
    </w:p>
    <w:p w:rsidR="00F26C3B" w:rsidRPr="009618E4" w:rsidRDefault="00513FB2">
      <w:pPr>
        <w:pStyle w:val="ManualNumPar1"/>
        <w:rPr>
          <w:noProof/>
        </w:rPr>
      </w:pPr>
      <w:r w:rsidRPr="0068119E">
        <w:t>3</w:t>
      </w:r>
      <w:r w:rsidRPr="009618E4">
        <w:t>.</w:t>
      </w:r>
      <w:r w:rsidRPr="009618E4">
        <w:tab/>
        <w:t>La Commission ou l</w:t>
      </w:r>
      <w:r w:rsidR="00266719" w:rsidRPr="009618E4">
        <w:t>’</w:t>
      </w:r>
      <w:r w:rsidRPr="009618E4">
        <w:t>organisme de financement peut s</w:t>
      </w:r>
      <w:r w:rsidR="00266719" w:rsidRPr="009618E4">
        <w:t>’</w:t>
      </w:r>
      <w:r w:rsidRPr="009618E4">
        <w:t xml:space="preserve">appuyer sur des examens combinés des systèmes au niveau des bénéficiaires. Ces examens combinés sont facultatifs pour certains types de bénéficiaires et consistent en un audit des systèmes et des processus, complété par un audit des opérations, effectué par un auditeur indépendant compétent qualifié pour réaliser les contrôles légaux des documents comptables conformément à la directive </w:t>
      </w:r>
      <w:r w:rsidRPr="0068119E">
        <w:t>2006</w:t>
      </w:r>
      <w:r w:rsidRPr="009618E4">
        <w:t>/</w:t>
      </w:r>
      <w:r w:rsidRPr="0068119E">
        <w:t>43</w:t>
      </w:r>
      <w:r w:rsidRPr="009618E4">
        <w:t>/CE du Parlement européen et du Conseil. Ils peuvent être utilisés par la Commission ou l</w:t>
      </w:r>
      <w:r w:rsidR="00266719" w:rsidRPr="009618E4">
        <w:t>’</w:t>
      </w:r>
      <w:r w:rsidRPr="009618E4">
        <w:t>organisme de financement pour déterminer l</w:t>
      </w:r>
      <w:r w:rsidR="00266719" w:rsidRPr="009618E4">
        <w:t>’</w:t>
      </w:r>
      <w:r w:rsidRPr="009618E4">
        <w:t>assurance globale quant à la bonne gestion financière des dépenses ainsi que pour réexaminer le niveau des audits ex post et des certificats relatifs aux états financiers.</w:t>
      </w:r>
    </w:p>
    <w:p w:rsidR="00F26C3B" w:rsidRPr="009618E4" w:rsidRDefault="00513FB2">
      <w:pPr>
        <w:pStyle w:val="ManualNumPar1"/>
        <w:rPr>
          <w:noProof/>
        </w:rPr>
      </w:pPr>
      <w:r w:rsidRPr="0068119E">
        <w:t>4</w:t>
      </w:r>
      <w:r w:rsidRPr="009618E4">
        <w:t>.</w:t>
      </w:r>
      <w:r w:rsidRPr="009618E4">
        <w:tab/>
        <w:t>Conformément à l</w:t>
      </w:r>
      <w:r w:rsidR="00266719" w:rsidRPr="009618E4">
        <w:t>’</w:t>
      </w:r>
      <w:r w:rsidRPr="009618E4">
        <w:t>article </w:t>
      </w:r>
      <w:r w:rsidRPr="0068119E">
        <w:t>127</w:t>
      </w:r>
      <w:r w:rsidRPr="009618E4">
        <w:t xml:space="preserve"> du règlement financier, la Commission ou l</w:t>
      </w:r>
      <w:r w:rsidR="00266719" w:rsidRPr="009618E4">
        <w:t>’</w:t>
      </w:r>
      <w:r w:rsidRPr="009618E4">
        <w:t>organisme de financement peut s</w:t>
      </w:r>
      <w:r w:rsidR="00266719" w:rsidRPr="009618E4">
        <w:t>’</w:t>
      </w:r>
      <w:r w:rsidRPr="009618E4">
        <w:t>appuyer sur des audits portant sur l</w:t>
      </w:r>
      <w:r w:rsidR="00266719" w:rsidRPr="009618E4">
        <w:t>’</w:t>
      </w:r>
      <w:r w:rsidRPr="009618E4">
        <w:t>utilisation des contributions de la Communauté réalisés par d</w:t>
      </w:r>
      <w:r w:rsidR="00266719" w:rsidRPr="009618E4">
        <w:t>’</w:t>
      </w:r>
      <w:r w:rsidRPr="009618E4">
        <w:t>autres personnes ou entités, y compris par d</w:t>
      </w:r>
      <w:r w:rsidR="00266719" w:rsidRPr="009618E4">
        <w:t>’</w:t>
      </w:r>
      <w:r w:rsidRPr="009618E4">
        <w:t>autres que celles mandatées par les institutions ou organismes de l</w:t>
      </w:r>
      <w:r w:rsidR="00266719" w:rsidRPr="009618E4">
        <w:t>’</w:t>
      </w:r>
      <w:r w:rsidRPr="009618E4">
        <w:t>Union.</w:t>
      </w:r>
    </w:p>
    <w:p w:rsidR="00F26C3B" w:rsidRPr="009618E4" w:rsidRDefault="00513FB2">
      <w:pPr>
        <w:pStyle w:val="ManualNumPar1"/>
        <w:rPr>
          <w:noProof/>
        </w:rPr>
      </w:pPr>
      <w:r w:rsidRPr="0068119E">
        <w:t>5</w:t>
      </w:r>
      <w:r w:rsidRPr="009618E4">
        <w:t>.</w:t>
      </w:r>
      <w:r w:rsidRPr="009618E4">
        <w:tab/>
        <w:t>Les audits peuvent être effectués jusqu</w:t>
      </w:r>
      <w:r w:rsidR="00266719" w:rsidRPr="009618E4">
        <w:t>’</w:t>
      </w:r>
      <w:r w:rsidRPr="009618E4">
        <w:t>à deux ans après le paiement du solde.</w:t>
      </w:r>
    </w:p>
    <w:p w:rsidR="00F26C3B" w:rsidRPr="009618E4" w:rsidRDefault="00513FB2">
      <w:pPr>
        <w:pStyle w:val="Titrearticle"/>
        <w:rPr>
          <w:noProof/>
        </w:rPr>
      </w:pPr>
      <w:r w:rsidRPr="009618E4">
        <w:t xml:space="preserve">Article </w:t>
      </w:r>
      <w:r w:rsidRPr="0068119E">
        <w:t>16</w:t>
      </w:r>
    </w:p>
    <w:p w:rsidR="00F26C3B" w:rsidRPr="009618E4" w:rsidRDefault="00513FB2" w:rsidP="00FD5B64">
      <w:pPr>
        <w:pStyle w:val="NormalCentered"/>
        <w:keepNext/>
        <w:rPr>
          <w:noProof/>
          <w:color w:val="000000" w:themeColor="text1"/>
        </w:rPr>
      </w:pPr>
      <w:r w:rsidRPr="009618E4">
        <w:rPr>
          <w:b/>
          <w:noProof/>
        </w:rPr>
        <w:t>Procédure de comité</w:t>
      </w:r>
    </w:p>
    <w:p w:rsidR="00F26C3B" w:rsidRPr="009618E4" w:rsidRDefault="00513FB2">
      <w:pPr>
        <w:pStyle w:val="ManualNumPar1"/>
        <w:rPr>
          <w:noProof/>
        </w:rPr>
      </w:pPr>
      <w:r w:rsidRPr="0068119E">
        <w:t>1</w:t>
      </w:r>
      <w:r w:rsidRPr="009618E4">
        <w:t>.</w:t>
      </w:r>
      <w:r w:rsidRPr="009618E4">
        <w:tab/>
        <w:t>La Commission est assistée par un comité. Ledit comité est un comité au sens du règlement (UE) nº </w:t>
      </w:r>
      <w:r w:rsidRPr="0068119E">
        <w:t>182</w:t>
      </w:r>
      <w:r w:rsidRPr="009618E4">
        <w:t>/</w:t>
      </w:r>
      <w:r w:rsidRPr="0068119E">
        <w:t>2011</w:t>
      </w:r>
      <w:r w:rsidRPr="009618E4">
        <w:t>.</w:t>
      </w:r>
    </w:p>
    <w:p w:rsidR="00F26C3B" w:rsidRPr="009618E4" w:rsidRDefault="00513FB2">
      <w:pPr>
        <w:pStyle w:val="ManualNumPar1"/>
        <w:rPr>
          <w:noProof/>
        </w:rPr>
      </w:pPr>
      <w:r w:rsidRPr="0068119E">
        <w:t>2</w:t>
      </w:r>
      <w:r w:rsidRPr="009618E4">
        <w:t>.</w:t>
      </w:r>
      <w:r w:rsidRPr="009618E4">
        <w:tab/>
        <w:t>Le comité se réunit en deux compositions différentes traitant respectivement des aspects du programme liés à la fission et à la fusion.</w:t>
      </w:r>
    </w:p>
    <w:p w:rsidR="00F26C3B" w:rsidRPr="009618E4" w:rsidRDefault="00513FB2">
      <w:pPr>
        <w:pStyle w:val="ManualNumPar1"/>
        <w:rPr>
          <w:noProof/>
        </w:rPr>
      </w:pPr>
      <w:r w:rsidRPr="0068119E">
        <w:t>3</w:t>
      </w:r>
      <w:r w:rsidRPr="009618E4">
        <w:t>.</w:t>
      </w:r>
      <w:r w:rsidRPr="009618E4">
        <w:tab/>
        <w:t>Lorsqu</w:t>
      </w:r>
      <w:r w:rsidR="00266719" w:rsidRPr="009618E4">
        <w:t>’</w:t>
      </w:r>
      <w:r w:rsidRPr="009618E4">
        <w:t>il est fait référence au présent paragraphe, l</w:t>
      </w:r>
      <w:r w:rsidR="00266719" w:rsidRPr="009618E4">
        <w:t>’</w:t>
      </w:r>
      <w:r w:rsidRPr="009618E4">
        <w:t>article </w:t>
      </w:r>
      <w:r w:rsidRPr="0068119E">
        <w:t>4</w:t>
      </w:r>
      <w:r w:rsidRPr="009618E4">
        <w:t xml:space="preserve"> du règlement (UE) nº </w:t>
      </w:r>
      <w:r w:rsidRPr="0068119E">
        <w:t>182</w:t>
      </w:r>
      <w:r w:rsidRPr="009618E4">
        <w:t>/</w:t>
      </w:r>
      <w:r w:rsidRPr="0068119E">
        <w:t>2011</w:t>
      </w:r>
      <w:r w:rsidRPr="009618E4">
        <w:t xml:space="preserve"> s</w:t>
      </w:r>
      <w:r w:rsidR="00266719" w:rsidRPr="009618E4">
        <w:t>’</w:t>
      </w:r>
      <w:r w:rsidRPr="009618E4">
        <w:t>applique.</w:t>
      </w:r>
    </w:p>
    <w:p w:rsidR="00F151FF" w:rsidRPr="009618E4" w:rsidRDefault="00513FB2">
      <w:pPr>
        <w:pStyle w:val="ManualNumPar1"/>
        <w:rPr>
          <w:noProof/>
        </w:rPr>
      </w:pPr>
      <w:r w:rsidRPr="0068119E">
        <w:t>4</w:t>
      </w:r>
      <w:r w:rsidRPr="009618E4">
        <w:t>.</w:t>
      </w:r>
      <w:r w:rsidRPr="009618E4">
        <w:tab/>
        <w:t>Lorsqu</w:t>
      </w:r>
      <w:r w:rsidR="00266719" w:rsidRPr="009618E4">
        <w:t>’</w:t>
      </w:r>
      <w:r w:rsidRPr="009618E4">
        <w:t>il est fait référence au présent paragraphe, l</w:t>
      </w:r>
      <w:r w:rsidR="00266719" w:rsidRPr="009618E4">
        <w:t>’</w:t>
      </w:r>
      <w:r w:rsidRPr="009618E4">
        <w:t>article </w:t>
      </w:r>
      <w:r w:rsidRPr="0068119E">
        <w:t>5</w:t>
      </w:r>
      <w:r w:rsidRPr="009618E4">
        <w:t xml:space="preserve"> du règlement (UE) nº </w:t>
      </w:r>
      <w:r w:rsidRPr="0068119E">
        <w:t>182</w:t>
      </w:r>
      <w:r w:rsidRPr="009618E4">
        <w:t>/</w:t>
      </w:r>
      <w:r w:rsidRPr="0068119E">
        <w:t>2011</w:t>
      </w:r>
      <w:r w:rsidRPr="009618E4">
        <w:t xml:space="preserve"> s</w:t>
      </w:r>
      <w:r w:rsidR="00266719" w:rsidRPr="009618E4">
        <w:t>’</w:t>
      </w:r>
      <w:r w:rsidRPr="009618E4">
        <w:t>applique.</w:t>
      </w:r>
    </w:p>
    <w:p w:rsidR="00F26C3B" w:rsidRPr="009618E4" w:rsidRDefault="00F151FF">
      <w:pPr>
        <w:pStyle w:val="ManualNumPar1"/>
        <w:rPr>
          <w:noProof/>
        </w:rPr>
      </w:pPr>
      <w:r w:rsidRPr="0068119E">
        <w:t>5</w:t>
      </w:r>
      <w:r w:rsidRPr="009618E4">
        <w:t>.</w:t>
      </w:r>
      <w:r w:rsidRPr="009618E4">
        <w:tab/>
        <w:t>Lorsque l</w:t>
      </w:r>
      <w:r w:rsidR="00266719" w:rsidRPr="009618E4">
        <w:t>’</w:t>
      </w:r>
      <w:r w:rsidRPr="009618E4">
        <w:t>avis du comité doit être obtenu par procédure écrite, ladite procédure est close sans résultat lorsque, dans le délai pour émettre un avis, le président du comité le décide ou une majorité simple des membres du comité le demande.</w:t>
      </w:r>
    </w:p>
    <w:p w:rsidR="00F26C3B" w:rsidRPr="009618E4" w:rsidRDefault="00F151FF">
      <w:pPr>
        <w:pStyle w:val="ManualNumPar1"/>
        <w:rPr>
          <w:noProof/>
        </w:rPr>
      </w:pPr>
      <w:r w:rsidRPr="0068119E">
        <w:t>6</w:t>
      </w:r>
      <w:r w:rsidRPr="009618E4">
        <w:t>.</w:t>
      </w:r>
      <w:r w:rsidRPr="009618E4">
        <w:tab/>
        <w:t>La Commission informe régulièrement le comité de l</w:t>
      </w:r>
      <w:r w:rsidR="00266719" w:rsidRPr="009618E4">
        <w:t>’</w:t>
      </w:r>
      <w:r w:rsidRPr="009618E4">
        <w:t>évolution générale de la mise en œuvre du programme, et lui transmet des informations en temps utile sur toutes les actions proposées ou financées au titre du présent programme.</w:t>
      </w:r>
    </w:p>
    <w:p w:rsidR="00F151FF" w:rsidRPr="009618E4" w:rsidRDefault="00F151FF" w:rsidP="00F151FF">
      <w:pPr>
        <w:pStyle w:val="Titrearticle"/>
        <w:rPr>
          <w:i w:val="0"/>
          <w:noProof/>
        </w:rPr>
      </w:pPr>
      <w:r w:rsidRPr="009618E4">
        <w:t xml:space="preserve">Article </w:t>
      </w:r>
      <w:r w:rsidRPr="0068119E">
        <w:t>17</w:t>
      </w:r>
    </w:p>
    <w:p w:rsidR="00F151FF" w:rsidRPr="009618E4" w:rsidRDefault="00F151FF" w:rsidP="00F151FF">
      <w:pPr>
        <w:keepNext/>
        <w:jc w:val="center"/>
        <w:rPr>
          <w:b/>
        </w:rPr>
      </w:pPr>
      <w:r w:rsidRPr="009618E4">
        <w:rPr>
          <w:b/>
        </w:rPr>
        <w:t>Protection des intérêts financiers de l</w:t>
      </w:r>
      <w:r w:rsidR="00266719" w:rsidRPr="009618E4">
        <w:rPr>
          <w:b/>
        </w:rPr>
        <w:t>’</w:t>
      </w:r>
      <w:r w:rsidRPr="009618E4">
        <w:rPr>
          <w:b/>
        </w:rPr>
        <w:t>Union</w:t>
      </w:r>
    </w:p>
    <w:p w:rsidR="00F151FF" w:rsidRPr="009618E4" w:rsidRDefault="00F151FF" w:rsidP="00C41806">
      <w:pPr>
        <w:pStyle w:val="NumPar1"/>
        <w:numPr>
          <w:ilvl w:val="0"/>
          <w:numId w:val="23"/>
        </w:numPr>
      </w:pPr>
      <w:r w:rsidRPr="009618E4">
        <w:t>La Commission ou ses représentants et la Cour des comptes disposent d</w:t>
      </w:r>
      <w:r w:rsidR="00266719" w:rsidRPr="009618E4">
        <w:t>’</w:t>
      </w:r>
      <w:r w:rsidRPr="009618E4">
        <w:t>un pouvoir de contrôle ou, dans le cas des organisations internationales, du pouvoir de vérification conformément aux accords conclus avec celles-ci, exercé sur pièces et sur place, à l</w:t>
      </w:r>
      <w:r w:rsidR="00266719" w:rsidRPr="009618E4">
        <w:t>’</w:t>
      </w:r>
      <w:r w:rsidRPr="009618E4">
        <w:t>égard de tous les bénéficiaires de subventions, contractants et sous-traitants qui ont reçu des fonds de l</w:t>
      </w:r>
      <w:r w:rsidR="00266719" w:rsidRPr="009618E4">
        <w:t>’</w:t>
      </w:r>
      <w:r w:rsidRPr="009618E4">
        <w:t>Union au titre du présent règlement.</w:t>
      </w:r>
    </w:p>
    <w:p w:rsidR="00F151FF" w:rsidRPr="009618E4" w:rsidRDefault="00F151FF" w:rsidP="00955F36">
      <w:pPr>
        <w:pStyle w:val="NumPar1"/>
      </w:pPr>
      <w:r w:rsidRPr="009618E4">
        <w:t>L</w:t>
      </w:r>
      <w:r w:rsidR="00266719" w:rsidRPr="009618E4">
        <w:t>’</w:t>
      </w:r>
      <w:r w:rsidRPr="009618E4">
        <w:t>Office européen de lutte antifraude (OLAF) peut effectuer des enquêtes administratives, y compris des contrôles et vérifications sur place, conformément aux dispositions et procédures prévues par le règlement (UE, Euratom) nº </w:t>
      </w:r>
      <w:r w:rsidRPr="0068119E">
        <w:t>883</w:t>
      </w:r>
      <w:r w:rsidRPr="009618E4">
        <w:t>/</w:t>
      </w:r>
      <w:r w:rsidRPr="0068119E">
        <w:t>2013</w:t>
      </w:r>
      <w:r w:rsidRPr="009618E4">
        <w:t xml:space="preserve"> du Parlement européen et du Conseil et le règlement (Euratom, CE) nº </w:t>
      </w:r>
      <w:r w:rsidRPr="0068119E">
        <w:t>2185</w:t>
      </w:r>
      <w:r w:rsidRPr="009618E4">
        <w:t>/</w:t>
      </w:r>
      <w:r w:rsidRPr="0068119E">
        <w:t>96</w:t>
      </w:r>
      <w:r w:rsidRPr="009618E4">
        <w:t xml:space="preserve"> du Conseil, en vue d</w:t>
      </w:r>
      <w:r w:rsidR="00266719" w:rsidRPr="009618E4">
        <w:t>’</w:t>
      </w:r>
      <w:r w:rsidRPr="009618E4">
        <w:t>établir l</w:t>
      </w:r>
      <w:r w:rsidR="00266719" w:rsidRPr="009618E4">
        <w:t>’</w:t>
      </w:r>
      <w:r w:rsidRPr="009618E4">
        <w:t>existence d</w:t>
      </w:r>
      <w:r w:rsidR="00266719" w:rsidRPr="009618E4">
        <w:t>’</w:t>
      </w:r>
      <w:r w:rsidRPr="009618E4">
        <w:t>une fraude, d</w:t>
      </w:r>
      <w:r w:rsidR="00266719" w:rsidRPr="009618E4">
        <w:t>’</w:t>
      </w:r>
      <w:r w:rsidRPr="009618E4">
        <w:t>un acte de corruption ou de toute autre activité illégale portant atteinte aux intérêts financiers de l</w:t>
      </w:r>
      <w:r w:rsidR="00266719" w:rsidRPr="009618E4">
        <w:t>’</w:t>
      </w:r>
      <w:r w:rsidRPr="009618E4">
        <w:t>Union, en lien avec des financements ou des garanties budgétaires au titre du présent règlement.</w:t>
      </w:r>
    </w:p>
    <w:p w:rsidR="00F151FF" w:rsidRPr="009618E4" w:rsidRDefault="00F151FF" w:rsidP="00955F36">
      <w:pPr>
        <w:pStyle w:val="NumPar1"/>
      </w:pPr>
      <w:r w:rsidRPr="009618E4">
        <w:t>Les autorités compétentes des pays tiers et les organisations internationales peuvent également être tenues de coopérer avec le Parquet européen, conformément aux accords d</w:t>
      </w:r>
      <w:r w:rsidR="00266719" w:rsidRPr="009618E4">
        <w:t>’</w:t>
      </w:r>
      <w:r w:rsidRPr="009618E4">
        <w:t>entraide judiciaire, lorsqu</w:t>
      </w:r>
      <w:r w:rsidR="00266719" w:rsidRPr="009618E4">
        <w:t>’</w:t>
      </w:r>
      <w:r w:rsidRPr="009618E4">
        <w:t xml:space="preserve">il mène des enquêtes sur des infractions pénales relevant de sa compétence conformément au règlement (UE) </w:t>
      </w:r>
      <w:r w:rsidRPr="0068119E">
        <w:t>2017</w:t>
      </w:r>
      <w:r w:rsidRPr="009618E4">
        <w:t>/</w:t>
      </w:r>
      <w:r w:rsidRPr="0068119E">
        <w:t>1939</w:t>
      </w:r>
      <w:r w:rsidRPr="009618E4">
        <w:t>.</w:t>
      </w:r>
    </w:p>
    <w:p w:rsidR="00F151FF" w:rsidRPr="009618E4" w:rsidRDefault="00F151FF" w:rsidP="00955F36">
      <w:pPr>
        <w:pStyle w:val="NumPar1"/>
      </w:pPr>
      <w:r w:rsidRPr="009618E4">
        <w:t>Sans préjudice des paragraphes </w:t>
      </w:r>
      <w:r w:rsidRPr="0068119E">
        <w:t>1</w:t>
      </w:r>
      <w:r w:rsidRPr="009618E4">
        <w:t xml:space="preserve"> et </w:t>
      </w:r>
      <w:r w:rsidRPr="0068119E">
        <w:t>2</w:t>
      </w:r>
      <w:r w:rsidRPr="009618E4">
        <w:t>, les accords de coopération conclus avec des pays tiers et des organisations internationales, les contrats, les conventions de subvention et les autres engagements juridiques, ainsi que les accords établissant une garantie budgétaire, résultant de la mise en œuvre du présent règlement contiennent des dispositions habilitant expressément la Commission, la Cour des comptes et l</w:t>
      </w:r>
      <w:r w:rsidR="00266719" w:rsidRPr="009618E4">
        <w:t>’</w:t>
      </w:r>
      <w:r w:rsidRPr="009618E4">
        <w:t>OLAF à procéder à de tels audits et de tels contrôles et vérifications sur place, conformément à leurs compétences respectives. Il s</w:t>
      </w:r>
      <w:r w:rsidR="00266719" w:rsidRPr="009618E4">
        <w:t>’</w:t>
      </w:r>
      <w:r w:rsidRPr="009618E4">
        <w:t>agit notamment de dispositions visant à garantir que tout tiers participant à l</w:t>
      </w:r>
      <w:r w:rsidR="00266719" w:rsidRPr="009618E4">
        <w:t>’</w:t>
      </w:r>
      <w:r w:rsidRPr="009618E4">
        <w:t>exécution de fonds de l</w:t>
      </w:r>
      <w:r w:rsidR="00266719" w:rsidRPr="009618E4">
        <w:t>’</w:t>
      </w:r>
      <w:r w:rsidRPr="009618E4">
        <w:t>Union ou à une opération de financement soutenue, en tout ou en partie, par une subvention budgétaire accorde des droits équivalents.</w:t>
      </w:r>
    </w:p>
    <w:p w:rsidR="00F151FF" w:rsidRPr="009618E4" w:rsidRDefault="00F151FF" w:rsidP="00955F36">
      <w:pPr>
        <w:pStyle w:val="Text1"/>
        <w:ind w:left="0"/>
      </w:pPr>
    </w:p>
    <w:p w:rsidR="00F26C3B" w:rsidRPr="009618E4" w:rsidRDefault="00513FB2">
      <w:pPr>
        <w:pStyle w:val="ChapterTitle"/>
        <w:rPr>
          <w:noProof/>
        </w:rPr>
      </w:pPr>
      <w:r w:rsidRPr="009618E4">
        <w:t>CHAPITRE III</w:t>
      </w:r>
    </w:p>
    <w:p w:rsidR="00F26C3B" w:rsidRPr="009618E4" w:rsidRDefault="00513FB2">
      <w:pPr>
        <w:pStyle w:val="ChapterTitle"/>
        <w:rPr>
          <w:noProof/>
        </w:rPr>
      </w:pPr>
      <w:r w:rsidRPr="009618E4">
        <w:t>DISPOSITIONS TRANSITOIRES ET FINALES</w:t>
      </w:r>
    </w:p>
    <w:p w:rsidR="00F26C3B" w:rsidRPr="009618E4" w:rsidRDefault="00513FB2">
      <w:pPr>
        <w:pStyle w:val="Titrearticle"/>
        <w:rPr>
          <w:i w:val="0"/>
          <w:noProof/>
        </w:rPr>
      </w:pPr>
      <w:r w:rsidRPr="009618E4">
        <w:t xml:space="preserve">Article </w:t>
      </w:r>
      <w:r w:rsidRPr="0068119E">
        <w:t>18</w:t>
      </w:r>
    </w:p>
    <w:p w:rsidR="00F26C3B" w:rsidRPr="009618E4" w:rsidRDefault="00513FB2">
      <w:pPr>
        <w:pStyle w:val="NormalCentered"/>
        <w:rPr>
          <w:b/>
          <w:noProof/>
        </w:rPr>
      </w:pPr>
      <w:r w:rsidRPr="009618E4">
        <w:rPr>
          <w:b/>
          <w:noProof/>
        </w:rPr>
        <w:t>Abrogation</w:t>
      </w:r>
    </w:p>
    <w:p w:rsidR="00F26C3B" w:rsidRPr="009618E4" w:rsidRDefault="00513FB2">
      <w:pPr>
        <w:rPr>
          <w:noProof/>
          <w:color w:val="000000" w:themeColor="text1"/>
        </w:rPr>
      </w:pPr>
      <w:r w:rsidRPr="009618E4">
        <w:t xml:space="preserve">Le règlement </w:t>
      </w:r>
      <w:r w:rsidRPr="009618E4">
        <w:rPr>
          <w:i/>
        </w:rPr>
        <w:t>[nº XXX</w:t>
      </w:r>
      <w:r w:rsidRPr="009618E4">
        <w:rPr>
          <w:i/>
          <w:noProof/>
        </w:rPr>
        <w:t xml:space="preserve"> établissant le programme Euratom </w:t>
      </w:r>
      <w:r w:rsidRPr="0068119E">
        <w:rPr>
          <w:i/>
          <w:noProof/>
        </w:rPr>
        <w:t>2019</w:t>
      </w:r>
      <w:r w:rsidRPr="009618E4">
        <w:rPr>
          <w:i/>
          <w:noProof/>
        </w:rPr>
        <w:t>–</w:t>
      </w:r>
      <w:r w:rsidRPr="0068119E">
        <w:rPr>
          <w:i/>
          <w:noProof/>
        </w:rPr>
        <w:t>2020</w:t>
      </w:r>
      <w:r w:rsidRPr="009618E4">
        <w:rPr>
          <w:i/>
          <w:noProof/>
        </w:rPr>
        <w:t>]</w:t>
      </w:r>
      <w:r w:rsidRPr="009618E4">
        <w:t xml:space="preserve"> est abrogé avec effet à partir du </w:t>
      </w:r>
      <w:r w:rsidRPr="0068119E">
        <w:t>1</w:t>
      </w:r>
      <w:r w:rsidRPr="009618E4">
        <w:rPr>
          <w:vertAlign w:val="superscript"/>
        </w:rPr>
        <w:t>er</w:t>
      </w:r>
      <w:r w:rsidRPr="009618E4">
        <w:t xml:space="preserve"> janvier </w:t>
      </w:r>
      <w:r w:rsidRPr="0068119E">
        <w:t>2021</w:t>
      </w:r>
      <w:r w:rsidRPr="009618E4">
        <w:t>.</w:t>
      </w:r>
    </w:p>
    <w:p w:rsidR="00F26C3B" w:rsidRPr="009618E4" w:rsidRDefault="00513FB2">
      <w:pPr>
        <w:pStyle w:val="Titrearticle"/>
        <w:rPr>
          <w:noProof/>
        </w:rPr>
      </w:pPr>
      <w:r w:rsidRPr="009618E4">
        <w:t xml:space="preserve">Article </w:t>
      </w:r>
      <w:r w:rsidRPr="0068119E">
        <w:t>19</w:t>
      </w:r>
    </w:p>
    <w:p w:rsidR="00F26C3B" w:rsidRPr="009618E4" w:rsidRDefault="00513FB2">
      <w:pPr>
        <w:pStyle w:val="NormalCentered"/>
        <w:rPr>
          <w:b/>
          <w:noProof/>
        </w:rPr>
      </w:pPr>
      <w:r w:rsidRPr="009618E4">
        <w:rPr>
          <w:b/>
          <w:noProof/>
        </w:rPr>
        <w:t>Dispositions transitoires</w:t>
      </w:r>
    </w:p>
    <w:p w:rsidR="00F26C3B" w:rsidRPr="009618E4" w:rsidRDefault="00513FB2">
      <w:pPr>
        <w:pStyle w:val="ManualNumPar1"/>
        <w:rPr>
          <w:noProof/>
          <w:color w:val="000000" w:themeColor="text1"/>
        </w:rPr>
      </w:pPr>
      <w:r w:rsidRPr="0068119E">
        <w:t>1</w:t>
      </w:r>
      <w:r w:rsidRPr="009618E4">
        <w:t>.</w:t>
      </w:r>
      <w:r w:rsidRPr="009618E4">
        <w:tab/>
        <w:t>Le présent règlement n</w:t>
      </w:r>
      <w:r w:rsidR="00266719" w:rsidRPr="009618E4">
        <w:t>’</w:t>
      </w:r>
      <w:r w:rsidRPr="009618E4">
        <w:t>affecte pas la poursuite ni la modification des actions concernées, au titre du règlement [</w:t>
      </w:r>
      <w:r w:rsidRPr="009618E4">
        <w:rPr>
          <w:i/>
          <w:noProof/>
        </w:rPr>
        <w:t xml:space="preserve">le programme Euratom </w:t>
      </w:r>
      <w:r w:rsidRPr="0068119E">
        <w:rPr>
          <w:i/>
          <w:noProof/>
        </w:rPr>
        <w:t>2019</w:t>
      </w:r>
      <w:r w:rsidRPr="009618E4">
        <w:rPr>
          <w:i/>
          <w:noProof/>
        </w:rPr>
        <w:t>–</w:t>
      </w:r>
      <w:r w:rsidRPr="0068119E">
        <w:rPr>
          <w:i/>
          <w:noProof/>
        </w:rPr>
        <w:t>2020</w:t>
      </w:r>
      <w:r w:rsidRPr="009618E4">
        <w:t>], qui continue de s</w:t>
      </w:r>
      <w:r w:rsidR="00266719" w:rsidRPr="009618E4">
        <w:t>’</w:t>
      </w:r>
      <w:r w:rsidRPr="009618E4">
        <w:t>appliquer auxdites actions jusqu</w:t>
      </w:r>
      <w:r w:rsidR="00266719" w:rsidRPr="009618E4">
        <w:t>’</w:t>
      </w:r>
      <w:r w:rsidRPr="009618E4">
        <w:t>à leur clôture.</w:t>
      </w:r>
    </w:p>
    <w:p w:rsidR="00F26C3B" w:rsidRPr="009618E4" w:rsidRDefault="00513FB2">
      <w:pPr>
        <w:pStyle w:val="ManualNumPar1"/>
        <w:rPr>
          <w:noProof/>
        </w:rPr>
      </w:pPr>
      <w:r w:rsidRPr="0068119E">
        <w:t>2</w:t>
      </w:r>
      <w:r w:rsidRPr="009618E4">
        <w:t>.</w:t>
      </w:r>
      <w:r w:rsidRPr="009618E4">
        <w:tab/>
        <w:t>Si nécessaire, toute tâche restant à accomplir par le comité créé par le règlement [</w:t>
      </w:r>
      <w:r w:rsidRPr="009618E4">
        <w:rPr>
          <w:i/>
          <w:noProof/>
        </w:rPr>
        <w:t xml:space="preserve">le programme Euratom </w:t>
      </w:r>
      <w:r w:rsidRPr="0068119E">
        <w:rPr>
          <w:i/>
          <w:noProof/>
        </w:rPr>
        <w:t>2019</w:t>
      </w:r>
      <w:r w:rsidRPr="009618E4">
        <w:rPr>
          <w:i/>
          <w:noProof/>
        </w:rPr>
        <w:t>–</w:t>
      </w:r>
      <w:r w:rsidRPr="0068119E">
        <w:rPr>
          <w:i/>
          <w:noProof/>
        </w:rPr>
        <w:t>2020</w:t>
      </w:r>
      <w:r w:rsidRPr="009618E4">
        <w:t>] est exécutée par le comité visé à l</w:t>
      </w:r>
      <w:r w:rsidR="00266719" w:rsidRPr="009618E4">
        <w:t>’</w:t>
      </w:r>
      <w:r w:rsidRPr="009618E4">
        <w:t>article </w:t>
      </w:r>
      <w:r w:rsidRPr="0068119E">
        <w:t>16</w:t>
      </w:r>
      <w:r w:rsidRPr="009618E4">
        <w:t>.</w:t>
      </w:r>
    </w:p>
    <w:p w:rsidR="00F26C3B" w:rsidRPr="009618E4" w:rsidRDefault="00513FB2">
      <w:pPr>
        <w:pStyle w:val="ManualNumPar1"/>
        <w:rPr>
          <w:noProof/>
        </w:rPr>
      </w:pPr>
      <w:r w:rsidRPr="0068119E">
        <w:t>3</w:t>
      </w:r>
      <w:r w:rsidRPr="009618E4">
        <w:t>.</w:t>
      </w:r>
      <w:r w:rsidRPr="009618E4">
        <w:tab/>
        <w:t>L</w:t>
      </w:r>
      <w:r w:rsidR="00266719" w:rsidRPr="009618E4">
        <w:t>’</w:t>
      </w:r>
      <w:r w:rsidRPr="009618E4">
        <w:t>enveloppe financière du programme peut également couvrir les dépenses d</w:t>
      </w:r>
      <w:r w:rsidR="00266719" w:rsidRPr="009618E4">
        <w:t>’</w:t>
      </w:r>
      <w:r w:rsidRPr="009618E4">
        <w:t xml:space="preserve">assistance technique et administrative qui sont nécessaires pour assurer la transition entre le programme et les mesures adoptées en vertu du programme précédent, </w:t>
      </w:r>
      <w:r w:rsidRPr="009618E4">
        <w:rPr>
          <w:i/>
          <w:noProof/>
        </w:rPr>
        <w:t xml:space="preserve">[le programme Euratom </w:t>
      </w:r>
      <w:r w:rsidRPr="0068119E">
        <w:rPr>
          <w:i/>
          <w:noProof/>
        </w:rPr>
        <w:t>2019</w:t>
      </w:r>
      <w:r w:rsidRPr="009618E4">
        <w:rPr>
          <w:i/>
          <w:noProof/>
        </w:rPr>
        <w:t>-</w:t>
      </w:r>
      <w:r w:rsidRPr="0068119E">
        <w:rPr>
          <w:i/>
          <w:noProof/>
        </w:rPr>
        <w:t>2020</w:t>
      </w:r>
      <w:r w:rsidRPr="009618E4">
        <w:rPr>
          <w:i/>
          <w:noProof/>
        </w:rPr>
        <w:t>]</w:t>
      </w:r>
      <w:r w:rsidRPr="009618E4">
        <w:t>.</w:t>
      </w:r>
    </w:p>
    <w:p w:rsidR="00F26C3B" w:rsidRPr="009618E4" w:rsidRDefault="00513FB2">
      <w:pPr>
        <w:pStyle w:val="ManualNumPar1"/>
        <w:rPr>
          <w:noProof/>
        </w:rPr>
      </w:pPr>
      <w:r w:rsidRPr="0068119E">
        <w:t>4</w:t>
      </w:r>
      <w:r w:rsidRPr="009618E4">
        <w:t>.</w:t>
      </w:r>
      <w:r w:rsidRPr="009618E4">
        <w:tab/>
        <w:t>Les remboursements provenant d</w:t>
      </w:r>
      <w:r w:rsidR="00266719" w:rsidRPr="009618E4">
        <w:t>’</w:t>
      </w:r>
      <w:r w:rsidRPr="009618E4">
        <w:t xml:space="preserve">instruments financiers établis par le règlement </w:t>
      </w:r>
      <w:r w:rsidRPr="009618E4">
        <w:rPr>
          <w:i/>
          <w:noProof/>
        </w:rPr>
        <w:t xml:space="preserve">[le programme Euratom </w:t>
      </w:r>
      <w:r w:rsidRPr="0068119E">
        <w:rPr>
          <w:i/>
          <w:noProof/>
        </w:rPr>
        <w:t>2019</w:t>
      </w:r>
      <w:r w:rsidRPr="009618E4">
        <w:rPr>
          <w:i/>
          <w:noProof/>
        </w:rPr>
        <w:t>–</w:t>
      </w:r>
      <w:r w:rsidRPr="0068119E">
        <w:rPr>
          <w:i/>
          <w:noProof/>
        </w:rPr>
        <w:t>2020</w:t>
      </w:r>
      <w:r w:rsidRPr="009618E4">
        <w:rPr>
          <w:i/>
          <w:noProof/>
        </w:rPr>
        <w:t>]</w:t>
      </w:r>
      <w:r w:rsidRPr="009618E4">
        <w:t xml:space="preserve"> peuvent être investis dans le programme InvestEU établi par le règlement XX</w:t>
      </w:r>
      <w:r w:rsidRPr="009618E4">
        <w:rPr>
          <w:rStyle w:val="FootnoteReference"/>
          <w:noProof/>
        </w:rPr>
        <w:footnoteReference w:id="31"/>
      </w:r>
      <w:r w:rsidRPr="009618E4">
        <w:t>.</w:t>
      </w:r>
    </w:p>
    <w:p w:rsidR="00F26C3B" w:rsidRPr="009618E4" w:rsidRDefault="00513FB2">
      <w:pPr>
        <w:pStyle w:val="Titrearticle"/>
        <w:rPr>
          <w:i w:val="0"/>
          <w:noProof/>
        </w:rPr>
      </w:pPr>
      <w:r w:rsidRPr="009618E4">
        <w:t xml:space="preserve">Article </w:t>
      </w:r>
      <w:r w:rsidRPr="0068119E">
        <w:t>20</w:t>
      </w:r>
    </w:p>
    <w:p w:rsidR="00F26C3B" w:rsidRPr="009618E4" w:rsidRDefault="00513FB2">
      <w:pPr>
        <w:pStyle w:val="NormalCentered"/>
        <w:rPr>
          <w:b/>
          <w:noProof/>
        </w:rPr>
      </w:pPr>
      <w:r w:rsidRPr="009618E4">
        <w:rPr>
          <w:b/>
          <w:noProof/>
        </w:rPr>
        <w:t>Entrée en vigueur</w:t>
      </w:r>
    </w:p>
    <w:p w:rsidR="00F26C3B" w:rsidRPr="009618E4" w:rsidRDefault="00513FB2">
      <w:pPr>
        <w:rPr>
          <w:noProof/>
          <w:color w:val="000000" w:themeColor="text1"/>
        </w:rPr>
      </w:pPr>
      <w:r w:rsidRPr="009618E4">
        <w:rPr>
          <w:noProof/>
          <w:color w:val="000000" w:themeColor="text1"/>
        </w:rPr>
        <w:t xml:space="preserve">Le présent règlement entre en vigueur le vingtième jour suivant celui de sa publication au </w:t>
      </w:r>
      <w:r w:rsidRPr="009618E4">
        <w:rPr>
          <w:i/>
          <w:noProof/>
          <w:color w:val="000000" w:themeColor="text1"/>
        </w:rPr>
        <w:t>Journal officiel de l</w:t>
      </w:r>
      <w:r w:rsidR="00266719" w:rsidRPr="009618E4">
        <w:rPr>
          <w:i/>
          <w:noProof/>
          <w:color w:val="000000" w:themeColor="text1"/>
        </w:rPr>
        <w:t>’</w:t>
      </w:r>
      <w:r w:rsidRPr="009618E4">
        <w:rPr>
          <w:i/>
          <w:noProof/>
          <w:color w:val="000000" w:themeColor="text1"/>
        </w:rPr>
        <w:t>Union européenne</w:t>
      </w:r>
      <w:r w:rsidRPr="009618E4">
        <w:rPr>
          <w:noProof/>
          <w:color w:val="000000" w:themeColor="text1"/>
        </w:rPr>
        <w:t>.</w:t>
      </w:r>
    </w:p>
    <w:p w:rsidR="00F26C3B" w:rsidRPr="009618E4" w:rsidRDefault="00513FB2">
      <w:pPr>
        <w:spacing w:before="0"/>
        <w:rPr>
          <w:noProof/>
          <w:color w:val="000000" w:themeColor="text1"/>
        </w:rPr>
      </w:pPr>
      <w:r w:rsidRPr="009618E4">
        <w:rPr>
          <w:noProof/>
          <w:color w:val="000000" w:themeColor="text1"/>
        </w:rPr>
        <w:t>Le présent règlement est obligatoire dans tous ses éléments et directement applicable dans tout État membre.</w:t>
      </w:r>
    </w:p>
    <w:p w:rsidR="00F26C3B" w:rsidRPr="009618E4" w:rsidRDefault="00CE7948" w:rsidP="00CE7948">
      <w:pPr>
        <w:pStyle w:val="Fait"/>
        <w:rPr>
          <w:noProof/>
        </w:rPr>
      </w:pPr>
      <w:r w:rsidRPr="00CE7948">
        <w:t>Fait à Bruxelles, le</w:t>
      </w:r>
    </w:p>
    <w:p w:rsidR="00F26C3B" w:rsidRPr="009618E4" w:rsidRDefault="00513FB2">
      <w:pPr>
        <w:pStyle w:val="Institutionquisigne"/>
        <w:rPr>
          <w:i w:val="0"/>
          <w:noProof/>
        </w:rPr>
      </w:pPr>
      <w:r w:rsidRPr="009618E4">
        <w:tab/>
        <w:t>Par le Conseil</w:t>
      </w:r>
    </w:p>
    <w:p w:rsidR="00F26C3B" w:rsidRPr="009618E4" w:rsidRDefault="00513FB2">
      <w:pPr>
        <w:pStyle w:val="Personnequisigne"/>
        <w:rPr>
          <w:i w:val="0"/>
          <w:noProof/>
        </w:rPr>
      </w:pPr>
      <w:r w:rsidRPr="009618E4">
        <w:tab/>
        <w:t>Le président</w:t>
      </w:r>
    </w:p>
    <w:p w:rsidR="00F26C3B" w:rsidRPr="009618E4" w:rsidRDefault="00F26C3B">
      <w:pPr>
        <w:pStyle w:val="Fichefinanciretitre"/>
        <w:rPr>
          <w:noProof/>
          <w:sz w:val="2"/>
        </w:rPr>
      </w:pPr>
    </w:p>
    <w:p w:rsidR="00F26C3B" w:rsidRPr="009618E4" w:rsidRDefault="00F26C3B">
      <w:pPr>
        <w:jc w:val="center"/>
        <w:rPr>
          <w:b/>
          <w:noProof/>
          <w:u w:val="single"/>
        </w:rPr>
        <w:sectPr w:rsidR="00F26C3B" w:rsidRPr="009618E4" w:rsidSect="005E5E82">
          <w:headerReference w:type="default" r:id="rId21"/>
          <w:footerReference w:type="default" r:id="rId22"/>
          <w:headerReference w:type="first" r:id="rId23"/>
          <w:footerReference w:type="first" r:id="rId24"/>
          <w:footnotePr>
            <w:numRestart w:val="eachSect"/>
          </w:footnotePr>
          <w:pgSz w:w="11907" w:h="16840" w:code="9"/>
          <w:pgMar w:top="709" w:right="992" w:bottom="851" w:left="993" w:header="709" w:footer="709" w:gutter="0"/>
          <w:cols w:space="720"/>
          <w:docGrid w:linePitch="360"/>
        </w:sectPr>
      </w:pPr>
    </w:p>
    <w:p w:rsidR="00F26C3B" w:rsidRPr="009618E4" w:rsidRDefault="00513FB2">
      <w:pPr>
        <w:jc w:val="center"/>
        <w:rPr>
          <w:b/>
          <w:noProof/>
          <w:u w:val="single"/>
        </w:rPr>
      </w:pPr>
      <w:r w:rsidRPr="009618E4">
        <w:rPr>
          <w:b/>
          <w:noProof/>
          <w:u w:val="single"/>
        </w:rPr>
        <w:t>FICHE FINANCIÈRE LÉGISLATIVE</w:t>
      </w:r>
    </w:p>
    <w:p w:rsidR="00F26C3B" w:rsidRPr="009618E4" w:rsidRDefault="00513FB2">
      <w:pPr>
        <w:pStyle w:val="ManualHeading1"/>
        <w:rPr>
          <w:noProof/>
        </w:rPr>
      </w:pPr>
      <w:r w:rsidRPr="0068119E">
        <w:t>1</w:t>
      </w:r>
      <w:r w:rsidRPr="009618E4">
        <w:t>.</w:t>
      </w:r>
      <w:r w:rsidRPr="009618E4">
        <w:tab/>
        <w:t>CADRE DE LA PROPOSITION/DE L</w:t>
      </w:r>
      <w:r w:rsidR="00266719" w:rsidRPr="009618E4">
        <w:t>’</w:t>
      </w:r>
      <w:r w:rsidRPr="009618E4">
        <w:t>INITIATIVE</w:t>
      </w:r>
    </w:p>
    <w:p w:rsidR="00F26C3B" w:rsidRPr="009618E4" w:rsidRDefault="00513FB2">
      <w:pPr>
        <w:pStyle w:val="ManualHeading2"/>
        <w:rPr>
          <w:b w:val="0"/>
          <w:noProof/>
        </w:rPr>
      </w:pPr>
      <w:r w:rsidRPr="009618E4">
        <w:tab/>
      </w:r>
      <w:r w:rsidRPr="0068119E">
        <w:rPr>
          <w:b w:val="0"/>
          <w:noProof/>
        </w:rPr>
        <w:t>1</w:t>
      </w:r>
      <w:r w:rsidRPr="009618E4">
        <w:rPr>
          <w:b w:val="0"/>
          <w:noProof/>
        </w:rPr>
        <w:t>.</w:t>
      </w:r>
      <w:r w:rsidRPr="0068119E">
        <w:rPr>
          <w:b w:val="0"/>
          <w:noProof/>
        </w:rPr>
        <w:t>1</w:t>
      </w:r>
      <w:r w:rsidRPr="009618E4">
        <w:rPr>
          <w:b w:val="0"/>
          <w:noProof/>
        </w:rPr>
        <w:t>.</w:t>
      </w:r>
      <w:r w:rsidRPr="009618E4">
        <w:tab/>
      </w:r>
      <w:r w:rsidRPr="009618E4">
        <w:rPr>
          <w:b w:val="0"/>
          <w:noProof/>
        </w:rPr>
        <w:t>Dénomination de la proposition/de l</w:t>
      </w:r>
      <w:r w:rsidR="00266719" w:rsidRPr="009618E4">
        <w:rPr>
          <w:b w:val="0"/>
          <w:noProof/>
        </w:rPr>
        <w:t>’</w:t>
      </w:r>
      <w:r w:rsidRPr="009618E4">
        <w:rPr>
          <w:b w:val="0"/>
          <w:noProof/>
        </w:rPr>
        <w:t>initiative</w:t>
      </w:r>
    </w:p>
    <w:p w:rsidR="00F26C3B" w:rsidRPr="009618E4" w:rsidRDefault="00513FB2">
      <w:pPr>
        <w:pStyle w:val="ManualHeading2"/>
        <w:rPr>
          <w:b w:val="0"/>
          <w:noProof/>
        </w:rPr>
      </w:pPr>
      <w:r w:rsidRPr="009618E4">
        <w:tab/>
      </w:r>
      <w:r w:rsidRPr="0068119E">
        <w:rPr>
          <w:b w:val="0"/>
          <w:noProof/>
        </w:rPr>
        <w:t>1</w:t>
      </w:r>
      <w:r w:rsidRPr="009618E4">
        <w:rPr>
          <w:b w:val="0"/>
          <w:noProof/>
        </w:rPr>
        <w:t>.</w:t>
      </w:r>
      <w:r w:rsidRPr="0068119E">
        <w:rPr>
          <w:b w:val="0"/>
          <w:noProof/>
        </w:rPr>
        <w:t>2</w:t>
      </w:r>
      <w:r w:rsidRPr="009618E4">
        <w:rPr>
          <w:b w:val="0"/>
          <w:noProof/>
        </w:rPr>
        <w:t>.</w:t>
      </w:r>
      <w:r w:rsidRPr="009618E4">
        <w:tab/>
      </w:r>
      <w:r w:rsidRPr="009618E4">
        <w:rPr>
          <w:b w:val="0"/>
          <w:noProof/>
        </w:rPr>
        <w:t xml:space="preserve">Domaine(s) politique(s) concerné(s) </w:t>
      </w:r>
      <w:r w:rsidRPr="009618E4">
        <w:rPr>
          <w:b w:val="0"/>
          <w:i/>
          <w:noProof/>
        </w:rPr>
        <w:t>(groupe de programmes)</w:t>
      </w:r>
    </w:p>
    <w:p w:rsidR="00F26C3B" w:rsidRPr="009618E4" w:rsidRDefault="00513FB2">
      <w:pPr>
        <w:pStyle w:val="ManualHeading2"/>
        <w:rPr>
          <w:b w:val="0"/>
          <w:noProof/>
        </w:rPr>
      </w:pPr>
      <w:r w:rsidRPr="009618E4">
        <w:tab/>
      </w:r>
      <w:r w:rsidRPr="0068119E">
        <w:rPr>
          <w:b w:val="0"/>
          <w:noProof/>
        </w:rPr>
        <w:t>1</w:t>
      </w:r>
      <w:r w:rsidRPr="009618E4">
        <w:rPr>
          <w:b w:val="0"/>
          <w:noProof/>
        </w:rPr>
        <w:t>.</w:t>
      </w:r>
      <w:r w:rsidRPr="0068119E">
        <w:rPr>
          <w:b w:val="0"/>
          <w:noProof/>
        </w:rPr>
        <w:t>3</w:t>
      </w:r>
      <w:r w:rsidRPr="009618E4">
        <w:rPr>
          <w:b w:val="0"/>
          <w:noProof/>
        </w:rPr>
        <w:t>.</w:t>
      </w:r>
      <w:r w:rsidRPr="009618E4">
        <w:tab/>
      </w:r>
      <w:r w:rsidRPr="009618E4">
        <w:rPr>
          <w:b w:val="0"/>
          <w:noProof/>
        </w:rPr>
        <w:t>Nature de la proposition/de l</w:t>
      </w:r>
      <w:r w:rsidR="00266719" w:rsidRPr="009618E4">
        <w:rPr>
          <w:b w:val="0"/>
          <w:noProof/>
        </w:rPr>
        <w:t>’</w:t>
      </w:r>
      <w:r w:rsidRPr="009618E4">
        <w:rPr>
          <w:b w:val="0"/>
          <w:noProof/>
        </w:rPr>
        <w:t>initiative</w:t>
      </w:r>
    </w:p>
    <w:p w:rsidR="00F26C3B" w:rsidRPr="009618E4" w:rsidRDefault="00513FB2">
      <w:pPr>
        <w:pStyle w:val="ManualHeading2"/>
        <w:rPr>
          <w:b w:val="0"/>
          <w:noProof/>
        </w:rPr>
      </w:pPr>
      <w:r w:rsidRPr="009618E4">
        <w:tab/>
      </w:r>
      <w:r w:rsidRPr="0068119E">
        <w:rPr>
          <w:b w:val="0"/>
          <w:noProof/>
        </w:rPr>
        <w:t>1</w:t>
      </w:r>
      <w:r w:rsidRPr="009618E4">
        <w:rPr>
          <w:b w:val="0"/>
          <w:noProof/>
        </w:rPr>
        <w:t>.</w:t>
      </w:r>
      <w:r w:rsidRPr="0068119E">
        <w:rPr>
          <w:b w:val="0"/>
          <w:noProof/>
        </w:rPr>
        <w:t>4</w:t>
      </w:r>
      <w:r w:rsidRPr="009618E4">
        <w:rPr>
          <w:b w:val="0"/>
          <w:noProof/>
        </w:rPr>
        <w:t>.</w:t>
      </w:r>
      <w:r w:rsidRPr="009618E4">
        <w:tab/>
      </w:r>
      <w:r w:rsidRPr="009618E4">
        <w:rPr>
          <w:b w:val="0"/>
          <w:noProof/>
        </w:rPr>
        <w:t>Justification(s) de la proposition/de l</w:t>
      </w:r>
      <w:r w:rsidR="00266719" w:rsidRPr="009618E4">
        <w:rPr>
          <w:b w:val="0"/>
          <w:noProof/>
        </w:rPr>
        <w:t>’</w:t>
      </w:r>
      <w:r w:rsidRPr="009618E4">
        <w:rPr>
          <w:b w:val="0"/>
          <w:noProof/>
        </w:rPr>
        <w:t>initiative</w:t>
      </w:r>
    </w:p>
    <w:p w:rsidR="00F26C3B" w:rsidRPr="009618E4" w:rsidRDefault="00513FB2">
      <w:pPr>
        <w:pStyle w:val="ManualHeading2"/>
        <w:rPr>
          <w:b w:val="0"/>
          <w:noProof/>
        </w:rPr>
      </w:pPr>
      <w:r w:rsidRPr="009618E4">
        <w:tab/>
      </w:r>
      <w:r w:rsidRPr="0068119E">
        <w:rPr>
          <w:b w:val="0"/>
          <w:noProof/>
        </w:rPr>
        <w:t>1</w:t>
      </w:r>
      <w:r w:rsidRPr="009618E4">
        <w:rPr>
          <w:b w:val="0"/>
          <w:noProof/>
        </w:rPr>
        <w:t>.</w:t>
      </w:r>
      <w:r w:rsidRPr="0068119E">
        <w:rPr>
          <w:b w:val="0"/>
          <w:noProof/>
        </w:rPr>
        <w:t>5</w:t>
      </w:r>
      <w:r w:rsidRPr="009618E4">
        <w:rPr>
          <w:b w:val="0"/>
          <w:noProof/>
        </w:rPr>
        <w:t>.</w:t>
      </w:r>
      <w:r w:rsidRPr="009618E4">
        <w:tab/>
      </w:r>
      <w:r w:rsidRPr="009618E4">
        <w:rPr>
          <w:b w:val="0"/>
          <w:noProof/>
        </w:rPr>
        <w:t>Durée et incidence financière</w:t>
      </w:r>
    </w:p>
    <w:p w:rsidR="00F26C3B" w:rsidRPr="009618E4" w:rsidRDefault="00513FB2">
      <w:pPr>
        <w:pStyle w:val="ManualHeading2"/>
        <w:rPr>
          <w:b w:val="0"/>
          <w:noProof/>
        </w:rPr>
      </w:pPr>
      <w:r w:rsidRPr="009618E4">
        <w:tab/>
      </w:r>
      <w:r w:rsidRPr="0068119E">
        <w:rPr>
          <w:b w:val="0"/>
          <w:noProof/>
        </w:rPr>
        <w:t>1</w:t>
      </w:r>
      <w:r w:rsidRPr="009618E4">
        <w:rPr>
          <w:b w:val="0"/>
          <w:noProof/>
        </w:rPr>
        <w:t>.</w:t>
      </w:r>
      <w:r w:rsidRPr="0068119E">
        <w:rPr>
          <w:b w:val="0"/>
          <w:noProof/>
        </w:rPr>
        <w:t>6</w:t>
      </w:r>
      <w:r w:rsidRPr="009618E4">
        <w:rPr>
          <w:b w:val="0"/>
          <w:noProof/>
        </w:rPr>
        <w:t>.</w:t>
      </w:r>
      <w:r w:rsidRPr="009618E4">
        <w:tab/>
      </w:r>
      <w:r w:rsidRPr="009618E4">
        <w:rPr>
          <w:b w:val="0"/>
          <w:noProof/>
        </w:rPr>
        <w:t>Mode(s) de gestion prévu(s)</w:t>
      </w:r>
    </w:p>
    <w:p w:rsidR="00F26C3B" w:rsidRPr="009618E4" w:rsidRDefault="00513FB2">
      <w:pPr>
        <w:pStyle w:val="ManualHeading1"/>
        <w:rPr>
          <w:noProof/>
        </w:rPr>
      </w:pPr>
      <w:r w:rsidRPr="0068119E">
        <w:t>2</w:t>
      </w:r>
      <w:r w:rsidRPr="009618E4">
        <w:t>.</w:t>
      </w:r>
      <w:r w:rsidRPr="009618E4">
        <w:tab/>
        <w:t>MESURES DE GESTION</w:t>
      </w:r>
    </w:p>
    <w:p w:rsidR="00F26C3B" w:rsidRPr="009618E4" w:rsidRDefault="00513FB2">
      <w:pPr>
        <w:pStyle w:val="ManualHeading2"/>
        <w:rPr>
          <w:b w:val="0"/>
          <w:noProof/>
        </w:rPr>
      </w:pPr>
      <w:r w:rsidRPr="009618E4">
        <w:tab/>
      </w:r>
      <w:r w:rsidRPr="0068119E">
        <w:rPr>
          <w:b w:val="0"/>
          <w:noProof/>
        </w:rPr>
        <w:t>2</w:t>
      </w:r>
      <w:r w:rsidRPr="009618E4">
        <w:rPr>
          <w:b w:val="0"/>
          <w:noProof/>
        </w:rPr>
        <w:t>.</w:t>
      </w:r>
      <w:r w:rsidRPr="0068119E">
        <w:rPr>
          <w:b w:val="0"/>
          <w:noProof/>
        </w:rPr>
        <w:t>1</w:t>
      </w:r>
      <w:r w:rsidRPr="009618E4">
        <w:rPr>
          <w:b w:val="0"/>
          <w:noProof/>
        </w:rPr>
        <w:t>.</w:t>
      </w:r>
      <w:r w:rsidRPr="009618E4">
        <w:tab/>
      </w:r>
      <w:r w:rsidRPr="009618E4">
        <w:rPr>
          <w:b w:val="0"/>
          <w:noProof/>
        </w:rPr>
        <w:t>Dispositions en matière de suivi et de compte rendu</w:t>
      </w:r>
    </w:p>
    <w:p w:rsidR="00F26C3B" w:rsidRPr="009618E4" w:rsidRDefault="00513FB2">
      <w:pPr>
        <w:pStyle w:val="ManualHeading2"/>
        <w:rPr>
          <w:b w:val="0"/>
          <w:noProof/>
        </w:rPr>
      </w:pPr>
      <w:r w:rsidRPr="009618E4">
        <w:tab/>
      </w:r>
      <w:r w:rsidRPr="0068119E">
        <w:rPr>
          <w:b w:val="0"/>
          <w:noProof/>
        </w:rPr>
        <w:t>2</w:t>
      </w:r>
      <w:r w:rsidRPr="009618E4">
        <w:rPr>
          <w:b w:val="0"/>
          <w:noProof/>
        </w:rPr>
        <w:t>.</w:t>
      </w:r>
      <w:r w:rsidRPr="0068119E">
        <w:rPr>
          <w:b w:val="0"/>
          <w:noProof/>
        </w:rPr>
        <w:t>2</w:t>
      </w:r>
      <w:r w:rsidRPr="009618E4">
        <w:rPr>
          <w:b w:val="0"/>
          <w:noProof/>
        </w:rPr>
        <w:t>.</w:t>
      </w:r>
      <w:r w:rsidRPr="009618E4">
        <w:tab/>
      </w:r>
      <w:r w:rsidRPr="009618E4">
        <w:rPr>
          <w:b w:val="0"/>
          <w:noProof/>
        </w:rPr>
        <w:t xml:space="preserve">Système de gestion et de contrôle </w:t>
      </w:r>
    </w:p>
    <w:p w:rsidR="00F26C3B" w:rsidRPr="009618E4" w:rsidRDefault="00513FB2">
      <w:pPr>
        <w:pStyle w:val="ManualHeading2"/>
        <w:rPr>
          <w:b w:val="0"/>
          <w:noProof/>
        </w:rPr>
      </w:pPr>
      <w:r w:rsidRPr="009618E4">
        <w:tab/>
      </w:r>
      <w:r w:rsidRPr="0068119E">
        <w:rPr>
          <w:b w:val="0"/>
          <w:noProof/>
        </w:rPr>
        <w:t>2</w:t>
      </w:r>
      <w:r w:rsidRPr="009618E4">
        <w:rPr>
          <w:b w:val="0"/>
          <w:noProof/>
        </w:rPr>
        <w:t>.</w:t>
      </w:r>
      <w:r w:rsidRPr="0068119E">
        <w:rPr>
          <w:b w:val="0"/>
          <w:noProof/>
        </w:rPr>
        <w:t>3</w:t>
      </w:r>
      <w:r w:rsidRPr="009618E4">
        <w:rPr>
          <w:b w:val="0"/>
          <w:noProof/>
        </w:rPr>
        <w:t>.</w:t>
      </w:r>
      <w:r w:rsidRPr="009618E4">
        <w:tab/>
      </w:r>
      <w:r w:rsidRPr="009618E4">
        <w:rPr>
          <w:b w:val="0"/>
          <w:noProof/>
        </w:rPr>
        <w:t>Mesures de prévention des fraudes et irrégularités</w:t>
      </w:r>
    </w:p>
    <w:p w:rsidR="00F26C3B" w:rsidRPr="009618E4" w:rsidRDefault="00513FB2">
      <w:pPr>
        <w:pStyle w:val="ManualHeading1"/>
        <w:rPr>
          <w:noProof/>
        </w:rPr>
      </w:pPr>
      <w:r w:rsidRPr="0068119E">
        <w:t>3</w:t>
      </w:r>
      <w:r w:rsidRPr="009618E4">
        <w:t>.</w:t>
      </w:r>
      <w:r w:rsidRPr="009618E4">
        <w:tab/>
        <w:t>INCIDENCE FINANCIÈRE ESTIMÉE DE LA PROPOSITION/DE L</w:t>
      </w:r>
      <w:r w:rsidR="00266719" w:rsidRPr="009618E4">
        <w:t>’</w:t>
      </w:r>
      <w:r w:rsidRPr="009618E4">
        <w:t>INITIATIVE</w:t>
      </w:r>
    </w:p>
    <w:p w:rsidR="00F26C3B" w:rsidRPr="009618E4" w:rsidRDefault="00513FB2">
      <w:pPr>
        <w:pStyle w:val="ManualHeading2"/>
        <w:rPr>
          <w:b w:val="0"/>
          <w:noProof/>
        </w:rPr>
      </w:pPr>
      <w:r w:rsidRPr="009618E4">
        <w:tab/>
      </w:r>
      <w:r w:rsidRPr="0068119E">
        <w:rPr>
          <w:b w:val="0"/>
          <w:noProof/>
        </w:rPr>
        <w:t>3</w:t>
      </w:r>
      <w:r w:rsidRPr="009618E4">
        <w:rPr>
          <w:b w:val="0"/>
          <w:noProof/>
        </w:rPr>
        <w:t>.</w:t>
      </w:r>
      <w:r w:rsidRPr="0068119E">
        <w:rPr>
          <w:b w:val="0"/>
          <w:noProof/>
        </w:rPr>
        <w:t>1</w:t>
      </w:r>
      <w:r w:rsidRPr="009618E4">
        <w:rPr>
          <w:b w:val="0"/>
          <w:noProof/>
        </w:rPr>
        <w:t>.</w:t>
      </w:r>
      <w:r w:rsidRPr="009618E4">
        <w:tab/>
      </w:r>
      <w:r w:rsidRPr="009618E4">
        <w:rPr>
          <w:b w:val="0"/>
          <w:noProof/>
        </w:rPr>
        <w:t>Rubrique(s) du cadre financier pluriannuel et ligne(s) budgétaire(s) de dépenses concernée(s)</w:t>
      </w:r>
    </w:p>
    <w:p w:rsidR="00F26C3B" w:rsidRPr="009618E4" w:rsidRDefault="00513FB2">
      <w:pPr>
        <w:pStyle w:val="ManualHeading2"/>
        <w:rPr>
          <w:noProof/>
        </w:rPr>
      </w:pPr>
      <w:r w:rsidRPr="009618E4">
        <w:tab/>
      </w:r>
      <w:r w:rsidRPr="0068119E">
        <w:rPr>
          <w:b w:val="0"/>
          <w:noProof/>
        </w:rPr>
        <w:t>3</w:t>
      </w:r>
      <w:r w:rsidRPr="009618E4">
        <w:rPr>
          <w:b w:val="0"/>
          <w:noProof/>
        </w:rPr>
        <w:t>.</w:t>
      </w:r>
      <w:r w:rsidRPr="0068119E">
        <w:rPr>
          <w:b w:val="0"/>
          <w:noProof/>
        </w:rPr>
        <w:t>2</w:t>
      </w:r>
      <w:r w:rsidRPr="009618E4">
        <w:rPr>
          <w:b w:val="0"/>
          <w:noProof/>
        </w:rPr>
        <w:t>.</w:t>
      </w:r>
      <w:r w:rsidRPr="009618E4">
        <w:tab/>
      </w:r>
      <w:r w:rsidRPr="009618E4">
        <w:rPr>
          <w:b w:val="0"/>
          <w:noProof/>
        </w:rPr>
        <w:t>Incidence estimée sur les dépenses</w:t>
      </w:r>
    </w:p>
    <w:p w:rsidR="00F26C3B" w:rsidRPr="009618E4" w:rsidRDefault="00513FB2">
      <w:pPr>
        <w:pStyle w:val="ManualHeading3"/>
        <w:rPr>
          <w:noProof/>
        </w:rPr>
      </w:pPr>
      <w:r w:rsidRPr="009618E4">
        <w:tab/>
      </w:r>
      <w:r w:rsidRPr="0068119E">
        <w:t>3</w:t>
      </w:r>
      <w:r w:rsidRPr="009618E4">
        <w:t>.</w:t>
      </w:r>
      <w:r w:rsidRPr="0068119E">
        <w:t>2</w:t>
      </w:r>
      <w:r w:rsidRPr="009618E4">
        <w:t>.</w:t>
      </w:r>
      <w:r w:rsidRPr="0068119E">
        <w:t>1</w:t>
      </w:r>
      <w:r w:rsidRPr="009618E4">
        <w:t>.</w:t>
      </w:r>
      <w:r w:rsidRPr="009618E4">
        <w:tab/>
        <w:t>Synthèse de l</w:t>
      </w:r>
      <w:r w:rsidR="00266719" w:rsidRPr="009618E4">
        <w:t>’</w:t>
      </w:r>
      <w:r w:rsidRPr="009618E4">
        <w:t>incidence estimée sur les dépenses</w:t>
      </w:r>
    </w:p>
    <w:p w:rsidR="00F26C3B" w:rsidRPr="009618E4" w:rsidRDefault="00513FB2">
      <w:pPr>
        <w:pStyle w:val="ManualHeading3"/>
        <w:rPr>
          <w:noProof/>
        </w:rPr>
      </w:pPr>
      <w:r w:rsidRPr="009618E4">
        <w:tab/>
      </w:r>
      <w:r w:rsidRPr="0068119E">
        <w:t>3</w:t>
      </w:r>
      <w:r w:rsidRPr="009618E4">
        <w:t>.</w:t>
      </w:r>
      <w:r w:rsidRPr="0068119E">
        <w:t>2</w:t>
      </w:r>
      <w:r w:rsidRPr="009618E4">
        <w:t>.</w:t>
      </w:r>
      <w:r w:rsidRPr="0068119E">
        <w:t>2</w:t>
      </w:r>
      <w:r w:rsidRPr="009618E4">
        <w:t>.</w:t>
      </w:r>
      <w:r w:rsidRPr="009618E4">
        <w:tab/>
        <w:t>Incidence estimée sur les crédits de nature administrative</w:t>
      </w:r>
    </w:p>
    <w:p w:rsidR="00F26C3B" w:rsidRPr="009618E4" w:rsidRDefault="00513FB2">
      <w:pPr>
        <w:pStyle w:val="ManualHeading3"/>
        <w:rPr>
          <w:noProof/>
        </w:rPr>
      </w:pPr>
      <w:r w:rsidRPr="009618E4">
        <w:tab/>
      </w:r>
      <w:r w:rsidRPr="0068119E">
        <w:t>3</w:t>
      </w:r>
      <w:r w:rsidRPr="009618E4">
        <w:t>.</w:t>
      </w:r>
      <w:r w:rsidRPr="0068119E">
        <w:t>2</w:t>
      </w:r>
      <w:r w:rsidRPr="009618E4">
        <w:t>.</w:t>
      </w:r>
      <w:r w:rsidRPr="0068119E">
        <w:t>3</w:t>
      </w:r>
      <w:r w:rsidRPr="009618E4">
        <w:t>.</w:t>
      </w:r>
      <w:r w:rsidRPr="009618E4">
        <w:tab/>
        <w:t>Participation de tiers au financement</w:t>
      </w:r>
    </w:p>
    <w:p w:rsidR="00F26C3B" w:rsidRPr="009618E4" w:rsidRDefault="00513FB2">
      <w:pPr>
        <w:pStyle w:val="ManualHeading2"/>
        <w:jc w:val="left"/>
        <w:rPr>
          <w:b w:val="0"/>
          <w:noProof/>
        </w:rPr>
        <w:sectPr w:rsidR="00F26C3B" w:rsidRPr="009618E4" w:rsidSect="005E5E82">
          <w:footnotePr>
            <w:numRestart w:val="eachSect"/>
          </w:footnotePr>
          <w:pgSz w:w="11907" w:h="16840" w:code="9"/>
          <w:pgMar w:top="709" w:right="992" w:bottom="851" w:left="993" w:header="709" w:footer="709" w:gutter="0"/>
          <w:cols w:space="720"/>
          <w:docGrid w:linePitch="360"/>
        </w:sectPr>
      </w:pPr>
      <w:r w:rsidRPr="009618E4">
        <w:tab/>
      </w:r>
      <w:r w:rsidRPr="0068119E">
        <w:rPr>
          <w:b w:val="0"/>
          <w:noProof/>
        </w:rPr>
        <w:t>3</w:t>
      </w:r>
      <w:r w:rsidRPr="009618E4">
        <w:rPr>
          <w:b w:val="0"/>
          <w:noProof/>
        </w:rPr>
        <w:t>.</w:t>
      </w:r>
      <w:r w:rsidRPr="0068119E">
        <w:rPr>
          <w:b w:val="0"/>
          <w:noProof/>
        </w:rPr>
        <w:t>3</w:t>
      </w:r>
      <w:r w:rsidRPr="009618E4">
        <w:rPr>
          <w:b w:val="0"/>
          <w:noProof/>
        </w:rPr>
        <w:t>.</w:t>
      </w:r>
      <w:r w:rsidRPr="009618E4">
        <w:tab/>
      </w:r>
      <w:r w:rsidRPr="009618E4">
        <w:rPr>
          <w:b w:val="0"/>
          <w:noProof/>
        </w:rPr>
        <w:t>Incidence estimée sur les recettes</w:t>
      </w:r>
    </w:p>
    <w:p w:rsidR="00F26C3B" w:rsidRPr="009618E4" w:rsidRDefault="00513FB2">
      <w:pPr>
        <w:pStyle w:val="ManualHeading1"/>
        <w:rPr>
          <w:noProof/>
        </w:rPr>
      </w:pPr>
      <w:r w:rsidRPr="0068119E">
        <w:t>1</w:t>
      </w:r>
      <w:r w:rsidRPr="009618E4">
        <w:t>.</w:t>
      </w:r>
      <w:r w:rsidRPr="009618E4">
        <w:tab/>
        <w:t>CADRE DE LA PROPOSITION/DE L</w:t>
      </w:r>
      <w:r w:rsidR="00266719" w:rsidRPr="009618E4">
        <w:t>’</w:t>
      </w:r>
      <w:r w:rsidRPr="009618E4">
        <w:t>INITIATIVE</w:t>
      </w:r>
    </w:p>
    <w:p w:rsidR="00F26C3B" w:rsidRPr="009618E4" w:rsidRDefault="00513FB2">
      <w:pPr>
        <w:pStyle w:val="ManualHeading2"/>
        <w:rPr>
          <w:noProof/>
        </w:rPr>
      </w:pPr>
      <w:r w:rsidRPr="0068119E">
        <w:t>1</w:t>
      </w:r>
      <w:r w:rsidRPr="009618E4">
        <w:t>.</w:t>
      </w:r>
      <w:r w:rsidRPr="0068119E">
        <w:t>1</w:t>
      </w:r>
      <w:r w:rsidRPr="009618E4">
        <w:t>.</w:t>
      </w:r>
      <w:r w:rsidRPr="009618E4">
        <w:tab/>
        <w:t>Dénomination de la proposition/de l</w:t>
      </w:r>
      <w:r w:rsidR="00266719" w:rsidRPr="009618E4">
        <w:t>’</w:t>
      </w:r>
      <w:r w:rsidRPr="009618E4">
        <w:t>initiative</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Règlement du Conseil établissant le programme de recherche et de formation de la Communauté européenne de l</w:t>
      </w:r>
      <w:r w:rsidR="00266719" w:rsidRPr="009618E4">
        <w:t>’</w:t>
      </w:r>
      <w:r w:rsidRPr="009618E4">
        <w:t xml:space="preserve">énergie atomique pour la période </w:t>
      </w:r>
      <w:r w:rsidRPr="0068119E">
        <w:t>2021</w:t>
      </w:r>
      <w:r w:rsidRPr="009618E4">
        <w:t>–</w:t>
      </w:r>
      <w:r w:rsidRPr="0068119E">
        <w:t>2025</w:t>
      </w:r>
      <w:r w:rsidRPr="009618E4">
        <w:t xml:space="preserve"> complétant le programme-cadre pour la recherche et l</w:t>
      </w:r>
      <w:r w:rsidR="00266719" w:rsidRPr="009618E4">
        <w:t>’</w:t>
      </w:r>
      <w:r w:rsidRPr="009618E4">
        <w:t>innovation «Horizon Europe», et abrogeant le règlement du Conseil sur le programme de recherche et de formation de la Communauté européenne de l</w:t>
      </w:r>
      <w:r w:rsidR="00266719" w:rsidRPr="009618E4">
        <w:t>’</w:t>
      </w:r>
      <w:r w:rsidRPr="009618E4">
        <w:t>énergie atomique (</w:t>
      </w:r>
      <w:r w:rsidRPr="0068119E">
        <w:t>2019</w:t>
      </w:r>
      <w:r w:rsidRPr="009618E4">
        <w:t>–</w:t>
      </w:r>
      <w:r w:rsidRPr="0068119E">
        <w:t>2020</w:t>
      </w:r>
      <w:r w:rsidRPr="009618E4">
        <w:t>) complétant le programme-cadre pour la recherche et l</w:t>
      </w:r>
      <w:r w:rsidR="00266719" w:rsidRPr="009618E4">
        <w:t>’</w:t>
      </w:r>
      <w:r w:rsidRPr="009618E4">
        <w:t>innovation «Horizon </w:t>
      </w:r>
      <w:r w:rsidRPr="0068119E">
        <w:t>2020</w:t>
      </w:r>
      <w:r w:rsidRPr="009618E4">
        <w:t>».</w:t>
      </w:r>
    </w:p>
    <w:p w:rsidR="00F26C3B" w:rsidRPr="009618E4" w:rsidRDefault="00513FB2">
      <w:pPr>
        <w:pStyle w:val="ManualHeading2"/>
        <w:rPr>
          <w:noProof/>
          <w:szCs w:val="24"/>
        </w:rPr>
      </w:pPr>
      <w:r w:rsidRPr="0068119E">
        <w:t>1</w:t>
      </w:r>
      <w:r w:rsidRPr="009618E4">
        <w:t>.</w:t>
      </w:r>
      <w:r w:rsidRPr="0068119E">
        <w:t>2</w:t>
      </w:r>
      <w:r w:rsidRPr="009618E4">
        <w:t>.</w:t>
      </w:r>
      <w:r w:rsidRPr="009618E4">
        <w:tab/>
        <w:t>Domaine(s) politique(s) concerné(s) (groupe de programmes)</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68119E">
        <w:t>01</w:t>
      </w:r>
      <w:r w:rsidRPr="009618E4">
        <w:t>.</w:t>
      </w:r>
      <w:r w:rsidRPr="0068119E">
        <w:t>03</w:t>
      </w:r>
      <w:r w:rsidRPr="009618E4">
        <w:t xml:space="preserve"> Programme Euratom de recherche et de formation</w:t>
      </w:r>
    </w:p>
    <w:p w:rsidR="00F26C3B" w:rsidRPr="009618E4" w:rsidRDefault="00513FB2">
      <w:pPr>
        <w:pStyle w:val="ManualHeading2"/>
        <w:rPr>
          <w:bCs/>
          <w:noProof/>
          <w:szCs w:val="24"/>
        </w:rPr>
      </w:pPr>
      <w:r w:rsidRPr="0068119E">
        <w:t>1</w:t>
      </w:r>
      <w:r w:rsidRPr="009618E4">
        <w:t>.</w:t>
      </w:r>
      <w:r w:rsidRPr="0068119E">
        <w:t>3</w:t>
      </w:r>
      <w:r w:rsidRPr="009618E4">
        <w:t>.</w:t>
      </w:r>
      <w:r w:rsidRPr="009618E4">
        <w:tab/>
        <w:t>La proposition/l</w:t>
      </w:r>
      <w:r w:rsidR="00266719" w:rsidRPr="009618E4">
        <w:t>’</w:t>
      </w:r>
      <w:r w:rsidRPr="009618E4">
        <w:t xml:space="preserve">initiative porte sur: </w:t>
      </w:r>
    </w:p>
    <w:p w:rsidR="00F26C3B" w:rsidRPr="009618E4" w:rsidRDefault="00513FB2">
      <w:pPr>
        <w:pStyle w:val="Text1"/>
        <w:rPr>
          <w:noProof/>
        </w:rPr>
      </w:pPr>
      <w:r w:rsidRPr="009618E4">
        <w:t>X une action nouvelle</w:t>
      </w:r>
    </w:p>
    <w:p w:rsidR="00F26C3B" w:rsidRPr="009618E4" w:rsidRDefault="00513FB2">
      <w:pPr>
        <w:pStyle w:val="Text1"/>
        <w:rPr>
          <w:noProof/>
          <w:sz w:val="22"/>
        </w:rPr>
      </w:pPr>
      <w:r w:rsidRPr="009618E4">
        <w:rPr>
          <w:noProof/>
        </w:rPr>
        <w:sym w:font="Wingdings" w:char="F0A8"/>
      </w:r>
      <w:r w:rsidRPr="009618E4">
        <w:t xml:space="preserve"> </w:t>
      </w:r>
      <w:proofErr w:type="gramStart"/>
      <w:r w:rsidRPr="009618E4">
        <w:t>une</w:t>
      </w:r>
      <w:proofErr w:type="gramEnd"/>
      <w:r w:rsidRPr="009618E4">
        <w:t xml:space="preserve"> action nouvelle </w:t>
      </w:r>
      <w:r w:rsidRPr="009618E4">
        <w:rPr>
          <w:b/>
          <w:noProof/>
        </w:rPr>
        <w:t>suite à un projet pilote/une action préparatoire</w:t>
      </w:r>
      <w:r w:rsidRPr="009618E4">
        <w:rPr>
          <w:rStyle w:val="FootnoteReference"/>
          <w:noProof/>
        </w:rPr>
        <w:footnoteReference w:id="32"/>
      </w:r>
    </w:p>
    <w:p w:rsidR="00F26C3B" w:rsidRPr="009618E4" w:rsidRDefault="00513FB2">
      <w:pPr>
        <w:pStyle w:val="Text1"/>
        <w:rPr>
          <w:noProof/>
          <w:sz w:val="22"/>
        </w:rPr>
      </w:pPr>
      <w:r w:rsidRPr="009618E4">
        <w:rPr>
          <w:noProof/>
          <w:sz w:val="22"/>
        </w:rPr>
        <w:sym w:font="Wingdings" w:char="F0A8"/>
      </w:r>
      <w:r w:rsidRPr="009618E4">
        <w:t xml:space="preserve"> </w:t>
      </w:r>
      <w:r w:rsidRPr="009618E4">
        <w:rPr>
          <w:b/>
          <w:noProof/>
        </w:rPr>
        <w:t>la prolongation d</w:t>
      </w:r>
      <w:r w:rsidR="00266719" w:rsidRPr="009618E4">
        <w:rPr>
          <w:b/>
          <w:noProof/>
        </w:rPr>
        <w:t>’</w:t>
      </w:r>
      <w:r w:rsidRPr="009618E4">
        <w:rPr>
          <w:b/>
          <w:noProof/>
        </w:rPr>
        <w:t>une action existante</w:t>
      </w:r>
    </w:p>
    <w:p w:rsidR="00F26C3B" w:rsidRPr="009618E4" w:rsidRDefault="00513FB2">
      <w:pPr>
        <w:pStyle w:val="Text1"/>
        <w:rPr>
          <w:noProof/>
        </w:rPr>
      </w:pPr>
      <w:r w:rsidRPr="009618E4">
        <w:rPr>
          <w:noProof/>
          <w:sz w:val="22"/>
        </w:rPr>
        <w:sym w:font="Wingdings" w:char="F0A8"/>
      </w:r>
      <w:r w:rsidRPr="009618E4">
        <w:rPr>
          <w:i/>
          <w:noProof/>
          <w:sz w:val="22"/>
        </w:rPr>
        <w:t xml:space="preserve"> </w:t>
      </w:r>
      <w:r w:rsidRPr="009618E4">
        <w:rPr>
          <w:b/>
          <w:noProof/>
        </w:rPr>
        <w:t>une fusion ou une réorientation d</w:t>
      </w:r>
      <w:r w:rsidR="00266719" w:rsidRPr="009618E4">
        <w:rPr>
          <w:b/>
          <w:noProof/>
        </w:rPr>
        <w:t>’</w:t>
      </w:r>
      <w:r w:rsidRPr="009618E4">
        <w:rPr>
          <w:b/>
          <w:noProof/>
        </w:rPr>
        <w:t>une ou de plusieurs actions vers une autre action/une action nouvelle</w:t>
      </w:r>
    </w:p>
    <w:p w:rsidR="00F26C3B" w:rsidRPr="009618E4" w:rsidRDefault="00513FB2">
      <w:pPr>
        <w:pStyle w:val="ManualHeading2"/>
        <w:rPr>
          <w:bCs/>
          <w:noProof/>
          <w:szCs w:val="24"/>
        </w:rPr>
      </w:pPr>
      <w:r w:rsidRPr="0068119E">
        <w:t>1</w:t>
      </w:r>
      <w:r w:rsidRPr="009618E4">
        <w:t>.</w:t>
      </w:r>
      <w:r w:rsidRPr="0068119E">
        <w:t>4</w:t>
      </w:r>
      <w:r w:rsidRPr="009618E4">
        <w:t>.</w:t>
      </w:r>
      <w:r w:rsidRPr="009618E4">
        <w:tab/>
        <w:t>Justification(s) de la proposition/de l</w:t>
      </w:r>
      <w:r w:rsidR="00266719" w:rsidRPr="009618E4">
        <w:t>’</w:t>
      </w:r>
      <w:r w:rsidRPr="009618E4">
        <w:t>initiative</w:t>
      </w:r>
    </w:p>
    <w:p w:rsidR="00F26C3B" w:rsidRPr="009618E4" w:rsidRDefault="00513FB2">
      <w:pPr>
        <w:pStyle w:val="ManualHeading3"/>
        <w:rPr>
          <w:noProof/>
        </w:rPr>
      </w:pPr>
      <w:r w:rsidRPr="0068119E">
        <w:t>1</w:t>
      </w:r>
      <w:r w:rsidRPr="009618E4">
        <w:t>.</w:t>
      </w:r>
      <w:r w:rsidRPr="0068119E">
        <w:t>4</w:t>
      </w:r>
      <w:r w:rsidRPr="009618E4">
        <w:t>.</w:t>
      </w:r>
      <w:r w:rsidRPr="0068119E">
        <w:t>1</w:t>
      </w:r>
      <w:r w:rsidRPr="009618E4">
        <w:t>.</w:t>
      </w:r>
      <w:r w:rsidRPr="009618E4">
        <w:tab/>
        <w:t>Besoin(s) à satisfaire à court ou à long terme, assorti(s) d</w:t>
      </w:r>
      <w:r w:rsidR="00266719" w:rsidRPr="009618E4">
        <w:t>’</w:t>
      </w:r>
      <w:r w:rsidRPr="009618E4">
        <w:t>un calendrier détaillé pour la mise en œuvre de l</w:t>
      </w:r>
      <w:r w:rsidR="00266719" w:rsidRPr="009618E4">
        <w:t>’</w:t>
      </w:r>
      <w:r w:rsidRPr="009618E4">
        <w:t>initiative</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w:t>
      </w:r>
      <w:r w:rsidR="00266719" w:rsidRPr="009618E4">
        <w:t>’</w:t>
      </w:r>
      <w:r w:rsidRPr="009618E4">
        <w:t>utilisation d</w:t>
      </w:r>
      <w:r w:rsidR="00266719" w:rsidRPr="009618E4">
        <w:t>’</w:t>
      </w:r>
      <w:r w:rsidRPr="009618E4">
        <w:t>applications liées ou non à la production d</w:t>
      </w:r>
      <w:r w:rsidR="00266719" w:rsidRPr="009618E4">
        <w:t>’</w:t>
      </w:r>
      <w:r w:rsidRPr="009618E4">
        <w:t>électricité exige un effort continu pour réduire les risques de sûreté et de sécurité et soutenir le développement de technologies nucléaires sûres et sécurisées ainsi qu</w:t>
      </w:r>
      <w:r w:rsidR="00266719" w:rsidRPr="009618E4">
        <w:t>’</w:t>
      </w:r>
      <w:r w:rsidRPr="009618E4">
        <w:t>une radioprotection optimale. Les diverses applications des rayonnements ionisants étant de plus en plus nombreuses, il est impératif de protéger les personnes et l</w:t>
      </w:r>
      <w:r w:rsidR="00266719" w:rsidRPr="009618E4">
        <w:t>’</w:t>
      </w:r>
      <w:r w:rsidRPr="009618E4">
        <w:t>environnement contre une exposition inutile aux rayonnements. Les technologies des rayonnements ionisants sont utilisées quotidiennement Europe dans un certain nombre de domaines tels que la santé, l</w:t>
      </w:r>
      <w:r w:rsidR="00266719" w:rsidRPr="009618E4">
        <w:t>’</w:t>
      </w:r>
      <w:r w:rsidRPr="009618E4">
        <w:t>industrie et la recherche, apportant des avantages considérables aux citoyens européens et à l</w:t>
      </w:r>
      <w:r w:rsidR="00266719" w:rsidRPr="009618E4">
        <w:t>’</w:t>
      </w:r>
      <w:r w:rsidRPr="009618E4">
        <w:t>économie européenne. La recherche publique et privée dans les États membres peut contribuer de manière significative à offrir ces avantages, et la tâche d</w:t>
      </w:r>
      <w:r w:rsidR="00266719" w:rsidRPr="009618E4">
        <w:t>’</w:t>
      </w:r>
      <w:r w:rsidRPr="009618E4">
        <w:t>Euratom est de compléter les efforts consentis sur le plan national en exécutant un programme de recherche et de formation à l</w:t>
      </w:r>
      <w:r w:rsidR="00266719" w:rsidRPr="009618E4">
        <w:t>’</w:t>
      </w:r>
      <w:r w:rsidRPr="009618E4">
        <w:t>échelle de la Communauté.</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La recherche financée par Euratom devrait aider les États membres et l</w:t>
      </w:r>
      <w:r w:rsidR="00266719" w:rsidRPr="009618E4">
        <w:t>’</w:t>
      </w:r>
      <w:r w:rsidRPr="009618E4">
        <w:t>industrie à respecter les exigences du traité Euratom et d</w:t>
      </w:r>
      <w:r w:rsidR="00266719" w:rsidRPr="009618E4">
        <w:t>’</w:t>
      </w:r>
      <w:r w:rsidRPr="009618E4">
        <w:t xml:space="preserve">une série de directives: </w:t>
      </w:r>
    </w:p>
    <w:p w:rsidR="00F26C3B" w:rsidRPr="009618E4" w:rsidRDefault="00513FB2" w:rsidP="006E0C02">
      <w:pPr>
        <w:pStyle w:val="Tiret1"/>
        <w:numPr>
          <w:ilvl w:val="0"/>
          <w:numId w:val="20"/>
        </w:numPr>
        <w:pBdr>
          <w:top w:val="single" w:sz="4" w:space="1" w:color="auto"/>
          <w:left w:val="single" w:sz="4" w:space="4" w:color="auto"/>
          <w:bottom w:val="single" w:sz="4" w:space="1" w:color="auto"/>
          <w:right w:val="single" w:sz="4" w:space="4" w:color="auto"/>
        </w:pBdr>
        <w:rPr>
          <w:noProof/>
        </w:rPr>
      </w:pPr>
      <w:r w:rsidRPr="009618E4">
        <w:t xml:space="preserve">la directive </w:t>
      </w:r>
      <w:r w:rsidRPr="0068119E">
        <w:t>2014</w:t>
      </w:r>
      <w:r w:rsidRPr="009618E4">
        <w:t>/</w:t>
      </w:r>
      <w:r w:rsidRPr="0068119E">
        <w:t>87</w:t>
      </w:r>
      <w:r w:rsidRPr="009618E4">
        <w:t xml:space="preserve">/Euratom du Conseil du </w:t>
      </w:r>
      <w:r w:rsidRPr="0068119E">
        <w:t>8</w:t>
      </w:r>
      <w:r w:rsidRPr="009618E4">
        <w:t xml:space="preserve"> juillet </w:t>
      </w:r>
      <w:r w:rsidRPr="0068119E">
        <w:t>2014</w:t>
      </w:r>
      <w:r w:rsidRPr="009618E4">
        <w:t xml:space="preserve"> modifiant la directive </w:t>
      </w:r>
      <w:r w:rsidRPr="0068119E">
        <w:t>2009</w:t>
      </w:r>
      <w:r w:rsidRPr="009618E4">
        <w:t>/</w:t>
      </w:r>
      <w:r w:rsidRPr="0068119E">
        <w:t>71</w:t>
      </w:r>
      <w:r w:rsidRPr="009618E4">
        <w:t>/Euratom établissant un cadre communautaire pour la sûreté nucléaire des installations nucléaires, qui instaure un objectif de sécurité de haut niveau visant à prévenir les accidents et à éviter les rejets radioactifs à l</w:t>
      </w:r>
      <w:r w:rsidR="00266719" w:rsidRPr="009618E4">
        <w:t>’</w:t>
      </w:r>
      <w:r w:rsidRPr="009618E4">
        <w:t>extérieur d</w:t>
      </w:r>
      <w:r w:rsidR="00266719" w:rsidRPr="009618E4">
        <w:t>’</w:t>
      </w:r>
      <w:r w:rsidRPr="009618E4">
        <w:t>une installation nucléaire. Cette directive souligne la nécessité pour les États membres d</w:t>
      </w:r>
      <w:r w:rsidR="00266719" w:rsidRPr="009618E4">
        <w:t>’</w:t>
      </w:r>
      <w:r w:rsidRPr="009618E4">
        <w:t>utiliser les résultats de la recherche dans sa mise en œuvre et crée un système d</w:t>
      </w:r>
      <w:r w:rsidR="00266719" w:rsidRPr="009618E4">
        <w:t>’</w:t>
      </w:r>
      <w:r w:rsidRPr="009618E4">
        <w:t>examen par les pairs;</w:t>
      </w:r>
    </w:p>
    <w:p w:rsidR="00F26C3B" w:rsidRPr="009618E4" w:rsidRDefault="00513FB2">
      <w:pPr>
        <w:pStyle w:val="Tiret1"/>
        <w:pBdr>
          <w:top w:val="single" w:sz="4" w:space="1" w:color="auto"/>
          <w:left w:val="single" w:sz="4" w:space="4" w:color="auto"/>
          <w:bottom w:val="single" w:sz="4" w:space="1" w:color="auto"/>
          <w:right w:val="single" w:sz="4" w:space="4" w:color="auto"/>
        </w:pBdr>
        <w:rPr>
          <w:noProof/>
        </w:rPr>
      </w:pPr>
      <w:r w:rsidRPr="009618E4">
        <w:t xml:space="preserve">la directive </w:t>
      </w:r>
      <w:r w:rsidRPr="0068119E">
        <w:t>2011</w:t>
      </w:r>
      <w:r w:rsidRPr="009618E4">
        <w:t>/</w:t>
      </w:r>
      <w:r w:rsidRPr="0068119E">
        <w:t>70</w:t>
      </w:r>
      <w:r w:rsidRPr="009618E4">
        <w:t>/Euratom du Conseil établissant un cadre communautaire pour la gestion responsable et sûre du combustible usé et des déchets radioactifs;</w:t>
      </w:r>
    </w:p>
    <w:p w:rsidR="00F26C3B" w:rsidRPr="009618E4" w:rsidRDefault="00513FB2">
      <w:pPr>
        <w:pStyle w:val="Tiret1"/>
        <w:pBdr>
          <w:top w:val="single" w:sz="4" w:space="1" w:color="auto"/>
          <w:left w:val="single" w:sz="4" w:space="4" w:color="auto"/>
          <w:bottom w:val="single" w:sz="4" w:space="1" w:color="auto"/>
          <w:right w:val="single" w:sz="4" w:space="4" w:color="auto"/>
        </w:pBdr>
        <w:rPr>
          <w:noProof/>
        </w:rPr>
      </w:pPr>
      <w:r w:rsidRPr="009618E4">
        <w:t xml:space="preserve">la directive </w:t>
      </w:r>
      <w:r w:rsidRPr="0068119E">
        <w:t>2013</w:t>
      </w:r>
      <w:r w:rsidRPr="009618E4">
        <w:t>/</w:t>
      </w:r>
      <w:r w:rsidRPr="0068119E">
        <w:t>59</w:t>
      </w:r>
      <w:r w:rsidRPr="009618E4">
        <w:t>/Euratom du Conseil fixant les normes de base relatives à la protection sanitaire contre les dangers résultant de l</w:t>
      </w:r>
      <w:r w:rsidR="00266719" w:rsidRPr="009618E4">
        <w:t>’</w:t>
      </w:r>
      <w:r w:rsidRPr="009618E4">
        <w:t>exposition aux rayonnements ionisants;</w:t>
      </w:r>
    </w:p>
    <w:p w:rsidR="00F26C3B" w:rsidRPr="009618E4" w:rsidRDefault="00513FB2">
      <w:pPr>
        <w:pStyle w:val="Tiret1"/>
        <w:pBdr>
          <w:top w:val="single" w:sz="4" w:space="1" w:color="auto"/>
          <w:left w:val="single" w:sz="4" w:space="4" w:color="auto"/>
          <w:bottom w:val="single" w:sz="4" w:space="1" w:color="auto"/>
          <w:right w:val="single" w:sz="4" w:space="4" w:color="auto"/>
        </w:pBdr>
        <w:rPr>
          <w:noProof/>
        </w:rPr>
      </w:pPr>
      <w:r w:rsidRPr="009618E4">
        <w:t>les dispositions relatives aux exigences en matière de contrôle de sécurité d</w:t>
      </w:r>
      <w:r w:rsidR="00266719" w:rsidRPr="009618E4">
        <w:t>’</w:t>
      </w:r>
      <w:r w:rsidRPr="009618E4">
        <w:t>Euratom établies au chapitre </w:t>
      </w:r>
      <w:r w:rsidRPr="0068119E">
        <w:t>7</w:t>
      </w:r>
      <w:r w:rsidRPr="009618E4">
        <w:t xml:space="preserve"> du traité Euratom ainsi que les règles relatives à leur application.</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 xml:space="preserve">Le programme proposé sera mis en œuvre à partir de </w:t>
      </w:r>
      <w:r w:rsidRPr="0068119E">
        <w:t>2021</w:t>
      </w:r>
      <w:r w:rsidRPr="009618E4">
        <w:t xml:space="preserve"> pour une période de cinq ans conformément à l</w:t>
      </w:r>
      <w:r w:rsidR="00266719" w:rsidRPr="009618E4">
        <w:t>’</w:t>
      </w:r>
      <w:r w:rsidRPr="009618E4">
        <w:t>article </w:t>
      </w:r>
      <w:r w:rsidRPr="0068119E">
        <w:t>7</w:t>
      </w:r>
      <w:r w:rsidRPr="009618E4">
        <w:t xml:space="preserve"> du traité Euratom, avec une possibilité de prolongation de deux ans jusqu</w:t>
      </w:r>
      <w:r w:rsidR="00266719" w:rsidRPr="009618E4">
        <w:t>’</w:t>
      </w:r>
      <w:r w:rsidRPr="009618E4">
        <w:t xml:space="preserve">en </w:t>
      </w:r>
      <w:r w:rsidRPr="0068119E">
        <w:t>2027</w:t>
      </w:r>
      <w:r w:rsidRPr="009618E4">
        <w:t xml:space="preserve"> en fonction de la durée d</w:t>
      </w:r>
      <w:r w:rsidR="00266719" w:rsidRPr="009618E4">
        <w:t>’</w:t>
      </w:r>
      <w:r w:rsidRPr="009618E4">
        <w:t>«Horizon Europe» et du cadre financier pluriannuel.</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Le programme proposé poursuivra les principales activités de recherche du programme Euratom en cours (radioprotection, sûreté nucléaire, sécurité, gestion des déchets, radioprotection et énergie de fusion), tout en mettant davantage l</w:t>
      </w:r>
      <w:r w:rsidR="00266719" w:rsidRPr="009618E4">
        <w:t>’</w:t>
      </w:r>
      <w:r w:rsidRPr="009618E4">
        <w:t>accent sur les applications des rayonnements ionisants non liées à la production d</w:t>
      </w:r>
      <w:r w:rsidR="00266719" w:rsidRPr="009618E4">
        <w:t>’</w:t>
      </w:r>
      <w:r w:rsidRPr="009618E4">
        <w:t>électricité et sur le déclassement.</w:t>
      </w:r>
    </w:p>
    <w:p w:rsidR="00F26C3B" w:rsidRPr="009618E4" w:rsidRDefault="00513FB2">
      <w:pPr>
        <w:pStyle w:val="ManualHeading3"/>
        <w:rPr>
          <w:bCs/>
          <w:noProof/>
          <w:szCs w:val="24"/>
        </w:rPr>
      </w:pPr>
      <w:r w:rsidRPr="0068119E">
        <w:t>1</w:t>
      </w:r>
      <w:r w:rsidRPr="009618E4">
        <w:t>.</w:t>
      </w:r>
      <w:r w:rsidRPr="0068119E">
        <w:t>4</w:t>
      </w:r>
      <w:r w:rsidRPr="009618E4">
        <w:t>.</w:t>
      </w:r>
      <w:r w:rsidRPr="0068119E">
        <w:t>2</w:t>
      </w:r>
      <w:r w:rsidRPr="009618E4">
        <w:t>.</w:t>
      </w:r>
      <w:r w:rsidRPr="009618E4">
        <w:tab/>
        <w:t>Valeur ajoutée de l</w:t>
      </w:r>
      <w:r w:rsidR="00266719" w:rsidRPr="009618E4">
        <w:t>’</w:t>
      </w:r>
      <w:r w:rsidRPr="009618E4">
        <w:t>intervention de l</w:t>
      </w:r>
      <w:r w:rsidR="00266719" w:rsidRPr="009618E4">
        <w:t>’</w:t>
      </w:r>
      <w:r w:rsidRPr="009618E4">
        <w:t>Union (celle-ci peut résulter de différents facteurs, par exemple gains de coordination, sécurité juridique, efficacité accrue, complémentarités, etc.). Aux fins du présent point, on entend par «valeur ajoutée de l</w:t>
      </w:r>
      <w:r w:rsidR="00266719" w:rsidRPr="009618E4">
        <w:t>’</w:t>
      </w:r>
      <w:r w:rsidRPr="009618E4">
        <w:t>intervention de l</w:t>
      </w:r>
      <w:r w:rsidR="00266719" w:rsidRPr="009618E4">
        <w:t>’</w:t>
      </w:r>
      <w:r w:rsidRPr="009618E4">
        <w:t>Union» la valeur découlant de l</w:t>
      </w:r>
      <w:r w:rsidR="00266719" w:rsidRPr="009618E4">
        <w:t>’</w:t>
      </w:r>
      <w:r w:rsidRPr="009618E4">
        <w:t>intervention de l</w:t>
      </w:r>
      <w:r w:rsidR="00266719" w:rsidRPr="009618E4">
        <w:t>’</w:t>
      </w:r>
      <w:r w:rsidRPr="009618E4">
        <w:t>Union qui vient s</w:t>
      </w:r>
      <w:r w:rsidR="00266719" w:rsidRPr="009618E4">
        <w:t>’</w:t>
      </w:r>
      <w:r w:rsidRPr="009618E4">
        <w:t>ajouter à la valeur qui, sans cela, aurait été générée par la seule action des États membres.</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w:t>
      </w:r>
      <w:r w:rsidR="00266719" w:rsidRPr="009618E4">
        <w:t>’</w:t>
      </w:r>
      <w:r w:rsidRPr="009618E4">
        <w:t>élément essentiel de la valeur ajoutée européenne que présente le programme est sa capacité à mobiliser un réservoir d</w:t>
      </w:r>
      <w:r w:rsidR="00266719" w:rsidRPr="009618E4">
        <w:t>’</w:t>
      </w:r>
      <w:r w:rsidRPr="009618E4">
        <w:t>excellence, d</w:t>
      </w:r>
      <w:r w:rsidR="00266719" w:rsidRPr="009618E4">
        <w:t>’</w:t>
      </w:r>
      <w:r w:rsidRPr="009618E4">
        <w:t>expertise et de pluridisciplinarité dans le domaine de la recherche sur la fission et la fusion plus large qu</w:t>
      </w:r>
      <w:r w:rsidR="00266719" w:rsidRPr="009618E4">
        <w:t>’</w:t>
      </w:r>
      <w:r w:rsidRPr="009618E4">
        <w:t>il n</w:t>
      </w:r>
      <w:r w:rsidR="00266719" w:rsidRPr="009618E4">
        <w:t>’</w:t>
      </w:r>
      <w:r w:rsidRPr="009618E4">
        <w:t>est possible au niveau de chaque État membre isolément. Les technologies des radiations nucléaires et des rayonnements ionisants continuent de jouer un rôle important dans la vie des citoyens européens, qu</w:t>
      </w:r>
      <w:r w:rsidR="00266719" w:rsidRPr="009618E4">
        <w:t>’</w:t>
      </w:r>
      <w:r w:rsidRPr="009618E4">
        <w:t>il s</w:t>
      </w:r>
      <w:r w:rsidR="00266719" w:rsidRPr="009618E4">
        <w:t>’</w:t>
      </w:r>
      <w:r w:rsidRPr="009618E4">
        <w:t>agisse de l</w:t>
      </w:r>
      <w:r w:rsidR="00266719" w:rsidRPr="009618E4">
        <w:t>’</w:t>
      </w:r>
      <w:r w:rsidRPr="009618E4">
        <w:t>énergie et de la sécurité d</w:t>
      </w:r>
      <w:r w:rsidR="00266719" w:rsidRPr="009618E4">
        <w:t>’</w:t>
      </w:r>
      <w:r w:rsidRPr="009618E4">
        <w:t>approvisionnement énergétique ou de l</w:t>
      </w:r>
      <w:r w:rsidR="00266719" w:rsidRPr="009618E4">
        <w:t>’</w:t>
      </w:r>
      <w:r w:rsidRPr="009618E4">
        <w:t>utilisation des rayonnements et des radionucléides dans des applications médicales et industrielles. Il est essentiel d</w:t>
      </w:r>
      <w:r w:rsidR="00266719" w:rsidRPr="009618E4">
        <w:t>’</w:t>
      </w:r>
      <w:r w:rsidRPr="009618E4">
        <w:t>assurer une utilisation sûre et sécurisée de ces technologies, et les programmes de recherche contribuent à maintenir les normes les plus élevées en matière de sûreté, de sécurité et de garanties dans ce domaine. Le programme est également axé sur le développement de l</w:t>
      </w:r>
      <w:r w:rsidR="00266719" w:rsidRPr="009618E4">
        <w:t>’</w:t>
      </w:r>
      <w:r w:rsidRPr="009618E4">
        <w:t>énergie de fusion, qui constitue une source d</w:t>
      </w:r>
      <w:r w:rsidR="00266719" w:rsidRPr="009618E4">
        <w:t>’</w:t>
      </w:r>
      <w:r w:rsidRPr="009618E4">
        <w:t>énergie potentiellement inépuisable et respectueuse du climat.</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Une approche à l</w:t>
      </w:r>
      <w:r w:rsidR="00266719" w:rsidRPr="009618E4">
        <w:t>’</w:t>
      </w:r>
      <w:r w:rsidRPr="009618E4">
        <w:t>échelle de l</w:t>
      </w:r>
      <w:r w:rsidR="00266719" w:rsidRPr="009618E4">
        <w:t>’</w:t>
      </w:r>
      <w:r w:rsidRPr="009618E4">
        <w:t>UE en matière de sûreté nucléaire, de gestion des déchets radioactifs et de radioprotection est importante pour garantir les normes les plus élevées aux fins de la protection des citoyens et de l</w:t>
      </w:r>
      <w:r w:rsidR="00266719" w:rsidRPr="009618E4">
        <w:t>’</w:t>
      </w:r>
      <w:r w:rsidRPr="009618E4">
        <w:t>environnement en Europe et au-delà. Le programme permet également une coordination plus vaste de l</w:t>
      </w:r>
      <w:r w:rsidR="00266719" w:rsidRPr="009618E4">
        <w:t>’</w:t>
      </w:r>
      <w:r w:rsidRPr="009618E4">
        <w:t>éducation et de la formation dans toute l</w:t>
      </w:r>
      <w:r w:rsidR="00266719" w:rsidRPr="009618E4">
        <w:t>’</w:t>
      </w:r>
      <w:r w:rsidRPr="009618E4">
        <w:t>Europe, l</w:t>
      </w:r>
      <w:r w:rsidR="00266719" w:rsidRPr="009618E4">
        <w:t>’</w:t>
      </w:r>
      <w:r w:rsidRPr="009618E4">
        <w:t>utilisation des infrastructures de recherche et la coopération internationale. Les avantages sont particulièrement nets pour les plus petits États membres, grâce aux économies d</w:t>
      </w:r>
      <w:r w:rsidR="00266719" w:rsidRPr="009618E4">
        <w:t>’</w:t>
      </w:r>
      <w:r w:rsidRPr="009618E4">
        <w:t>échelle permises par la mise en commun à l</w:t>
      </w:r>
      <w:r w:rsidR="00266719" w:rsidRPr="009618E4">
        <w:t>’</w:t>
      </w:r>
      <w:r w:rsidRPr="009618E4">
        <w:t>échelle européenne. Le programme assure la fourniture, par le Centre commun de recherche (JRC), de conseils scientifiques indépendants de qualité à l</w:t>
      </w:r>
      <w:r w:rsidR="00266719" w:rsidRPr="009618E4">
        <w:t>’</w:t>
      </w:r>
      <w:r w:rsidRPr="009618E4">
        <w:t>appui de la mise en œuvre des politiques européennes dans les domaines de la sûreté nucléaire, de la gestion de déchets radioactifs, de la radioprotection, de la sécurité nucléaire, des garanties et de la non-prolifération. Avec ses infrastructures et ses laboratoires uniques, le JRC joue un rôle crucial dans la recherche et les formations dans le domaine du nucléaire en Europe. La participation des entreprises européennes dans les activités de recherche sur la fusion stimule l</w:t>
      </w:r>
      <w:r w:rsidR="00266719" w:rsidRPr="009618E4">
        <w:t>’</w:t>
      </w:r>
      <w:r w:rsidRPr="009618E4">
        <w:t>innovation, par exemple avec le développement de sous-produits de haute technologie dans d</w:t>
      </w:r>
      <w:r w:rsidR="00266719" w:rsidRPr="009618E4">
        <w:t>’</w:t>
      </w:r>
      <w:r w:rsidRPr="009618E4">
        <w:t>autres secteurs, tels que le secteur médical et l</w:t>
      </w:r>
      <w:r w:rsidR="00266719" w:rsidRPr="009618E4">
        <w:t>’</w:t>
      </w:r>
      <w:r w:rsidRPr="009618E4">
        <w:t>aviation.</w:t>
      </w:r>
    </w:p>
    <w:p w:rsidR="00F26C3B" w:rsidRPr="009618E4" w:rsidRDefault="00513FB2">
      <w:pPr>
        <w:pStyle w:val="ManualHeading3"/>
        <w:rPr>
          <w:bCs/>
          <w:noProof/>
          <w:szCs w:val="24"/>
        </w:rPr>
      </w:pPr>
      <w:r w:rsidRPr="0068119E">
        <w:t>1</w:t>
      </w:r>
      <w:r w:rsidRPr="009618E4">
        <w:t>.</w:t>
      </w:r>
      <w:r w:rsidRPr="0068119E">
        <w:t>4</w:t>
      </w:r>
      <w:r w:rsidRPr="009618E4">
        <w:t>.</w:t>
      </w:r>
      <w:r w:rsidRPr="0068119E">
        <w:t>3</w:t>
      </w:r>
      <w:r w:rsidRPr="009618E4">
        <w:t>.</w:t>
      </w:r>
      <w:r w:rsidRPr="009618E4">
        <w:tab/>
        <w:t>Leçons tirées d</w:t>
      </w:r>
      <w:r w:rsidR="00266719" w:rsidRPr="009618E4">
        <w:t>’</w:t>
      </w:r>
      <w:r w:rsidRPr="009618E4">
        <w:t>expériences similaires</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Conformément à l</w:t>
      </w:r>
      <w:r w:rsidR="00266719" w:rsidRPr="009618E4">
        <w:t>’</w:t>
      </w:r>
      <w:r w:rsidRPr="009618E4">
        <w:t>article </w:t>
      </w:r>
      <w:r w:rsidRPr="0068119E">
        <w:t>22</w:t>
      </w:r>
      <w:r w:rsidRPr="009618E4">
        <w:t xml:space="preserve"> du règlement (Euratom) nº </w:t>
      </w:r>
      <w:r w:rsidRPr="0068119E">
        <w:t>1314</w:t>
      </w:r>
      <w:r w:rsidRPr="009618E4">
        <w:t>/</w:t>
      </w:r>
      <w:r w:rsidRPr="0068119E">
        <w:t>2013</w:t>
      </w:r>
      <w:r w:rsidRPr="009618E4">
        <w:t xml:space="preserve">, la Commission a procédé à une évaluation intermédiaire du programme Euratom </w:t>
      </w:r>
      <w:r w:rsidRPr="0068119E">
        <w:t>2014</w:t>
      </w:r>
      <w:r w:rsidRPr="009618E4">
        <w:t>–</w:t>
      </w:r>
      <w:r w:rsidRPr="0068119E">
        <w:t>2018</w:t>
      </w:r>
      <w:r w:rsidRPr="009618E4">
        <w:t>. Dans son rapport [COM(</w:t>
      </w:r>
      <w:r w:rsidRPr="0068119E">
        <w:t>2017</w:t>
      </w:r>
      <w:r w:rsidRPr="009618E4">
        <w:t>) </w:t>
      </w:r>
      <w:r w:rsidRPr="0068119E">
        <w:t>697</w:t>
      </w:r>
      <w:r w:rsidRPr="009618E4">
        <w:t>], elle présente un aperçu stratégique du processus d</w:t>
      </w:r>
      <w:r w:rsidR="00266719" w:rsidRPr="009618E4">
        <w:t>’</w:t>
      </w:r>
      <w:r w:rsidRPr="009618E4">
        <w:t>évaluation et ses réponses aux recommandations des groupes d</w:t>
      </w:r>
      <w:r w:rsidR="00266719" w:rsidRPr="009618E4">
        <w:t>’</w:t>
      </w:r>
      <w:r w:rsidRPr="009618E4">
        <w:t>experts indépendants. Les documents de travail des services de la Commission qui l</w:t>
      </w:r>
      <w:r w:rsidR="00266719" w:rsidRPr="009618E4">
        <w:t>’</w:t>
      </w:r>
      <w:r w:rsidRPr="009618E4">
        <w:t>accompagnent [SWD(</w:t>
      </w:r>
      <w:r w:rsidRPr="0068119E">
        <w:t>2017</w:t>
      </w:r>
      <w:r w:rsidRPr="009618E4">
        <w:t>) </w:t>
      </w:r>
      <w:r w:rsidRPr="0068119E">
        <w:t>426</w:t>
      </w:r>
      <w:r w:rsidRPr="009618E4">
        <w:t xml:space="preserve"> et </w:t>
      </w:r>
      <w:r w:rsidRPr="0068119E">
        <w:t>427</w:t>
      </w:r>
      <w:r w:rsidRPr="009618E4">
        <w:t>] fournissent davantage de détails concernant la pertinence, l</w:t>
      </w:r>
      <w:r w:rsidR="00266719" w:rsidRPr="009618E4">
        <w:t>’</w:t>
      </w:r>
      <w:r w:rsidRPr="009618E4">
        <w:t>efficience, l</w:t>
      </w:r>
      <w:r w:rsidR="00266719" w:rsidRPr="009618E4">
        <w:t>’</w:t>
      </w:r>
      <w:r w:rsidRPr="009618E4">
        <w:t>efficacité et la valeur ajoutée européenne. Les messages clés tirés de l</w:t>
      </w:r>
      <w:r w:rsidR="00266719" w:rsidRPr="009618E4">
        <w:t>’</w:t>
      </w:r>
      <w:r w:rsidRPr="009618E4">
        <w:t>évaluation sont les suivants:</w:t>
      </w:r>
    </w:p>
    <w:p w:rsidR="00F26C3B" w:rsidRPr="009618E4" w:rsidRDefault="00513FB2">
      <w:pPr>
        <w:pStyle w:val="Tiret1"/>
        <w:pBdr>
          <w:top w:val="single" w:sz="4" w:space="1" w:color="auto"/>
          <w:left w:val="single" w:sz="4" w:space="4" w:color="auto"/>
          <w:bottom w:val="single" w:sz="4" w:space="1" w:color="auto"/>
          <w:right w:val="single" w:sz="4" w:space="4" w:color="auto"/>
        </w:pBdr>
        <w:rPr>
          <w:noProof/>
        </w:rPr>
      </w:pPr>
      <w:r w:rsidRPr="009618E4">
        <w:t xml:space="preserve">continuer à soutenir la recherche nucléaire axée sur la sûreté nucléaire, les garanties, la sécurité, la gestion des déchets, la radioprotection et le développement de la fusion; </w:t>
      </w:r>
    </w:p>
    <w:p w:rsidR="00F26C3B" w:rsidRPr="009618E4" w:rsidRDefault="00513FB2">
      <w:pPr>
        <w:pStyle w:val="Tiret1"/>
        <w:pBdr>
          <w:top w:val="single" w:sz="4" w:space="1" w:color="auto"/>
          <w:left w:val="single" w:sz="4" w:space="4" w:color="auto"/>
          <w:bottom w:val="single" w:sz="4" w:space="1" w:color="auto"/>
          <w:right w:val="single" w:sz="4" w:space="4" w:color="auto"/>
        </w:pBdr>
        <w:rPr>
          <w:noProof/>
        </w:rPr>
      </w:pPr>
      <w:r w:rsidRPr="009618E4">
        <w:t>continuer d</w:t>
      </w:r>
      <w:r w:rsidR="00266719" w:rsidRPr="009618E4">
        <w:t>’</w:t>
      </w:r>
      <w:r w:rsidRPr="009618E4">
        <w:t>améliorer, avec les bénéficiaires, l</w:t>
      </w:r>
      <w:r w:rsidR="00266719" w:rsidRPr="009618E4">
        <w:t>’</w:t>
      </w:r>
      <w:r w:rsidRPr="009618E4">
        <w:t>organisation et la gestion des programmes européens communs dans le domaine nucléaire;</w:t>
      </w:r>
    </w:p>
    <w:p w:rsidR="00F26C3B" w:rsidRPr="009618E4" w:rsidRDefault="00513FB2">
      <w:pPr>
        <w:pStyle w:val="Tiret1"/>
        <w:pBdr>
          <w:top w:val="single" w:sz="4" w:space="1" w:color="auto"/>
          <w:left w:val="single" w:sz="4" w:space="4" w:color="auto"/>
          <w:bottom w:val="single" w:sz="4" w:space="1" w:color="auto"/>
          <w:right w:val="single" w:sz="4" w:space="4" w:color="auto"/>
        </w:pBdr>
        <w:rPr>
          <w:noProof/>
        </w:rPr>
      </w:pPr>
      <w:r w:rsidRPr="009618E4">
        <w:t>poursuivre et renforcer les actions d</w:t>
      </w:r>
      <w:r w:rsidR="00266719" w:rsidRPr="009618E4">
        <w:t>’</w:t>
      </w:r>
      <w:r w:rsidRPr="009618E4">
        <w:t>éducation et de formation d</w:t>
      </w:r>
      <w:r w:rsidR="00266719" w:rsidRPr="009618E4">
        <w:t>’</w:t>
      </w:r>
      <w:r w:rsidRPr="009618E4">
        <w:t>Euratom visant à développer les compétences pertinentes qui sous-tendent tous les aspects de la sûreté nucléaire, de la sécurité et de la radioprotection;</w:t>
      </w:r>
    </w:p>
    <w:p w:rsidR="00F26C3B" w:rsidRPr="009618E4" w:rsidRDefault="00513FB2">
      <w:pPr>
        <w:pStyle w:val="Tiret1"/>
        <w:pBdr>
          <w:top w:val="single" w:sz="4" w:space="1" w:color="auto"/>
          <w:left w:val="single" w:sz="4" w:space="4" w:color="auto"/>
          <w:bottom w:val="single" w:sz="4" w:space="1" w:color="auto"/>
          <w:right w:val="single" w:sz="4" w:space="4" w:color="auto"/>
        </w:pBdr>
        <w:rPr>
          <w:noProof/>
        </w:rPr>
      </w:pPr>
      <w:r w:rsidRPr="009618E4">
        <w:t>exploiter davantage les synergies entre le programme Euratom et d</w:t>
      </w:r>
      <w:r w:rsidR="00266719" w:rsidRPr="009618E4">
        <w:t>’</w:t>
      </w:r>
      <w:r w:rsidRPr="009618E4">
        <w:t>autres domaines thématiques du programme-cadre de l</w:t>
      </w:r>
      <w:r w:rsidR="00266719" w:rsidRPr="009618E4">
        <w:t>’</w:t>
      </w:r>
      <w:r w:rsidRPr="009618E4">
        <w:t>UE afin de traiter les aspects transversaux tels que les applications médicales des rayonnements, les changements climatiques, la sécurité, la préparation aux situations d</w:t>
      </w:r>
      <w:r w:rsidR="00266719" w:rsidRPr="009618E4">
        <w:t>’</w:t>
      </w:r>
      <w:r w:rsidRPr="009618E4">
        <w:t>urgence et la contribution de la science nucléaire;</w:t>
      </w:r>
    </w:p>
    <w:p w:rsidR="00F26C3B" w:rsidRPr="009618E4" w:rsidRDefault="00513FB2">
      <w:pPr>
        <w:pStyle w:val="Tiret1"/>
        <w:pBdr>
          <w:top w:val="single" w:sz="4" w:space="1" w:color="auto"/>
          <w:left w:val="single" w:sz="4" w:space="4" w:color="auto"/>
          <w:bottom w:val="single" w:sz="4" w:space="1" w:color="auto"/>
          <w:right w:val="single" w:sz="4" w:space="4" w:color="auto"/>
        </w:pBdr>
        <w:rPr>
          <w:noProof/>
        </w:rPr>
      </w:pPr>
      <w:r w:rsidRPr="009618E4">
        <w:t>exploiter davantage les synergies entre les actions directes et indirectes du programme Euratom.</w:t>
      </w:r>
    </w:p>
    <w:p w:rsidR="00F26C3B" w:rsidRPr="009618E4" w:rsidRDefault="00513FB2">
      <w:pPr>
        <w:pStyle w:val="ManualHeading3"/>
        <w:rPr>
          <w:bCs/>
          <w:noProof/>
          <w:szCs w:val="24"/>
        </w:rPr>
      </w:pPr>
      <w:r w:rsidRPr="0068119E">
        <w:t>1</w:t>
      </w:r>
      <w:r w:rsidRPr="009618E4">
        <w:t>.</w:t>
      </w:r>
      <w:r w:rsidRPr="0068119E">
        <w:t>4</w:t>
      </w:r>
      <w:r w:rsidRPr="009618E4">
        <w:t>.</w:t>
      </w:r>
      <w:r w:rsidRPr="0068119E">
        <w:t>4</w:t>
      </w:r>
      <w:r w:rsidRPr="009618E4">
        <w:t>.</w:t>
      </w:r>
      <w:r w:rsidRPr="009618E4">
        <w:tab/>
        <w:t>Compatibilité et synergie éventuelle avec d</w:t>
      </w:r>
      <w:r w:rsidR="00266719" w:rsidRPr="009618E4">
        <w:t>’</w:t>
      </w:r>
      <w:r w:rsidRPr="009618E4">
        <w:t>autres instruments appropriés</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Le programme Euratom complète le programme-cadre pour la recherche et l</w:t>
      </w:r>
      <w:r w:rsidR="00266719" w:rsidRPr="009618E4">
        <w:t>’</w:t>
      </w:r>
      <w:r w:rsidRPr="009618E4">
        <w:t>innovation «Horizon Europe» et crée des synergies avec celui-ci dans des domaines tels que la santé (applications médicales des rayonnements ionisants), la sécurité, l</w:t>
      </w:r>
      <w:r w:rsidR="00266719" w:rsidRPr="009618E4">
        <w:t>’</w:t>
      </w:r>
      <w:r w:rsidRPr="009618E4">
        <w:t>énergie et l</w:t>
      </w:r>
      <w:r w:rsidR="00266719" w:rsidRPr="009618E4">
        <w:t>’</w:t>
      </w:r>
      <w:r w:rsidRPr="009618E4">
        <w:t>éducation et la formation. Le programme Euratom de recherche sur la fusion sera mené en complémentarité totale et en étroite coordination avec les activités d</w:t>
      </w:r>
      <w:r w:rsidR="00266719" w:rsidRPr="009618E4">
        <w:t>’</w:t>
      </w:r>
      <w:r w:rsidRPr="009618E4">
        <w:t>ITER. Par la mise en œuvre de programmes européens communs, le programme poursuivra l</w:t>
      </w:r>
      <w:r w:rsidR="00266719" w:rsidRPr="009618E4">
        <w:t>’</w:t>
      </w:r>
      <w:r w:rsidRPr="009618E4">
        <w:t>alignement des programmes des États membres dans les domaines de la fusion, de la radioprotection et de la gestion des déchets radioactifs. De plus, des synergies avec les programmes de déclassement des installations nucléaires sont attendues dans des domaines tels que le développement et l</w:t>
      </w:r>
      <w:r w:rsidR="00266719" w:rsidRPr="009618E4">
        <w:t>’</w:t>
      </w:r>
      <w:r w:rsidRPr="009618E4">
        <w:t>expérimentation de technologies, la formation et l</w:t>
      </w:r>
      <w:r w:rsidR="00266719" w:rsidRPr="009618E4">
        <w:t>’</w:t>
      </w:r>
      <w:r w:rsidRPr="009618E4">
        <w:t>échange des meilleures pratiques.</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Le programme est conforme à toutes les politiques pertinentes de l</w:t>
      </w:r>
      <w:r w:rsidR="00266719" w:rsidRPr="009618E4">
        <w:t>’</w:t>
      </w:r>
      <w:r w:rsidRPr="009618E4">
        <w:t>Union dans les domaines ayant trait à la recherche et à l</w:t>
      </w:r>
      <w:r w:rsidR="00266719" w:rsidRPr="009618E4">
        <w:t>’</w:t>
      </w:r>
      <w:r w:rsidRPr="009618E4">
        <w:t>innovation en général, et aux aspects nucléaires et de sûreté en particulier. Il soutient donc la mise en œuvre des actes législatifs suivants:</w:t>
      </w:r>
    </w:p>
    <w:p w:rsidR="00F26C3B" w:rsidRPr="009618E4" w:rsidRDefault="00513FB2">
      <w:pPr>
        <w:pStyle w:val="Tiret1"/>
        <w:pBdr>
          <w:top w:val="single" w:sz="4" w:space="1" w:color="auto"/>
          <w:left w:val="single" w:sz="4" w:space="4" w:color="auto"/>
          <w:bottom w:val="single" w:sz="4" w:space="1" w:color="auto"/>
          <w:right w:val="single" w:sz="4" w:space="4" w:color="auto"/>
        </w:pBdr>
        <w:rPr>
          <w:noProof/>
        </w:rPr>
      </w:pPr>
      <w:r w:rsidRPr="009618E4">
        <w:t xml:space="preserve">la directive </w:t>
      </w:r>
      <w:r w:rsidRPr="0068119E">
        <w:t>2009</w:t>
      </w:r>
      <w:r w:rsidRPr="009618E4">
        <w:t>/</w:t>
      </w:r>
      <w:r w:rsidRPr="0068119E">
        <w:t>71</w:t>
      </w:r>
      <w:r w:rsidRPr="009618E4">
        <w:t xml:space="preserve">/Euratom du Conseil établissant un cadre communautaire pour la sûreté nucléaire des installations nucléaires, telle que modifiée par la directive </w:t>
      </w:r>
      <w:r w:rsidRPr="0068119E">
        <w:t>2014</w:t>
      </w:r>
      <w:r w:rsidRPr="009618E4">
        <w:t>/</w:t>
      </w:r>
      <w:r w:rsidRPr="0068119E">
        <w:t>87</w:t>
      </w:r>
      <w:r w:rsidRPr="009618E4">
        <w:t>/Euratom du Conseil;</w:t>
      </w:r>
    </w:p>
    <w:p w:rsidR="00F26C3B" w:rsidRPr="009618E4" w:rsidRDefault="00513FB2">
      <w:pPr>
        <w:pStyle w:val="Tiret1"/>
        <w:pBdr>
          <w:top w:val="single" w:sz="4" w:space="1" w:color="auto"/>
          <w:left w:val="single" w:sz="4" w:space="4" w:color="auto"/>
          <w:bottom w:val="single" w:sz="4" w:space="1" w:color="auto"/>
          <w:right w:val="single" w:sz="4" w:space="4" w:color="auto"/>
        </w:pBdr>
        <w:rPr>
          <w:noProof/>
        </w:rPr>
      </w:pPr>
      <w:r w:rsidRPr="009618E4">
        <w:t xml:space="preserve">la directive </w:t>
      </w:r>
      <w:r w:rsidRPr="0068119E">
        <w:t>2011</w:t>
      </w:r>
      <w:r w:rsidRPr="009618E4">
        <w:t>/</w:t>
      </w:r>
      <w:r w:rsidRPr="0068119E">
        <w:t>70</w:t>
      </w:r>
      <w:r w:rsidRPr="009618E4">
        <w:t>/Euratom du Conseil établissant un cadre communautaire pour la gestion responsable et sûre du combustible usé et des déchets radioactifs;</w:t>
      </w:r>
    </w:p>
    <w:p w:rsidR="00F26C3B" w:rsidRPr="009618E4" w:rsidRDefault="00513FB2">
      <w:pPr>
        <w:pStyle w:val="Tiret1"/>
        <w:pBdr>
          <w:top w:val="single" w:sz="4" w:space="1" w:color="auto"/>
          <w:left w:val="single" w:sz="4" w:space="4" w:color="auto"/>
          <w:bottom w:val="single" w:sz="4" w:space="1" w:color="auto"/>
          <w:right w:val="single" w:sz="4" w:space="4" w:color="auto"/>
        </w:pBdr>
        <w:rPr>
          <w:noProof/>
        </w:rPr>
      </w:pPr>
      <w:r w:rsidRPr="009618E4">
        <w:t xml:space="preserve">la directive </w:t>
      </w:r>
      <w:r w:rsidRPr="0068119E">
        <w:t>2013</w:t>
      </w:r>
      <w:r w:rsidRPr="009618E4">
        <w:t>/</w:t>
      </w:r>
      <w:r w:rsidRPr="0068119E">
        <w:t>59</w:t>
      </w:r>
      <w:r w:rsidRPr="009618E4">
        <w:t>/Euratom du Conseil fixant les normes de base relatives à la protection sanitaire contre les dangers résultant de l</w:t>
      </w:r>
      <w:r w:rsidR="00266719" w:rsidRPr="009618E4">
        <w:t>’</w:t>
      </w:r>
      <w:r w:rsidRPr="009618E4">
        <w:t>exposition aux rayonnements ionisants.</w:t>
      </w:r>
    </w:p>
    <w:p w:rsidR="00F26C3B" w:rsidRPr="009618E4" w:rsidRDefault="00513FB2">
      <w:pPr>
        <w:pStyle w:val="Tiret1"/>
        <w:pBdr>
          <w:top w:val="single" w:sz="4" w:space="1" w:color="auto"/>
          <w:left w:val="single" w:sz="4" w:space="4" w:color="auto"/>
          <w:bottom w:val="single" w:sz="4" w:space="1" w:color="auto"/>
          <w:right w:val="single" w:sz="4" w:space="4" w:color="auto"/>
        </w:pBdr>
        <w:rPr>
          <w:noProof/>
        </w:rPr>
      </w:pPr>
      <w:r w:rsidRPr="009618E4">
        <w:t>Chapitre </w:t>
      </w:r>
      <w:r w:rsidRPr="0068119E">
        <w:t>7</w:t>
      </w:r>
      <w:r w:rsidRPr="009618E4">
        <w:t xml:space="preserve"> du traité Euratom, relatif au système de contrôle de sécurité de l</w:t>
      </w:r>
      <w:r w:rsidR="00266719" w:rsidRPr="009618E4">
        <w:t>’</w:t>
      </w:r>
      <w:r w:rsidRPr="009618E4">
        <w:t>UE.</w:t>
      </w:r>
    </w:p>
    <w:p w:rsidR="00F26C3B" w:rsidRPr="009618E4" w:rsidRDefault="00513FB2">
      <w:pPr>
        <w:pStyle w:val="ManualHeading2"/>
        <w:rPr>
          <w:bCs/>
          <w:noProof/>
          <w:szCs w:val="24"/>
        </w:rPr>
      </w:pPr>
      <w:r w:rsidRPr="009618E4">
        <w:br w:type="page"/>
      </w:r>
      <w:r w:rsidRPr="0068119E">
        <w:t>1</w:t>
      </w:r>
      <w:r w:rsidRPr="009618E4">
        <w:t>.</w:t>
      </w:r>
      <w:r w:rsidRPr="0068119E">
        <w:t>5</w:t>
      </w:r>
      <w:r w:rsidRPr="009618E4">
        <w:t>.</w:t>
      </w:r>
      <w:r w:rsidRPr="009618E4">
        <w:tab/>
        <w:t>Durée et incidence financière</w:t>
      </w:r>
    </w:p>
    <w:p w:rsidR="00F26C3B" w:rsidRPr="009618E4" w:rsidRDefault="00513FB2">
      <w:pPr>
        <w:pStyle w:val="Text1"/>
        <w:rPr>
          <w:noProof/>
        </w:rPr>
      </w:pPr>
      <w:r w:rsidRPr="009618E4">
        <w:rPr>
          <w:b/>
          <w:noProof/>
        </w:rPr>
        <w:t>X</w:t>
      </w:r>
      <w:r w:rsidRPr="009618E4">
        <w:rPr>
          <w:b/>
          <w:i/>
          <w:noProof/>
        </w:rPr>
        <w:t xml:space="preserve"> </w:t>
      </w:r>
      <w:r w:rsidRPr="009618E4">
        <w:rPr>
          <w:b/>
          <w:noProof/>
        </w:rPr>
        <w:t>durée limitée</w:t>
      </w:r>
    </w:p>
    <w:p w:rsidR="00F26C3B" w:rsidRPr="009618E4" w:rsidRDefault="00513FB2">
      <w:pPr>
        <w:pStyle w:val="ListDash2"/>
        <w:rPr>
          <w:noProof/>
        </w:rPr>
      </w:pPr>
      <w:r w:rsidRPr="009618E4">
        <w:rPr>
          <w:b/>
          <w:noProof/>
        </w:rPr>
        <w:t>X</w:t>
      </w:r>
      <w:r w:rsidRPr="009618E4">
        <w:tab/>
        <w:t xml:space="preserve">avec effet du </w:t>
      </w:r>
      <w:r w:rsidRPr="0068119E">
        <w:t>1</w:t>
      </w:r>
      <w:r w:rsidRPr="009618E4">
        <w:t>/</w:t>
      </w:r>
      <w:r w:rsidRPr="0068119E">
        <w:t>1</w:t>
      </w:r>
      <w:r w:rsidRPr="009618E4">
        <w:t>/</w:t>
      </w:r>
      <w:r w:rsidRPr="0068119E">
        <w:t>2021</w:t>
      </w:r>
      <w:r w:rsidRPr="009618E4">
        <w:t xml:space="preserve"> au </w:t>
      </w:r>
      <w:r w:rsidRPr="0068119E">
        <w:t>31</w:t>
      </w:r>
      <w:r w:rsidRPr="009618E4">
        <w:t>/</w:t>
      </w:r>
      <w:r w:rsidRPr="0068119E">
        <w:t>12</w:t>
      </w:r>
      <w:r w:rsidRPr="009618E4">
        <w:t>/</w:t>
      </w:r>
      <w:r w:rsidRPr="0068119E">
        <w:t>2025</w:t>
      </w:r>
      <w:r w:rsidRPr="009618E4">
        <w:t>.</w:t>
      </w:r>
    </w:p>
    <w:p w:rsidR="00F26C3B" w:rsidRPr="009618E4" w:rsidRDefault="00513FB2">
      <w:pPr>
        <w:pStyle w:val="ListDash2"/>
        <w:rPr>
          <w:noProof/>
        </w:rPr>
      </w:pPr>
      <w:r w:rsidRPr="009618E4">
        <w:rPr>
          <w:b/>
          <w:noProof/>
        </w:rPr>
        <w:t>X</w:t>
      </w:r>
      <w:r w:rsidRPr="009618E4">
        <w:tab/>
        <w:t>Incidence financière de </w:t>
      </w:r>
      <w:r w:rsidRPr="0068119E">
        <w:t>2021</w:t>
      </w:r>
      <w:r w:rsidRPr="009618E4">
        <w:t xml:space="preserve"> à </w:t>
      </w:r>
      <w:r w:rsidRPr="0068119E">
        <w:t>2025</w:t>
      </w:r>
      <w:r w:rsidRPr="009618E4">
        <w:t xml:space="preserve"> pour les crédits d</w:t>
      </w:r>
      <w:r w:rsidR="00266719" w:rsidRPr="009618E4">
        <w:t>’</w:t>
      </w:r>
      <w:r w:rsidRPr="009618E4">
        <w:t>engagement et de </w:t>
      </w:r>
      <w:r w:rsidRPr="0068119E">
        <w:t>2021</w:t>
      </w:r>
      <w:r w:rsidRPr="009618E4">
        <w:t xml:space="preserve"> à </w:t>
      </w:r>
      <w:r w:rsidRPr="0068119E">
        <w:t>2031</w:t>
      </w:r>
      <w:r w:rsidRPr="009618E4">
        <w:t xml:space="preserve"> pour les crédits de paiement.</w:t>
      </w:r>
    </w:p>
    <w:p w:rsidR="00F26C3B" w:rsidRPr="009618E4" w:rsidRDefault="00513FB2">
      <w:pPr>
        <w:pStyle w:val="Text1"/>
        <w:rPr>
          <w:noProof/>
        </w:rPr>
      </w:pPr>
      <w:r w:rsidRPr="009618E4">
        <w:rPr>
          <w:noProof/>
        </w:rPr>
        <w:sym w:font="Wingdings" w:char="F0A8"/>
      </w:r>
      <w:r w:rsidRPr="009618E4">
        <w:rPr>
          <w:b/>
          <w:i/>
          <w:noProof/>
        </w:rPr>
        <w:t xml:space="preserve"> </w:t>
      </w:r>
      <w:r w:rsidRPr="009618E4">
        <w:rPr>
          <w:b/>
          <w:noProof/>
        </w:rPr>
        <w:t>durée illimitée</w:t>
      </w:r>
    </w:p>
    <w:p w:rsidR="00F26C3B" w:rsidRPr="009618E4" w:rsidRDefault="00513FB2">
      <w:pPr>
        <w:pStyle w:val="ListDash1"/>
        <w:rPr>
          <w:noProof/>
        </w:rPr>
      </w:pPr>
      <w:r w:rsidRPr="009618E4">
        <w:t>Mise en œuvre avec une période de montée en puissance de AAAA jusqu</w:t>
      </w:r>
      <w:r w:rsidR="00266719" w:rsidRPr="009618E4">
        <w:t>’</w:t>
      </w:r>
      <w:r w:rsidRPr="009618E4">
        <w:t>en AAAA,</w:t>
      </w:r>
    </w:p>
    <w:p w:rsidR="00F26C3B" w:rsidRPr="009618E4" w:rsidRDefault="00513FB2">
      <w:pPr>
        <w:rPr>
          <w:noProof/>
        </w:rPr>
      </w:pPr>
      <w:proofErr w:type="gramStart"/>
      <w:r w:rsidRPr="009618E4">
        <w:t>puis</w:t>
      </w:r>
      <w:proofErr w:type="gramEnd"/>
      <w:r w:rsidRPr="009618E4">
        <w:t xml:space="preserve"> un fonctionnement en rythme de croisière au</w:t>
      </w:r>
      <w:r w:rsidRPr="009618E4">
        <w:noBreakHyphen/>
        <w:t>delà.</w:t>
      </w:r>
    </w:p>
    <w:p w:rsidR="00F26C3B" w:rsidRPr="009618E4" w:rsidRDefault="00513FB2">
      <w:pPr>
        <w:pStyle w:val="ManualHeading2"/>
        <w:rPr>
          <w:bCs/>
          <w:noProof/>
          <w:szCs w:val="24"/>
        </w:rPr>
      </w:pPr>
      <w:r w:rsidRPr="0068119E">
        <w:t>1</w:t>
      </w:r>
      <w:r w:rsidRPr="009618E4">
        <w:t>.</w:t>
      </w:r>
      <w:r w:rsidRPr="0068119E">
        <w:t>6</w:t>
      </w:r>
      <w:r w:rsidRPr="009618E4">
        <w:t>.</w:t>
      </w:r>
      <w:r w:rsidRPr="009618E4">
        <w:tab/>
        <w:t>Mode(s) de gestion prévu(s)</w:t>
      </w:r>
      <w:r w:rsidRPr="009618E4">
        <w:rPr>
          <w:rStyle w:val="FootnoteReference"/>
          <w:noProof/>
        </w:rPr>
        <w:footnoteReference w:id="33"/>
      </w:r>
    </w:p>
    <w:p w:rsidR="00F26C3B" w:rsidRPr="009618E4" w:rsidRDefault="00513FB2">
      <w:pPr>
        <w:pStyle w:val="Text1"/>
        <w:rPr>
          <w:noProof/>
        </w:rPr>
      </w:pPr>
      <w:r w:rsidRPr="009618E4">
        <w:rPr>
          <w:b/>
          <w:noProof/>
        </w:rPr>
        <w:t>X</w:t>
      </w:r>
      <w:r w:rsidRPr="009618E4">
        <w:rPr>
          <w:i/>
          <w:noProof/>
        </w:rPr>
        <w:t xml:space="preserve"> </w:t>
      </w:r>
      <w:r w:rsidRPr="009618E4">
        <w:rPr>
          <w:b/>
          <w:noProof/>
        </w:rPr>
        <w:t>Gestion directe</w:t>
      </w:r>
      <w:r w:rsidRPr="009618E4">
        <w:t xml:space="preserve"> par la Commission</w:t>
      </w:r>
    </w:p>
    <w:p w:rsidR="00F26C3B" w:rsidRPr="009618E4" w:rsidRDefault="00513FB2">
      <w:pPr>
        <w:pStyle w:val="ListDash2"/>
        <w:rPr>
          <w:rFonts w:cs="EUAlbertina"/>
          <w:noProof/>
        </w:rPr>
      </w:pPr>
      <w:r w:rsidRPr="009618E4">
        <w:rPr>
          <w:b/>
        </w:rPr>
        <w:t>X</w:t>
      </w:r>
      <w:r w:rsidRPr="009618E4">
        <w:t xml:space="preserve"> dans ses services, y compris par l</w:t>
      </w:r>
      <w:r w:rsidR="00266719" w:rsidRPr="009618E4">
        <w:t>’</w:t>
      </w:r>
      <w:r w:rsidRPr="009618E4">
        <w:t>intermédiaire de son personnel dans les délégations de l</w:t>
      </w:r>
      <w:r w:rsidR="00266719" w:rsidRPr="009618E4">
        <w:t>’</w:t>
      </w:r>
      <w:r w:rsidRPr="009618E4">
        <w:t xml:space="preserve">Union; </w:t>
      </w:r>
    </w:p>
    <w:p w:rsidR="00F26C3B" w:rsidRPr="009618E4" w:rsidRDefault="00513FB2">
      <w:pPr>
        <w:pStyle w:val="ListDash2"/>
        <w:rPr>
          <w:noProof/>
        </w:rPr>
      </w:pPr>
      <w:r w:rsidRPr="009618E4">
        <w:rPr>
          <w:noProof/>
        </w:rPr>
        <w:sym w:font="Wingdings" w:char="F0A8"/>
      </w:r>
      <w:r w:rsidRPr="009618E4">
        <w:tab/>
        <w:t>par les agences exécutives</w:t>
      </w:r>
    </w:p>
    <w:p w:rsidR="00F26C3B" w:rsidRPr="009618E4" w:rsidRDefault="00513FB2">
      <w:pPr>
        <w:pStyle w:val="Text1"/>
        <w:rPr>
          <w:noProof/>
        </w:rPr>
      </w:pPr>
      <w:r w:rsidRPr="009618E4">
        <w:rPr>
          <w:noProof/>
        </w:rPr>
        <w:sym w:font="Wingdings" w:char="F0A8"/>
      </w:r>
      <w:r w:rsidRPr="009618E4">
        <w:rPr>
          <w:b/>
          <w:i/>
          <w:noProof/>
        </w:rPr>
        <w:t xml:space="preserve"> </w:t>
      </w:r>
      <w:r w:rsidRPr="009618E4">
        <w:rPr>
          <w:b/>
          <w:noProof/>
        </w:rPr>
        <w:t>Gestion partagée</w:t>
      </w:r>
      <w:r w:rsidRPr="009618E4">
        <w:t xml:space="preserve"> avec les États membres</w:t>
      </w:r>
    </w:p>
    <w:p w:rsidR="00F26C3B" w:rsidRPr="009618E4" w:rsidRDefault="00513FB2">
      <w:pPr>
        <w:pStyle w:val="Text1"/>
        <w:rPr>
          <w:noProof/>
        </w:rPr>
      </w:pPr>
      <w:r w:rsidRPr="009618E4">
        <w:rPr>
          <w:noProof/>
        </w:rPr>
        <w:sym w:font="Wingdings" w:char="F0A8"/>
      </w:r>
      <w:r w:rsidRPr="009618E4">
        <w:t xml:space="preserve"> </w:t>
      </w:r>
      <w:r w:rsidRPr="009618E4">
        <w:rPr>
          <w:b/>
          <w:noProof/>
        </w:rPr>
        <w:t>Gestion indirecte</w:t>
      </w:r>
      <w:r w:rsidRPr="009618E4">
        <w:t xml:space="preserve"> en confiant des tâches d</w:t>
      </w:r>
      <w:r w:rsidR="00266719" w:rsidRPr="009618E4">
        <w:t>’</w:t>
      </w:r>
      <w:r w:rsidRPr="009618E4">
        <w:t>exécution budgétaire:</w:t>
      </w:r>
    </w:p>
    <w:p w:rsidR="00F26C3B" w:rsidRPr="009618E4" w:rsidRDefault="00513FB2">
      <w:pPr>
        <w:pStyle w:val="ListDash2"/>
        <w:rPr>
          <w:noProof/>
        </w:rPr>
      </w:pPr>
      <w:r w:rsidRPr="009618E4">
        <w:rPr>
          <w:noProof/>
        </w:rPr>
        <w:sym w:font="Wingdings" w:char="F0A8"/>
      </w:r>
      <w:r w:rsidRPr="009618E4">
        <w:t xml:space="preserve"> à des pays tiers ou aux organismes qu</w:t>
      </w:r>
      <w:r w:rsidR="00266719" w:rsidRPr="009618E4">
        <w:t>’</w:t>
      </w:r>
      <w:r w:rsidRPr="009618E4">
        <w:t>ils ont désignés;</w:t>
      </w:r>
    </w:p>
    <w:p w:rsidR="00F26C3B" w:rsidRPr="009618E4" w:rsidRDefault="00513FB2">
      <w:pPr>
        <w:pStyle w:val="ListDash2"/>
        <w:rPr>
          <w:noProof/>
        </w:rPr>
      </w:pPr>
      <w:r w:rsidRPr="009618E4">
        <w:rPr>
          <w:noProof/>
        </w:rPr>
        <w:sym w:font="Wingdings" w:char="F0A8"/>
      </w:r>
      <w:r w:rsidRPr="009618E4">
        <w:t xml:space="preserve"> à des organisations internationales et à leurs agences (à préciser);</w:t>
      </w:r>
    </w:p>
    <w:p w:rsidR="00F26C3B" w:rsidRPr="009618E4" w:rsidRDefault="00513FB2">
      <w:pPr>
        <w:pStyle w:val="ListDash2"/>
        <w:rPr>
          <w:noProof/>
        </w:rPr>
      </w:pPr>
      <w:r w:rsidRPr="009618E4">
        <w:rPr>
          <w:noProof/>
        </w:rPr>
        <w:sym w:font="Wingdings" w:char="F0A8"/>
      </w:r>
      <w:r w:rsidRPr="009618E4">
        <w:t xml:space="preserve"> à la BEI et au Fonds européen d</w:t>
      </w:r>
      <w:r w:rsidR="00266719" w:rsidRPr="009618E4">
        <w:t>’</w:t>
      </w:r>
      <w:r w:rsidRPr="009618E4">
        <w:t>investissement;</w:t>
      </w:r>
    </w:p>
    <w:p w:rsidR="00F26C3B" w:rsidRPr="009618E4" w:rsidRDefault="00513FB2">
      <w:pPr>
        <w:pStyle w:val="ListDash2"/>
        <w:rPr>
          <w:noProof/>
        </w:rPr>
      </w:pPr>
      <w:r w:rsidRPr="009618E4">
        <w:rPr>
          <w:noProof/>
        </w:rPr>
        <w:sym w:font="Wingdings" w:char="F0A8"/>
      </w:r>
      <w:r w:rsidRPr="009618E4">
        <w:t xml:space="preserve"> aux organismes visés aux articles </w:t>
      </w:r>
      <w:r w:rsidRPr="0068119E">
        <w:t>70</w:t>
      </w:r>
      <w:r w:rsidRPr="009618E4">
        <w:t xml:space="preserve"> et </w:t>
      </w:r>
      <w:r w:rsidRPr="0068119E">
        <w:t>71</w:t>
      </w:r>
      <w:r w:rsidRPr="009618E4">
        <w:t xml:space="preserve"> du règlement financier;</w:t>
      </w:r>
    </w:p>
    <w:p w:rsidR="00F26C3B" w:rsidRPr="009618E4" w:rsidRDefault="00513FB2">
      <w:pPr>
        <w:pStyle w:val="ListDash2"/>
        <w:rPr>
          <w:noProof/>
        </w:rPr>
      </w:pPr>
      <w:r w:rsidRPr="009618E4">
        <w:rPr>
          <w:noProof/>
        </w:rPr>
        <w:sym w:font="Wingdings" w:char="F0A8"/>
      </w:r>
      <w:r w:rsidRPr="009618E4">
        <w:t xml:space="preserve"> à des organismes de droit public;</w:t>
      </w:r>
    </w:p>
    <w:p w:rsidR="00F26C3B" w:rsidRPr="009618E4" w:rsidRDefault="00513FB2">
      <w:pPr>
        <w:pStyle w:val="ListDash2"/>
        <w:rPr>
          <w:noProof/>
        </w:rPr>
      </w:pPr>
      <w:r w:rsidRPr="009618E4">
        <w:rPr>
          <w:noProof/>
        </w:rPr>
        <w:sym w:font="Wingdings" w:char="F0A8"/>
      </w:r>
      <w:r w:rsidRPr="009618E4">
        <w:t xml:space="preserve"> à des organismes de droit privé investis d</w:t>
      </w:r>
      <w:r w:rsidR="00266719" w:rsidRPr="009618E4">
        <w:t>’</w:t>
      </w:r>
      <w:r w:rsidRPr="009618E4">
        <w:t>une mission de service public, pour autant qu</w:t>
      </w:r>
      <w:r w:rsidR="00266719" w:rsidRPr="009618E4">
        <w:t>’</w:t>
      </w:r>
      <w:r w:rsidRPr="009618E4">
        <w:t>ils présentent les garanties financières suffisantes;</w:t>
      </w:r>
    </w:p>
    <w:p w:rsidR="00F26C3B" w:rsidRPr="009618E4" w:rsidRDefault="00513FB2">
      <w:pPr>
        <w:pStyle w:val="ListDash2"/>
        <w:rPr>
          <w:noProof/>
        </w:rPr>
      </w:pPr>
      <w:r w:rsidRPr="009618E4">
        <w:rPr>
          <w:noProof/>
        </w:rPr>
        <w:sym w:font="Wingdings" w:char="F0A8"/>
      </w:r>
      <w:r w:rsidRPr="009618E4">
        <w:t xml:space="preserve"> à des organismes de droit privé d</w:t>
      </w:r>
      <w:r w:rsidR="00266719" w:rsidRPr="009618E4">
        <w:t>’</w:t>
      </w:r>
      <w:r w:rsidRPr="009618E4">
        <w:t>un État membre qui sont chargés de la mise en œuvre d</w:t>
      </w:r>
      <w:r w:rsidR="00266719" w:rsidRPr="009618E4">
        <w:t>’</w:t>
      </w:r>
      <w:r w:rsidRPr="009618E4">
        <w:t>un partenariat public-privé et présentent les garanties financières suffisantes;</w:t>
      </w:r>
    </w:p>
    <w:p w:rsidR="00F26C3B" w:rsidRPr="009618E4" w:rsidRDefault="00513FB2">
      <w:pPr>
        <w:pStyle w:val="ListDash2"/>
        <w:rPr>
          <w:noProof/>
        </w:rPr>
      </w:pPr>
      <w:r w:rsidRPr="009618E4">
        <w:rPr>
          <w:noProof/>
        </w:rPr>
        <w:sym w:font="Wingdings" w:char="F0A8"/>
      </w:r>
      <w:r w:rsidRPr="009618E4">
        <w:t xml:space="preserve"> à des personnes chargées de la mise en œuvre d</w:t>
      </w:r>
      <w:r w:rsidR="00266719" w:rsidRPr="009618E4">
        <w:t>’</w:t>
      </w:r>
      <w:r w:rsidRPr="009618E4">
        <w:t>actions spécifiques relevant de la PESC, en vertu du titre V du traité sur l</w:t>
      </w:r>
      <w:r w:rsidR="00266719" w:rsidRPr="009618E4">
        <w:t>’</w:t>
      </w:r>
      <w:r w:rsidRPr="009618E4">
        <w:t>Union européenne, identifiées dans l</w:t>
      </w:r>
      <w:r w:rsidR="00266719" w:rsidRPr="009618E4">
        <w:t>’</w:t>
      </w:r>
      <w:r w:rsidRPr="009618E4">
        <w:t>acte de base concerné.</w:t>
      </w:r>
    </w:p>
    <w:p w:rsidR="00F26C3B" w:rsidRPr="009618E4" w:rsidRDefault="00513FB2">
      <w:pPr>
        <w:pStyle w:val="ListDash2"/>
        <w:rPr>
          <w:i/>
          <w:noProof/>
          <w:sz w:val="18"/>
          <w:u w:val="single"/>
        </w:rPr>
      </w:pPr>
      <w:r w:rsidRPr="009618E4">
        <w:rPr>
          <w:i/>
          <w:noProof/>
          <w:sz w:val="18"/>
        </w:rPr>
        <w:t>Si plusieurs modes de gestion sont indiqués, veuillez donner des précisions dans la partie «Remarques».</w:t>
      </w:r>
    </w:p>
    <w:p w:rsidR="00F26C3B" w:rsidRPr="009618E4" w:rsidRDefault="00513FB2">
      <w:pPr>
        <w:rPr>
          <w:noProof/>
        </w:rPr>
      </w:pPr>
      <w:r w:rsidRPr="009618E4">
        <w:t>Remarques</w:t>
      </w:r>
    </w:p>
    <w:p w:rsidR="00F26C3B" w:rsidRPr="009618E4" w:rsidRDefault="00513FB2">
      <w:pPr>
        <w:pBdr>
          <w:top w:val="single" w:sz="4" w:space="1" w:color="auto"/>
          <w:left w:val="single" w:sz="4" w:space="4" w:color="auto"/>
          <w:bottom w:val="single" w:sz="4" w:space="1" w:color="auto"/>
          <w:right w:val="single" w:sz="4" w:space="4" w:color="auto"/>
        </w:pBdr>
        <w:rPr>
          <w:noProof/>
          <w:color w:val="0000FF"/>
        </w:rPr>
      </w:pPr>
      <w:r w:rsidRPr="009618E4">
        <w:rPr>
          <w:noProof/>
          <w:color w:val="000000" w:themeColor="text1"/>
        </w:rPr>
        <w:t>Le programme sera mis en œuvre directement par les services de la Commission. La Commission peut toutefois décider, si elle le juge approprié, de confier l</w:t>
      </w:r>
      <w:r w:rsidR="00266719" w:rsidRPr="009618E4">
        <w:rPr>
          <w:noProof/>
          <w:color w:val="000000" w:themeColor="text1"/>
        </w:rPr>
        <w:t>’</w:t>
      </w:r>
      <w:r w:rsidRPr="009618E4">
        <w:rPr>
          <w:noProof/>
          <w:color w:val="000000" w:themeColor="text1"/>
        </w:rPr>
        <w:t>exécution de certaines parties du programme à des États membres, personnes ou entreprises ainsi qu</w:t>
      </w:r>
      <w:r w:rsidR="00266719" w:rsidRPr="009618E4">
        <w:rPr>
          <w:noProof/>
          <w:color w:val="000000" w:themeColor="text1"/>
        </w:rPr>
        <w:t>’</w:t>
      </w:r>
      <w:r w:rsidRPr="009618E4">
        <w:rPr>
          <w:noProof/>
          <w:color w:val="000000" w:themeColor="text1"/>
        </w:rPr>
        <w:t>à des États tiers, des organisations internationales ou des ressortissants d</w:t>
      </w:r>
      <w:r w:rsidR="00266719" w:rsidRPr="009618E4">
        <w:rPr>
          <w:noProof/>
          <w:color w:val="000000" w:themeColor="text1"/>
        </w:rPr>
        <w:t>’</w:t>
      </w:r>
      <w:r w:rsidRPr="009618E4">
        <w:rPr>
          <w:noProof/>
          <w:color w:val="000000" w:themeColor="text1"/>
        </w:rPr>
        <w:t>États tiers, conformément à l</w:t>
      </w:r>
      <w:r w:rsidR="00266719" w:rsidRPr="009618E4">
        <w:rPr>
          <w:noProof/>
          <w:color w:val="000000" w:themeColor="text1"/>
        </w:rPr>
        <w:t>’</w:t>
      </w:r>
      <w:r w:rsidRPr="009618E4">
        <w:rPr>
          <w:noProof/>
          <w:color w:val="000000" w:themeColor="text1"/>
        </w:rPr>
        <w:t>article </w:t>
      </w:r>
      <w:r w:rsidRPr="0068119E">
        <w:rPr>
          <w:noProof/>
          <w:color w:val="000000" w:themeColor="text1"/>
        </w:rPr>
        <w:t>10</w:t>
      </w:r>
      <w:r w:rsidRPr="009618E4">
        <w:rPr>
          <w:noProof/>
          <w:color w:val="000000" w:themeColor="text1"/>
        </w:rPr>
        <w:t xml:space="preserve"> du traité Euratom.</w:t>
      </w:r>
    </w:p>
    <w:p w:rsidR="00F26C3B" w:rsidRPr="009618E4" w:rsidRDefault="00F26C3B">
      <w:pPr>
        <w:pBdr>
          <w:top w:val="single" w:sz="4" w:space="1" w:color="auto"/>
          <w:left w:val="single" w:sz="4" w:space="4" w:color="auto"/>
          <w:bottom w:val="single" w:sz="4" w:space="1" w:color="auto"/>
          <w:right w:val="single" w:sz="4" w:space="4" w:color="auto"/>
        </w:pBdr>
        <w:rPr>
          <w:noProof/>
        </w:rPr>
        <w:sectPr w:rsidR="00F26C3B" w:rsidRPr="009618E4" w:rsidSect="00CE7948">
          <w:headerReference w:type="default" r:id="rId25"/>
          <w:footerReference w:type="default" r:id="rId26"/>
          <w:headerReference w:type="first" r:id="rId27"/>
          <w:footerReference w:type="first" r:id="rId28"/>
          <w:footnotePr>
            <w:numRestart w:val="eachSect"/>
          </w:footnotePr>
          <w:pgSz w:w="11907" w:h="16840" w:code="9"/>
          <w:pgMar w:top="1134" w:right="1418" w:bottom="1134" w:left="1418" w:header="709" w:footer="709" w:gutter="0"/>
          <w:cols w:space="708"/>
          <w:docGrid w:linePitch="360"/>
        </w:sectPr>
      </w:pPr>
    </w:p>
    <w:p w:rsidR="00F26C3B" w:rsidRPr="009618E4" w:rsidRDefault="00513FB2">
      <w:pPr>
        <w:pStyle w:val="ManualHeading1"/>
        <w:rPr>
          <w:bCs/>
          <w:noProof/>
          <w:szCs w:val="24"/>
        </w:rPr>
      </w:pPr>
      <w:r w:rsidRPr="0068119E">
        <w:t>2</w:t>
      </w:r>
      <w:r w:rsidRPr="009618E4">
        <w:t>.</w:t>
      </w:r>
      <w:r w:rsidRPr="009618E4">
        <w:tab/>
        <w:t>MESURES DE GESTION</w:t>
      </w:r>
    </w:p>
    <w:p w:rsidR="00F26C3B" w:rsidRPr="009618E4" w:rsidRDefault="00513FB2">
      <w:pPr>
        <w:pStyle w:val="ManualHeading2"/>
        <w:rPr>
          <w:noProof/>
        </w:rPr>
      </w:pPr>
      <w:r w:rsidRPr="0068119E">
        <w:t>2</w:t>
      </w:r>
      <w:r w:rsidRPr="009618E4">
        <w:t>.</w:t>
      </w:r>
      <w:r w:rsidRPr="0068119E">
        <w:t>1</w:t>
      </w:r>
      <w:r w:rsidRPr="009618E4">
        <w:t>.</w:t>
      </w:r>
      <w:r w:rsidRPr="009618E4">
        <w:tab/>
        <w:t>Dispositions en matière de suivi et de compte rendu</w:t>
      </w:r>
    </w:p>
    <w:p w:rsidR="00F26C3B" w:rsidRPr="009618E4" w:rsidRDefault="00513FB2">
      <w:pPr>
        <w:pStyle w:val="Text1"/>
        <w:rPr>
          <w:i/>
          <w:noProof/>
          <w:sz w:val="20"/>
          <w:u w:val="single"/>
        </w:rPr>
      </w:pPr>
      <w:r w:rsidRPr="009618E4">
        <w:rPr>
          <w:i/>
          <w:noProof/>
          <w:sz w:val="20"/>
        </w:rPr>
        <w:t>Préciser la fréquence et les conditions de ces dispositions.</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Des indicateurs à court, moyen et long termes ont été définis sur la base d</w:t>
      </w:r>
      <w:r w:rsidR="00266719" w:rsidRPr="009618E4">
        <w:t>’</w:t>
      </w:r>
      <w:r w:rsidRPr="009618E4">
        <w:t>un certain nombre de chemins d</w:t>
      </w:r>
      <w:r w:rsidR="00266719" w:rsidRPr="009618E4">
        <w:t>’</w:t>
      </w:r>
      <w:r w:rsidRPr="009618E4">
        <w:t>impact. Les règles de compte rendu applicables aux participants ont été élaborées en tenant compte de ces indicateurs, mais avec la volonté de limiter la charge administrative imposée aux participants. Dans la mesure du possible, les données seront collectées auprès de sources ouvertes.</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Toutes les données sur les processus de gestion (demandes, taux de réussite, délai d</w:t>
      </w:r>
      <w:r w:rsidR="00266719" w:rsidRPr="009618E4">
        <w:t>’</w:t>
      </w:r>
      <w:r w:rsidRPr="009618E4">
        <w:t>octroi, type de bénéficiaires, etc.) seront collectées et stockées, et mises à disposition en temps réel, par l</w:t>
      </w:r>
      <w:r w:rsidR="00266719" w:rsidRPr="009618E4">
        <w:t>’</w:t>
      </w:r>
      <w:r w:rsidRPr="009618E4">
        <w:t>intermédiaire d</w:t>
      </w:r>
      <w:r w:rsidR="00266719" w:rsidRPr="009618E4">
        <w:t>’</w:t>
      </w:r>
      <w:r w:rsidRPr="009618E4">
        <w:t>un dispositif de stockage spécial. À l</w:t>
      </w:r>
      <w:r w:rsidR="00266719" w:rsidRPr="009618E4">
        <w:t>’</w:t>
      </w:r>
      <w:r w:rsidRPr="009618E4">
        <w:t>heure actuelle, le système de référence (CORDA) fonctionne bien et est à la disposition des États membres et autres organismes intéressés.</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Des rapports seront rédigés qui fourniront des informations sur les processus de gestion (dès la première année) et, progressivement, des informations sur les réalisations et les résultats. Une évaluation intermédiaire et une évaluation finale sont prévues.</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En outre, les actions directes du JRC font l</w:t>
      </w:r>
      <w:r w:rsidR="00266719" w:rsidRPr="009618E4">
        <w:t>’</w:t>
      </w:r>
      <w:r w:rsidRPr="009618E4">
        <w:t>objet d</w:t>
      </w:r>
      <w:r w:rsidR="00266719" w:rsidRPr="009618E4">
        <w:t>’</w:t>
      </w:r>
      <w:r w:rsidRPr="009618E4">
        <w:t>une évaluation interne, au moyen d</w:t>
      </w:r>
      <w:r w:rsidR="00266719" w:rsidRPr="009618E4">
        <w:t>’</w:t>
      </w:r>
      <w:r w:rsidRPr="009618E4">
        <w:t>un rapport annuel d</w:t>
      </w:r>
      <w:r w:rsidR="00266719" w:rsidRPr="009618E4">
        <w:t>’</w:t>
      </w:r>
      <w:r w:rsidRPr="009618E4">
        <w:t>évaluation interne, et d</w:t>
      </w:r>
      <w:r w:rsidR="00266719" w:rsidRPr="009618E4">
        <w:t>’</w:t>
      </w:r>
      <w:r w:rsidRPr="009618E4">
        <w:t>une évaluation externe par les pairs, c</w:t>
      </w:r>
      <w:r w:rsidR="00266719" w:rsidRPr="009618E4">
        <w:t>’</w:t>
      </w:r>
      <w:r w:rsidRPr="009618E4">
        <w:t>est-à-dire par un certain nombre d</w:t>
      </w:r>
      <w:r w:rsidR="00266719" w:rsidRPr="009618E4">
        <w:t>’</w:t>
      </w:r>
      <w:r w:rsidRPr="009618E4">
        <w:t>experts de haut niveau sélectionnés en concertation avec le conseil d</w:t>
      </w:r>
      <w:r w:rsidR="00266719" w:rsidRPr="009618E4">
        <w:t>’</w:t>
      </w:r>
      <w:r w:rsidRPr="009618E4">
        <w:t>administration du JRC.</w:t>
      </w:r>
    </w:p>
    <w:p w:rsidR="00F26C3B" w:rsidRPr="009618E4" w:rsidRDefault="00513FB2">
      <w:pPr>
        <w:pStyle w:val="ManualHeading2"/>
        <w:rPr>
          <w:bCs/>
          <w:noProof/>
          <w:szCs w:val="24"/>
        </w:rPr>
      </w:pPr>
      <w:r w:rsidRPr="0068119E">
        <w:t>2</w:t>
      </w:r>
      <w:r w:rsidRPr="009618E4">
        <w:t>.</w:t>
      </w:r>
      <w:r w:rsidRPr="0068119E">
        <w:t>2</w:t>
      </w:r>
      <w:r w:rsidRPr="009618E4">
        <w:t>.</w:t>
      </w:r>
      <w:r w:rsidRPr="009618E4">
        <w:tab/>
        <w:t>Système(s) de gestion et de contrôle</w:t>
      </w:r>
    </w:p>
    <w:p w:rsidR="00F26C3B" w:rsidRPr="009618E4" w:rsidRDefault="00513FB2">
      <w:pPr>
        <w:pStyle w:val="ManualHeading3"/>
        <w:rPr>
          <w:noProof/>
        </w:rPr>
      </w:pPr>
      <w:r w:rsidRPr="0068119E">
        <w:t>2</w:t>
      </w:r>
      <w:r w:rsidRPr="009618E4">
        <w:t>.</w:t>
      </w:r>
      <w:r w:rsidRPr="0068119E">
        <w:t>2</w:t>
      </w:r>
      <w:r w:rsidRPr="009618E4">
        <w:t>.</w:t>
      </w:r>
      <w:r w:rsidRPr="0068119E">
        <w:t>1</w:t>
      </w:r>
      <w:r w:rsidRPr="009618E4">
        <w:t>.</w:t>
      </w:r>
      <w:r w:rsidRPr="009618E4">
        <w:tab/>
        <w:t>Justification du (des) mode(s) de gestion, du (des) mécanisme(s) de mise en œuvre du financement, des modalités de paiement et de la stratégie de contrôle proposée</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Le programme Euratom sera mis en œuvre selon un mode de gestion directe. Toutefois, la Commission peut décider, si elle le juge approprié et efficace, l</w:t>
      </w:r>
      <w:r w:rsidR="00266719" w:rsidRPr="009618E4">
        <w:t>’</w:t>
      </w:r>
      <w:r w:rsidRPr="009618E4">
        <w:t>exécution des activités d</w:t>
      </w:r>
      <w:r w:rsidR="00266719" w:rsidRPr="009618E4">
        <w:t>’</w:t>
      </w:r>
      <w:r w:rsidRPr="009618E4">
        <w:t>Euratom en gestion partagée et/ou en gestion indirecte.</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La stratégie de contrôle sera fondée sur:</w:t>
      </w:r>
    </w:p>
    <w:p w:rsidR="00F26C3B" w:rsidRPr="009618E4" w:rsidRDefault="00513FB2">
      <w:pPr>
        <w:pStyle w:val="Tiret1"/>
        <w:pBdr>
          <w:top w:val="single" w:sz="4" w:space="1" w:color="auto"/>
          <w:left w:val="single" w:sz="4" w:space="4" w:color="auto"/>
          <w:bottom w:val="single" w:sz="4" w:space="1" w:color="auto"/>
          <w:right w:val="single" w:sz="4" w:space="4" w:color="auto"/>
        </w:pBdr>
        <w:rPr>
          <w:noProof/>
        </w:rPr>
      </w:pPr>
      <w:r w:rsidRPr="009618E4">
        <w:t>des procédures de sélection des meilleurs projets et leur traduction dans des instruments juridiques;</w:t>
      </w:r>
    </w:p>
    <w:p w:rsidR="00F26C3B" w:rsidRPr="009618E4" w:rsidRDefault="00513FB2">
      <w:pPr>
        <w:pStyle w:val="Tiret1"/>
        <w:pBdr>
          <w:top w:val="single" w:sz="4" w:space="1" w:color="auto"/>
          <w:left w:val="single" w:sz="4" w:space="4" w:color="auto"/>
          <w:bottom w:val="single" w:sz="4" w:space="1" w:color="auto"/>
          <w:right w:val="single" w:sz="4" w:space="4" w:color="auto"/>
        </w:pBdr>
        <w:rPr>
          <w:noProof/>
        </w:rPr>
      </w:pPr>
      <w:r w:rsidRPr="009618E4">
        <w:t>une gestion des projets et des contrats sur toute la durée de vie de chaque projet;</w:t>
      </w:r>
    </w:p>
    <w:p w:rsidR="00F26C3B" w:rsidRPr="009618E4" w:rsidRDefault="00513FB2">
      <w:pPr>
        <w:pStyle w:val="Tiret1"/>
        <w:pBdr>
          <w:top w:val="single" w:sz="4" w:space="1" w:color="auto"/>
          <w:left w:val="single" w:sz="4" w:space="4" w:color="auto"/>
          <w:bottom w:val="single" w:sz="4" w:space="1" w:color="auto"/>
          <w:right w:val="single" w:sz="4" w:space="4" w:color="auto"/>
        </w:pBdr>
        <w:rPr>
          <w:noProof/>
        </w:rPr>
      </w:pPr>
      <w:r w:rsidRPr="009618E4">
        <w:t xml:space="preserve">des vérifications ex ante portant sur </w:t>
      </w:r>
      <w:r w:rsidRPr="0068119E">
        <w:t>100</w:t>
      </w:r>
      <w:r w:rsidRPr="009618E4">
        <w:t xml:space="preserve"> % des demandes; </w:t>
      </w:r>
    </w:p>
    <w:p w:rsidR="00F26C3B" w:rsidRPr="009618E4" w:rsidRDefault="00513FB2">
      <w:pPr>
        <w:pStyle w:val="Tiret1"/>
        <w:pBdr>
          <w:top w:val="single" w:sz="4" w:space="1" w:color="auto"/>
          <w:left w:val="single" w:sz="4" w:space="4" w:color="auto"/>
          <w:bottom w:val="single" w:sz="4" w:space="1" w:color="auto"/>
          <w:right w:val="single" w:sz="4" w:space="4" w:color="auto"/>
        </w:pBdr>
        <w:rPr>
          <w:noProof/>
        </w:rPr>
      </w:pPr>
      <w:r w:rsidRPr="009618E4">
        <w:t>des certificats relatifs aux états financiers au-dessus d</w:t>
      </w:r>
      <w:r w:rsidR="00266719" w:rsidRPr="009618E4">
        <w:t>’</w:t>
      </w:r>
      <w:r w:rsidRPr="009618E4">
        <w:t xml:space="preserve">un certain seuil; </w:t>
      </w:r>
    </w:p>
    <w:p w:rsidR="00F26C3B" w:rsidRPr="009618E4" w:rsidRDefault="00513FB2">
      <w:pPr>
        <w:pStyle w:val="Tiret1"/>
        <w:pBdr>
          <w:top w:val="single" w:sz="4" w:space="1" w:color="auto"/>
          <w:left w:val="single" w:sz="4" w:space="4" w:color="auto"/>
          <w:bottom w:val="single" w:sz="4" w:space="1" w:color="auto"/>
          <w:right w:val="single" w:sz="4" w:space="4" w:color="auto"/>
        </w:pBdr>
        <w:rPr>
          <w:noProof/>
        </w:rPr>
      </w:pPr>
      <w:r w:rsidRPr="009618E4">
        <w:t>des audits ex post effectués sur un échantillon de demandes payées;</w:t>
      </w:r>
    </w:p>
    <w:p w:rsidR="00F26C3B" w:rsidRPr="009618E4" w:rsidRDefault="00513FB2">
      <w:pPr>
        <w:pStyle w:val="Tiret1"/>
        <w:pBdr>
          <w:top w:val="single" w:sz="4" w:space="1" w:color="auto"/>
          <w:left w:val="single" w:sz="4" w:space="4" w:color="auto"/>
          <w:bottom w:val="single" w:sz="4" w:space="1" w:color="auto"/>
          <w:right w:val="single" w:sz="4" w:space="4" w:color="auto"/>
        </w:pBdr>
        <w:rPr>
          <w:noProof/>
        </w:rPr>
      </w:pPr>
      <w:r w:rsidRPr="009618E4">
        <w:t>et une évaluation scientifique des résultats du projet.</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Les premières indications fournies par les audits concernant «Horizon </w:t>
      </w:r>
      <w:r w:rsidRPr="0068119E">
        <w:t>2020</w:t>
      </w:r>
      <w:r w:rsidRPr="009618E4">
        <w:t>» (y compris le programme Euratom) établissent que les taux d</w:t>
      </w:r>
      <w:r w:rsidR="00266719" w:rsidRPr="009618E4">
        <w:t>’</w:t>
      </w:r>
      <w:r w:rsidRPr="009618E4">
        <w:t>erreur ont été maintenus bien en deçà de la fourchette prévue (voir le point </w:t>
      </w:r>
      <w:r w:rsidRPr="0068119E">
        <w:t>2</w:t>
      </w:r>
      <w:r w:rsidRPr="009618E4">
        <w:t>.</w:t>
      </w:r>
      <w:r w:rsidRPr="0068119E">
        <w:t>2</w:t>
      </w:r>
      <w:r w:rsidRPr="009618E4">
        <w:t>.</w:t>
      </w:r>
      <w:r w:rsidRPr="0068119E">
        <w:t>2</w:t>
      </w:r>
      <w:r w:rsidRPr="009618E4">
        <w:t>). Cela démontre que les mesures de simplification déjà mises en place sont efficaces, même si elles peuvent encore être développées.</w:t>
      </w:r>
    </w:p>
    <w:p w:rsidR="00F26C3B" w:rsidRPr="009618E4" w:rsidRDefault="00513FB2">
      <w:pPr>
        <w:pStyle w:val="ManualHeading3"/>
        <w:rPr>
          <w:bCs/>
          <w:noProof/>
          <w:szCs w:val="24"/>
        </w:rPr>
      </w:pPr>
      <w:r w:rsidRPr="0068119E">
        <w:t>2</w:t>
      </w:r>
      <w:r w:rsidRPr="009618E4">
        <w:t>.</w:t>
      </w:r>
      <w:r w:rsidRPr="0068119E">
        <w:t>2</w:t>
      </w:r>
      <w:r w:rsidRPr="009618E4">
        <w:t>.</w:t>
      </w:r>
      <w:r w:rsidRPr="0068119E">
        <w:t>2</w:t>
      </w:r>
      <w:r w:rsidRPr="009618E4">
        <w:t>.</w:t>
      </w:r>
      <w:r w:rsidRPr="009618E4">
        <w:tab/>
        <w:t>Informations sur les risques recensés et sur le(s) système(s) de contrôle interne mis en place pour les atténuer</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Le modèle de financement de base a consisté jusqu</w:t>
      </w:r>
      <w:r w:rsidR="00266719" w:rsidRPr="009618E4">
        <w:t>’</w:t>
      </w:r>
      <w:r w:rsidRPr="009618E4">
        <w:t>à présent à rembourser les coûts éligibles. Comme la Cour des comptes européenne l</w:t>
      </w:r>
      <w:r w:rsidR="00266719" w:rsidRPr="009618E4">
        <w:t>’</w:t>
      </w:r>
      <w:r w:rsidRPr="009618E4">
        <w:t>a souligné à plusieurs reprises, récemment encore dans son rapport annuel pour </w:t>
      </w:r>
      <w:r w:rsidRPr="0068119E">
        <w:t>2016</w:t>
      </w:r>
      <w:r w:rsidRPr="009618E4">
        <w:t>, «le principal risque affectant la régularité des opérations est que les bénéficiaires déclarent des coûts inéligibles qui ne soient ni détectés ni corrigés avant [leur remboursement]. Ce risque est particulièrement élevé en ce qui concerne le septième programme-cadre de recherche (et par analogie le programme Euratom), dont les règles d</w:t>
      </w:r>
      <w:r w:rsidR="00266719" w:rsidRPr="009618E4">
        <w:t>’</w:t>
      </w:r>
      <w:r w:rsidRPr="009618E4">
        <w:t>éligibilité sont complexes et souvent mal comprises par les bénéficiaires (en particulier ceux à qui les règles ne sont pas familières, comme les PME, les nouveaux participants et les entités de pays tiers)».</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La Cour a reconnu la valeur des simplifications introduites dans «Horizon </w:t>
      </w:r>
      <w:r w:rsidRPr="0068119E">
        <w:t>2020</w:t>
      </w:r>
      <w:r w:rsidRPr="009618E4">
        <w:t xml:space="preserve">» [et donc également pour le programme Euratom </w:t>
      </w:r>
      <w:r w:rsidRPr="0068119E">
        <w:t>2014</w:t>
      </w:r>
      <w:r w:rsidRPr="009618E4">
        <w:t>–</w:t>
      </w:r>
      <w:r w:rsidRPr="0068119E">
        <w:t>2018</w:t>
      </w:r>
      <w:r w:rsidRPr="009618E4">
        <w:t xml:space="preserve">]. Elle a toutefois recommandé, dans son rapport annuel pour </w:t>
      </w:r>
      <w:r w:rsidRPr="0068119E">
        <w:t>2016</w:t>
      </w:r>
      <w:r w:rsidRPr="009618E4">
        <w:t>, une utilisation accrue des options simplifiées en matière de coûts. Ces options sont déjà utilisées dans certaines parties du programme ou pour certains types de dépenses.</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Dans le cas des subventions, le taux d</w:t>
      </w:r>
      <w:r w:rsidR="00266719" w:rsidRPr="009618E4">
        <w:t>’</w:t>
      </w:r>
      <w:r w:rsidRPr="009618E4">
        <w:t xml:space="preserve">erreur représentatif estimé pour le septième programme-cadre [y compris Euratom] était de </w:t>
      </w:r>
      <w:r w:rsidRPr="0068119E">
        <w:t>5</w:t>
      </w:r>
      <w:r w:rsidRPr="009618E4">
        <w:t> %, avec un taux d</w:t>
      </w:r>
      <w:r w:rsidR="00266719" w:rsidRPr="009618E4">
        <w:t>’</w:t>
      </w:r>
      <w:r w:rsidRPr="009618E4">
        <w:t>erreur «résiduel» d</w:t>
      </w:r>
      <w:r w:rsidR="00266719" w:rsidRPr="009618E4">
        <w:t>’</w:t>
      </w:r>
      <w:r w:rsidRPr="009618E4">
        <w:t xml:space="preserve">environ </w:t>
      </w:r>
      <w:r w:rsidRPr="0068119E">
        <w:t>3</w:t>
      </w:r>
      <w:r w:rsidRPr="009618E4">
        <w:t> %, compte tenu de tous les recouvrements et corrections qui ont été ou seront effectués. Toutefois, les taux d</w:t>
      </w:r>
      <w:r w:rsidR="00266719" w:rsidRPr="009618E4">
        <w:t>’</w:t>
      </w:r>
      <w:r w:rsidRPr="009618E4">
        <w:t>erreur étaient plus faibles dans les parties du programme permettant un recours plus large aux options simplifiées en matière de coûts et/ou concernant un groupe réduit et stable de bénéficiaires.</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Les premiers résultats d</w:t>
      </w:r>
      <w:r w:rsidR="00266719" w:rsidRPr="009618E4">
        <w:t>’</w:t>
      </w:r>
      <w:r w:rsidRPr="009618E4">
        <w:t>«Horizon </w:t>
      </w:r>
      <w:r w:rsidRPr="0068119E">
        <w:t>2020</w:t>
      </w:r>
      <w:r w:rsidRPr="009618E4">
        <w:t>» (y compris le programme Euratom) indiquent un taux d</w:t>
      </w:r>
      <w:r w:rsidR="00266719" w:rsidRPr="009618E4">
        <w:t>’</w:t>
      </w:r>
      <w:r w:rsidRPr="009618E4">
        <w:t xml:space="preserve">erreur représentatif de quelque </w:t>
      </w:r>
      <w:r w:rsidRPr="0068119E">
        <w:t>3</w:t>
      </w:r>
      <w:r w:rsidRPr="009618E4">
        <w:t> %, avec un taux d</w:t>
      </w:r>
      <w:r w:rsidR="00266719" w:rsidRPr="009618E4">
        <w:t>’</w:t>
      </w:r>
      <w:r w:rsidRPr="009618E4">
        <w:t xml:space="preserve">erreur résiduel inférieur à </w:t>
      </w:r>
      <w:r w:rsidRPr="0068119E">
        <w:t>2</w:t>
      </w:r>
      <w:r w:rsidRPr="009618E4">
        <w:t>,</w:t>
      </w:r>
      <w:r w:rsidRPr="0068119E">
        <w:t>5</w:t>
      </w:r>
      <w:r w:rsidRPr="009618E4">
        <w:t> %. Il convient toutefois de noter qu</w:t>
      </w:r>
      <w:r w:rsidR="00266719" w:rsidRPr="009618E4">
        <w:t>’</w:t>
      </w:r>
      <w:r w:rsidRPr="009618E4">
        <w:t>il s</w:t>
      </w:r>
      <w:r w:rsidR="00266719" w:rsidRPr="009618E4">
        <w:t>’</w:t>
      </w:r>
      <w:r w:rsidRPr="009618E4">
        <w:t>agit d</w:t>
      </w:r>
      <w:r w:rsidR="00266719" w:rsidRPr="009618E4">
        <w:t>’</w:t>
      </w:r>
      <w:r w:rsidRPr="009618E4">
        <w:t>une estimation précoce qui doit être utilisée avec circonspection, qu</w:t>
      </w:r>
      <w:r w:rsidR="00266719" w:rsidRPr="009618E4">
        <w:t>’</w:t>
      </w:r>
      <w:r w:rsidRPr="009618E4">
        <w:t xml:space="preserve">elle devrait augmenter et atteindre peut-être </w:t>
      </w:r>
      <w:r w:rsidRPr="0068119E">
        <w:t>3</w:t>
      </w:r>
      <w:r w:rsidRPr="009618E4">
        <w:t>-</w:t>
      </w:r>
      <w:r w:rsidRPr="0068119E">
        <w:t>4</w:t>
      </w:r>
      <w:r w:rsidRPr="009618E4">
        <w:t> % (le niveau d</w:t>
      </w:r>
      <w:r w:rsidR="00266719" w:rsidRPr="009618E4">
        <w:t>’</w:t>
      </w:r>
      <w:r w:rsidRPr="009618E4">
        <w:t>erreur prévu par la Commission pour sa proposition «Horizon </w:t>
      </w:r>
      <w:r w:rsidRPr="0068119E">
        <w:t>2020</w:t>
      </w:r>
      <w:r w:rsidRPr="009618E4">
        <w:t xml:space="preserve">» et Euratom </w:t>
      </w:r>
      <w:r w:rsidRPr="0068119E">
        <w:t>2014</w:t>
      </w:r>
      <w:r w:rsidRPr="009618E4">
        <w:t>–</w:t>
      </w:r>
      <w:r w:rsidRPr="0068119E">
        <w:t>2018</w:t>
      </w:r>
      <w:r w:rsidRPr="009618E4">
        <w:t xml:space="preserve"> était de </w:t>
      </w:r>
      <w:r w:rsidRPr="0068119E">
        <w:t>3</w:t>
      </w:r>
      <w:r w:rsidRPr="009618E4">
        <w:t>,</w:t>
      </w:r>
      <w:r w:rsidRPr="0068119E">
        <w:t>5</w:t>
      </w:r>
      <w:r w:rsidRPr="009618E4">
        <w:t> %, mais il ne tenait pas compte de diverses complications ajoutées au cours du processus législatif). Le taux d</w:t>
      </w:r>
      <w:r w:rsidR="00266719" w:rsidRPr="009618E4">
        <w:t>’</w:t>
      </w:r>
      <w:r w:rsidRPr="009618E4">
        <w:t xml:space="preserve">erreur résiduel devrait rester en dessous de </w:t>
      </w:r>
      <w:r w:rsidRPr="0068119E">
        <w:t>3</w:t>
      </w:r>
      <w:r w:rsidRPr="009618E4">
        <w:t xml:space="preserve"> %, mais il est encore trop tôt pour dire si le taux de </w:t>
      </w:r>
      <w:r w:rsidRPr="0068119E">
        <w:t>2</w:t>
      </w:r>
      <w:r w:rsidRPr="009618E4">
        <w:t> % sera atteint.</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Certaines erreurs sont dues au fait que les bénéficiaires n</w:t>
      </w:r>
      <w:r w:rsidR="00266719" w:rsidRPr="009618E4">
        <w:t>’</w:t>
      </w:r>
      <w:r w:rsidRPr="009618E4">
        <w:t>ont pas compris la réglementation. Ces erreurs peuvent être résolues par une simplification des règles, mais une certaine complexité subsistera toujours. D</w:t>
      </w:r>
      <w:r w:rsidR="00266719" w:rsidRPr="009618E4">
        <w:t>’</w:t>
      </w:r>
      <w:r w:rsidRPr="009618E4">
        <w:t>autres erreurs sont dues au fait que les bénéficiaires n</w:t>
      </w:r>
      <w:r w:rsidR="00266719" w:rsidRPr="009618E4">
        <w:t>’</w:t>
      </w:r>
      <w:r w:rsidRPr="009618E4">
        <w:t>ont pas respecté la réglementation. Bien que cela concerne une minorité de cas, une simplification des règles actuelles ne permettra pas de les résoudre.</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Une analyse des taux d</w:t>
      </w:r>
      <w:r w:rsidR="00266719" w:rsidRPr="009618E4">
        <w:t>’</w:t>
      </w:r>
      <w:r w:rsidRPr="009618E4">
        <w:t>erreurs</w:t>
      </w:r>
      <w:r w:rsidRPr="009618E4">
        <w:rPr>
          <w:rStyle w:val="FootnoteReference"/>
          <w:noProof/>
        </w:rPr>
        <w:footnoteReference w:id="34"/>
      </w:r>
      <w:r w:rsidRPr="009618E4">
        <w:t xml:space="preserve"> a été effectuée pour «Horizon </w:t>
      </w:r>
      <w:r w:rsidRPr="0068119E">
        <w:t>2020</w:t>
      </w:r>
      <w:r w:rsidRPr="009618E4">
        <w:t>» (y compris le programme Euratom) et les audits réalisés jusqu</w:t>
      </w:r>
      <w:r w:rsidR="00266719" w:rsidRPr="009618E4">
        <w:t>’</w:t>
      </w:r>
      <w:r w:rsidRPr="009618E4">
        <w:t xml:space="preserve">à présent montrent: </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 qu</w:t>
      </w:r>
      <w:r w:rsidR="00266719" w:rsidRPr="009618E4">
        <w:t>’</w:t>
      </w:r>
      <w:r w:rsidRPr="009618E4">
        <w:t xml:space="preserve">environ </w:t>
      </w:r>
      <w:r w:rsidRPr="0068119E">
        <w:t>63</w:t>
      </w:r>
      <w:r w:rsidRPr="009618E4">
        <w:t> % des erreurs concernent des erreurs dans la facturation des coûts de personnel. Les problèmes récurrents mis en lumière tiennent à un mauvais calcul des heures productives, à des taux incorrects ou à des nombres inexacts d</w:t>
      </w:r>
      <w:r w:rsidR="00266719" w:rsidRPr="009618E4">
        <w:t>’</w:t>
      </w:r>
      <w:r w:rsidRPr="009618E4">
        <w:t>heures facturées;</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 qu</w:t>
      </w:r>
      <w:r w:rsidR="00266719" w:rsidRPr="009618E4">
        <w:t>’</w:t>
      </w:r>
      <w:r w:rsidRPr="009618E4">
        <w:t xml:space="preserve">environ </w:t>
      </w:r>
      <w:r w:rsidRPr="0068119E">
        <w:t>22</w:t>
      </w:r>
      <w:r w:rsidRPr="009618E4">
        <w:t> % des erreurs concernent les autres coûts directs (hors personnel). L</w:t>
      </w:r>
      <w:r w:rsidR="00266719" w:rsidRPr="009618E4">
        <w:t>’</w:t>
      </w:r>
      <w:r w:rsidRPr="009618E4">
        <w:t>erreur la plus régulière constatée est l</w:t>
      </w:r>
      <w:r w:rsidR="00266719" w:rsidRPr="009618E4">
        <w:t>’</w:t>
      </w:r>
      <w:r w:rsidRPr="009618E4">
        <w:t>absence de mesure directe des coûts;</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 qu</w:t>
      </w:r>
      <w:r w:rsidR="00266719" w:rsidRPr="009618E4">
        <w:t>’</w:t>
      </w:r>
      <w:r w:rsidRPr="009618E4">
        <w:t xml:space="preserve">environ </w:t>
      </w:r>
      <w:r w:rsidRPr="0068119E">
        <w:t>6</w:t>
      </w:r>
      <w:r w:rsidRPr="009618E4">
        <w:t xml:space="preserve"> % des erreurs ont trait aux frais de sous-traitance, </w:t>
      </w:r>
      <w:r w:rsidRPr="0068119E">
        <w:t>4</w:t>
      </w:r>
      <w:r w:rsidRPr="009618E4">
        <w:t xml:space="preserve"> % aux frais de déplacement et </w:t>
      </w:r>
      <w:r w:rsidRPr="0068119E">
        <w:t>5</w:t>
      </w:r>
      <w:r w:rsidRPr="009618E4">
        <w:t> % à d</w:t>
      </w:r>
      <w:r w:rsidR="00266719" w:rsidRPr="009618E4">
        <w:t>’</w:t>
      </w:r>
      <w:r w:rsidRPr="009618E4">
        <w:t xml:space="preserve">autres catégories de frais. Il y a lieu de signaler que les erreurs relatives aux coûts indirects, soit </w:t>
      </w:r>
      <w:r w:rsidRPr="0068119E">
        <w:t>28</w:t>
      </w:r>
      <w:r w:rsidRPr="009618E4">
        <w:t> % des erreurs dans le septième programme-cadre (y compris Euratom), ont été réduites à un niveau proche de zéro grâce à l</w:t>
      </w:r>
      <w:r w:rsidR="00266719" w:rsidRPr="009618E4">
        <w:t>’</w:t>
      </w:r>
      <w:r w:rsidRPr="009618E4">
        <w:t>introduction du taux forfaitaire de coûts indirects.</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Les erreurs recensées lors des audits portant sur «Horizon </w:t>
      </w:r>
      <w:r w:rsidRPr="0068119E">
        <w:t>2020</w:t>
      </w:r>
      <w:r w:rsidRPr="009618E4">
        <w:t>» et sur le programme Euratom montrent que certaines d</w:t>
      </w:r>
      <w:r w:rsidR="00266719" w:rsidRPr="009618E4">
        <w:t>’</w:t>
      </w:r>
      <w:r w:rsidRPr="009618E4">
        <w:t>entre elles pourraient être évitées par des simplifications et en supprimant un formalisme inutile dans la réglementation. Certaines modifications ont déjà été apportées dans le cadre d</w:t>
      </w:r>
      <w:r w:rsidR="00266719" w:rsidRPr="009618E4">
        <w:t>’</w:t>
      </w:r>
      <w:r w:rsidRPr="009618E4">
        <w:t>«Horizon </w:t>
      </w:r>
      <w:r w:rsidRPr="0068119E">
        <w:t>2020</w:t>
      </w:r>
      <w:r w:rsidRPr="009618E4">
        <w:t>» et d</w:t>
      </w:r>
      <w:r w:rsidR="00266719" w:rsidRPr="009618E4">
        <w:t>’</w:t>
      </w:r>
      <w:r w:rsidRPr="009618E4">
        <w:t>Euratom (nouvelles règles pour la facturation interne et les rémunérations complémentaires, par exemple), et d</w:t>
      </w:r>
      <w:r w:rsidR="00266719" w:rsidRPr="009618E4">
        <w:t>’</w:t>
      </w:r>
      <w:r w:rsidRPr="009618E4">
        <w:t>autres seront effectuées dans la mesure du possible dans le cadre d</w:t>
      </w:r>
      <w:r w:rsidR="00266719" w:rsidRPr="009618E4">
        <w:t>’</w:t>
      </w:r>
      <w:r w:rsidRPr="009618E4">
        <w:t xml:space="preserve">«Horizon Europe» et du programme Euratom </w:t>
      </w:r>
      <w:r w:rsidRPr="0068119E">
        <w:t>2021</w:t>
      </w:r>
      <w:r w:rsidRPr="009618E4">
        <w:t>–</w:t>
      </w:r>
      <w:r w:rsidRPr="0068119E">
        <w:t>2025</w:t>
      </w:r>
      <w:r w:rsidRPr="009618E4">
        <w:t>. Ces modifications seront toutefois désormais limitées en ce qui concerne leur effet sur le taux d</w:t>
      </w:r>
      <w:r w:rsidR="00266719" w:rsidRPr="009618E4">
        <w:t>’</w:t>
      </w:r>
      <w:r w:rsidRPr="009618E4">
        <w:t>erreur, ne contribuant généralement qu</w:t>
      </w:r>
      <w:r w:rsidR="00266719" w:rsidRPr="009618E4">
        <w:t>’</w:t>
      </w:r>
      <w:r w:rsidRPr="009618E4">
        <w:t>à éviter des erreurs mineures.</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Un recours plus large aux options simplifiées en matière de coûts, telles que des taux forfaitaires et des coûts unitaires, ainsi que la poursuite de la simplification de la réglementation contribueront à faire baisser le futur taux d</w:t>
      </w:r>
      <w:r w:rsidR="00266719" w:rsidRPr="009618E4">
        <w:t>’</w:t>
      </w:r>
      <w:r w:rsidRPr="009618E4">
        <w:t xml:space="preserve">erreur, estimé à </w:t>
      </w:r>
      <w:r w:rsidRPr="0068119E">
        <w:t>3</w:t>
      </w:r>
      <w:r w:rsidRPr="009618E4">
        <w:t>–</w:t>
      </w:r>
      <w:r w:rsidRPr="0068119E">
        <w:t>4</w:t>
      </w:r>
      <w:r w:rsidRPr="009618E4">
        <w:t> % à titre représentatif. Cependant, le problème sous-jacent des erreurs dans un mode de financement fondé sur le remboursement des coûts éligibles demeure. Dans un tel système, le taux d</w:t>
      </w:r>
      <w:r w:rsidR="00266719" w:rsidRPr="009618E4">
        <w:t>’</w:t>
      </w:r>
      <w:r w:rsidRPr="009618E4">
        <w:t xml:space="preserve">erreur représentatif pourrait être abaissé à </w:t>
      </w:r>
      <w:r w:rsidRPr="0068119E">
        <w:t>2</w:t>
      </w:r>
      <w:r w:rsidRPr="009618E4">
        <w:t>,</w:t>
      </w:r>
      <w:r w:rsidRPr="0068119E">
        <w:t>5</w:t>
      </w:r>
      <w:r w:rsidRPr="009618E4">
        <w:t>–</w:t>
      </w:r>
      <w:r w:rsidRPr="0068119E">
        <w:t>3</w:t>
      </w:r>
      <w:r w:rsidRPr="009618E4">
        <w:t>,</w:t>
      </w:r>
      <w:r w:rsidRPr="0068119E">
        <w:t>5</w:t>
      </w:r>
      <w:r w:rsidRPr="009618E4">
        <w:t> %, avec un taux d</w:t>
      </w:r>
      <w:r w:rsidR="00266719" w:rsidRPr="009618E4">
        <w:t>’</w:t>
      </w:r>
      <w:r w:rsidRPr="009618E4">
        <w:t>erreur résiduel, après corrections, qui devrait être proche (mais pas nécessairement en deçà) de </w:t>
      </w:r>
      <w:r w:rsidRPr="0068119E">
        <w:t>2</w:t>
      </w:r>
      <w:r w:rsidRPr="009618E4">
        <w:t> %.</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Un financement à montant forfaitaire pour le mécanisme PME phase </w:t>
      </w:r>
      <w:r w:rsidRPr="0068119E">
        <w:t>1</w:t>
      </w:r>
      <w:r w:rsidRPr="009618E4">
        <w:t xml:space="preserve"> a été instauré pour «Horizon </w:t>
      </w:r>
      <w:r w:rsidRPr="0068119E">
        <w:t>2020</w:t>
      </w:r>
      <w:r w:rsidRPr="009618E4">
        <w:t xml:space="preserve">». Il permet le versement de </w:t>
      </w:r>
      <w:r w:rsidRPr="0068119E">
        <w:t>50</w:t>
      </w:r>
      <w:r w:rsidRPr="009618E4">
        <w:t> </w:t>
      </w:r>
      <w:r w:rsidRPr="0068119E">
        <w:t>000</w:t>
      </w:r>
      <w:r w:rsidRPr="009618E4">
        <w:t> EUR à la livraison d</w:t>
      </w:r>
      <w:r w:rsidR="00266719" w:rsidRPr="009618E4">
        <w:t>’</w:t>
      </w:r>
      <w:r w:rsidRPr="009618E4">
        <w:t>une prestation scientifique satisfaisante. Aucun justificatif supplémentaire n</w:t>
      </w:r>
      <w:r w:rsidR="00266719" w:rsidRPr="009618E4">
        <w:t>’</w:t>
      </w:r>
      <w:r w:rsidRPr="009618E4">
        <w:t xml:space="preserve">est requis pour ce paiement, tel que des factures, </w:t>
      </w:r>
      <w:proofErr w:type="gramStart"/>
      <w:r w:rsidRPr="009618E4">
        <w:t>relevés</w:t>
      </w:r>
      <w:proofErr w:type="gramEnd"/>
      <w:r w:rsidRPr="009618E4">
        <w:t xml:space="preserve"> des heures de travail, preuves de paiement, etc. Il n</w:t>
      </w:r>
      <w:r w:rsidR="00266719" w:rsidRPr="009618E4">
        <w:t>’</w:t>
      </w:r>
      <w:r w:rsidRPr="009618E4">
        <w:t>y a pas d</w:t>
      </w:r>
      <w:r w:rsidR="00266719" w:rsidRPr="009618E4">
        <w:t>’</w:t>
      </w:r>
      <w:r w:rsidRPr="009618E4">
        <w:t>erreurs financières.</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Le financement à montant forfaitaire a été proposé pour «Horizon </w:t>
      </w:r>
      <w:r w:rsidRPr="0068119E">
        <w:t>2020</w:t>
      </w:r>
      <w:r w:rsidRPr="009618E4">
        <w:t>» mais a été considéré comme inapproprié ou prématuré. Dans son programme de travail «Horizon </w:t>
      </w:r>
      <w:r w:rsidRPr="0068119E">
        <w:t>2020</w:t>
      </w:r>
      <w:r w:rsidRPr="009618E4">
        <w:t xml:space="preserve">» pour </w:t>
      </w:r>
      <w:r w:rsidRPr="0068119E">
        <w:t>2018</w:t>
      </w:r>
      <w:r w:rsidRPr="009618E4">
        <w:t>, la Commission met cependant en place des projets pilotes fondés sur le financement à montant forfaitaire. Dans le même temps, elle a entrepris un certain nombre d</w:t>
      </w:r>
      <w:r w:rsidR="00266719" w:rsidRPr="009618E4">
        <w:t>’</w:t>
      </w:r>
      <w:r w:rsidRPr="009618E4">
        <w:t>actions de communication pour dissiper les craintes des parties prenantes concernant cette forme de financement.</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Le projet pilote doit faire l</w:t>
      </w:r>
      <w:r w:rsidR="00266719" w:rsidRPr="009618E4">
        <w:t>’</w:t>
      </w:r>
      <w:r w:rsidRPr="009618E4">
        <w:t>objet d</w:t>
      </w:r>
      <w:r w:rsidR="00266719" w:rsidRPr="009618E4">
        <w:t>’</w:t>
      </w:r>
      <w:r w:rsidRPr="009618E4">
        <w:t>une évaluation, notamment afin de déterminer s</w:t>
      </w:r>
      <w:r w:rsidR="00266719" w:rsidRPr="009618E4">
        <w:t>’</w:t>
      </w:r>
      <w:r w:rsidRPr="009618E4">
        <w:t>il permet d</w:t>
      </w:r>
      <w:r w:rsidR="00266719" w:rsidRPr="009618E4">
        <w:t>’</w:t>
      </w:r>
      <w:r w:rsidRPr="009618E4">
        <w:t>atteindre tous les objectifs du programme (et pas simplement de faire baisser le taux d</w:t>
      </w:r>
      <w:r w:rsidR="00266719" w:rsidRPr="009618E4">
        <w:t>’</w:t>
      </w:r>
      <w:r w:rsidRPr="009618E4">
        <w:t>erreur). Il est toutefois manifeste qu</w:t>
      </w:r>
      <w:r w:rsidR="00266719" w:rsidRPr="009618E4">
        <w:t>’</w:t>
      </w:r>
      <w:r w:rsidRPr="009618E4">
        <w:t>une utilisation plus large du financement à taux forfaitaire réduirait le taux d</w:t>
      </w:r>
      <w:r w:rsidR="00266719" w:rsidRPr="009618E4">
        <w:t>’</w:t>
      </w:r>
      <w:r w:rsidRPr="009618E4">
        <w:t>erreur. Les risques seraient cependant déplacés vers d</w:t>
      </w:r>
      <w:r w:rsidR="00266719" w:rsidRPr="009618E4">
        <w:t>’</w:t>
      </w:r>
      <w:r w:rsidRPr="009618E4">
        <w:t>autres étapes du système de contrôle interne: l</w:t>
      </w:r>
      <w:r w:rsidR="00266719" w:rsidRPr="009618E4">
        <w:t>’</w:t>
      </w:r>
      <w:r w:rsidRPr="009618E4">
        <w:t>évaluation deviendra plus importante, de même que l</w:t>
      </w:r>
      <w:r w:rsidR="00266719" w:rsidRPr="009618E4">
        <w:t>’</w:t>
      </w:r>
      <w:r w:rsidRPr="009618E4">
        <w:t>appréciation de la prestation livrée.</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La proposition de programme Euratom autorise la Commission à utiliser le modèle de financement à montant forfaitaire et l</w:t>
      </w:r>
      <w:r w:rsidR="00266719" w:rsidRPr="009618E4">
        <w:t>’</w:t>
      </w:r>
      <w:r w:rsidRPr="009618E4">
        <w:t>institution entend y recourir plus largement. Toutefois, il est trop tôt pour savoir dans quelle mesure il peut être appliqué. Cela dépendra des résultats des projets pilotes en cours.</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Le nombre d</w:t>
      </w:r>
      <w:r w:rsidR="00266719" w:rsidRPr="009618E4">
        <w:t>’</w:t>
      </w:r>
      <w:r w:rsidRPr="009618E4">
        <w:t>opérations concernées signifie qu</w:t>
      </w:r>
      <w:r w:rsidR="00266719" w:rsidRPr="009618E4">
        <w:t>’</w:t>
      </w:r>
      <w:r w:rsidRPr="009618E4">
        <w:t>un niveau élevé de contrôle ex ante systématique serait très coûteux. La stratégie de contrôle actuelle repose donc sur des contrôles ex ante basés sur le risque et des contrôles ex post pour évaluer le niveau d</w:t>
      </w:r>
      <w:r w:rsidR="00266719" w:rsidRPr="009618E4">
        <w:t>’</w:t>
      </w:r>
      <w:r w:rsidRPr="009618E4">
        <w:t>erreur et détecter et récupérer les montants non éligibles. Comme les taux d</w:t>
      </w:r>
      <w:r w:rsidR="00266719" w:rsidRPr="009618E4">
        <w:t>’</w:t>
      </w:r>
      <w:r w:rsidRPr="009618E4">
        <w:t>erreur sont restés dans la fourchette établie, cette stratégie de contrôle est considérée comme efficace. D</w:t>
      </w:r>
      <w:r w:rsidR="00266719" w:rsidRPr="009618E4">
        <w:t>’</w:t>
      </w:r>
      <w:r w:rsidRPr="009618E4">
        <w:t>autres évolutions de certains aspects sont prévues, par exemple l</w:t>
      </w:r>
      <w:r w:rsidR="00266719" w:rsidRPr="009618E4">
        <w:t>’</w:t>
      </w:r>
      <w:r w:rsidRPr="009618E4">
        <w:t>intégration des systèmes et des processus d</w:t>
      </w:r>
      <w:r w:rsidR="00266719" w:rsidRPr="009618E4">
        <w:t>’</w:t>
      </w:r>
      <w:r w:rsidRPr="009618E4">
        <w:t>audit, mais aucun changement radical n</w:t>
      </w:r>
      <w:r w:rsidR="00266719" w:rsidRPr="009618E4">
        <w:t>’</w:t>
      </w:r>
      <w:r w:rsidRPr="009618E4">
        <w:t>est proposé.</w:t>
      </w:r>
    </w:p>
    <w:p w:rsidR="00F26C3B" w:rsidRPr="009618E4" w:rsidRDefault="00513FB2">
      <w:pPr>
        <w:pStyle w:val="ManualHeading3"/>
        <w:rPr>
          <w:noProof/>
        </w:rPr>
      </w:pPr>
      <w:r w:rsidRPr="0068119E">
        <w:t>2</w:t>
      </w:r>
      <w:r w:rsidRPr="009618E4">
        <w:t>.</w:t>
      </w:r>
      <w:r w:rsidRPr="0068119E">
        <w:t>2</w:t>
      </w:r>
      <w:r w:rsidRPr="009618E4">
        <w:t>.</w:t>
      </w:r>
      <w:r w:rsidRPr="0068119E">
        <w:t>3</w:t>
      </w:r>
      <w:r w:rsidRPr="009618E4">
        <w:t>.</w:t>
      </w:r>
      <w:r w:rsidRPr="009618E4">
        <w:tab/>
        <w:t>Estimation et justification du rapport coût-efficacité des contrôles (rapport «coûts du contrôle ÷ valeur des fonds concernés gérés»), et évaluation du niveau attendu de risque d</w:t>
      </w:r>
      <w:r w:rsidR="00266719" w:rsidRPr="009618E4">
        <w:t>’</w:t>
      </w:r>
      <w:r w:rsidRPr="009618E4">
        <w:t>erreur (lors du paiement et lors de la clôture)</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w:t>
      </w:r>
      <w:r w:rsidR="00266719" w:rsidRPr="009618E4">
        <w:t>’</w:t>
      </w:r>
      <w:r w:rsidRPr="009618E4">
        <w:t>estimation du coût du système de contrôle (évaluation, sélection, gestion de projets, contrôle ex ante et ex post) se situe dans la fourchette des </w:t>
      </w:r>
      <w:r w:rsidRPr="0068119E">
        <w:t>3</w:t>
      </w:r>
      <w:r w:rsidRPr="009618E4">
        <w:t xml:space="preserve"> à </w:t>
      </w:r>
      <w:r w:rsidRPr="0068119E">
        <w:t>4</w:t>
      </w:r>
      <w:r w:rsidRPr="009618E4">
        <w:t> % pour l</w:t>
      </w:r>
      <w:r w:rsidR="00266719" w:rsidRPr="009618E4">
        <w:t>’</w:t>
      </w:r>
      <w:r w:rsidRPr="009618E4">
        <w:t>ensemble des services de la Commission chargés de la mise en œuvre des programmes-cadres antérieurs pour </w:t>
      </w:r>
      <w:r w:rsidRPr="0068119E">
        <w:t>2017</w:t>
      </w:r>
      <w:r w:rsidRPr="009618E4">
        <w:t xml:space="preserve"> (y compris les coûts liés à la gestion du septième programme-cadre et du programme «Horizon </w:t>
      </w:r>
      <w:r w:rsidRPr="0068119E">
        <w:t>2020</w:t>
      </w:r>
      <w:r w:rsidRPr="009618E4">
        <w:t>»). Ce coût est considéré comme raisonnable eu égard aux efforts nécessaires pour faire en sorte que les objectifs soient atteints et au nombre d</w:t>
      </w:r>
      <w:r w:rsidR="00266719" w:rsidRPr="009618E4">
        <w:t>’</w:t>
      </w:r>
      <w:r w:rsidRPr="009618E4">
        <w:t>opérations.</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Le risque probable d</w:t>
      </w:r>
      <w:r w:rsidR="00266719" w:rsidRPr="009618E4">
        <w:t>’</w:t>
      </w:r>
      <w:r w:rsidRPr="009618E4">
        <w:t>erreur au stade du paiement pour les subventions correspondant à un modèle de financement fondé sur le remboursement des coûts éligibles est de </w:t>
      </w:r>
      <w:r w:rsidRPr="0068119E">
        <w:t>2</w:t>
      </w:r>
      <w:r w:rsidRPr="009618E4">
        <w:t>,</w:t>
      </w:r>
      <w:r w:rsidRPr="0068119E">
        <w:t>5</w:t>
      </w:r>
      <w:r w:rsidRPr="009618E4">
        <w:t>-</w:t>
      </w:r>
      <w:r w:rsidRPr="0068119E">
        <w:t>3</w:t>
      </w:r>
      <w:r w:rsidRPr="009618E4">
        <w:t>,</w:t>
      </w:r>
      <w:r w:rsidRPr="0068119E">
        <w:t>5</w:t>
      </w:r>
      <w:r w:rsidRPr="009618E4">
        <w:t> %. Le risque d</w:t>
      </w:r>
      <w:r w:rsidR="00266719" w:rsidRPr="009618E4">
        <w:t>’</w:t>
      </w:r>
      <w:r w:rsidRPr="009618E4">
        <w:t>erreur à la clôture (après l</w:t>
      </w:r>
      <w:r w:rsidR="00266719" w:rsidRPr="009618E4">
        <w:t>’</w:t>
      </w:r>
      <w:r w:rsidRPr="009618E4">
        <w:t>effet des contrôles et corrections) est proche (mais pas nécessairement en deçà) de </w:t>
      </w:r>
      <w:r w:rsidRPr="0068119E">
        <w:t>2</w:t>
      </w:r>
      <w:r w:rsidRPr="009618E4">
        <w:t> %. Le risque probable d</w:t>
      </w:r>
      <w:r w:rsidR="00266719" w:rsidRPr="009618E4">
        <w:t>’</w:t>
      </w:r>
      <w:r w:rsidRPr="009618E4">
        <w:t>erreur pour les subventions correspondant au modèle de financement à montant forfaitaire est proche de </w:t>
      </w:r>
      <w:r w:rsidRPr="0068119E">
        <w:t>0</w:t>
      </w:r>
      <w:r w:rsidRPr="009618E4">
        <w:t> % (au stade du paiement et à la clôture). Les taux d</w:t>
      </w:r>
      <w:r w:rsidR="00266719" w:rsidRPr="009618E4">
        <w:t>’</w:t>
      </w:r>
      <w:r w:rsidRPr="009618E4">
        <w:t>erreur globalement attendus dépendront de l</w:t>
      </w:r>
      <w:r w:rsidR="00266719" w:rsidRPr="009618E4">
        <w:t>’</w:t>
      </w:r>
      <w:r w:rsidRPr="009618E4">
        <w:t>équilibre entre les deux modes de financement (remboursement des coûts éligibles et montants forfaitaires). La Commission entend appliquer le modèle de financement à montant forfaitaire selon le cas. Cependant, l</w:t>
      </w:r>
      <w:r w:rsidR="00266719" w:rsidRPr="009618E4">
        <w:t>’</w:t>
      </w:r>
      <w:r w:rsidRPr="009618E4">
        <w:t>adoption de ce mode de financement à montant forfaitaire sera motivée non pas par une éventuelle réduction du taux d</w:t>
      </w:r>
      <w:r w:rsidR="00266719" w:rsidRPr="009618E4">
        <w:t>’</w:t>
      </w:r>
      <w:r w:rsidRPr="009618E4">
        <w:t>erreur, mais par la réalisation de l</w:t>
      </w:r>
      <w:r w:rsidR="00266719" w:rsidRPr="009618E4">
        <w:t>’</w:t>
      </w:r>
      <w:r w:rsidRPr="009618E4">
        <w:t>ensemble des objectifs du programme. Ce scénario part de l</w:t>
      </w:r>
      <w:r w:rsidR="00266719" w:rsidRPr="009618E4">
        <w:t>’</w:t>
      </w:r>
      <w:r w:rsidRPr="009618E4">
        <w:t>hypothèse que les mesures de simplification ne feront pas l</w:t>
      </w:r>
      <w:r w:rsidR="00266719" w:rsidRPr="009618E4">
        <w:t>’</w:t>
      </w:r>
      <w:r w:rsidRPr="009618E4">
        <w:t>objet de modifications substantielles au cours du processus de prise de décision.</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Note: la présente section ne concerne que le processus de gestion des subventions; en ce qui concerne les dépenses administratives et opérationnelles au titre de processus de marchés publics, le risque d</w:t>
      </w:r>
      <w:r w:rsidR="00266719" w:rsidRPr="009618E4">
        <w:t>’</w:t>
      </w:r>
      <w:r w:rsidRPr="009618E4">
        <w:t xml:space="preserve">erreur lors du paiement et de la fermeture devrait être inférieur à </w:t>
      </w:r>
      <w:r w:rsidRPr="0068119E">
        <w:t>2</w:t>
      </w:r>
      <w:r w:rsidRPr="009618E4">
        <w:t> %.</w:t>
      </w:r>
    </w:p>
    <w:p w:rsidR="00F26C3B" w:rsidRPr="009618E4" w:rsidRDefault="00513FB2">
      <w:pPr>
        <w:pStyle w:val="ManualHeading2"/>
        <w:rPr>
          <w:bCs/>
          <w:noProof/>
          <w:szCs w:val="24"/>
        </w:rPr>
      </w:pPr>
      <w:r w:rsidRPr="0068119E">
        <w:t>2</w:t>
      </w:r>
      <w:r w:rsidRPr="009618E4">
        <w:t>.</w:t>
      </w:r>
      <w:r w:rsidRPr="0068119E">
        <w:t>3</w:t>
      </w:r>
      <w:r w:rsidRPr="009618E4">
        <w:t>.</w:t>
      </w:r>
      <w:r w:rsidRPr="009618E4">
        <w:tab/>
        <w:t>Mesures de prévention des fraudes et irrégularités</w:t>
      </w:r>
    </w:p>
    <w:p w:rsidR="00F26C3B" w:rsidRPr="009618E4" w:rsidRDefault="00513FB2">
      <w:pPr>
        <w:pStyle w:val="Text1"/>
        <w:rPr>
          <w:i/>
          <w:noProof/>
          <w:sz w:val="20"/>
        </w:rPr>
      </w:pPr>
      <w:r w:rsidRPr="009618E4">
        <w:rPr>
          <w:i/>
          <w:noProof/>
          <w:sz w:val="20"/>
        </w:rPr>
        <w:t>Préciser les mesures de prévention et de protection existantes ou envisagées, au titre de la stratégie antifraude par exemple.</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Les services de la Commission chargés de la mise en œuvre du programme Euratom sont déterminés à lutter contre la fraude à toutes les étapes du processus de gestion des subventions. Ils ont défini et mettent en œuvre des stratégies antifraude comprenant notamment un recours accru au renseignement, en particulier par l</w:t>
      </w:r>
      <w:r w:rsidR="00266719" w:rsidRPr="009618E4">
        <w:t>’</w:t>
      </w:r>
      <w:r w:rsidRPr="009618E4">
        <w:t>utilisation d</w:t>
      </w:r>
      <w:r w:rsidR="00266719" w:rsidRPr="009618E4">
        <w:t>’</w:t>
      </w:r>
      <w:r w:rsidRPr="009618E4">
        <w:t>outils informatiques de haut niveau, ainsi que la formation et l</w:t>
      </w:r>
      <w:r w:rsidR="00266719" w:rsidRPr="009618E4">
        <w:t>’</w:t>
      </w:r>
      <w:r w:rsidRPr="009618E4">
        <w:t>information du personnel concerné. Ces efforts se poursuivront. Globalement, les mesures proposées, en particulier le recours accru aux audits fondés sur les risques et le renforcement de l</w:t>
      </w:r>
      <w:r w:rsidR="00266719" w:rsidRPr="009618E4">
        <w:t>’</w:t>
      </w:r>
      <w:r w:rsidRPr="009618E4">
        <w:t>évaluation et du contrôle scientifiques, devraient avoir un impact positif sur la lutte contre la fraude.</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w:t>
      </w:r>
      <w:r w:rsidR="00266719" w:rsidRPr="009618E4">
        <w:t>’</w:t>
      </w:r>
      <w:r w:rsidRPr="009618E4">
        <w:t>actuelle stratégie de lutte antifraude des services de la Commission chargés de la mise en œuvre des programmes Euratom précédents, englobant les subventions, ainsi que les stratégies de lutte contre la fraude relatives aux autres dépenses, sera mise à jour après la révision de la stratégie antifraude de la Commission en </w:t>
      </w:r>
      <w:r w:rsidRPr="0068119E">
        <w:t>2018</w:t>
      </w:r>
      <w:r w:rsidRPr="009618E4">
        <w:t>. Les risques liés au financement à montant forfaitaire seront ainsi également couverts, des risques différents à prendre en considération.</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Il faut souligner que les fraudes constatées sont très faibles au regard du total des dépenses, mais les directions générales chargées de l</w:t>
      </w:r>
      <w:r w:rsidR="00266719" w:rsidRPr="009618E4">
        <w:t>’</w:t>
      </w:r>
      <w:r w:rsidRPr="009618E4">
        <w:t>exécution du budget de la recherche restent résolues à lutter contre cette fraude.</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9618E4">
        <w:t>La législation garantira que les audits et les contrôles sur place peuvent être effectués par les services de la Commission, y compris l</w:t>
      </w:r>
      <w:r w:rsidR="00266719" w:rsidRPr="009618E4">
        <w:t>’</w:t>
      </w:r>
      <w:r w:rsidRPr="009618E4">
        <w:t>OLAF, compte tenu des dispositions types recommandées par l</w:t>
      </w:r>
      <w:r w:rsidR="00266719" w:rsidRPr="009618E4">
        <w:t>’</w:t>
      </w:r>
      <w:r w:rsidRPr="009618E4">
        <w:t>OLAF.</w:t>
      </w:r>
    </w:p>
    <w:p w:rsidR="00F26C3B" w:rsidRPr="009618E4" w:rsidRDefault="00F26C3B">
      <w:pPr>
        <w:rPr>
          <w:noProof/>
        </w:rPr>
      </w:pPr>
    </w:p>
    <w:p w:rsidR="00F26C3B" w:rsidRPr="009618E4" w:rsidRDefault="00F26C3B">
      <w:pPr>
        <w:rPr>
          <w:noProof/>
        </w:rPr>
        <w:sectPr w:rsidR="00F26C3B" w:rsidRPr="009618E4" w:rsidSect="00CE7948">
          <w:pgSz w:w="11907" w:h="16840" w:code="9"/>
          <w:pgMar w:top="1134" w:right="1418" w:bottom="1134" w:left="1418" w:header="709" w:footer="709" w:gutter="0"/>
          <w:cols w:space="708"/>
          <w:docGrid w:linePitch="360"/>
        </w:sectPr>
      </w:pPr>
    </w:p>
    <w:p w:rsidR="00F26C3B" w:rsidRPr="009618E4" w:rsidRDefault="00513FB2">
      <w:pPr>
        <w:pStyle w:val="ManualHeading1"/>
        <w:rPr>
          <w:bCs/>
          <w:noProof/>
          <w:szCs w:val="24"/>
        </w:rPr>
      </w:pPr>
      <w:r w:rsidRPr="0068119E">
        <w:t>3</w:t>
      </w:r>
      <w:r w:rsidRPr="009618E4">
        <w:t>.</w:t>
      </w:r>
      <w:r w:rsidRPr="009618E4">
        <w:tab/>
        <w:t>INCIDENCE FINANCIÈRE ESTIMÉE DE LA PROPOSITION/DE L</w:t>
      </w:r>
      <w:r w:rsidR="00266719" w:rsidRPr="009618E4">
        <w:t>’</w:t>
      </w:r>
      <w:r w:rsidRPr="009618E4">
        <w:t>INITIATIVE</w:t>
      </w:r>
    </w:p>
    <w:p w:rsidR="00F26C3B" w:rsidRPr="009618E4" w:rsidRDefault="00513FB2">
      <w:pPr>
        <w:pStyle w:val="ManualHeading2"/>
        <w:rPr>
          <w:noProof/>
        </w:rPr>
      </w:pPr>
      <w:r w:rsidRPr="0068119E">
        <w:t>3</w:t>
      </w:r>
      <w:r w:rsidRPr="009618E4">
        <w:t>.</w:t>
      </w:r>
      <w:r w:rsidRPr="0068119E">
        <w:t>1</w:t>
      </w:r>
      <w:r w:rsidRPr="009618E4">
        <w:t>.</w:t>
      </w:r>
      <w:r w:rsidRPr="009618E4">
        <w:tab/>
        <w:t>Rubrique du cadre financier pluriannuel et nouvelle(s) ligne(s) budgétaire(s) de dépenses proposée(s)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F26C3B" w:rsidRPr="009618E4">
        <w:tc>
          <w:tcPr>
            <w:tcW w:w="1080" w:type="dxa"/>
            <w:vMerge w:val="restart"/>
            <w:vAlign w:val="center"/>
          </w:tcPr>
          <w:p w:rsidR="00F26C3B" w:rsidRPr="009618E4" w:rsidRDefault="00513FB2">
            <w:pPr>
              <w:spacing w:before="60" w:after="60"/>
              <w:jc w:val="center"/>
              <w:rPr>
                <w:noProof/>
              </w:rPr>
            </w:pPr>
            <w:r w:rsidRPr="009618E4">
              <w:rPr>
                <w:noProof/>
                <w:sz w:val="18"/>
              </w:rPr>
              <w:t>Rubrique du cadre financier pluriannuel</w:t>
            </w:r>
          </w:p>
        </w:tc>
        <w:tc>
          <w:tcPr>
            <w:tcW w:w="3960" w:type="dxa"/>
            <w:vAlign w:val="center"/>
          </w:tcPr>
          <w:p w:rsidR="00F26C3B" w:rsidRPr="009618E4" w:rsidRDefault="00513FB2">
            <w:pPr>
              <w:spacing w:before="60" w:after="60"/>
              <w:jc w:val="center"/>
              <w:rPr>
                <w:noProof/>
              </w:rPr>
            </w:pPr>
            <w:r w:rsidRPr="009618E4">
              <w:rPr>
                <w:noProof/>
                <w:sz w:val="20"/>
              </w:rPr>
              <w:t>Ligne budgétaire</w:t>
            </w:r>
          </w:p>
        </w:tc>
        <w:tc>
          <w:tcPr>
            <w:tcW w:w="1080" w:type="dxa"/>
            <w:vAlign w:val="center"/>
          </w:tcPr>
          <w:p w:rsidR="00F26C3B" w:rsidRPr="009618E4" w:rsidRDefault="00513FB2">
            <w:pPr>
              <w:spacing w:before="60" w:after="60"/>
              <w:jc w:val="center"/>
              <w:rPr>
                <w:noProof/>
              </w:rPr>
            </w:pPr>
            <w:r w:rsidRPr="009618E4">
              <w:t>Nature de</w:t>
            </w:r>
            <w:r w:rsidRPr="009618E4">
              <w:br/>
            </w:r>
            <w:r w:rsidRPr="009618E4">
              <w:rPr>
                <w:noProof/>
                <w:sz w:val="18"/>
              </w:rPr>
              <w:t>la dépense</w:t>
            </w:r>
          </w:p>
        </w:tc>
        <w:tc>
          <w:tcPr>
            <w:tcW w:w="4440" w:type="dxa"/>
            <w:gridSpan w:val="4"/>
            <w:vAlign w:val="center"/>
          </w:tcPr>
          <w:p w:rsidR="00F26C3B" w:rsidRPr="009618E4" w:rsidRDefault="00513FB2" w:rsidP="004D00FC">
            <w:pPr>
              <w:spacing w:before="60" w:after="60"/>
              <w:jc w:val="center"/>
              <w:rPr>
                <w:noProof/>
              </w:rPr>
            </w:pPr>
            <w:r w:rsidRPr="009618E4">
              <w:rPr>
                <w:noProof/>
                <w:sz w:val="20"/>
              </w:rPr>
              <w:t>Participation</w:t>
            </w:r>
          </w:p>
        </w:tc>
      </w:tr>
      <w:tr w:rsidR="00F26C3B" w:rsidRPr="009618E4">
        <w:tc>
          <w:tcPr>
            <w:tcW w:w="1080" w:type="dxa"/>
            <w:vMerge/>
            <w:vAlign w:val="center"/>
          </w:tcPr>
          <w:p w:rsidR="00F26C3B" w:rsidRPr="009618E4" w:rsidRDefault="00F26C3B">
            <w:pPr>
              <w:jc w:val="center"/>
              <w:rPr>
                <w:noProof/>
              </w:rPr>
            </w:pPr>
          </w:p>
        </w:tc>
        <w:tc>
          <w:tcPr>
            <w:tcW w:w="3960" w:type="dxa"/>
            <w:vAlign w:val="center"/>
          </w:tcPr>
          <w:p w:rsidR="004D00FC" w:rsidRDefault="00513FB2" w:rsidP="004D00FC">
            <w:pPr>
              <w:rPr>
                <w:noProof/>
                <w:sz w:val="22"/>
              </w:rPr>
            </w:pPr>
            <w:r w:rsidRPr="0068119E">
              <w:rPr>
                <w:noProof/>
                <w:sz w:val="22"/>
              </w:rPr>
              <w:t>1</w:t>
            </w:r>
            <w:r w:rsidRPr="009618E4">
              <w:rPr>
                <w:noProof/>
                <w:sz w:val="22"/>
              </w:rPr>
              <w:t>. Marché unique, innovation</w:t>
            </w:r>
          </w:p>
          <w:p w:rsidR="00F26C3B" w:rsidRPr="009618E4" w:rsidRDefault="004D00FC" w:rsidP="004D00FC">
            <w:pPr>
              <w:rPr>
                <w:noProof/>
              </w:rPr>
            </w:pPr>
            <w:r>
              <w:rPr>
                <w:noProof/>
                <w:sz w:val="22"/>
              </w:rPr>
              <w:t xml:space="preserve">   </w:t>
            </w:r>
            <w:r w:rsidR="00513FB2" w:rsidRPr="009618E4">
              <w:rPr>
                <w:noProof/>
                <w:sz w:val="22"/>
              </w:rPr>
              <w:t xml:space="preserve"> &amp;</w:t>
            </w:r>
            <w:r>
              <w:rPr>
                <w:noProof/>
                <w:sz w:val="22"/>
              </w:rPr>
              <w:t> </w:t>
            </w:r>
            <w:r w:rsidR="00513FB2" w:rsidRPr="009618E4">
              <w:rPr>
                <w:noProof/>
                <w:sz w:val="22"/>
              </w:rPr>
              <w:t>numérique</w:t>
            </w:r>
          </w:p>
        </w:tc>
        <w:tc>
          <w:tcPr>
            <w:tcW w:w="1080" w:type="dxa"/>
            <w:vAlign w:val="center"/>
          </w:tcPr>
          <w:p w:rsidR="00F26C3B" w:rsidRPr="009618E4" w:rsidRDefault="00513FB2" w:rsidP="004D00FC">
            <w:pPr>
              <w:jc w:val="center"/>
              <w:rPr>
                <w:noProof/>
              </w:rPr>
            </w:pPr>
            <w:r w:rsidRPr="009618E4">
              <w:rPr>
                <w:noProof/>
                <w:sz w:val="18"/>
              </w:rPr>
              <w:t>CD/CND</w:t>
            </w:r>
            <w:r w:rsidRPr="009618E4">
              <w:rPr>
                <w:rStyle w:val="FootnoteReference"/>
                <w:noProof/>
              </w:rPr>
              <w:footnoteReference w:id="35"/>
            </w:r>
          </w:p>
        </w:tc>
        <w:tc>
          <w:tcPr>
            <w:tcW w:w="956" w:type="dxa"/>
            <w:vAlign w:val="center"/>
          </w:tcPr>
          <w:p w:rsidR="00F26C3B" w:rsidRPr="009618E4" w:rsidRDefault="00513FB2" w:rsidP="004D00FC">
            <w:pPr>
              <w:jc w:val="center"/>
              <w:rPr>
                <w:b/>
                <w:noProof/>
                <w:sz w:val="18"/>
              </w:rPr>
            </w:pPr>
            <w:r w:rsidRPr="009618E4">
              <w:rPr>
                <w:noProof/>
                <w:sz w:val="18"/>
              </w:rPr>
              <w:t>de pays AELE</w:t>
            </w:r>
            <w:r w:rsidRPr="009618E4">
              <w:rPr>
                <w:rStyle w:val="FootnoteReference"/>
                <w:noProof/>
              </w:rPr>
              <w:footnoteReference w:id="36"/>
            </w:r>
          </w:p>
        </w:tc>
        <w:tc>
          <w:tcPr>
            <w:tcW w:w="1080" w:type="dxa"/>
            <w:vAlign w:val="center"/>
          </w:tcPr>
          <w:p w:rsidR="00F26C3B" w:rsidRPr="009618E4" w:rsidRDefault="00513FB2" w:rsidP="004D00FC">
            <w:pPr>
              <w:jc w:val="center"/>
              <w:rPr>
                <w:noProof/>
                <w:sz w:val="18"/>
              </w:rPr>
            </w:pPr>
            <w:r w:rsidRPr="009618E4">
              <w:rPr>
                <w:noProof/>
                <w:sz w:val="18"/>
              </w:rPr>
              <w:t>de pays candidats</w:t>
            </w:r>
            <w:r w:rsidRPr="009618E4">
              <w:rPr>
                <w:rStyle w:val="FootnoteReference"/>
                <w:noProof/>
              </w:rPr>
              <w:footnoteReference w:id="37"/>
            </w:r>
          </w:p>
        </w:tc>
        <w:tc>
          <w:tcPr>
            <w:tcW w:w="956" w:type="dxa"/>
            <w:vAlign w:val="center"/>
          </w:tcPr>
          <w:p w:rsidR="00F26C3B" w:rsidRPr="009618E4" w:rsidRDefault="00513FB2">
            <w:pPr>
              <w:jc w:val="center"/>
              <w:rPr>
                <w:noProof/>
                <w:sz w:val="18"/>
              </w:rPr>
            </w:pPr>
            <w:r w:rsidRPr="009618E4">
              <w:rPr>
                <w:noProof/>
                <w:sz w:val="18"/>
              </w:rPr>
              <w:t>de pays tiers</w:t>
            </w:r>
          </w:p>
        </w:tc>
        <w:tc>
          <w:tcPr>
            <w:tcW w:w="1448" w:type="dxa"/>
            <w:vAlign w:val="center"/>
          </w:tcPr>
          <w:p w:rsidR="00F26C3B" w:rsidRPr="009618E4" w:rsidRDefault="00513FB2" w:rsidP="004D00FC">
            <w:pPr>
              <w:jc w:val="center"/>
              <w:rPr>
                <w:noProof/>
              </w:rPr>
            </w:pPr>
            <w:r w:rsidRPr="009618E4">
              <w:rPr>
                <w:noProof/>
                <w:sz w:val="16"/>
              </w:rPr>
              <w:t>au sens de l</w:t>
            </w:r>
            <w:r w:rsidR="00266719" w:rsidRPr="009618E4">
              <w:rPr>
                <w:noProof/>
                <w:sz w:val="16"/>
              </w:rPr>
              <w:t>’</w:t>
            </w:r>
            <w:r w:rsidRPr="009618E4">
              <w:rPr>
                <w:noProof/>
                <w:sz w:val="16"/>
              </w:rPr>
              <w:t>article [</w:t>
            </w:r>
            <w:r w:rsidRPr="0068119E">
              <w:rPr>
                <w:noProof/>
                <w:sz w:val="16"/>
              </w:rPr>
              <w:t>21</w:t>
            </w:r>
            <w:r w:rsidRPr="009618E4">
              <w:rPr>
                <w:noProof/>
                <w:sz w:val="16"/>
              </w:rPr>
              <w:t>, paragraphe </w:t>
            </w:r>
            <w:r w:rsidRPr="0068119E">
              <w:rPr>
                <w:noProof/>
                <w:sz w:val="16"/>
              </w:rPr>
              <w:t>2</w:t>
            </w:r>
            <w:r w:rsidRPr="009618E4">
              <w:rPr>
                <w:noProof/>
                <w:sz w:val="16"/>
              </w:rPr>
              <w:t>, point b),] du règlement financier</w:t>
            </w:r>
          </w:p>
        </w:tc>
      </w:tr>
      <w:tr w:rsidR="00F26C3B" w:rsidRPr="009618E4">
        <w:tc>
          <w:tcPr>
            <w:tcW w:w="1080" w:type="dxa"/>
            <w:vAlign w:val="center"/>
          </w:tcPr>
          <w:p w:rsidR="00F26C3B" w:rsidRPr="009618E4" w:rsidRDefault="00513FB2">
            <w:pPr>
              <w:jc w:val="center"/>
              <w:rPr>
                <w:noProof/>
                <w:color w:val="0000FF"/>
              </w:rPr>
            </w:pPr>
            <w:r w:rsidRPr="009618E4">
              <w:t>H</w:t>
            </w:r>
            <w:r w:rsidRPr="0068119E">
              <w:t>1</w:t>
            </w:r>
          </w:p>
        </w:tc>
        <w:tc>
          <w:tcPr>
            <w:tcW w:w="3960" w:type="dxa"/>
            <w:vAlign w:val="center"/>
          </w:tcPr>
          <w:p w:rsidR="003873D7" w:rsidRPr="009618E4" w:rsidRDefault="003873D7" w:rsidP="004D00FC">
            <w:pPr>
              <w:pStyle w:val="Point1letter"/>
              <w:numPr>
                <w:ilvl w:val="3"/>
                <w:numId w:val="0"/>
              </w:numPr>
              <w:spacing w:before="0"/>
              <w:jc w:val="left"/>
              <w:rPr>
                <w:noProof/>
                <w:color w:val="000000" w:themeColor="text1"/>
              </w:rPr>
            </w:pPr>
            <w:r w:rsidRPr="0068119E">
              <w:t>01</w:t>
            </w:r>
            <w:r w:rsidRPr="009618E4">
              <w:t>.</w:t>
            </w:r>
            <w:r w:rsidRPr="0068119E">
              <w:t>010301</w:t>
            </w:r>
            <w:r w:rsidRPr="009618E4">
              <w:t xml:space="preserve"> Dépenses relatives aux fonctionnaires et agents temporaires mettant en œuvre les programmes de recherche et d</w:t>
            </w:r>
            <w:r w:rsidR="00266719" w:rsidRPr="009618E4">
              <w:t>’</w:t>
            </w:r>
            <w:r w:rsidRPr="009618E4">
              <w:t>innovation – Programme Euratom</w:t>
            </w:r>
          </w:p>
          <w:p w:rsidR="003873D7" w:rsidRPr="009618E4" w:rsidRDefault="003873D7" w:rsidP="004D00FC">
            <w:pPr>
              <w:pStyle w:val="Point1letter"/>
              <w:numPr>
                <w:ilvl w:val="3"/>
                <w:numId w:val="0"/>
              </w:numPr>
              <w:spacing w:before="0"/>
              <w:jc w:val="left"/>
              <w:rPr>
                <w:noProof/>
                <w:color w:val="000000" w:themeColor="text1"/>
              </w:rPr>
            </w:pPr>
            <w:r w:rsidRPr="0068119E">
              <w:t>01</w:t>
            </w:r>
            <w:r w:rsidRPr="009618E4">
              <w:t>.</w:t>
            </w:r>
            <w:r w:rsidRPr="0068119E">
              <w:t>010302</w:t>
            </w:r>
            <w:r w:rsidRPr="009618E4">
              <w:t xml:space="preserve"> Personnel externe mettant en œuvre les programmes de recherche et d</w:t>
            </w:r>
            <w:r w:rsidR="00266719" w:rsidRPr="009618E4">
              <w:t>’</w:t>
            </w:r>
            <w:r w:rsidRPr="009618E4">
              <w:t>innovation – Programme Euratom</w:t>
            </w:r>
          </w:p>
          <w:p w:rsidR="003873D7" w:rsidRPr="009618E4" w:rsidRDefault="003873D7" w:rsidP="004D00FC">
            <w:pPr>
              <w:pStyle w:val="Point1letter"/>
              <w:numPr>
                <w:ilvl w:val="3"/>
                <w:numId w:val="0"/>
              </w:numPr>
              <w:jc w:val="left"/>
              <w:rPr>
                <w:noProof/>
              </w:rPr>
            </w:pPr>
            <w:r w:rsidRPr="0068119E">
              <w:t>01</w:t>
            </w:r>
            <w:r w:rsidRPr="009618E4">
              <w:t>.</w:t>
            </w:r>
            <w:r w:rsidRPr="0068119E">
              <w:t>010303</w:t>
            </w:r>
            <w:r w:rsidRPr="009618E4">
              <w:t xml:space="preserve"> Autres dépenses de gestion pour les programmes de recherche et d</w:t>
            </w:r>
            <w:r w:rsidR="00266719" w:rsidRPr="009618E4">
              <w:t>’</w:t>
            </w:r>
            <w:r w:rsidRPr="009618E4">
              <w:t>innovation – Programme Euratom</w:t>
            </w:r>
          </w:p>
          <w:p w:rsidR="003873D7" w:rsidRPr="009618E4" w:rsidRDefault="003873D7" w:rsidP="004D00FC">
            <w:pPr>
              <w:pStyle w:val="Point1letter"/>
              <w:numPr>
                <w:ilvl w:val="3"/>
                <w:numId w:val="0"/>
              </w:numPr>
              <w:jc w:val="left"/>
              <w:rPr>
                <w:noProof/>
              </w:rPr>
            </w:pPr>
          </w:p>
          <w:p w:rsidR="002B7932" w:rsidRPr="009618E4" w:rsidRDefault="00513FB2" w:rsidP="004D00FC">
            <w:pPr>
              <w:pStyle w:val="Point1letter"/>
              <w:numPr>
                <w:ilvl w:val="3"/>
                <w:numId w:val="0"/>
              </w:numPr>
              <w:jc w:val="left"/>
              <w:rPr>
                <w:noProof/>
              </w:rPr>
            </w:pPr>
            <w:r w:rsidRPr="0068119E">
              <w:t>01</w:t>
            </w:r>
            <w:r w:rsidRPr="009618E4">
              <w:t>.</w:t>
            </w:r>
            <w:r w:rsidRPr="0068119E">
              <w:t>030100</w:t>
            </w:r>
            <w:r w:rsidRPr="009618E4">
              <w:t xml:space="preserve"> Recherche et développement sur la fusion</w:t>
            </w:r>
          </w:p>
          <w:p w:rsidR="00F26C3B" w:rsidRPr="009618E4" w:rsidRDefault="002B7932" w:rsidP="004D00FC">
            <w:pPr>
              <w:pStyle w:val="Point1letter"/>
              <w:numPr>
                <w:ilvl w:val="3"/>
                <w:numId w:val="0"/>
              </w:numPr>
              <w:jc w:val="left"/>
              <w:rPr>
                <w:noProof/>
              </w:rPr>
            </w:pPr>
            <w:r w:rsidRPr="0068119E">
              <w:t>01</w:t>
            </w:r>
            <w:r w:rsidRPr="009618E4">
              <w:t>.</w:t>
            </w:r>
            <w:r w:rsidRPr="0068119E">
              <w:t>030201</w:t>
            </w:r>
            <w:r w:rsidRPr="009618E4">
              <w:t xml:space="preserve"> Fission nucléaire, sûreté et radioprotection</w:t>
            </w:r>
          </w:p>
          <w:p w:rsidR="00F26C3B" w:rsidRPr="009618E4" w:rsidRDefault="00513FB2" w:rsidP="004D00FC">
            <w:pPr>
              <w:pStyle w:val="Point1letter"/>
              <w:numPr>
                <w:ilvl w:val="3"/>
                <w:numId w:val="0"/>
              </w:numPr>
              <w:jc w:val="left"/>
              <w:rPr>
                <w:noProof/>
              </w:rPr>
            </w:pPr>
            <w:r w:rsidRPr="0068119E">
              <w:t>01</w:t>
            </w:r>
            <w:r w:rsidRPr="009618E4">
              <w:t>.</w:t>
            </w:r>
            <w:r w:rsidRPr="0068119E">
              <w:t>030202</w:t>
            </w:r>
            <w:r w:rsidRPr="009618E4">
              <w:t xml:space="preserve"> Actions directes menées par le Centre commun de recherche</w:t>
            </w:r>
          </w:p>
          <w:p w:rsidR="00F26C3B" w:rsidRPr="009618E4" w:rsidRDefault="00F26C3B" w:rsidP="004D00FC">
            <w:pPr>
              <w:pStyle w:val="Point1letter"/>
              <w:numPr>
                <w:ilvl w:val="3"/>
                <w:numId w:val="0"/>
              </w:numPr>
              <w:spacing w:before="0"/>
              <w:jc w:val="left"/>
              <w:rPr>
                <w:noProof/>
                <w:color w:val="000000" w:themeColor="text1"/>
              </w:rPr>
            </w:pPr>
          </w:p>
          <w:p w:rsidR="00F26C3B" w:rsidRPr="009618E4" w:rsidRDefault="00F26C3B">
            <w:pPr>
              <w:pStyle w:val="Point1letter"/>
              <w:numPr>
                <w:ilvl w:val="3"/>
                <w:numId w:val="0"/>
              </w:numPr>
              <w:spacing w:before="0"/>
              <w:rPr>
                <w:noProof/>
                <w:color w:val="000000" w:themeColor="text1"/>
              </w:rPr>
            </w:pPr>
          </w:p>
        </w:tc>
        <w:tc>
          <w:tcPr>
            <w:tcW w:w="1080" w:type="dxa"/>
            <w:vAlign w:val="center"/>
          </w:tcPr>
          <w:p w:rsidR="003873D7" w:rsidRPr="009618E4" w:rsidRDefault="003873D7">
            <w:pPr>
              <w:jc w:val="center"/>
              <w:rPr>
                <w:noProof/>
                <w:sz w:val="22"/>
              </w:rPr>
            </w:pPr>
            <w:r w:rsidRPr="009618E4">
              <w:rPr>
                <w:noProof/>
                <w:sz w:val="22"/>
              </w:rPr>
              <w:t>CND</w:t>
            </w:r>
          </w:p>
          <w:p w:rsidR="003873D7" w:rsidRPr="009618E4" w:rsidRDefault="003873D7">
            <w:pPr>
              <w:jc w:val="center"/>
              <w:rPr>
                <w:noProof/>
                <w:sz w:val="22"/>
              </w:rPr>
            </w:pPr>
          </w:p>
          <w:p w:rsidR="003873D7" w:rsidRPr="009618E4" w:rsidRDefault="003873D7">
            <w:pPr>
              <w:jc w:val="center"/>
              <w:rPr>
                <w:noProof/>
                <w:sz w:val="22"/>
              </w:rPr>
            </w:pPr>
          </w:p>
          <w:p w:rsidR="003873D7" w:rsidRPr="009618E4" w:rsidRDefault="003873D7">
            <w:pPr>
              <w:jc w:val="center"/>
              <w:rPr>
                <w:noProof/>
                <w:sz w:val="22"/>
              </w:rPr>
            </w:pPr>
          </w:p>
          <w:p w:rsidR="003873D7" w:rsidRPr="009618E4" w:rsidRDefault="003873D7">
            <w:pPr>
              <w:jc w:val="center"/>
              <w:rPr>
                <w:noProof/>
                <w:sz w:val="22"/>
              </w:rPr>
            </w:pPr>
          </w:p>
          <w:p w:rsidR="003873D7" w:rsidRPr="009618E4" w:rsidRDefault="003873D7">
            <w:pPr>
              <w:jc w:val="center"/>
              <w:rPr>
                <w:noProof/>
                <w:sz w:val="22"/>
              </w:rPr>
            </w:pPr>
          </w:p>
          <w:p w:rsidR="003873D7" w:rsidRPr="009618E4" w:rsidRDefault="003873D7">
            <w:pPr>
              <w:jc w:val="center"/>
              <w:rPr>
                <w:noProof/>
                <w:sz w:val="22"/>
              </w:rPr>
            </w:pPr>
          </w:p>
          <w:p w:rsidR="00F26C3B" w:rsidRPr="009618E4" w:rsidRDefault="00513FB2">
            <w:pPr>
              <w:jc w:val="center"/>
              <w:rPr>
                <w:noProof/>
                <w:color w:val="0000FF"/>
              </w:rPr>
            </w:pPr>
            <w:r w:rsidRPr="009618E4">
              <w:rPr>
                <w:noProof/>
                <w:sz w:val="22"/>
              </w:rPr>
              <w:t>CD</w:t>
            </w:r>
          </w:p>
        </w:tc>
        <w:tc>
          <w:tcPr>
            <w:tcW w:w="956" w:type="dxa"/>
            <w:vAlign w:val="center"/>
          </w:tcPr>
          <w:p w:rsidR="00F26C3B" w:rsidRPr="009618E4" w:rsidRDefault="00513FB2">
            <w:pPr>
              <w:jc w:val="center"/>
              <w:rPr>
                <w:noProof/>
              </w:rPr>
            </w:pPr>
            <w:r w:rsidRPr="009618E4">
              <w:rPr>
                <w:noProof/>
                <w:sz w:val="22"/>
              </w:rPr>
              <w:t>NON</w:t>
            </w:r>
          </w:p>
        </w:tc>
        <w:tc>
          <w:tcPr>
            <w:tcW w:w="1080" w:type="dxa"/>
            <w:vAlign w:val="center"/>
          </w:tcPr>
          <w:p w:rsidR="00F26C3B" w:rsidRPr="009618E4" w:rsidRDefault="00513FB2">
            <w:pPr>
              <w:jc w:val="center"/>
              <w:rPr>
                <w:noProof/>
              </w:rPr>
            </w:pPr>
            <w:r w:rsidRPr="009618E4">
              <w:rPr>
                <w:noProof/>
                <w:sz w:val="22"/>
              </w:rPr>
              <w:t>OUI</w:t>
            </w:r>
          </w:p>
        </w:tc>
        <w:tc>
          <w:tcPr>
            <w:tcW w:w="956" w:type="dxa"/>
            <w:vAlign w:val="center"/>
          </w:tcPr>
          <w:p w:rsidR="00F26C3B" w:rsidRPr="009618E4" w:rsidRDefault="00513FB2">
            <w:pPr>
              <w:jc w:val="center"/>
              <w:rPr>
                <w:noProof/>
              </w:rPr>
            </w:pPr>
            <w:r w:rsidRPr="009618E4">
              <w:rPr>
                <w:noProof/>
                <w:sz w:val="22"/>
              </w:rPr>
              <w:t>OUI</w:t>
            </w:r>
          </w:p>
        </w:tc>
        <w:tc>
          <w:tcPr>
            <w:tcW w:w="1448" w:type="dxa"/>
            <w:vAlign w:val="center"/>
          </w:tcPr>
          <w:p w:rsidR="00F26C3B" w:rsidRPr="009618E4" w:rsidRDefault="00513FB2">
            <w:pPr>
              <w:jc w:val="center"/>
              <w:rPr>
                <w:noProof/>
              </w:rPr>
            </w:pPr>
            <w:r w:rsidRPr="009618E4">
              <w:rPr>
                <w:noProof/>
                <w:sz w:val="22"/>
              </w:rPr>
              <w:t>NON</w:t>
            </w:r>
          </w:p>
        </w:tc>
      </w:tr>
    </w:tbl>
    <w:p w:rsidR="00F26C3B" w:rsidRPr="009618E4" w:rsidRDefault="00F26C3B">
      <w:pPr>
        <w:rPr>
          <w:noProof/>
        </w:rPr>
        <w:sectPr w:rsidR="00F26C3B" w:rsidRPr="009618E4" w:rsidSect="00CE7948">
          <w:pgSz w:w="11907" w:h="16840" w:code="1"/>
          <w:pgMar w:top="1134" w:right="1418" w:bottom="1134" w:left="1418" w:header="709" w:footer="709" w:gutter="0"/>
          <w:cols w:space="708"/>
          <w:docGrid w:linePitch="360"/>
        </w:sectPr>
      </w:pPr>
    </w:p>
    <w:p w:rsidR="00F26C3B" w:rsidRPr="009618E4" w:rsidRDefault="00513FB2">
      <w:pPr>
        <w:pStyle w:val="ManualHeading2"/>
        <w:rPr>
          <w:bCs/>
          <w:noProof/>
          <w:szCs w:val="24"/>
        </w:rPr>
      </w:pPr>
      <w:r w:rsidRPr="0068119E">
        <w:t>3</w:t>
      </w:r>
      <w:r w:rsidRPr="009618E4">
        <w:t>.</w:t>
      </w:r>
      <w:r w:rsidRPr="0068119E">
        <w:t>2</w:t>
      </w:r>
      <w:r w:rsidRPr="009618E4">
        <w:t>.</w:t>
      </w:r>
      <w:r w:rsidRPr="009618E4">
        <w:tab/>
        <w:t>Incidence estimée sur les dépenses</w:t>
      </w:r>
    </w:p>
    <w:p w:rsidR="00F26C3B" w:rsidRPr="009618E4" w:rsidRDefault="00513FB2">
      <w:pPr>
        <w:pStyle w:val="ManualHeading3"/>
        <w:rPr>
          <w:noProof/>
          <w:u w:val="single"/>
        </w:rPr>
      </w:pPr>
      <w:r w:rsidRPr="0068119E">
        <w:t>3</w:t>
      </w:r>
      <w:r w:rsidRPr="009618E4">
        <w:t>.</w:t>
      </w:r>
      <w:r w:rsidRPr="0068119E">
        <w:t>2</w:t>
      </w:r>
      <w:r w:rsidRPr="009618E4">
        <w:t>.</w:t>
      </w:r>
      <w:r w:rsidRPr="0068119E">
        <w:t>1</w:t>
      </w:r>
      <w:r w:rsidRPr="009618E4">
        <w:t>.</w:t>
      </w:r>
      <w:r w:rsidRPr="009618E4">
        <w:tab/>
        <w:t>Synthèse de l</w:t>
      </w:r>
      <w:r w:rsidR="00266719" w:rsidRPr="009618E4">
        <w:t>’</w:t>
      </w:r>
      <w:r w:rsidRPr="009618E4">
        <w:t>incidence estimée sur les dépenses</w:t>
      </w:r>
    </w:p>
    <w:p w:rsidR="00F26C3B" w:rsidRPr="009618E4" w:rsidRDefault="00513FB2">
      <w:pPr>
        <w:jc w:val="right"/>
        <w:rPr>
          <w:noProof/>
          <w:sz w:val="20"/>
        </w:rPr>
      </w:pPr>
      <w:r w:rsidRPr="009618E4">
        <w:rPr>
          <w:noProof/>
          <w:sz w:val="20"/>
        </w:rPr>
        <w:t xml:space="preserve">En Mio EUR (à la </w:t>
      </w:r>
      <w:r w:rsidRPr="0068119E">
        <w:rPr>
          <w:noProof/>
          <w:sz w:val="20"/>
        </w:rPr>
        <w:t>3</w:t>
      </w:r>
      <w:r w:rsidRPr="009618E4">
        <w:rPr>
          <w:noProof/>
          <w:sz w:val="20"/>
          <w:vertAlign w:val="superscript"/>
        </w:rPr>
        <w:t>e</w:t>
      </w:r>
      <w:r w:rsidRPr="009618E4">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26C3B" w:rsidRPr="009618E4">
        <w:trPr>
          <w:jc w:val="center"/>
        </w:trPr>
        <w:tc>
          <w:tcPr>
            <w:tcW w:w="4744" w:type="dxa"/>
            <w:shd w:val="thinDiagStripe" w:color="C0C0C0" w:fill="auto"/>
            <w:vAlign w:val="center"/>
          </w:tcPr>
          <w:p w:rsidR="00F26C3B" w:rsidRPr="009618E4" w:rsidRDefault="00513FB2" w:rsidP="004D00FC">
            <w:pPr>
              <w:spacing w:before="60" w:after="60"/>
              <w:jc w:val="center"/>
              <w:rPr>
                <w:b/>
                <w:noProof/>
              </w:rPr>
            </w:pPr>
            <w:r w:rsidRPr="009618E4">
              <w:rPr>
                <w:b/>
                <w:noProof/>
                <w:sz w:val="22"/>
              </w:rPr>
              <w:t>Rubrique du cadre financier pluriannuel</w:t>
            </w:r>
          </w:p>
        </w:tc>
        <w:tc>
          <w:tcPr>
            <w:tcW w:w="1080" w:type="dxa"/>
            <w:vAlign w:val="center"/>
          </w:tcPr>
          <w:p w:rsidR="00F26C3B" w:rsidRPr="009618E4" w:rsidRDefault="00513FB2">
            <w:pPr>
              <w:spacing w:before="60" w:after="60"/>
              <w:jc w:val="center"/>
              <w:rPr>
                <w:noProof/>
              </w:rPr>
            </w:pPr>
            <w:r w:rsidRPr="0068119E">
              <w:rPr>
                <w:b/>
                <w:noProof/>
                <w:sz w:val="22"/>
              </w:rPr>
              <w:t>1</w:t>
            </w:r>
            <w:r w:rsidRPr="009618E4">
              <w:rPr>
                <w:b/>
                <w:noProof/>
                <w:sz w:val="22"/>
              </w:rPr>
              <w:t>.</w:t>
            </w:r>
          </w:p>
        </w:tc>
        <w:tc>
          <w:tcPr>
            <w:tcW w:w="7817" w:type="dxa"/>
            <w:vAlign w:val="center"/>
          </w:tcPr>
          <w:p w:rsidR="00F26C3B" w:rsidRPr="009618E4" w:rsidRDefault="00513FB2">
            <w:pPr>
              <w:spacing w:before="60" w:after="60"/>
              <w:rPr>
                <w:noProof/>
              </w:rPr>
            </w:pPr>
            <w:r w:rsidRPr="009618E4">
              <w:rPr>
                <w:noProof/>
                <w:sz w:val="22"/>
              </w:rPr>
              <w:t>Marché unique, innovation &amp; numérique</w:t>
            </w:r>
          </w:p>
        </w:tc>
      </w:tr>
    </w:tbl>
    <w:p w:rsidR="00F26C3B" w:rsidRPr="009618E4" w:rsidRDefault="00F26C3B">
      <w:pPr>
        <w:rPr>
          <w:noProof/>
          <w:sz w:val="16"/>
        </w:rPr>
      </w:pPr>
    </w:p>
    <w:tbl>
      <w:tblPr>
        <w:tblW w:w="12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1289"/>
      </w:tblGrid>
      <w:tr w:rsidR="00F26C3B" w:rsidRPr="009618E4">
        <w:trPr>
          <w:jc w:val="center"/>
        </w:trPr>
        <w:tc>
          <w:tcPr>
            <w:tcW w:w="6197" w:type="dxa"/>
            <w:gridSpan w:val="3"/>
            <w:tcBorders>
              <w:top w:val="nil"/>
              <w:left w:val="nil"/>
              <w:bottom w:val="nil"/>
              <w:right w:val="single" w:sz="4" w:space="0" w:color="auto"/>
            </w:tcBorders>
            <w:vAlign w:val="center"/>
          </w:tcPr>
          <w:p w:rsidR="00F26C3B" w:rsidRPr="009618E4" w:rsidRDefault="00F26C3B">
            <w:pPr>
              <w:jc w:val="center"/>
              <w:rPr>
                <w:b/>
                <w:noProof/>
                <w:sz w:val="20"/>
              </w:rPr>
            </w:pPr>
          </w:p>
        </w:tc>
        <w:tc>
          <w:tcPr>
            <w:tcW w:w="868" w:type="dxa"/>
            <w:tcBorders>
              <w:left w:val="single" w:sz="4" w:space="0" w:color="auto"/>
            </w:tcBorders>
            <w:vAlign w:val="center"/>
          </w:tcPr>
          <w:p w:rsidR="00F26C3B" w:rsidRPr="009618E4" w:rsidRDefault="00513FB2">
            <w:pPr>
              <w:jc w:val="center"/>
              <w:rPr>
                <w:b/>
                <w:noProof/>
                <w:sz w:val="20"/>
              </w:rPr>
            </w:pPr>
            <w:r w:rsidRPr="0068119E">
              <w:rPr>
                <w:b/>
                <w:noProof/>
                <w:sz w:val="20"/>
              </w:rPr>
              <w:t>2021</w:t>
            </w:r>
          </w:p>
        </w:tc>
        <w:tc>
          <w:tcPr>
            <w:tcW w:w="868" w:type="dxa"/>
            <w:vAlign w:val="center"/>
          </w:tcPr>
          <w:p w:rsidR="00F26C3B" w:rsidRPr="009618E4" w:rsidRDefault="00513FB2">
            <w:pPr>
              <w:jc w:val="center"/>
              <w:rPr>
                <w:b/>
                <w:noProof/>
                <w:sz w:val="20"/>
              </w:rPr>
            </w:pPr>
            <w:r w:rsidRPr="0068119E">
              <w:rPr>
                <w:b/>
                <w:noProof/>
                <w:sz w:val="20"/>
              </w:rPr>
              <w:t>2022</w:t>
            </w:r>
          </w:p>
        </w:tc>
        <w:tc>
          <w:tcPr>
            <w:tcW w:w="868" w:type="dxa"/>
            <w:vAlign w:val="center"/>
          </w:tcPr>
          <w:p w:rsidR="00F26C3B" w:rsidRPr="009618E4" w:rsidRDefault="00513FB2">
            <w:pPr>
              <w:jc w:val="center"/>
              <w:rPr>
                <w:b/>
                <w:noProof/>
                <w:sz w:val="20"/>
              </w:rPr>
            </w:pPr>
            <w:r w:rsidRPr="0068119E">
              <w:rPr>
                <w:b/>
                <w:noProof/>
                <w:sz w:val="20"/>
              </w:rPr>
              <w:t>2023</w:t>
            </w:r>
          </w:p>
        </w:tc>
        <w:tc>
          <w:tcPr>
            <w:tcW w:w="868" w:type="dxa"/>
            <w:vAlign w:val="center"/>
          </w:tcPr>
          <w:p w:rsidR="00F26C3B" w:rsidRPr="009618E4" w:rsidRDefault="00513FB2">
            <w:pPr>
              <w:jc w:val="center"/>
              <w:rPr>
                <w:b/>
                <w:noProof/>
                <w:sz w:val="20"/>
              </w:rPr>
            </w:pPr>
            <w:r w:rsidRPr="0068119E">
              <w:rPr>
                <w:b/>
                <w:noProof/>
                <w:sz w:val="20"/>
              </w:rPr>
              <w:t>2024</w:t>
            </w:r>
          </w:p>
        </w:tc>
        <w:tc>
          <w:tcPr>
            <w:tcW w:w="868" w:type="dxa"/>
            <w:vAlign w:val="center"/>
          </w:tcPr>
          <w:p w:rsidR="00F26C3B" w:rsidRPr="009618E4" w:rsidRDefault="00513FB2">
            <w:pPr>
              <w:jc w:val="center"/>
              <w:rPr>
                <w:b/>
                <w:noProof/>
                <w:sz w:val="18"/>
              </w:rPr>
            </w:pPr>
            <w:r w:rsidRPr="0068119E">
              <w:rPr>
                <w:b/>
                <w:noProof/>
                <w:sz w:val="18"/>
              </w:rPr>
              <w:t>2025</w:t>
            </w:r>
          </w:p>
        </w:tc>
        <w:tc>
          <w:tcPr>
            <w:tcW w:w="868" w:type="dxa"/>
            <w:tcBorders>
              <w:bottom w:val="single" w:sz="4" w:space="0" w:color="auto"/>
            </w:tcBorders>
            <w:vAlign w:val="center"/>
          </w:tcPr>
          <w:p w:rsidR="00F26C3B" w:rsidRPr="009618E4" w:rsidRDefault="00513FB2">
            <w:pPr>
              <w:jc w:val="center"/>
              <w:rPr>
                <w:b/>
                <w:noProof/>
                <w:sz w:val="18"/>
              </w:rPr>
            </w:pPr>
            <w:r w:rsidRPr="009618E4">
              <w:rPr>
                <w:b/>
                <w:noProof/>
                <w:sz w:val="18"/>
              </w:rPr>
              <w:t xml:space="preserve">Après </w:t>
            </w:r>
            <w:r w:rsidRPr="0068119E">
              <w:rPr>
                <w:b/>
                <w:noProof/>
                <w:sz w:val="18"/>
              </w:rPr>
              <w:t>2025</w:t>
            </w:r>
          </w:p>
        </w:tc>
        <w:tc>
          <w:tcPr>
            <w:tcW w:w="1289" w:type="dxa"/>
            <w:vAlign w:val="center"/>
          </w:tcPr>
          <w:p w:rsidR="00F26C3B" w:rsidRPr="009618E4" w:rsidRDefault="00513FB2">
            <w:pPr>
              <w:jc w:val="center"/>
              <w:rPr>
                <w:b/>
                <w:noProof/>
                <w:sz w:val="20"/>
              </w:rPr>
            </w:pPr>
            <w:r w:rsidRPr="009618E4">
              <w:rPr>
                <w:b/>
                <w:noProof/>
                <w:sz w:val="20"/>
              </w:rPr>
              <w:t>TOTAL</w:t>
            </w:r>
          </w:p>
        </w:tc>
      </w:tr>
      <w:tr w:rsidR="00587744" w:rsidRPr="009618E4" w:rsidTr="00955F36">
        <w:trPr>
          <w:trHeight w:val="433"/>
          <w:jc w:val="center"/>
        </w:trPr>
        <w:tc>
          <w:tcPr>
            <w:tcW w:w="4103" w:type="dxa"/>
            <w:vMerge w:val="restart"/>
            <w:vAlign w:val="center"/>
          </w:tcPr>
          <w:p w:rsidR="00587744" w:rsidRPr="009618E4" w:rsidRDefault="00587744" w:rsidP="004D00FC">
            <w:pPr>
              <w:rPr>
                <w:noProof/>
              </w:rPr>
            </w:pPr>
            <w:r w:rsidRPr="009618E4">
              <w:rPr>
                <w:noProof/>
                <w:sz w:val="20"/>
              </w:rPr>
              <w:t>Crédits opérationnels (répartis en fonction des lignes budgétaires énumérées au point </w:t>
            </w:r>
            <w:r w:rsidRPr="0068119E">
              <w:rPr>
                <w:noProof/>
                <w:sz w:val="20"/>
              </w:rPr>
              <w:t>3</w:t>
            </w:r>
            <w:r w:rsidRPr="009618E4">
              <w:rPr>
                <w:noProof/>
                <w:sz w:val="20"/>
              </w:rPr>
              <w:t>.</w:t>
            </w:r>
            <w:r w:rsidRPr="0068119E">
              <w:rPr>
                <w:noProof/>
                <w:sz w:val="20"/>
              </w:rPr>
              <w:t>1</w:t>
            </w:r>
            <w:r w:rsidRPr="009618E4">
              <w:rPr>
                <w:noProof/>
                <w:sz w:val="20"/>
              </w:rPr>
              <w:t>)</w:t>
            </w:r>
          </w:p>
        </w:tc>
        <w:tc>
          <w:tcPr>
            <w:tcW w:w="1440" w:type="dxa"/>
            <w:vAlign w:val="center"/>
          </w:tcPr>
          <w:p w:rsidR="00587744" w:rsidRPr="009618E4" w:rsidRDefault="002B7932">
            <w:pPr>
              <w:spacing w:before="20" w:after="20"/>
              <w:jc w:val="left"/>
              <w:rPr>
                <w:noProof/>
                <w:sz w:val="18"/>
              </w:rPr>
            </w:pPr>
            <w:r w:rsidRPr="009618E4">
              <w:rPr>
                <w:noProof/>
                <w:sz w:val="18"/>
              </w:rPr>
              <w:t>Engagements</w:t>
            </w:r>
          </w:p>
        </w:tc>
        <w:tc>
          <w:tcPr>
            <w:tcW w:w="654" w:type="dxa"/>
            <w:vAlign w:val="center"/>
          </w:tcPr>
          <w:p w:rsidR="00587744" w:rsidRPr="009618E4" w:rsidRDefault="00587744">
            <w:pPr>
              <w:spacing w:before="20" w:after="20"/>
              <w:jc w:val="center"/>
              <w:rPr>
                <w:noProof/>
                <w:sz w:val="14"/>
              </w:rPr>
            </w:pPr>
            <w:r w:rsidRPr="009618E4">
              <w:rPr>
                <w:noProof/>
                <w:sz w:val="14"/>
              </w:rPr>
              <w:t>(</w:t>
            </w:r>
            <w:r w:rsidRPr="0068119E">
              <w:rPr>
                <w:noProof/>
                <w:sz w:val="14"/>
              </w:rPr>
              <w:t>1</w:t>
            </w:r>
            <w:r w:rsidRPr="009618E4">
              <w:rPr>
                <w:noProof/>
                <w:sz w:val="14"/>
              </w:rPr>
              <w:t>)</w:t>
            </w:r>
          </w:p>
        </w:tc>
        <w:tc>
          <w:tcPr>
            <w:tcW w:w="868" w:type="dxa"/>
          </w:tcPr>
          <w:p w:rsidR="00587744" w:rsidRPr="009618E4" w:rsidRDefault="002B7932">
            <w:pPr>
              <w:spacing w:before="20" w:after="20"/>
              <w:jc w:val="right"/>
              <w:rPr>
                <w:noProof/>
                <w:sz w:val="20"/>
              </w:rPr>
            </w:pPr>
            <w:r w:rsidRPr="0068119E">
              <w:rPr>
                <w:color w:val="000000"/>
                <w:sz w:val="20"/>
              </w:rPr>
              <w:t>202</w:t>
            </w:r>
            <w:r w:rsidRPr="009618E4">
              <w:rPr>
                <w:color w:val="000000"/>
                <w:sz w:val="20"/>
              </w:rPr>
              <w:t>,</w:t>
            </w:r>
            <w:r w:rsidRPr="0068119E">
              <w:rPr>
                <w:color w:val="000000"/>
                <w:sz w:val="20"/>
              </w:rPr>
              <w:t>364</w:t>
            </w:r>
          </w:p>
        </w:tc>
        <w:tc>
          <w:tcPr>
            <w:tcW w:w="868" w:type="dxa"/>
          </w:tcPr>
          <w:p w:rsidR="00587744" w:rsidRPr="009618E4" w:rsidRDefault="002B7932">
            <w:pPr>
              <w:spacing w:before="20" w:after="20"/>
              <w:jc w:val="right"/>
              <w:rPr>
                <w:noProof/>
                <w:sz w:val="20"/>
              </w:rPr>
            </w:pPr>
            <w:r w:rsidRPr="0068119E">
              <w:rPr>
                <w:color w:val="000000"/>
                <w:sz w:val="20"/>
              </w:rPr>
              <w:t>205</w:t>
            </w:r>
            <w:r w:rsidRPr="009618E4">
              <w:rPr>
                <w:color w:val="000000"/>
                <w:sz w:val="20"/>
              </w:rPr>
              <w:t>,</w:t>
            </w:r>
            <w:r w:rsidRPr="0068119E">
              <w:rPr>
                <w:color w:val="000000"/>
                <w:sz w:val="20"/>
              </w:rPr>
              <w:t>998</w:t>
            </w:r>
          </w:p>
        </w:tc>
        <w:tc>
          <w:tcPr>
            <w:tcW w:w="868" w:type="dxa"/>
          </w:tcPr>
          <w:p w:rsidR="00587744" w:rsidRPr="009618E4" w:rsidRDefault="002B7932">
            <w:pPr>
              <w:spacing w:before="20" w:after="20"/>
              <w:jc w:val="right"/>
              <w:rPr>
                <w:noProof/>
                <w:sz w:val="20"/>
              </w:rPr>
            </w:pPr>
            <w:r w:rsidRPr="0068119E">
              <w:rPr>
                <w:color w:val="000000"/>
                <w:sz w:val="20"/>
              </w:rPr>
              <w:t>210</w:t>
            </w:r>
            <w:r w:rsidRPr="009618E4">
              <w:rPr>
                <w:color w:val="000000"/>
                <w:sz w:val="20"/>
              </w:rPr>
              <w:t>,</w:t>
            </w:r>
            <w:r w:rsidRPr="0068119E">
              <w:rPr>
                <w:color w:val="000000"/>
                <w:sz w:val="20"/>
              </w:rPr>
              <w:t>531</w:t>
            </w:r>
          </w:p>
        </w:tc>
        <w:tc>
          <w:tcPr>
            <w:tcW w:w="868" w:type="dxa"/>
          </w:tcPr>
          <w:p w:rsidR="00587744" w:rsidRPr="009618E4" w:rsidRDefault="002B7932">
            <w:pPr>
              <w:spacing w:before="20" w:after="20"/>
              <w:jc w:val="right"/>
              <w:rPr>
                <w:noProof/>
                <w:sz w:val="20"/>
              </w:rPr>
            </w:pPr>
            <w:r w:rsidRPr="0068119E">
              <w:rPr>
                <w:color w:val="000000"/>
                <w:sz w:val="20"/>
              </w:rPr>
              <w:t>214</w:t>
            </w:r>
            <w:r w:rsidRPr="009618E4">
              <w:rPr>
                <w:color w:val="000000"/>
                <w:sz w:val="20"/>
              </w:rPr>
              <w:t>,</w:t>
            </w:r>
            <w:r w:rsidRPr="0068119E">
              <w:rPr>
                <w:color w:val="000000"/>
                <w:sz w:val="20"/>
              </w:rPr>
              <w:t>085</w:t>
            </w:r>
          </w:p>
        </w:tc>
        <w:tc>
          <w:tcPr>
            <w:tcW w:w="868" w:type="dxa"/>
          </w:tcPr>
          <w:p w:rsidR="00587744" w:rsidRPr="009618E4" w:rsidRDefault="002B7932">
            <w:pPr>
              <w:spacing w:before="20" w:after="20"/>
              <w:jc w:val="right"/>
              <w:rPr>
                <w:noProof/>
                <w:sz w:val="20"/>
              </w:rPr>
            </w:pPr>
            <w:r w:rsidRPr="0068119E">
              <w:rPr>
                <w:color w:val="000000"/>
                <w:sz w:val="20"/>
              </w:rPr>
              <w:t>219</w:t>
            </w:r>
            <w:r w:rsidRPr="009618E4">
              <w:rPr>
                <w:color w:val="000000"/>
                <w:sz w:val="20"/>
              </w:rPr>
              <w:t>,</w:t>
            </w:r>
            <w:r w:rsidRPr="0068119E">
              <w:rPr>
                <w:color w:val="000000"/>
                <w:sz w:val="20"/>
              </w:rPr>
              <w:t>475</w:t>
            </w:r>
          </w:p>
        </w:tc>
        <w:tc>
          <w:tcPr>
            <w:tcW w:w="868" w:type="dxa"/>
            <w:shd w:val="clear" w:color="auto" w:fill="7F7F7F" w:themeFill="text1" w:themeFillTint="80"/>
          </w:tcPr>
          <w:p w:rsidR="00587744" w:rsidRPr="009618E4" w:rsidRDefault="00587744">
            <w:pPr>
              <w:spacing w:before="20" w:after="20"/>
              <w:jc w:val="right"/>
              <w:rPr>
                <w:noProof/>
                <w:sz w:val="20"/>
              </w:rPr>
            </w:pPr>
          </w:p>
        </w:tc>
        <w:tc>
          <w:tcPr>
            <w:tcW w:w="1289" w:type="dxa"/>
          </w:tcPr>
          <w:p w:rsidR="00587744" w:rsidRPr="009618E4" w:rsidRDefault="002B7932">
            <w:pPr>
              <w:spacing w:before="20" w:after="20"/>
              <w:jc w:val="right"/>
              <w:rPr>
                <w:b/>
                <w:noProof/>
                <w:sz w:val="20"/>
              </w:rPr>
            </w:pPr>
            <w:r w:rsidRPr="0068119E">
              <w:rPr>
                <w:color w:val="000000"/>
                <w:sz w:val="20"/>
              </w:rPr>
              <w:t>1</w:t>
            </w:r>
            <w:r w:rsidRPr="009618E4">
              <w:rPr>
                <w:color w:val="000000"/>
                <w:sz w:val="20"/>
              </w:rPr>
              <w:t> </w:t>
            </w:r>
            <w:r w:rsidRPr="0068119E">
              <w:rPr>
                <w:color w:val="000000"/>
                <w:sz w:val="20"/>
              </w:rPr>
              <w:t>052</w:t>
            </w:r>
            <w:r w:rsidRPr="009618E4">
              <w:rPr>
                <w:color w:val="000000"/>
                <w:sz w:val="20"/>
              </w:rPr>
              <w:t>,</w:t>
            </w:r>
            <w:r w:rsidRPr="0068119E">
              <w:rPr>
                <w:color w:val="000000"/>
                <w:sz w:val="20"/>
              </w:rPr>
              <w:t>453</w:t>
            </w:r>
          </w:p>
        </w:tc>
      </w:tr>
      <w:tr w:rsidR="00587744" w:rsidRPr="009618E4" w:rsidTr="00955F36">
        <w:trPr>
          <w:trHeight w:val="411"/>
          <w:jc w:val="center"/>
        </w:trPr>
        <w:tc>
          <w:tcPr>
            <w:tcW w:w="4103" w:type="dxa"/>
            <w:vMerge/>
          </w:tcPr>
          <w:p w:rsidR="00587744" w:rsidRPr="009618E4" w:rsidRDefault="00587744">
            <w:pPr>
              <w:jc w:val="center"/>
              <w:rPr>
                <w:noProof/>
                <w:sz w:val="20"/>
              </w:rPr>
            </w:pPr>
          </w:p>
        </w:tc>
        <w:tc>
          <w:tcPr>
            <w:tcW w:w="1440" w:type="dxa"/>
            <w:vAlign w:val="center"/>
          </w:tcPr>
          <w:p w:rsidR="00587744" w:rsidRPr="009618E4" w:rsidRDefault="00587744">
            <w:pPr>
              <w:spacing w:before="20" w:after="20"/>
              <w:jc w:val="left"/>
              <w:rPr>
                <w:noProof/>
                <w:sz w:val="18"/>
              </w:rPr>
            </w:pPr>
            <w:r w:rsidRPr="009618E4">
              <w:rPr>
                <w:noProof/>
                <w:sz w:val="18"/>
              </w:rPr>
              <w:t>Paiements</w:t>
            </w:r>
          </w:p>
        </w:tc>
        <w:tc>
          <w:tcPr>
            <w:tcW w:w="654" w:type="dxa"/>
            <w:vAlign w:val="center"/>
          </w:tcPr>
          <w:p w:rsidR="00587744" w:rsidRPr="009618E4" w:rsidRDefault="00587744">
            <w:pPr>
              <w:spacing w:before="20" w:after="20"/>
              <w:jc w:val="center"/>
              <w:rPr>
                <w:noProof/>
                <w:sz w:val="14"/>
              </w:rPr>
            </w:pPr>
            <w:r w:rsidRPr="009618E4">
              <w:rPr>
                <w:noProof/>
                <w:sz w:val="14"/>
              </w:rPr>
              <w:t>(</w:t>
            </w:r>
            <w:r w:rsidRPr="0068119E">
              <w:rPr>
                <w:noProof/>
                <w:sz w:val="14"/>
              </w:rPr>
              <w:t>2</w:t>
            </w:r>
            <w:r w:rsidRPr="009618E4">
              <w:rPr>
                <w:noProof/>
                <w:sz w:val="14"/>
              </w:rPr>
              <w:t>)</w:t>
            </w:r>
          </w:p>
        </w:tc>
        <w:tc>
          <w:tcPr>
            <w:tcW w:w="868" w:type="dxa"/>
          </w:tcPr>
          <w:p w:rsidR="00587744" w:rsidRPr="009618E4" w:rsidRDefault="002B7932">
            <w:pPr>
              <w:spacing w:before="20" w:after="20"/>
              <w:jc w:val="right"/>
              <w:rPr>
                <w:noProof/>
                <w:sz w:val="20"/>
              </w:rPr>
            </w:pPr>
            <w:r w:rsidRPr="0068119E">
              <w:rPr>
                <w:color w:val="000000"/>
                <w:sz w:val="20"/>
              </w:rPr>
              <w:t>4</w:t>
            </w:r>
            <w:r w:rsidRPr="009618E4">
              <w:rPr>
                <w:color w:val="000000"/>
                <w:sz w:val="20"/>
              </w:rPr>
              <w:t>,</w:t>
            </w:r>
            <w:r w:rsidRPr="0068119E">
              <w:rPr>
                <w:color w:val="000000"/>
                <w:sz w:val="20"/>
              </w:rPr>
              <w:t>171</w:t>
            </w:r>
          </w:p>
        </w:tc>
        <w:tc>
          <w:tcPr>
            <w:tcW w:w="868" w:type="dxa"/>
          </w:tcPr>
          <w:p w:rsidR="00587744" w:rsidRPr="009618E4" w:rsidRDefault="002B7932">
            <w:pPr>
              <w:spacing w:before="20" w:after="20"/>
              <w:jc w:val="right"/>
              <w:rPr>
                <w:noProof/>
                <w:sz w:val="20"/>
              </w:rPr>
            </w:pPr>
            <w:r w:rsidRPr="0068119E">
              <w:rPr>
                <w:color w:val="000000"/>
                <w:sz w:val="20"/>
              </w:rPr>
              <w:t>174</w:t>
            </w:r>
            <w:r w:rsidRPr="009618E4">
              <w:rPr>
                <w:color w:val="000000"/>
                <w:sz w:val="20"/>
              </w:rPr>
              <w:t>,</w:t>
            </w:r>
            <w:r w:rsidRPr="0068119E">
              <w:rPr>
                <w:color w:val="000000"/>
                <w:sz w:val="20"/>
              </w:rPr>
              <w:t>120</w:t>
            </w:r>
          </w:p>
        </w:tc>
        <w:tc>
          <w:tcPr>
            <w:tcW w:w="868" w:type="dxa"/>
          </w:tcPr>
          <w:p w:rsidR="00587744" w:rsidRPr="009618E4" w:rsidRDefault="002B7932">
            <w:pPr>
              <w:spacing w:before="20" w:after="20"/>
              <w:jc w:val="right"/>
              <w:rPr>
                <w:noProof/>
                <w:sz w:val="20"/>
              </w:rPr>
            </w:pPr>
            <w:r w:rsidRPr="0068119E">
              <w:rPr>
                <w:color w:val="000000"/>
                <w:sz w:val="20"/>
              </w:rPr>
              <w:t>180</w:t>
            </w:r>
            <w:r w:rsidRPr="009618E4">
              <w:rPr>
                <w:color w:val="000000"/>
                <w:sz w:val="20"/>
              </w:rPr>
              <w:t>,</w:t>
            </w:r>
            <w:r w:rsidRPr="0068119E">
              <w:rPr>
                <w:color w:val="000000"/>
                <w:sz w:val="20"/>
              </w:rPr>
              <w:t>924</w:t>
            </w:r>
          </w:p>
        </w:tc>
        <w:tc>
          <w:tcPr>
            <w:tcW w:w="868" w:type="dxa"/>
          </w:tcPr>
          <w:p w:rsidR="00587744" w:rsidRPr="009618E4" w:rsidRDefault="002B7932">
            <w:pPr>
              <w:spacing w:before="20" w:after="20"/>
              <w:jc w:val="right"/>
              <w:rPr>
                <w:noProof/>
                <w:sz w:val="20"/>
              </w:rPr>
            </w:pPr>
            <w:r w:rsidRPr="0068119E">
              <w:rPr>
                <w:color w:val="000000"/>
                <w:sz w:val="20"/>
              </w:rPr>
              <w:t>196</w:t>
            </w:r>
            <w:r w:rsidRPr="009618E4">
              <w:rPr>
                <w:color w:val="000000"/>
                <w:sz w:val="20"/>
              </w:rPr>
              <w:t>,</w:t>
            </w:r>
            <w:r w:rsidRPr="0068119E">
              <w:rPr>
                <w:color w:val="000000"/>
                <w:sz w:val="20"/>
              </w:rPr>
              <w:t>838</w:t>
            </w:r>
          </w:p>
        </w:tc>
        <w:tc>
          <w:tcPr>
            <w:tcW w:w="868" w:type="dxa"/>
          </w:tcPr>
          <w:p w:rsidR="00587744" w:rsidRPr="009618E4" w:rsidRDefault="002B7932">
            <w:pPr>
              <w:spacing w:before="20" w:after="20"/>
              <w:jc w:val="right"/>
              <w:rPr>
                <w:noProof/>
                <w:sz w:val="20"/>
              </w:rPr>
            </w:pPr>
            <w:r w:rsidRPr="0068119E">
              <w:rPr>
                <w:color w:val="000000"/>
                <w:sz w:val="20"/>
              </w:rPr>
              <w:t>202</w:t>
            </w:r>
            <w:r w:rsidRPr="009618E4">
              <w:rPr>
                <w:color w:val="000000"/>
                <w:sz w:val="20"/>
              </w:rPr>
              <w:t>,</w:t>
            </w:r>
            <w:r w:rsidRPr="0068119E">
              <w:rPr>
                <w:color w:val="000000"/>
                <w:sz w:val="20"/>
              </w:rPr>
              <w:t>306</w:t>
            </w:r>
          </w:p>
        </w:tc>
        <w:tc>
          <w:tcPr>
            <w:tcW w:w="868" w:type="dxa"/>
            <w:tcBorders>
              <w:bottom w:val="single" w:sz="4" w:space="0" w:color="auto"/>
            </w:tcBorders>
          </w:tcPr>
          <w:p w:rsidR="00587744" w:rsidRPr="009618E4" w:rsidRDefault="002B7932">
            <w:pPr>
              <w:spacing w:before="20" w:after="20"/>
              <w:jc w:val="right"/>
              <w:rPr>
                <w:noProof/>
                <w:sz w:val="20"/>
              </w:rPr>
            </w:pPr>
            <w:r w:rsidRPr="0068119E">
              <w:rPr>
                <w:color w:val="000000"/>
                <w:sz w:val="20"/>
              </w:rPr>
              <w:t>294</w:t>
            </w:r>
            <w:r w:rsidRPr="009618E4">
              <w:rPr>
                <w:color w:val="000000"/>
                <w:sz w:val="20"/>
              </w:rPr>
              <w:t>,</w:t>
            </w:r>
            <w:r w:rsidRPr="0068119E">
              <w:rPr>
                <w:color w:val="000000"/>
                <w:sz w:val="20"/>
              </w:rPr>
              <w:t>094</w:t>
            </w:r>
          </w:p>
        </w:tc>
        <w:tc>
          <w:tcPr>
            <w:tcW w:w="1289" w:type="dxa"/>
          </w:tcPr>
          <w:p w:rsidR="00587744" w:rsidRPr="009618E4" w:rsidRDefault="002B7932">
            <w:pPr>
              <w:spacing w:before="20" w:after="20"/>
              <w:jc w:val="right"/>
              <w:rPr>
                <w:b/>
                <w:noProof/>
                <w:sz w:val="20"/>
              </w:rPr>
            </w:pPr>
            <w:r w:rsidRPr="0068119E">
              <w:rPr>
                <w:color w:val="000000"/>
                <w:sz w:val="20"/>
              </w:rPr>
              <w:t>1</w:t>
            </w:r>
            <w:r w:rsidRPr="009618E4">
              <w:rPr>
                <w:color w:val="000000"/>
                <w:sz w:val="20"/>
              </w:rPr>
              <w:t> </w:t>
            </w:r>
            <w:r w:rsidRPr="0068119E">
              <w:rPr>
                <w:color w:val="000000"/>
                <w:sz w:val="20"/>
              </w:rPr>
              <w:t>052</w:t>
            </w:r>
            <w:r w:rsidRPr="009618E4">
              <w:rPr>
                <w:color w:val="000000"/>
                <w:sz w:val="20"/>
              </w:rPr>
              <w:t>,</w:t>
            </w:r>
            <w:r w:rsidRPr="0068119E">
              <w:rPr>
                <w:color w:val="000000"/>
                <w:sz w:val="20"/>
              </w:rPr>
              <w:t>453</w:t>
            </w:r>
          </w:p>
        </w:tc>
      </w:tr>
      <w:tr w:rsidR="002B7932" w:rsidRPr="009618E4" w:rsidTr="00955F36">
        <w:trPr>
          <w:trHeight w:val="411"/>
          <w:jc w:val="center"/>
        </w:trPr>
        <w:tc>
          <w:tcPr>
            <w:tcW w:w="4103" w:type="dxa"/>
            <w:vMerge w:val="restart"/>
            <w:vAlign w:val="center"/>
          </w:tcPr>
          <w:p w:rsidR="002B7932" w:rsidRPr="009618E4" w:rsidRDefault="002B7932" w:rsidP="00955F36">
            <w:pPr>
              <w:jc w:val="left"/>
              <w:rPr>
                <w:noProof/>
                <w:sz w:val="20"/>
              </w:rPr>
            </w:pPr>
            <w:r w:rsidRPr="0068119E">
              <w:rPr>
                <w:color w:val="000000"/>
                <w:sz w:val="20"/>
              </w:rPr>
              <w:t>01</w:t>
            </w:r>
            <w:r w:rsidRPr="009618E4">
              <w:rPr>
                <w:color w:val="000000"/>
                <w:sz w:val="20"/>
              </w:rPr>
              <w:t xml:space="preserve"> </w:t>
            </w:r>
            <w:r w:rsidRPr="0068119E">
              <w:rPr>
                <w:color w:val="000000"/>
                <w:sz w:val="20"/>
              </w:rPr>
              <w:t>03</w:t>
            </w:r>
            <w:r w:rsidRPr="009618E4">
              <w:rPr>
                <w:color w:val="000000"/>
                <w:sz w:val="20"/>
              </w:rPr>
              <w:t xml:space="preserve"> </w:t>
            </w:r>
            <w:r w:rsidRPr="0068119E">
              <w:rPr>
                <w:color w:val="000000"/>
                <w:sz w:val="20"/>
              </w:rPr>
              <w:t>01</w:t>
            </w:r>
            <w:r w:rsidRPr="009618E4">
              <w:rPr>
                <w:color w:val="000000"/>
                <w:sz w:val="20"/>
              </w:rPr>
              <w:t xml:space="preserve"> Recherche et développement sur la fusion</w:t>
            </w:r>
          </w:p>
        </w:tc>
        <w:tc>
          <w:tcPr>
            <w:tcW w:w="1440" w:type="dxa"/>
            <w:vAlign w:val="center"/>
          </w:tcPr>
          <w:p w:rsidR="002B7932" w:rsidRPr="009618E4" w:rsidRDefault="002B7932">
            <w:pPr>
              <w:spacing w:before="20" w:after="20"/>
              <w:jc w:val="left"/>
              <w:rPr>
                <w:noProof/>
                <w:sz w:val="18"/>
              </w:rPr>
            </w:pPr>
            <w:r w:rsidRPr="009618E4">
              <w:rPr>
                <w:color w:val="000000"/>
                <w:sz w:val="20"/>
              </w:rPr>
              <w:t>Engagements</w:t>
            </w:r>
          </w:p>
        </w:tc>
        <w:tc>
          <w:tcPr>
            <w:tcW w:w="654" w:type="dxa"/>
            <w:vAlign w:val="center"/>
          </w:tcPr>
          <w:p w:rsidR="002B7932" w:rsidRPr="009618E4" w:rsidRDefault="002B7932">
            <w:pPr>
              <w:spacing w:before="20" w:after="20"/>
              <w:jc w:val="center"/>
              <w:rPr>
                <w:noProof/>
                <w:sz w:val="14"/>
              </w:rPr>
            </w:pPr>
            <w:r w:rsidRPr="009618E4">
              <w:rPr>
                <w:color w:val="000000"/>
                <w:sz w:val="20"/>
              </w:rPr>
              <w:t>(</w:t>
            </w:r>
            <w:r w:rsidRPr="0068119E">
              <w:rPr>
                <w:color w:val="000000"/>
                <w:sz w:val="20"/>
              </w:rPr>
              <w:t>1</w:t>
            </w:r>
            <w:r w:rsidRPr="009618E4">
              <w:rPr>
                <w:color w:val="000000"/>
                <w:sz w:val="20"/>
              </w:rPr>
              <w:t>a)</w:t>
            </w:r>
          </w:p>
        </w:tc>
        <w:tc>
          <w:tcPr>
            <w:tcW w:w="868" w:type="dxa"/>
            <w:vAlign w:val="center"/>
          </w:tcPr>
          <w:p w:rsidR="002B7932" w:rsidRPr="009618E4" w:rsidRDefault="002B7932">
            <w:pPr>
              <w:spacing w:before="20" w:after="20"/>
              <w:jc w:val="right"/>
              <w:rPr>
                <w:noProof/>
                <w:sz w:val="20"/>
              </w:rPr>
            </w:pPr>
            <w:r w:rsidRPr="0068119E">
              <w:rPr>
                <w:color w:val="000000"/>
                <w:sz w:val="20"/>
              </w:rPr>
              <w:t>130</w:t>
            </w:r>
            <w:r w:rsidRPr="009618E4">
              <w:rPr>
                <w:color w:val="000000"/>
                <w:sz w:val="20"/>
              </w:rPr>
              <w:t>,</w:t>
            </w:r>
            <w:r w:rsidRPr="0068119E">
              <w:rPr>
                <w:color w:val="000000"/>
                <w:sz w:val="20"/>
              </w:rPr>
              <w:t>964</w:t>
            </w:r>
          </w:p>
        </w:tc>
        <w:tc>
          <w:tcPr>
            <w:tcW w:w="868" w:type="dxa"/>
            <w:vAlign w:val="center"/>
          </w:tcPr>
          <w:p w:rsidR="002B7932" w:rsidRPr="009618E4" w:rsidRDefault="002B7932">
            <w:pPr>
              <w:spacing w:before="20" w:after="20"/>
              <w:jc w:val="right"/>
              <w:rPr>
                <w:noProof/>
                <w:sz w:val="20"/>
              </w:rPr>
            </w:pPr>
            <w:r w:rsidRPr="0068119E">
              <w:rPr>
                <w:color w:val="000000"/>
                <w:sz w:val="20"/>
              </w:rPr>
              <w:t>133</w:t>
            </w:r>
            <w:r w:rsidRPr="009618E4">
              <w:rPr>
                <w:color w:val="000000"/>
                <w:sz w:val="20"/>
              </w:rPr>
              <w:t>,</w:t>
            </w:r>
            <w:r w:rsidRPr="0068119E">
              <w:rPr>
                <w:color w:val="000000"/>
                <w:sz w:val="20"/>
              </w:rPr>
              <w:t>300</w:t>
            </w:r>
          </w:p>
        </w:tc>
        <w:tc>
          <w:tcPr>
            <w:tcW w:w="868" w:type="dxa"/>
            <w:vAlign w:val="center"/>
          </w:tcPr>
          <w:p w:rsidR="002B7932" w:rsidRPr="009618E4" w:rsidRDefault="002B7932">
            <w:pPr>
              <w:spacing w:before="20" w:after="20"/>
              <w:jc w:val="right"/>
              <w:rPr>
                <w:noProof/>
                <w:sz w:val="20"/>
              </w:rPr>
            </w:pPr>
            <w:r w:rsidRPr="0068119E">
              <w:rPr>
                <w:color w:val="000000"/>
                <w:sz w:val="20"/>
              </w:rPr>
              <w:t>136</w:t>
            </w:r>
            <w:r w:rsidRPr="009618E4">
              <w:rPr>
                <w:color w:val="000000"/>
                <w:sz w:val="20"/>
              </w:rPr>
              <w:t>,</w:t>
            </w:r>
            <w:r w:rsidRPr="0068119E">
              <w:rPr>
                <w:color w:val="000000"/>
                <w:sz w:val="20"/>
              </w:rPr>
              <w:t>249</w:t>
            </w:r>
          </w:p>
        </w:tc>
        <w:tc>
          <w:tcPr>
            <w:tcW w:w="868" w:type="dxa"/>
            <w:vAlign w:val="center"/>
          </w:tcPr>
          <w:p w:rsidR="002B7932" w:rsidRPr="009618E4" w:rsidRDefault="002B7932">
            <w:pPr>
              <w:spacing w:before="20" w:after="20"/>
              <w:jc w:val="right"/>
              <w:rPr>
                <w:noProof/>
                <w:sz w:val="20"/>
              </w:rPr>
            </w:pPr>
            <w:r w:rsidRPr="0068119E">
              <w:rPr>
                <w:color w:val="000000"/>
                <w:sz w:val="20"/>
              </w:rPr>
              <w:t>138</w:t>
            </w:r>
            <w:r w:rsidRPr="009618E4">
              <w:rPr>
                <w:color w:val="000000"/>
                <w:sz w:val="20"/>
              </w:rPr>
              <w:t>,</w:t>
            </w:r>
            <w:r w:rsidRPr="0068119E">
              <w:rPr>
                <w:color w:val="000000"/>
                <w:sz w:val="20"/>
              </w:rPr>
              <w:t>523</w:t>
            </w:r>
          </w:p>
        </w:tc>
        <w:tc>
          <w:tcPr>
            <w:tcW w:w="868" w:type="dxa"/>
            <w:vAlign w:val="center"/>
          </w:tcPr>
          <w:p w:rsidR="002B7932" w:rsidRPr="009618E4" w:rsidRDefault="002B7932">
            <w:pPr>
              <w:spacing w:before="20" w:after="20"/>
              <w:jc w:val="right"/>
              <w:rPr>
                <w:noProof/>
                <w:sz w:val="20"/>
              </w:rPr>
            </w:pPr>
            <w:r w:rsidRPr="0068119E">
              <w:rPr>
                <w:color w:val="000000"/>
                <w:sz w:val="20"/>
              </w:rPr>
              <w:t>142</w:t>
            </w:r>
            <w:r w:rsidRPr="009618E4">
              <w:rPr>
                <w:color w:val="000000"/>
                <w:sz w:val="20"/>
              </w:rPr>
              <w:t>,</w:t>
            </w:r>
            <w:r w:rsidRPr="0068119E">
              <w:rPr>
                <w:color w:val="000000"/>
                <w:sz w:val="20"/>
              </w:rPr>
              <w:t>054</w:t>
            </w:r>
          </w:p>
        </w:tc>
        <w:tc>
          <w:tcPr>
            <w:tcW w:w="868" w:type="dxa"/>
            <w:tcBorders>
              <w:bottom w:val="single" w:sz="4" w:space="0" w:color="auto"/>
            </w:tcBorders>
            <w:shd w:val="clear" w:color="auto" w:fill="7A6F75" w:themeFill="background1" w:themeFillShade="80"/>
            <w:vAlign w:val="center"/>
          </w:tcPr>
          <w:p w:rsidR="002B7932" w:rsidRPr="009618E4" w:rsidRDefault="002B7932">
            <w:pPr>
              <w:spacing w:before="20" w:after="20"/>
              <w:jc w:val="right"/>
              <w:rPr>
                <w:noProof/>
                <w:sz w:val="20"/>
              </w:rPr>
            </w:pPr>
            <w:r w:rsidRPr="009618E4">
              <w:rPr>
                <w:color w:val="000000"/>
                <w:sz w:val="20"/>
              </w:rPr>
              <w:t> </w:t>
            </w:r>
          </w:p>
        </w:tc>
        <w:tc>
          <w:tcPr>
            <w:tcW w:w="1289" w:type="dxa"/>
            <w:vAlign w:val="center"/>
          </w:tcPr>
          <w:p w:rsidR="002B7932" w:rsidRPr="009618E4" w:rsidRDefault="002B7932">
            <w:pPr>
              <w:spacing w:before="20" w:after="20"/>
              <w:jc w:val="right"/>
              <w:rPr>
                <w:b/>
                <w:noProof/>
                <w:sz w:val="20"/>
              </w:rPr>
            </w:pPr>
            <w:r w:rsidRPr="0068119E">
              <w:rPr>
                <w:color w:val="000000"/>
                <w:sz w:val="20"/>
              </w:rPr>
              <w:t>681</w:t>
            </w:r>
            <w:r w:rsidRPr="009618E4">
              <w:rPr>
                <w:color w:val="000000"/>
                <w:sz w:val="20"/>
              </w:rPr>
              <w:t>,</w:t>
            </w:r>
            <w:r w:rsidRPr="0068119E">
              <w:rPr>
                <w:color w:val="000000"/>
                <w:sz w:val="20"/>
              </w:rPr>
              <w:t>089</w:t>
            </w:r>
          </w:p>
        </w:tc>
      </w:tr>
      <w:tr w:rsidR="002B7932" w:rsidRPr="009618E4" w:rsidTr="00955F36">
        <w:trPr>
          <w:trHeight w:val="411"/>
          <w:jc w:val="center"/>
        </w:trPr>
        <w:tc>
          <w:tcPr>
            <w:tcW w:w="4103" w:type="dxa"/>
            <w:vMerge/>
            <w:vAlign w:val="center"/>
          </w:tcPr>
          <w:p w:rsidR="002B7932" w:rsidRPr="009618E4" w:rsidRDefault="002B7932" w:rsidP="00955F36">
            <w:pPr>
              <w:jc w:val="left"/>
              <w:rPr>
                <w:noProof/>
                <w:sz w:val="20"/>
              </w:rPr>
            </w:pPr>
          </w:p>
        </w:tc>
        <w:tc>
          <w:tcPr>
            <w:tcW w:w="1440" w:type="dxa"/>
            <w:vAlign w:val="center"/>
          </w:tcPr>
          <w:p w:rsidR="002B7932" w:rsidRPr="009618E4" w:rsidRDefault="002B7932">
            <w:pPr>
              <w:spacing w:before="20" w:after="20"/>
              <w:jc w:val="left"/>
              <w:rPr>
                <w:noProof/>
                <w:sz w:val="18"/>
              </w:rPr>
            </w:pPr>
            <w:r w:rsidRPr="009618E4">
              <w:rPr>
                <w:color w:val="000000"/>
                <w:sz w:val="20"/>
              </w:rPr>
              <w:t>Paiements</w:t>
            </w:r>
          </w:p>
        </w:tc>
        <w:tc>
          <w:tcPr>
            <w:tcW w:w="654" w:type="dxa"/>
            <w:vAlign w:val="center"/>
          </w:tcPr>
          <w:p w:rsidR="002B7932" w:rsidRPr="009618E4" w:rsidRDefault="002B7932">
            <w:pPr>
              <w:spacing w:before="20" w:after="20"/>
              <w:jc w:val="center"/>
              <w:rPr>
                <w:noProof/>
                <w:sz w:val="14"/>
              </w:rPr>
            </w:pPr>
            <w:r w:rsidRPr="009618E4">
              <w:rPr>
                <w:color w:val="000000"/>
                <w:sz w:val="20"/>
              </w:rPr>
              <w:t>(</w:t>
            </w:r>
            <w:r w:rsidRPr="0068119E">
              <w:rPr>
                <w:color w:val="000000"/>
                <w:sz w:val="20"/>
              </w:rPr>
              <w:t>2</w:t>
            </w:r>
            <w:r w:rsidRPr="009618E4">
              <w:rPr>
                <w:color w:val="000000"/>
                <w:sz w:val="20"/>
              </w:rPr>
              <w:t>a)</w:t>
            </w:r>
          </w:p>
        </w:tc>
        <w:tc>
          <w:tcPr>
            <w:tcW w:w="868" w:type="dxa"/>
            <w:vAlign w:val="center"/>
          </w:tcPr>
          <w:p w:rsidR="002B7932" w:rsidRPr="009618E4" w:rsidRDefault="002B7932">
            <w:pPr>
              <w:spacing w:before="20" w:after="20"/>
              <w:jc w:val="right"/>
              <w:rPr>
                <w:noProof/>
                <w:sz w:val="20"/>
              </w:rPr>
            </w:pPr>
            <w:r w:rsidRPr="009618E4">
              <w:rPr>
                <w:color w:val="000000"/>
                <w:sz w:val="20"/>
              </w:rPr>
              <w:t> </w:t>
            </w:r>
          </w:p>
        </w:tc>
        <w:tc>
          <w:tcPr>
            <w:tcW w:w="868" w:type="dxa"/>
            <w:vAlign w:val="center"/>
          </w:tcPr>
          <w:p w:rsidR="002B7932" w:rsidRPr="009618E4" w:rsidRDefault="002B7932">
            <w:pPr>
              <w:spacing w:before="20" w:after="20"/>
              <w:jc w:val="right"/>
              <w:rPr>
                <w:noProof/>
                <w:sz w:val="20"/>
              </w:rPr>
            </w:pPr>
            <w:r w:rsidRPr="0068119E">
              <w:rPr>
                <w:color w:val="000000"/>
                <w:sz w:val="20"/>
              </w:rPr>
              <w:t>125</w:t>
            </w:r>
            <w:r w:rsidRPr="009618E4">
              <w:rPr>
                <w:color w:val="000000"/>
                <w:sz w:val="20"/>
              </w:rPr>
              <w:t>,</w:t>
            </w:r>
            <w:r w:rsidRPr="0068119E">
              <w:rPr>
                <w:color w:val="000000"/>
                <w:sz w:val="20"/>
              </w:rPr>
              <w:t>000</w:t>
            </w:r>
          </w:p>
        </w:tc>
        <w:tc>
          <w:tcPr>
            <w:tcW w:w="868" w:type="dxa"/>
            <w:vAlign w:val="center"/>
          </w:tcPr>
          <w:p w:rsidR="002B7932" w:rsidRPr="009618E4" w:rsidRDefault="002B7932">
            <w:pPr>
              <w:spacing w:before="20" w:after="20"/>
              <w:jc w:val="right"/>
              <w:rPr>
                <w:noProof/>
                <w:sz w:val="20"/>
              </w:rPr>
            </w:pPr>
            <w:r w:rsidRPr="0068119E">
              <w:rPr>
                <w:color w:val="000000"/>
                <w:sz w:val="20"/>
              </w:rPr>
              <w:t>128</w:t>
            </w:r>
            <w:r w:rsidRPr="009618E4">
              <w:rPr>
                <w:color w:val="000000"/>
                <w:sz w:val="20"/>
              </w:rPr>
              <w:t>,</w:t>
            </w:r>
            <w:r w:rsidRPr="0068119E">
              <w:rPr>
                <w:color w:val="000000"/>
                <w:sz w:val="20"/>
              </w:rPr>
              <w:t>000</w:t>
            </w:r>
          </w:p>
        </w:tc>
        <w:tc>
          <w:tcPr>
            <w:tcW w:w="868" w:type="dxa"/>
            <w:vAlign w:val="center"/>
          </w:tcPr>
          <w:p w:rsidR="002B7932" w:rsidRPr="009618E4" w:rsidRDefault="002B7932">
            <w:pPr>
              <w:spacing w:before="20" w:after="20"/>
              <w:jc w:val="right"/>
              <w:rPr>
                <w:noProof/>
                <w:sz w:val="20"/>
              </w:rPr>
            </w:pPr>
            <w:r w:rsidRPr="0068119E">
              <w:rPr>
                <w:color w:val="000000"/>
                <w:sz w:val="20"/>
              </w:rPr>
              <w:t>132</w:t>
            </w:r>
            <w:r w:rsidRPr="009618E4">
              <w:rPr>
                <w:color w:val="000000"/>
                <w:sz w:val="20"/>
              </w:rPr>
              <w:t>,</w:t>
            </w:r>
            <w:r w:rsidRPr="0068119E">
              <w:rPr>
                <w:color w:val="000000"/>
                <w:sz w:val="20"/>
              </w:rPr>
              <w:t>000</w:t>
            </w:r>
          </w:p>
        </w:tc>
        <w:tc>
          <w:tcPr>
            <w:tcW w:w="868" w:type="dxa"/>
            <w:vAlign w:val="center"/>
          </w:tcPr>
          <w:p w:rsidR="002B7932" w:rsidRPr="009618E4" w:rsidRDefault="002B7932">
            <w:pPr>
              <w:spacing w:before="20" w:after="20"/>
              <w:jc w:val="right"/>
              <w:rPr>
                <w:noProof/>
                <w:sz w:val="20"/>
              </w:rPr>
            </w:pPr>
            <w:r w:rsidRPr="0068119E">
              <w:rPr>
                <w:color w:val="000000"/>
                <w:sz w:val="20"/>
              </w:rPr>
              <w:t>135</w:t>
            </w:r>
            <w:r w:rsidRPr="009618E4">
              <w:rPr>
                <w:color w:val="000000"/>
                <w:sz w:val="20"/>
              </w:rPr>
              <w:t>,</w:t>
            </w:r>
            <w:r w:rsidRPr="0068119E">
              <w:rPr>
                <w:color w:val="000000"/>
                <w:sz w:val="20"/>
              </w:rPr>
              <w:t>000</w:t>
            </w:r>
          </w:p>
        </w:tc>
        <w:tc>
          <w:tcPr>
            <w:tcW w:w="868" w:type="dxa"/>
            <w:tcBorders>
              <w:bottom w:val="single" w:sz="4" w:space="0" w:color="auto"/>
            </w:tcBorders>
            <w:vAlign w:val="center"/>
          </w:tcPr>
          <w:p w:rsidR="002B7932" w:rsidRPr="009618E4" w:rsidRDefault="002B7932">
            <w:pPr>
              <w:spacing w:before="20" w:after="20"/>
              <w:jc w:val="right"/>
              <w:rPr>
                <w:noProof/>
                <w:sz w:val="20"/>
              </w:rPr>
            </w:pPr>
            <w:r w:rsidRPr="0068119E">
              <w:rPr>
                <w:color w:val="000000"/>
                <w:sz w:val="20"/>
              </w:rPr>
              <w:t>161</w:t>
            </w:r>
            <w:r w:rsidRPr="009618E4">
              <w:rPr>
                <w:color w:val="000000"/>
                <w:sz w:val="20"/>
              </w:rPr>
              <w:t>,</w:t>
            </w:r>
            <w:r w:rsidRPr="0068119E">
              <w:rPr>
                <w:color w:val="000000"/>
                <w:sz w:val="20"/>
              </w:rPr>
              <w:t>089</w:t>
            </w:r>
          </w:p>
        </w:tc>
        <w:tc>
          <w:tcPr>
            <w:tcW w:w="1289" w:type="dxa"/>
            <w:vAlign w:val="center"/>
          </w:tcPr>
          <w:p w:rsidR="002B7932" w:rsidRPr="009618E4" w:rsidRDefault="002B7932">
            <w:pPr>
              <w:spacing w:before="20" w:after="20"/>
              <w:jc w:val="right"/>
              <w:rPr>
                <w:b/>
                <w:noProof/>
                <w:sz w:val="20"/>
              </w:rPr>
            </w:pPr>
            <w:r w:rsidRPr="0068119E">
              <w:rPr>
                <w:color w:val="000000"/>
                <w:sz w:val="20"/>
              </w:rPr>
              <w:t>681</w:t>
            </w:r>
            <w:r w:rsidRPr="009618E4">
              <w:rPr>
                <w:color w:val="000000"/>
                <w:sz w:val="20"/>
              </w:rPr>
              <w:t>,</w:t>
            </w:r>
            <w:r w:rsidRPr="0068119E">
              <w:rPr>
                <w:color w:val="000000"/>
                <w:sz w:val="20"/>
              </w:rPr>
              <w:t>089</w:t>
            </w:r>
          </w:p>
        </w:tc>
      </w:tr>
      <w:tr w:rsidR="002B7932" w:rsidRPr="009618E4" w:rsidTr="00955F36">
        <w:trPr>
          <w:trHeight w:val="411"/>
          <w:jc w:val="center"/>
        </w:trPr>
        <w:tc>
          <w:tcPr>
            <w:tcW w:w="4103" w:type="dxa"/>
            <w:vMerge w:val="restart"/>
            <w:vAlign w:val="center"/>
          </w:tcPr>
          <w:p w:rsidR="002B7932" w:rsidRPr="009618E4" w:rsidRDefault="002B7932" w:rsidP="00955F36">
            <w:pPr>
              <w:jc w:val="left"/>
              <w:rPr>
                <w:noProof/>
                <w:sz w:val="20"/>
              </w:rPr>
            </w:pPr>
            <w:r w:rsidRPr="0068119E">
              <w:rPr>
                <w:color w:val="000000"/>
                <w:sz w:val="20"/>
              </w:rPr>
              <w:t>01</w:t>
            </w:r>
            <w:r w:rsidRPr="009618E4">
              <w:rPr>
                <w:color w:val="000000"/>
                <w:sz w:val="20"/>
              </w:rPr>
              <w:t xml:space="preserve"> </w:t>
            </w:r>
            <w:r w:rsidRPr="0068119E">
              <w:rPr>
                <w:color w:val="000000"/>
                <w:sz w:val="20"/>
              </w:rPr>
              <w:t>03</w:t>
            </w:r>
            <w:r w:rsidRPr="009618E4">
              <w:rPr>
                <w:color w:val="000000"/>
                <w:sz w:val="20"/>
              </w:rPr>
              <w:t xml:space="preserve"> </w:t>
            </w:r>
            <w:r w:rsidRPr="0068119E">
              <w:rPr>
                <w:color w:val="000000"/>
                <w:sz w:val="20"/>
              </w:rPr>
              <w:t>02</w:t>
            </w:r>
            <w:r w:rsidRPr="009618E4">
              <w:rPr>
                <w:color w:val="000000"/>
                <w:sz w:val="20"/>
              </w:rPr>
              <w:t xml:space="preserve"> </w:t>
            </w:r>
            <w:r w:rsidRPr="0068119E">
              <w:rPr>
                <w:color w:val="000000"/>
                <w:sz w:val="20"/>
              </w:rPr>
              <w:t>01</w:t>
            </w:r>
            <w:r w:rsidRPr="009618E4">
              <w:rPr>
                <w:color w:val="000000"/>
                <w:sz w:val="20"/>
              </w:rPr>
              <w:t xml:space="preserve"> Fission nucléaire, sûreté et radioprotection</w:t>
            </w:r>
          </w:p>
        </w:tc>
        <w:tc>
          <w:tcPr>
            <w:tcW w:w="1440" w:type="dxa"/>
            <w:vAlign w:val="center"/>
          </w:tcPr>
          <w:p w:rsidR="002B7932" w:rsidRPr="009618E4" w:rsidRDefault="002B7932">
            <w:pPr>
              <w:spacing w:before="20" w:after="20"/>
              <w:jc w:val="left"/>
              <w:rPr>
                <w:noProof/>
                <w:sz w:val="18"/>
              </w:rPr>
            </w:pPr>
            <w:r w:rsidRPr="009618E4">
              <w:rPr>
                <w:color w:val="000000"/>
                <w:sz w:val="20"/>
              </w:rPr>
              <w:t>Engagements</w:t>
            </w:r>
          </w:p>
        </w:tc>
        <w:tc>
          <w:tcPr>
            <w:tcW w:w="654" w:type="dxa"/>
            <w:vAlign w:val="center"/>
          </w:tcPr>
          <w:p w:rsidR="002B7932" w:rsidRPr="009618E4" w:rsidRDefault="002B7932">
            <w:pPr>
              <w:spacing w:before="20" w:after="20"/>
              <w:jc w:val="center"/>
              <w:rPr>
                <w:noProof/>
                <w:sz w:val="14"/>
              </w:rPr>
            </w:pPr>
            <w:r w:rsidRPr="009618E4">
              <w:rPr>
                <w:color w:val="000000"/>
                <w:sz w:val="20"/>
              </w:rPr>
              <w:t>(</w:t>
            </w:r>
            <w:r w:rsidRPr="0068119E">
              <w:rPr>
                <w:color w:val="000000"/>
                <w:sz w:val="20"/>
              </w:rPr>
              <w:t>1</w:t>
            </w:r>
            <w:r w:rsidRPr="009618E4">
              <w:rPr>
                <w:color w:val="000000"/>
                <w:sz w:val="20"/>
              </w:rPr>
              <w:t>b)</w:t>
            </w:r>
          </w:p>
        </w:tc>
        <w:tc>
          <w:tcPr>
            <w:tcW w:w="868" w:type="dxa"/>
            <w:vAlign w:val="center"/>
          </w:tcPr>
          <w:p w:rsidR="002B7932" w:rsidRPr="009618E4" w:rsidRDefault="002B7932">
            <w:pPr>
              <w:spacing w:before="20" w:after="20"/>
              <w:jc w:val="right"/>
              <w:rPr>
                <w:noProof/>
                <w:sz w:val="20"/>
              </w:rPr>
            </w:pPr>
            <w:r w:rsidRPr="0068119E">
              <w:rPr>
                <w:color w:val="000000"/>
                <w:sz w:val="20"/>
              </w:rPr>
              <w:t>59</w:t>
            </w:r>
            <w:r w:rsidRPr="009618E4">
              <w:rPr>
                <w:color w:val="000000"/>
                <w:sz w:val="20"/>
              </w:rPr>
              <w:t>,</w:t>
            </w:r>
            <w:r w:rsidRPr="0068119E">
              <w:rPr>
                <w:color w:val="000000"/>
                <w:sz w:val="20"/>
              </w:rPr>
              <w:t>815</w:t>
            </w:r>
          </w:p>
        </w:tc>
        <w:tc>
          <w:tcPr>
            <w:tcW w:w="868" w:type="dxa"/>
            <w:vAlign w:val="center"/>
          </w:tcPr>
          <w:p w:rsidR="002B7932" w:rsidRPr="009618E4" w:rsidRDefault="002B7932">
            <w:pPr>
              <w:spacing w:before="20" w:after="20"/>
              <w:jc w:val="right"/>
              <w:rPr>
                <w:noProof/>
                <w:sz w:val="20"/>
              </w:rPr>
            </w:pPr>
            <w:r w:rsidRPr="0068119E">
              <w:rPr>
                <w:color w:val="000000"/>
                <w:sz w:val="20"/>
              </w:rPr>
              <w:t>60</w:t>
            </w:r>
            <w:r w:rsidRPr="009618E4">
              <w:rPr>
                <w:color w:val="000000"/>
                <w:sz w:val="20"/>
              </w:rPr>
              <w:t>,</w:t>
            </w:r>
            <w:r w:rsidRPr="0068119E">
              <w:rPr>
                <w:color w:val="000000"/>
                <w:sz w:val="20"/>
              </w:rPr>
              <w:t>882</w:t>
            </w:r>
          </w:p>
        </w:tc>
        <w:tc>
          <w:tcPr>
            <w:tcW w:w="868" w:type="dxa"/>
            <w:vAlign w:val="center"/>
          </w:tcPr>
          <w:p w:rsidR="002B7932" w:rsidRPr="009618E4" w:rsidRDefault="002B7932">
            <w:pPr>
              <w:spacing w:before="20" w:after="20"/>
              <w:jc w:val="right"/>
              <w:rPr>
                <w:noProof/>
                <w:sz w:val="20"/>
              </w:rPr>
            </w:pPr>
            <w:r w:rsidRPr="0068119E">
              <w:rPr>
                <w:color w:val="000000"/>
                <w:sz w:val="20"/>
              </w:rPr>
              <w:t>62</w:t>
            </w:r>
            <w:r w:rsidRPr="009618E4">
              <w:rPr>
                <w:color w:val="000000"/>
                <w:sz w:val="20"/>
              </w:rPr>
              <w:t>,</w:t>
            </w:r>
            <w:r w:rsidRPr="0068119E">
              <w:rPr>
                <w:color w:val="000000"/>
                <w:sz w:val="20"/>
              </w:rPr>
              <w:t>229</w:t>
            </w:r>
          </w:p>
        </w:tc>
        <w:tc>
          <w:tcPr>
            <w:tcW w:w="868" w:type="dxa"/>
            <w:vAlign w:val="center"/>
          </w:tcPr>
          <w:p w:rsidR="002B7932" w:rsidRPr="009618E4" w:rsidRDefault="002B7932">
            <w:pPr>
              <w:spacing w:before="20" w:after="20"/>
              <w:jc w:val="right"/>
              <w:rPr>
                <w:noProof/>
                <w:sz w:val="20"/>
              </w:rPr>
            </w:pPr>
            <w:r w:rsidRPr="0068119E">
              <w:rPr>
                <w:color w:val="000000"/>
                <w:sz w:val="20"/>
              </w:rPr>
              <w:t>63</w:t>
            </w:r>
            <w:r w:rsidRPr="009618E4">
              <w:rPr>
                <w:color w:val="000000"/>
                <w:sz w:val="20"/>
              </w:rPr>
              <w:t>,</w:t>
            </w:r>
            <w:r w:rsidRPr="0068119E">
              <w:rPr>
                <w:color w:val="000000"/>
                <w:sz w:val="20"/>
              </w:rPr>
              <w:t>268</w:t>
            </w:r>
          </w:p>
        </w:tc>
        <w:tc>
          <w:tcPr>
            <w:tcW w:w="868" w:type="dxa"/>
            <w:vAlign w:val="center"/>
          </w:tcPr>
          <w:p w:rsidR="002B7932" w:rsidRPr="009618E4" w:rsidRDefault="002B7932">
            <w:pPr>
              <w:spacing w:before="20" w:after="20"/>
              <w:jc w:val="right"/>
              <w:rPr>
                <w:noProof/>
                <w:sz w:val="20"/>
              </w:rPr>
            </w:pPr>
            <w:r w:rsidRPr="0068119E">
              <w:rPr>
                <w:color w:val="000000"/>
                <w:sz w:val="20"/>
              </w:rPr>
              <w:t>64</w:t>
            </w:r>
            <w:r w:rsidRPr="009618E4">
              <w:rPr>
                <w:color w:val="000000"/>
                <w:sz w:val="20"/>
              </w:rPr>
              <w:t>,</w:t>
            </w:r>
            <w:r w:rsidRPr="0068119E">
              <w:rPr>
                <w:color w:val="000000"/>
                <w:sz w:val="20"/>
              </w:rPr>
              <w:t>881</w:t>
            </w:r>
          </w:p>
        </w:tc>
        <w:tc>
          <w:tcPr>
            <w:tcW w:w="868" w:type="dxa"/>
            <w:tcBorders>
              <w:bottom w:val="single" w:sz="4" w:space="0" w:color="auto"/>
            </w:tcBorders>
            <w:shd w:val="clear" w:color="auto" w:fill="7A6F75" w:themeFill="background1" w:themeFillShade="80"/>
            <w:vAlign w:val="center"/>
          </w:tcPr>
          <w:p w:rsidR="002B7932" w:rsidRPr="009618E4" w:rsidRDefault="002B7932">
            <w:pPr>
              <w:spacing w:before="20" w:after="20"/>
              <w:jc w:val="right"/>
              <w:rPr>
                <w:noProof/>
                <w:sz w:val="20"/>
              </w:rPr>
            </w:pPr>
            <w:r w:rsidRPr="009618E4">
              <w:rPr>
                <w:color w:val="000000"/>
                <w:sz w:val="20"/>
              </w:rPr>
              <w:t> </w:t>
            </w:r>
          </w:p>
        </w:tc>
        <w:tc>
          <w:tcPr>
            <w:tcW w:w="1289" w:type="dxa"/>
            <w:vAlign w:val="center"/>
          </w:tcPr>
          <w:p w:rsidR="002B7932" w:rsidRPr="009618E4" w:rsidRDefault="002B7932">
            <w:pPr>
              <w:spacing w:before="20" w:after="20"/>
              <w:jc w:val="right"/>
              <w:rPr>
                <w:b/>
                <w:noProof/>
                <w:sz w:val="20"/>
              </w:rPr>
            </w:pPr>
            <w:r w:rsidRPr="0068119E">
              <w:rPr>
                <w:color w:val="000000"/>
                <w:sz w:val="20"/>
              </w:rPr>
              <w:t>311</w:t>
            </w:r>
            <w:r w:rsidRPr="009618E4">
              <w:rPr>
                <w:color w:val="000000"/>
                <w:sz w:val="20"/>
              </w:rPr>
              <w:t>,</w:t>
            </w:r>
            <w:r w:rsidRPr="0068119E">
              <w:rPr>
                <w:color w:val="000000"/>
                <w:sz w:val="20"/>
              </w:rPr>
              <w:t>074</w:t>
            </w:r>
          </w:p>
        </w:tc>
      </w:tr>
      <w:tr w:rsidR="002B7932" w:rsidRPr="009618E4" w:rsidTr="00955F36">
        <w:trPr>
          <w:trHeight w:val="411"/>
          <w:jc w:val="center"/>
        </w:trPr>
        <w:tc>
          <w:tcPr>
            <w:tcW w:w="4103" w:type="dxa"/>
            <w:vMerge/>
            <w:vAlign w:val="center"/>
          </w:tcPr>
          <w:p w:rsidR="002B7932" w:rsidRPr="009618E4" w:rsidRDefault="002B7932" w:rsidP="00955F36">
            <w:pPr>
              <w:jc w:val="left"/>
              <w:rPr>
                <w:noProof/>
                <w:sz w:val="20"/>
              </w:rPr>
            </w:pPr>
          </w:p>
        </w:tc>
        <w:tc>
          <w:tcPr>
            <w:tcW w:w="1440" w:type="dxa"/>
            <w:vAlign w:val="center"/>
          </w:tcPr>
          <w:p w:rsidR="002B7932" w:rsidRPr="009618E4" w:rsidRDefault="002B7932">
            <w:pPr>
              <w:spacing w:before="20" w:after="20"/>
              <w:jc w:val="left"/>
              <w:rPr>
                <w:noProof/>
                <w:sz w:val="18"/>
              </w:rPr>
            </w:pPr>
            <w:r w:rsidRPr="009618E4">
              <w:rPr>
                <w:color w:val="000000"/>
                <w:sz w:val="20"/>
              </w:rPr>
              <w:t>Paiements</w:t>
            </w:r>
          </w:p>
        </w:tc>
        <w:tc>
          <w:tcPr>
            <w:tcW w:w="654" w:type="dxa"/>
            <w:vAlign w:val="center"/>
          </w:tcPr>
          <w:p w:rsidR="002B7932" w:rsidRPr="009618E4" w:rsidRDefault="002B7932">
            <w:pPr>
              <w:spacing w:before="20" w:after="20"/>
              <w:jc w:val="center"/>
              <w:rPr>
                <w:noProof/>
                <w:sz w:val="14"/>
              </w:rPr>
            </w:pPr>
            <w:r w:rsidRPr="009618E4">
              <w:rPr>
                <w:color w:val="000000"/>
                <w:sz w:val="20"/>
              </w:rPr>
              <w:t>(</w:t>
            </w:r>
            <w:r w:rsidRPr="0068119E">
              <w:rPr>
                <w:color w:val="000000"/>
                <w:sz w:val="20"/>
              </w:rPr>
              <w:t>2</w:t>
            </w:r>
            <w:r w:rsidRPr="009618E4">
              <w:rPr>
                <w:color w:val="000000"/>
                <w:sz w:val="20"/>
              </w:rPr>
              <w:t>b)</w:t>
            </w:r>
          </w:p>
        </w:tc>
        <w:tc>
          <w:tcPr>
            <w:tcW w:w="868" w:type="dxa"/>
            <w:vAlign w:val="center"/>
          </w:tcPr>
          <w:p w:rsidR="002B7932" w:rsidRPr="009618E4" w:rsidRDefault="002B7932">
            <w:pPr>
              <w:spacing w:before="20" w:after="20"/>
              <w:jc w:val="right"/>
              <w:rPr>
                <w:noProof/>
                <w:sz w:val="20"/>
              </w:rPr>
            </w:pPr>
            <w:r w:rsidRPr="009618E4">
              <w:rPr>
                <w:color w:val="000000"/>
                <w:sz w:val="20"/>
              </w:rPr>
              <w:t> </w:t>
            </w:r>
          </w:p>
        </w:tc>
        <w:tc>
          <w:tcPr>
            <w:tcW w:w="868" w:type="dxa"/>
            <w:vAlign w:val="center"/>
          </w:tcPr>
          <w:p w:rsidR="002B7932" w:rsidRPr="009618E4" w:rsidRDefault="002B7932">
            <w:pPr>
              <w:spacing w:before="20" w:after="20"/>
              <w:jc w:val="right"/>
              <w:rPr>
                <w:noProof/>
                <w:sz w:val="20"/>
              </w:rPr>
            </w:pPr>
            <w:r w:rsidRPr="0068119E">
              <w:rPr>
                <w:color w:val="000000"/>
                <w:sz w:val="20"/>
              </w:rPr>
              <w:t>40</w:t>
            </w:r>
            <w:r w:rsidRPr="009618E4">
              <w:rPr>
                <w:color w:val="000000"/>
                <w:sz w:val="20"/>
              </w:rPr>
              <w:t>,</w:t>
            </w:r>
            <w:r w:rsidRPr="0068119E">
              <w:rPr>
                <w:color w:val="000000"/>
                <w:sz w:val="20"/>
              </w:rPr>
              <w:t>000</w:t>
            </w:r>
          </w:p>
        </w:tc>
        <w:tc>
          <w:tcPr>
            <w:tcW w:w="868" w:type="dxa"/>
            <w:vAlign w:val="center"/>
          </w:tcPr>
          <w:p w:rsidR="002B7932" w:rsidRPr="009618E4" w:rsidRDefault="002B7932">
            <w:pPr>
              <w:spacing w:before="20" w:after="20"/>
              <w:jc w:val="right"/>
              <w:rPr>
                <w:noProof/>
                <w:sz w:val="20"/>
              </w:rPr>
            </w:pPr>
            <w:r w:rsidRPr="0068119E">
              <w:rPr>
                <w:color w:val="000000"/>
                <w:sz w:val="20"/>
              </w:rPr>
              <w:t>42</w:t>
            </w:r>
            <w:r w:rsidRPr="009618E4">
              <w:rPr>
                <w:color w:val="000000"/>
                <w:sz w:val="20"/>
              </w:rPr>
              <w:t>,</w:t>
            </w:r>
            <w:r w:rsidRPr="0068119E">
              <w:rPr>
                <w:color w:val="000000"/>
                <w:sz w:val="20"/>
              </w:rPr>
              <w:t>000</w:t>
            </w:r>
          </w:p>
        </w:tc>
        <w:tc>
          <w:tcPr>
            <w:tcW w:w="868" w:type="dxa"/>
            <w:vAlign w:val="center"/>
          </w:tcPr>
          <w:p w:rsidR="002B7932" w:rsidRPr="009618E4" w:rsidRDefault="002B7932">
            <w:pPr>
              <w:spacing w:before="20" w:after="20"/>
              <w:jc w:val="right"/>
              <w:rPr>
                <w:noProof/>
                <w:sz w:val="20"/>
              </w:rPr>
            </w:pPr>
            <w:r w:rsidRPr="0068119E">
              <w:rPr>
                <w:color w:val="000000"/>
                <w:sz w:val="20"/>
              </w:rPr>
              <w:t>53</w:t>
            </w:r>
            <w:r w:rsidRPr="009618E4">
              <w:rPr>
                <w:color w:val="000000"/>
                <w:sz w:val="20"/>
              </w:rPr>
              <w:t>,</w:t>
            </w:r>
            <w:r w:rsidRPr="0068119E">
              <w:rPr>
                <w:color w:val="000000"/>
                <w:sz w:val="20"/>
              </w:rPr>
              <w:t>000</w:t>
            </w:r>
          </w:p>
        </w:tc>
        <w:tc>
          <w:tcPr>
            <w:tcW w:w="868" w:type="dxa"/>
            <w:vAlign w:val="center"/>
          </w:tcPr>
          <w:p w:rsidR="002B7932" w:rsidRPr="009618E4" w:rsidRDefault="002B7932">
            <w:pPr>
              <w:spacing w:before="20" w:after="20"/>
              <w:jc w:val="right"/>
              <w:rPr>
                <w:noProof/>
                <w:sz w:val="20"/>
              </w:rPr>
            </w:pPr>
            <w:r w:rsidRPr="0068119E">
              <w:rPr>
                <w:color w:val="000000"/>
                <w:sz w:val="20"/>
              </w:rPr>
              <w:t>55</w:t>
            </w:r>
            <w:r w:rsidRPr="009618E4">
              <w:rPr>
                <w:color w:val="000000"/>
                <w:sz w:val="20"/>
              </w:rPr>
              <w:t>,</w:t>
            </w:r>
            <w:r w:rsidRPr="0068119E">
              <w:rPr>
                <w:color w:val="000000"/>
                <w:sz w:val="20"/>
              </w:rPr>
              <w:t>000</w:t>
            </w:r>
          </w:p>
        </w:tc>
        <w:tc>
          <w:tcPr>
            <w:tcW w:w="868" w:type="dxa"/>
            <w:tcBorders>
              <w:bottom w:val="single" w:sz="4" w:space="0" w:color="auto"/>
            </w:tcBorders>
            <w:vAlign w:val="center"/>
          </w:tcPr>
          <w:p w:rsidR="002B7932" w:rsidRPr="009618E4" w:rsidRDefault="002B7932">
            <w:pPr>
              <w:spacing w:before="20" w:after="20"/>
              <w:jc w:val="right"/>
              <w:rPr>
                <w:noProof/>
                <w:sz w:val="20"/>
              </w:rPr>
            </w:pPr>
            <w:r w:rsidRPr="0068119E">
              <w:rPr>
                <w:color w:val="000000"/>
                <w:sz w:val="20"/>
              </w:rPr>
              <w:t>121</w:t>
            </w:r>
            <w:r w:rsidRPr="009618E4">
              <w:rPr>
                <w:color w:val="000000"/>
                <w:sz w:val="20"/>
              </w:rPr>
              <w:t>,</w:t>
            </w:r>
            <w:r w:rsidRPr="0068119E">
              <w:rPr>
                <w:color w:val="000000"/>
                <w:sz w:val="20"/>
              </w:rPr>
              <w:t>074</w:t>
            </w:r>
          </w:p>
        </w:tc>
        <w:tc>
          <w:tcPr>
            <w:tcW w:w="1289" w:type="dxa"/>
            <w:vAlign w:val="center"/>
          </w:tcPr>
          <w:p w:rsidR="002B7932" w:rsidRPr="009618E4" w:rsidRDefault="002B7932">
            <w:pPr>
              <w:spacing w:before="20" w:after="20"/>
              <w:jc w:val="right"/>
              <w:rPr>
                <w:b/>
                <w:noProof/>
                <w:sz w:val="20"/>
              </w:rPr>
            </w:pPr>
            <w:r w:rsidRPr="0068119E">
              <w:rPr>
                <w:color w:val="000000"/>
                <w:sz w:val="20"/>
              </w:rPr>
              <w:t>311</w:t>
            </w:r>
            <w:r w:rsidRPr="009618E4">
              <w:rPr>
                <w:color w:val="000000"/>
                <w:sz w:val="20"/>
              </w:rPr>
              <w:t>,</w:t>
            </w:r>
            <w:r w:rsidRPr="0068119E">
              <w:rPr>
                <w:color w:val="000000"/>
                <w:sz w:val="20"/>
              </w:rPr>
              <w:t>074</w:t>
            </w:r>
          </w:p>
        </w:tc>
      </w:tr>
      <w:tr w:rsidR="002B7932" w:rsidRPr="009618E4" w:rsidTr="00955F36">
        <w:trPr>
          <w:trHeight w:val="411"/>
          <w:jc w:val="center"/>
        </w:trPr>
        <w:tc>
          <w:tcPr>
            <w:tcW w:w="4103" w:type="dxa"/>
            <w:vMerge w:val="restart"/>
            <w:vAlign w:val="center"/>
          </w:tcPr>
          <w:p w:rsidR="002B7932" w:rsidRPr="009618E4" w:rsidRDefault="002B7932" w:rsidP="00955F36">
            <w:pPr>
              <w:jc w:val="left"/>
              <w:rPr>
                <w:noProof/>
                <w:sz w:val="20"/>
              </w:rPr>
            </w:pPr>
            <w:r w:rsidRPr="0068119E">
              <w:rPr>
                <w:color w:val="000000"/>
                <w:sz w:val="20"/>
              </w:rPr>
              <w:t>01</w:t>
            </w:r>
            <w:r w:rsidRPr="009618E4">
              <w:rPr>
                <w:color w:val="000000"/>
                <w:sz w:val="20"/>
              </w:rPr>
              <w:t xml:space="preserve"> </w:t>
            </w:r>
            <w:r w:rsidRPr="0068119E">
              <w:rPr>
                <w:color w:val="000000"/>
                <w:sz w:val="20"/>
              </w:rPr>
              <w:t>03</w:t>
            </w:r>
            <w:r w:rsidRPr="009618E4">
              <w:rPr>
                <w:color w:val="000000"/>
                <w:sz w:val="20"/>
              </w:rPr>
              <w:t xml:space="preserve"> </w:t>
            </w:r>
            <w:r w:rsidRPr="0068119E">
              <w:rPr>
                <w:color w:val="000000"/>
                <w:sz w:val="20"/>
              </w:rPr>
              <w:t>02</w:t>
            </w:r>
            <w:r w:rsidRPr="009618E4">
              <w:rPr>
                <w:color w:val="000000"/>
                <w:sz w:val="20"/>
              </w:rPr>
              <w:t xml:space="preserve"> </w:t>
            </w:r>
            <w:r w:rsidRPr="0068119E">
              <w:rPr>
                <w:color w:val="000000"/>
                <w:sz w:val="20"/>
              </w:rPr>
              <w:t>02</w:t>
            </w:r>
            <w:r w:rsidRPr="009618E4">
              <w:rPr>
                <w:color w:val="000000"/>
                <w:sz w:val="20"/>
              </w:rPr>
              <w:t xml:space="preserve"> Actions directes menées par le Centre commun de recherche (JRC)</w:t>
            </w:r>
          </w:p>
        </w:tc>
        <w:tc>
          <w:tcPr>
            <w:tcW w:w="1440" w:type="dxa"/>
            <w:vAlign w:val="center"/>
          </w:tcPr>
          <w:p w:rsidR="002B7932" w:rsidRPr="009618E4" w:rsidRDefault="002B7932">
            <w:pPr>
              <w:spacing w:before="20" w:after="20"/>
              <w:jc w:val="left"/>
              <w:rPr>
                <w:noProof/>
                <w:sz w:val="18"/>
              </w:rPr>
            </w:pPr>
            <w:r w:rsidRPr="009618E4">
              <w:rPr>
                <w:color w:val="000000"/>
                <w:sz w:val="20"/>
              </w:rPr>
              <w:t>Engagements</w:t>
            </w:r>
          </w:p>
        </w:tc>
        <w:tc>
          <w:tcPr>
            <w:tcW w:w="654" w:type="dxa"/>
            <w:vAlign w:val="center"/>
          </w:tcPr>
          <w:p w:rsidR="002B7932" w:rsidRPr="009618E4" w:rsidRDefault="002B7932">
            <w:pPr>
              <w:spacing w:before="20" w:after="20"/>
              <w:jc w:val="center"/>
              <w:rPr>
                <w:noProof/>
                <w:sz w:val="14"/>
              </w:rPr>
            </w:pPr>
            <w:r w:rsidRPr="009618E4">
              <w:rPr>
                <w:color w:val="000000"/>
                <w:sz w:val="20"/>
              </w:rPr>
              <w:t>(</w:t>
            </w:r>
            <w:r w:rsidRPr="0068119E">
              <w:rPr>
                <w:color w:val="000000"/>
                <w:sz w:val="20"/>
              </w:rPr>
              <w:t>1</w:t>
            </w:r>
            <w:r w:rsidRPr="009618E4">
              <w:rPr>
                <w:color w:val="000000"/>
                <w:sz w:val="20"/>
              </w:rPr>
              <w:t>c)</w:t>
            </w:r>
          </w:p>
        </w:tc>
        <w:tc>
          <w:tcPr>
            <w:tcW w:w="868" w:type="dxa"/>
            <w:vAlign w:val="center"/>
          </w:tcPr>
          <w:p w:rsidR="002B7932" w:rsidRPr="009618E4" w:rsidRDefault="002B7932">
            <w:pPr>
              <w:spacing w:before="20" w:after="20"/>
              <w:jc w:val="right"/>
              <w:rPr>
                <w:noProof/>
                <w:sz w:val="20"/>
              </w:rPr>
            </w:pPr>
            <w:r w:rsidRPr="0068119E">
              <w:rPr>
                <w:color w:val="000000"/>
                <w:sz w:val="20"/>
              </w:rPr>
              <w:t>11</w:t>
            </w:r>
            <w:r w:rsidRPr="009618E4">
              <w:rPr>
                <w:color w:val="000000"/>
                <w:sz w:val="20"/>
              </w:rPr>
              <w:t>,</w:t>
            </w:r>
            <w:r w:rsidRPr="0068119E">
              <w:rPr>
                <w:color w:val="000000"/>
                <w:sz w:val="20"/>
              </w:rPr>
              <w:t>585</w:t>
            </w:r>
          </w:p>
        </w:tc>
        <w:tc>
          <w:tcPr>
            <w:tcW w:w="868" w:type="dxa"/>
            <w:vAlign w:val="center"/>
          </w:tcPr>
          <w:p w:rsidR="002B7932" w:rsidRPr="009618E4" w:rsidRDefault="002B7932">
            <w:pPr>
              <w:spacing w:before="20" w:after="20"/>
              <w:jc w:val="right"/>
              <w:rPr>
                <w:noProof/>
                <w:sz w:val="20"/>
              </w:rPr>
            </w:pPr>
            <w:r w:rsidRPr="0068119E">
              <w:rPr>
                <w:color w:val="000000"/>
                <w:sz w:val="20"/>
              </w:rPr>
              <w:t>11</w:t>
            </w:r>
            <w:r w:rsidRPr="009618E4">
              <w:rPr>
                <w:color w:val="000000"/>
                <w:sz w:val="20"/>
              </w:rPr>
              <w:t>,</w:t>
            </w:r>
            <w:r w:rsidRPr="0068119E">
              <w:rPr>
                <w:color w:val="000000"/>
                <w:sz w:val="20"/>
              </w:rPr>
              <w:t>817</w:t>
            </w:r>
          </w:p>
        </w:tc>
        <w:tc>
          <w:tcPr>
            <w:tcW w:w="868" w:type="dxa"/>
            <w:vAlign w:val="center"/>
          </w:tcPr>
          <w:p w:rsidR="002B7932" w:rsidRPr="009618E4" w:rsidRDefault="002B7932">
            <w:pPr>
              <w:spacing w:before="20" w:after="20"/>
              <w:jc w:val="right"/>
              <w:rPr>
                <w:noProof/>
                <w:sz w:val="20"/>
              </w:rPr>
            </w:pPr>
            <w:r w:rsidRPr="0068119E">
              <w:rPr>
                <w:color w:val="000000"/>
                <w:sz w:val="20"/>
              </w:rPr>
              <w:t>12</w:t>
            </w:r>
            <w:r w:rsidRPr="009618E4">
              <w:rPr>
                <w:color w:val="000000"/>
                <w:sz w:val="20"/>
              </w:rPr>
              <w:t>,</w:t>
            </w:r>
            <w:r w:rsidRPr="0068119E">
              <w:rPr>
                <w:color w:val="000000"/>
                <w:sz w:val="20"/>
              </w:rPr>
              <w:t>053</w:t>
            </w:r>
          </w:p>
        </w:tc>
        <w:tc>
          <w:tcPr>
            <w:tcW w:w="868" w:type="dxa"/>
            <w:vAlign w:val="center"/>
          </w:tcPr>
          <w:p w:rsidR="002B7932" w:rsidRPr="009618E4" w:rsidRDefault="002B7932">
            <w:pPr>
              <w:spacing w:before="20" w:after="20"/>
              <w:jc w:val="right"/>
              <w:rPr>
                <w:noProof/>
                <w:sz w:val="20"/>
              </w:rPr>
            </w:pPr>
            <w:r w:rsidRPr="0068119E">
              <w:rPr>
                <w:color w:val="000000"/>
                <w:sz w:val="20"/>
              </w:rPr>
              <w:t>12</w:t>
            </w:r>
            <w:r w:rsidRPr="009618E4">
              <w:rPr>
                <w:color w:val="000000"/>
                <w:sz w:val="20"/>
              </w:rPr>
              <w:t>,</w:t>
            </w:r>
            <w:r w:rsidRPr="0068119E">
              <w:rPr>
                <w:color w:val="000000"/>
                <w:sz w:val="20"/>
              </w:rPr>
              <w:t>294</w:t>
            </w:r>
          </w:p>
        </w:tc>
        <w:tc>
          <w:tcPr>
            <w:tcW w:w="868" w:type="dxa"/>
            <w:vAlign w:val="center"/>
          </w:tcPr>
          <w:p w:rsidR="002B7932" w:rsidRPr="009618E4" w:rsidRDefault="002B7932">
            <w:pPr>
              <w:spacing w:before="20" w:after="20"/>
              <w:jc w:val="right"/>
              <w:rPr>
                <w:noProof/>
                <w:sz w:val="20"/>
              </w:rPr>
            </w:pPr>
            <w:r w:rsidRPr="0068119E">
              <w:rPr>
                <w:color w:val="000000"/>
                <w:sz w:val="20"/>
              </w:rPr>
              <w:t>12</w:t>
            </w:r>
            <w:r w:rsidRPr="009618E4">
              <w:rPr>
                <w:color w:val="000000"/>
                <w:sz w:val="20"/>
              </w:rPr>
              <w:t>,</w:t>
            </w:r>
            <w:r w:rsidRPr="0068119E">
              <w:rPr>
                <w:color w:val="000000"/>
                <w:sz w:val="20"/>
              </w:rPr>
              <w:t>541</w:t>
            </w:r>
          </w:p>
        </w:tc>
        <w:tc>
          <w:tcPr>
            <w:tcW w:w="868" w:type="dxa"/>
            <w:tcBorders>
              <w:bottom w:val="single" w:sz="4" w:space="0" w:color="auto"/>
            </w:tcBorders>
            <w:shd w:val="clear" w:color="auto" w:fill="7A6F75" w:themeFill="background1" w:themeFillShade="80"/>
            <w:vAlign w:val="center"/>
          </w:tcPr>
          <w:p w:rsidR="002B7932" w:rsidRPr="009618E4" w:rsidRDefault="002B7932">
            <w:pPr>
              <w:spacing w:before="20" w:after="20"/>
              <w:jc w:val="right"/>
              <w:rPr>
                <w:noProof/>
                <w:sz w:val="20"/>
              </w:rPr>
            </w:pPr>
            <w:r w:rsidRPr="009618E4">
              <w:rPr>
                <w:color w:val="000000"/>
                <w:sz w:val="20"/>
              </w:rPr>
              <w:t> </w:t>
            </w:r>
          </w:p>
        </w:tc>
        <w:tc>
          <w:tcPr>
            <w:tcW w:w="1289" w:type="dxa"/>
            <w:vAlign w:val="center"/>
          </w:tcPr>
          <w:p w:rsidR="002B7932" w:rsidRPr="009618E4" w:rsidRDefault="002B7932">
            <w:pPr>
              <w:spacing w:before="20" w:after="20"/>
              <w:jc w:val="right"/>
              <w:rPr>
                <w:b/>
                <w:noProof/>
                <w:sz w:val="20"/>
              </w:rPr>
            </w:pPr>
            <w:r w:rsidRPr="0068119E">
              <w:rPr>
                <w:color w:val="000000"/>
                <w:sz w:val="20"/>
              </w:rPr>
              <w:t>60</w:t>
            </w:r>
            <w:r w:rsidRPr="009618E4">
              <w:rPr>
                <w:color w:val="000000"/>
                <w:sz w:val="20"/>
              </w:rPr>
              <w:t>,</w:t>
            </w:r>
            <w:r w:rsidRPr="0068119E">
              <w:rPr>
                <w:color w:val="000000"/>
                <w:sz w:val="20"/>
              </w:rPr>
              <w:t>290</w:t>
            </w:r>
          </w:p>
        </w:tc>
      </w:tr>
      <w:tr w:rsidR="002B7932" w:rsidRPr="009618E4" w:rsidTr="002B7932">
        <w:trPr>
          <w:trHeight w:val="411"/>
          <w:jc w:val="center"/>
        </w:trPr>
        <w:tc>
          <w:tcPr>
            <w:tcW w:w="4103" w:type="dxa"/>
            <w:vMerge/>
          </w:tcPr>
          <w:p w:rsidR="002B7932" w:rsidRPr="009618E4" w:rsidRDefault="002B7932">
            <w:pPr>
              <w:jc w:val="center"/>
              <w:rPr>
                <w:noProof/>
                <w:sz w:val="20"/>
              </w:rPr>
            </w:pPr>
          </w:p>
        </w:tc>
        <w:tc>
          <w:tcPr>
            <w:tcW w:w="1440" w:type="dxa"/>
            <w:vAlign w:val="center"/>
          </w:tcPr>
          <w:p w:rsidR="002B7932" w:rsidRPr="009618E4" w:rsidRDefault="002B7932">
            <w:pPr>
              <w:spacing w:before="20" w:after="20"/>
              <w:jc w:val="left"/>
              <w:rPr>
                <w:noProof/>
                <w:sz w:val="18"/>
              </w:rPr>
            </w:pPr>
            <w:r w:rsidRPr="009618E4">
              <w:rPr>
                <w:color w:val="000000"/>
                <w:sz w:val="20"/>
              </w:rPr>
              <w:t>Paiements</w:t>
            </w:r>
          </w:p>
        </w:tc>
        <w:tc>
          <w:tcPr>
            <w:tcW w:w="654" w:type="dxa"/>
            <w:vAlign w:val="center"/>
          </w:tcPr>
          <w:p w:rsidR="002B7932" w:rsidRPr="009618E4" w:rsidRDefault="002B7932">
            <w:pPr>
              <w:spacing w:before="20" w:after="20"/>
              <w:jc w:val="center"/>
              <w:rPr>
                <w:noProof/>
                <w:sz w:val="14"/>
              </w:rPr>
            </w:pPr>
            <w:r w:rsidRPr="009618E4">
              <w:rPr>
                <w:color w:val="000000"/>
                <w:sz w:val="20"/>
              </w:rPr>
              <w:t>(</w:t>
            </w:r>
            <w:r w:rsidRPr="0068119E">
              <w:rPr>
                <w:color w:val="000000"/>
                <w:sz w:val="20"/>
              </w:rPr>
              <w:t>2</w:t>
            </w:r>
            <w:r w:rsidRPr="009618E4">
              <w:rPr>
                <w:color w:val="000000"/>
                <w:sz w:val="20"/>
              </w:rPr>
              <w:t>c)</w:t>
            </w:r>
          </w:p>
        </w:tc>
        <w:tc>
          <w:tcPr>
            <w:tcW w:w="868" w:type="dxa"/>
            <w:vAlign w:val="center"/>
          </w:tcPr>
          <w:p w:rsidR="002B7932" w:rsidRPr="009618E4" w:rsidRDefault="002B7932">
            <w:pPr>
              <w:spacing w:before="20" w:after="20"/>
              <w:jc w:val="right"/>
              <w:rPr>
                <w:noProof/>
                <w:sz w:val="20"/>
              </w:rPr>
            </w:pPr>
            <w:r w:rsidRPr="0068119E">
              <w:rPr>
                <w:color w:val="000000"/>
                <w:sz w:val="20"/>
              </w:rPr>
              <w:t>4</w:t>
            </w:r>
            <w:r w:rsidRPr="009618E4">
              <w:rPr>
                <w:color w:val="000000"/>
                <w:sz w:val="20"/>
              </w:rPr>
              <w:t>,</w:t>
            </w:r>
            <w:r w:rsidRPr="0068119E">
              <w:rPr>
                <w:color w:val="000000"/>
                <w:sz w:val="20"/>
              </w:rPr>
              <w:t>171</w:t>
            </w:r>
          </w:p>
        </w:tc>
        <w:tc>
          <w:tcPr>
            <w:tcW w:w="868" w:type="dxa"/>
            <w:vAlign w:val="center"/>
          </w:tcPr>
          <w:p w:rsidR="002B7932" w:rsidRPr="009618E4" w:rsidRDefault="002B7932">
            <w:pPr>
              <w:spacing w:before="20" w:after="20"/>
              <w:jc w:val="right"/>
              <w:rPr>
                <w:noProof/>
                <w:sz w:val="20"/>
              </w:rPr>
            </w:pPr>
            <w:r w:rsidRPr="0068119E">
              <w:rPr>
                <w:color w:val="000000"/>
                <w:sz w:val="20"/>
              </w:rPr>
              <w:t>9</w:t>
            </w:r>
            <w:r w:rsidRPr="009618E4">
              <w:rPr>
                <w:color w:val="000000"/>
                <w:sz w:val="20"/>
              </w:rPr>
              <w:t>,</w:t>
            </w:r>
            <w:r w:rsidRPr="0068119E">
              <w:rPr>
                <w:color w:val="000000"/>
                <w:sz w:val="20"/>
              </w:rPr>
              <w:t>120</w:t>
            </w:r>
          </w:p>
        </w:tc>
        <w:tc>
          <w:tcPr>
            <w:tcW w:w="868" w:type="dxa"/>
            <w:vAlign w:val="center"/>
          </w:tcPr>
          <w:p w:rsidR="002B7932" w:rsidRPr="009618E4" w:rsidRDefault="002B7932">
            <w:pPr>
              <w:spacing w:before="20" w:after="20"/>
              <w:jc w:val="right"/>
              <w:rPr>
                <w:noProof/>
                <w:sz w:val="20"/>
              </w:rPr>
            </w:pPr>
            <w:r w:rsidRPr="0068119E">
              <w:rPr>
                <w:color w:val="000000"/>
                <w:sz w:val="20"/>
              </w:rPr>
              <w:t>10</w:t>
            </w:r>
            <w:r w:rsidRPr="009618E4">
              <w:rPr>
                <w:color w:val="000000"/>
                <w:sz w:val="20"/>
              </w:rPr>
              <w:t>,</w:t>
            </w:r>
            <w:r w:rsidRPr="0068119E">
              <w:rPr>
                <w:color w:val="000000"/>
                <w:sz w:val="20"/>
              </w:rPr>
              <w:t>924</w:t>
            </w:r>
          </w:p>
        </w:tc>
        <w:tc>
          <w:tcPr>
            <w:tcW w:w="868" w:type="dxa"/>
            <w:vAlign w:val="center"/>
          </w:tcPr>
          <w:p w:rsidR="002B7932" w:rsidRPr="009618E4" w:rsidRDefault="002B7932">
            <w:pPr>
              <w:spacing w:before="20" w:after="20"/>
              <w:jc w:val="right"/>
              <w:rPr>
                <w:noProof/>
                <w:sz w:val="20"/>
              </w:rPr>
            </w:pPr>
            <w:r w:rsidRPr="0068119E">
              <w:rPr>
                <w:color w:val="000000"/>
                <w:sz w:val="20"/>
              </w:rPr>
              <w:t>11</w:t>
            </w:r>
            <w:r w:rsidRPr="009618E4">
              <w:rPr>
                <w:color w:val="000000"/>
                <w:sz w:val="20"/>
              </w:rPr>
              <w:t>,</w:t>
            </w:r>
            <w:r w:rsidRPr="0068119E">
              <w:rPr>
                <w:color w:val="000000"/>
                <w:sz w:val="20"/>
              </w:rPr>
              <w:t>838</w:t>
            </w:r>
          </w:p>
        </w:tc>
        <w:tc>
          <w:tcPr>
            <w:tcW w:w="868" w:type="dxa"/>
            <w:vAlign w:val="center"/>
          </w:tcPr>
          <w:p w:rsidR="002B7932" w:rsidRPr="009618E4" w:rsidRDefault="002B7932">
            <w:pPr>
              <w:spacing w:before="20" w:after="20"/>
              <w:jc w:val="right"/>
              <w:rPr>
                <w:noProof/>
                <w:sz w:val="20"/>
              </w:rPr>
            </w:pPr>
            <w:r w:rsidRPr="0068119E">
              <w:rPr>
                <w:color w:val="000000"/>
                <w:sz w:val="20"/>
              </w:rPr>
              <w:t>12</w:t>
            </w:r>
            <w:r w:rsidRPr="009618E4">
              <w:rPr>
                <w:color w:val="000000"/>
                <w:sz w:val="20"/>
              </w:rPr>
              <w:t>,</w:t>
            </w:r>
            <w:r w:rsidRPr="0068119E">
              <w:rPr>
                <w:color w:val="000000"/>
                <w:sz w:val="20"/>
              </w:rPr>
              <w:t>306</w:t>
            </w:r>
          </w:p>
        </w:tc>
        <w:tc>
          <w:tcPr>
            <w:tcW w:w="868" w:type="dxa"/>
            <w:tcBorders>
              <w:bottom w:val="single" w:sz="4" w:space="0" w:color="auto"/>
            </w:tcBorders>
            <w:vAlign w:val="center"/>
          </w:tcPr>
          <w:p w:rsidR="002B7932" w:rsidRPr="009618E4" w:rsidRDefault="002B7932">
            <w:pPr>
              <w:spacing w:before="20" w:after="20"/>
              <w:jc w:val="right"/>
              <w:rPr>
                <w:noProof/>
                <w:sz w:val="20"/>
              </w:rPr>
            </w:pPr>
            <w:r w:rsidRPr="0068119E">
              <w:rPr>
                <w:color w:val="000000"/>
                <w:sz w:val="20"/>
              </w:rPr>
              <w:t>11</w:t>
            </w:r>
            <w:r w:rsidRPr="009618E4">
              <w:rPr>
                <w:color w:val="000000"/>
                <w:sz w:val="20"/>
              </w:rPr>
              <w:t>,</w:t>
            </w:r>
            <w:r w:rsidRPr="0068119E">
              <w:rPr>
                <w:color w:val="000000"/>
                <w:sz w:val="20"/>
              </w:rPr>
              <w:t>931</w:t>
            </w:r>
          </w:p>
        </w:tc>
        <w:tc>
          <w:tcPr>
            <w:tcW w:w="1289" w:type="dxa"/>
            <w:vAlign w:val="center"/>
          </w:tcPr>
          <w:p w:rsidR="002B7932" w:rsidRPr="009618E4" w:rsidRDefault="002B7932">
            <w:pPr>
              <w:spacing w:before="20" w:after="20"/>
              <w:jc w:val="right"/>
              <w:rPr>
                <w:b/>
                <w:noProof/>
                <w:sz w:val="20"/>
              </w:rPr>
            </w:pPr>
            <w:r w:rsidRPr="0068119E">
              <w:rPr>
                <w:color w:val="000000"/>
                <w:sz w:val="20"/>
              </w:rPr>
              <w:t>60</w:t>
            </w:r>
            <w:r w:rsidRPr="009618E4">
              <w:rPr>
                <w:color w:val="000000"/>
                <w:sz w:val="20"/>
              </w:rPr>
              <w:t>,</w:t>
            </w:r>
            <w:r w:rsidRPr="0068119E">
              <w:rPr>
                <w:color w:val="000000"/>
                <w:sz w:val="20"/>
              </w:rPr>
              <w:t>290</w:t>
            </w:r>
          </w:p>
        </w:tc>
      </w:tr>
      <w:tr w:rsidR="00587744" w:rsidRPr="009618E4" w:rsidTr="00955F36">
        <w:trPr>
          <w:trHeight w:val="319"/>
          <w:jc w:val="center"/>
        </w:trPr>
        <w:tc>
          <w:tcPr>
            <w:tcW w:w="4103" w:type="dxa"/>
            <w:vAlign w:val="center"/>
          </w:tcPr>
          <w:p w:rsidR="00587744" w:rsidRPr="009618E4" w:rsidRDefault="00587744" w:rsidP="004D00FC">
            <w:pPr>
              <w:spacing w:before="20" w:after="20"/>
              <w:jc w:val="left"/>
              <w:rPr>
                <w:noProof/>
              </w:rPr>
            </w:pPr>
            <w:r w:rsidRPr="009618E4">
              <w:rPr>
                <w:noProof/>
                <w:sz w:val="20"/>
              </w:rPr>
              <w:t>Crédits de nature administrative financés par l</w:t>
            </w:r>
            <w:r w:rsidR="00266719" w:rsidRPr="009618E4">
              <w:rPr>
                <w:noProof/>
                <w:sz w:val="20"/>
              </w:rPr>
              <w:t>’</w:t>
            </w:r>
            <w:r w:rsidRPr="009618E4">
              <w:rPr>
                <w:noProof/>
                <w:sz w:val="20"/>
              </w:rPr>
              <w:t>enveloppe du programme</w:t>
            </w:r>
            <w:r w:rsidRPr="009618E4">
              <w:rPr>
                <w:rStyle w:val="FootnoteReference"/>
                <w:noProof/>
                <w:sz w:val="20"/>
              </w:rPr>
              <w:footnoteReference w:id="38"/>
            </w:r>
          </w:p>
        </w:tc>
        <w:tc>
          <w:tcPr>
            <w:tcW w:w="1440" w:type="dxa"/>
            <w:vAlign w:val="center"/>
          </w:tcPr>
          <w:p w:rsidR="00587744" w:rsidRPr="009618E4" w:rsidRDefault="00587744">
            <w:pPr>
              <w:spacing w:before="40" w:after="40"/>
              <w:jc w:val="left"/>
              <w:rPr>
                <w:noProof/>
                <w:sz w:val="18"/>
              </w:rPr>
            </w:pPr>
            <w:r w:rsidRPr="009618E4">
              <w:rPr>
                <w:noProof/>
                <w:sz w:val="18"/>
              </w:rPr>
              <w:t>Engagements = Paiements</w:t>
            </w:r>
          </w:p>
        </w:tc>
        <w:tc>
          <w:tcPr>
            <w:tcW w:w="654" w:type="dxa"/>
            <w:vAlign w:val="center"/>
          </w:tcPr>
          <w:p w:rsidR="00587744" w:rsidRPr="009618E4" w:rsidRDefault="00587744">
            <w:pPr>
              <w:spacing w:before="40" w:after="40"/>
              <w:jc w:val="center"/>
              <w:rPr>
                <w:noProof/>
                <w:sz w:val="14"/>
              </w:rPr>
            </w:pPr>
            <w:r w:rsidRPr="009618E4">
              <w:rPr>
                <w:noProof/>
                <w:sz w:val="14"/>
              </w:rPr>
              <w:t>(</w:t>
            </w:r>
            <w:r w:rsidRPr="0068119E">
              <w:rPr>
                <w:noProof/>
                <w:sz w:val="14"/>
              </w:rPr>
              <w:t>3</w:t>
            </w:r>
            <w:r w:rsidRPr="009618E4">
              <w:rPr>
                <w:noProof/>
                <w:sz w:val="14"/>
              </w:rPr>
              <w:t>)</w:t>
            </w:r>
          </w:p>
        </w:tc>
        <w:tc>
          <w:tcPr>
            <w:tcW w:w="868" w:type="dxa"/>
            <w:vAlign w:val="center"/>
          </w:tcPr>
          <w:p w:rsidR="00587744" w:rsidRPr="009618E4" w:rsidRDefault="002B7932">
            <w:pPr>
              <w:spacing w:before="40" w:after="40"/>
              <w:jc w:val="right"/>
              <w:rPr>
                <w:b/>
                <w:noProof/>
                <w:sz w:val="20"/>
              </w:rPr>
            </w:pPr>
            <w:r w:rsidRPr="0068119E">
              <w:rPr>
                <w:color w:val="000000"/>
                <w:sz w:val="20"/>
              </w:rPr>
              <w:t>119</w:t>
            </w:r>
            <w:r w:rsidRPr="009618E4">
              <w:rPr>
                <w:color w:val="000000"/>
                <w:sz w:val="20"/>
              </w:rPr>
              <w:t>,</w:t>
            </w:r>
            <w:r w:rsidRPr="0068119E">
              <w:rPr>
                <w:color w:val="000000"/>
                <w:sz w:val="20"/>
              </w:rPr>
              <w:t>636</w:t>
            </w:r>
          </w:p>
        </w:tc>
        <w:tc>
          <w:tcPr>
            <w:tcW w:w="868" w:type="dxa"/>
            <w:vAlign w:val="center"/>
          </w:tcPr>
          <w:p w:rsidR="00587744" w:rsidRPr="009618E4" w:rsidRDefault="002B7932">
            <w:pPr>
              <w:spacing w:before="40" w:after="40"/>
              <w:jc w:val="right"/>
              <w:rPr>
                <w:b/>
                <w:noProof/>
                <w:sz w:val="20"/>
              </w:rPr>
            </w:pPr>
            <w:r w:rsidRPr="0068119E">
              <w:rPr>
                <w:color w:val="000000"/>
                <w:sz w:val="20"/>
              </w:rPr>
              <w:t>122</w:t>
            </w:r>
            <w:r w:rsidRPr="009618E4">
              <w:rPr>
                <w:color w:val="000000"/>
                <w:sz w:val="20"/>
              </w:rPr>
              <w:t>,</w:t>
            </w:r>
            <w:r w:rsidRPr="0068119E">
              <w:rPr>
                <w:color w:val="000000"/>
                <w:sz w:val="20"/>
              </w:rPr>
              <w:t>002</w:t>
            </w:r>
          </w:p>
        </w:tc>
        <w:tc>
          <w:tcPr>
            <w:tcW w:w="868" w:type="dxa"/>
            <w:vAlign w:val="center"/>
          </w:tcPr>
          <w:p w:rsidR="00587744" w:rsidRPr="009618E4" w:rsidRDefault="002B7932">
            <w:pPr>
              <w:spacing w:before="40" w:after="40"/>
              <w:jc w:val="right"/>
              <w:rPr>
                <w:b/>
                <w:noProof/>
                <w:sz w:val="20"/>
              </w:rPr>
            </w:pPr>
            <w:r w:rsidRPr="0068119E">
              <w:rPr>
                <w:color w:val="000000"/>
                <w:sz w:val="20"/>
              </w:rPr>
              <w:t>124</w:t>
            </w:r>
            <w:r w:rsidRPr="009618E4">
              <w:rPr>
                <w:color w:val="000000"/>
                <w:sz w:val="20"/>
              </w:rPr>
              <w:t>,</w:t>
            </w:r>
            <w:r w:rsidRPr="0068119E">
              <w:rPr>
                <w:color w:val="000000"/>
                <w:sz w:val="20"/>
              </w:rPr>
              <w:t>469</w:t>
            </w:r>
          </w:p>
        </w:tc>
        <w:tc>
          <w:tcPr>
            <w:tcW w:w="868" w:type="dxa"/>
            <w:vAlign w:val="center"/>
          </w:tcPr>
          <w:p w:rsidR="00587744" w:rsidRPr="009618E4" w:rsidRDefault="002B7932">
            <w:pPr>
              <w:spacing w:before="40" w:after="40"/>
              <w:jc w:val="right"/>
              <w:rPr>
                <w:b/>
                <w:noProof/>
                <w:sz w:val="20"/>
              </w:rPr>
            </w:pPr>
            <w:r w:rsidRPr="0068119E">
              <w:rPr>
                <w:color w:val="000000"/>
                <w:sz w:val="20"/>
              </w:rPr>
              <w:t>126</w:t>
            </w:r>
            <w:r w:rsidRPr="009618E4">
              <w:rPr>
                <w:color w:val="000000"/>
                <w:sz w:val="20"/>
              </w:rPr>
              <w:t>,</w:t>
            </w:r>
            <w:r w:rsidRPr="0068119E">
              <w:rPr>
                <w:color w:val="000000"/>
                <w:sz w:val="20"/>
              </w:rPr>
              <w:t>915</w:t>
            </w:r>
          </w:p>
        </w:tc>
        <w:tc>
          <w:tcPr>
            <w:tcW w:w="868" w:type="dxa"/>
            <w:vAlign w:val="center"/>
          </w:tcPr>
          <w:p w:rsidR="00587744" w:rsidRPr="009618E4" w:rsidRDefault="002B7932">
            <w:pPr>
              <w:spacing w:before="40" w:after="40"/>
              <w:jc w:val="right"/>
              <w:rPr>
                <w:b/>
                <w:noProof/>
                <w:sz w:val="20"/>
              </w:rPr>
            </w:pPr>
            <w:r w:rsidRPr="0068119E">
              <w:rPr>
                <w:color w:val="000000"/>
                <w:sz w:val="20"/>
              </w:rPr>
              <w:t>129</w:t>
            </w:r>
            <w:r w:rsidRPr="009618E4">
              <w:rPr>
                <w:color w:val="000000"/>
                <w:sz w:val="20"/>
              </w:rPr>
              <w:t>,</w:t>
            </w:r>
            <w:r w:rsidRPr="0068119E">
              <w:rPr>
                <w:color w:val="000000"/>
                <w:sz w:val="20"/>
              </w:rPr>
              <w:t>525</w:t>
            </w:r>
          </w:p>
        </w:tc>
        <w:tc>
          <w:tcPr>
            <w:tcW w:w="868" w:type="dxa"/>
            <w:shd w:val="clear" w:color="auto" w:fill="7F7F7F" w:themeFill="text1" w:themeFillTint="80"/>
            <w:vAlign w:val="center"/>
          </w:tcPr>
          <w:p w:rsidR="00587744" w:rsidRPr="009618E4" w:rsidRDefault="002B7932">
            <w:pPr>
              <w:spacing w:before="20" w:after="20"/>
              <w:jc w:val="right"/>
              <w:rPr>
                <w:noProof/>
                <w:sz w:val="20"/>
              </w:rPr>
            </w:pPr>
            <w:r w:rsidRPr="009618E4">
              <w:rPr>
                <w:color w:val="000000"/>
                <w:sz w:val="20"/>
              </w:rPr>
              <w:t> </w:t>
            </w:r>
          </w:p>
        </w:tc>
        <w:tc>
          <w:tcPr>
            <w:tcW w:w="1289" w:type="dxa"/>
            <w:vAlign w:val="center"/>
          </w:tcPr>
          <w:p w:rsidR="00587744" w:rsidRPr="009618E4" w:rsidRDefault="002B7932">
            <w:pPr>
              <w:spacing w:before="40" w:after="40"/>
              <w:jc w:val="right"/>
              <w:rPr>
                <w:b/>
                <w:noProof/>
                <w:sz w:val="20"/>
              </w:rPr>
            </w:pPr>
            <w:r w:rsidRPr="0068119E">
              <w:rPr>
                <w:color w:val="000000"/>
                <w:sz w:val="20"/>
              </w:rPr>
              <w:t>622</w:t>
            </w:r>
            <w:r w:rsidRPr="009618E4">
              <w:rPr>
                <w:color w:val="000000"/>
                <w:sz w:val="20"/>
              </w:rPr>
              <w:t>,</w:t>
            </w:r>
            <w:r w:rsidRPr="0068119E">
              <w:rPr>
                <w:color w:val="000000"/>
                <w:sz w:val="20"/>
              </w:rPr>
              <w:t>547</w:t>
            </w:r>
          </w:p>
        </w:tc>
      </w:tr>
      <w:tr w:rsidR="00587744" w:rsidRPr="009618E4" w:rsidTr="00955F36">
        <w:trPr>
          <w:jc w:val="center"/>
        </w:trPr>
        <w:tc>
          <w:tcPr>
            <w:tcW w:w="4103" w:type="dxa"/>
            <w:vMerge w:val="restart"/>
            <w:vAlign w:val="center"/>
          </w:tcPr>
          <w:p w:rsidR="00587744" w:rsidRPr="009618E4" w:rsidRDefault="00587744">
            <w:pPr>
              <w:jc w:val="left"/>
              <w:rPr>
                <w:b/>
                <w:noProof/>
              </w:rPr>
            </w:pPr>
            <w:r w:rsidRPr="009618E4">
              <w:rPr>
                <w:b/>
                <w:noProof/>
                <w:sz w:val="22"/>
              </w:rPr>
              <w:t>TOTAL des crédits pour l</w:t>
            </w:r>
            <w:r w:rsidR="00266719" w:rsidRPr="009618E4">
              <w:rPr>
                <w:b/>
                <w:noProof/>
                <w:sz w:val="22"/>
              </w:rPr>
              <w:t>’</w:t>
            </w:r>
            <w:r w:rsidRPr="009618E4">
              <w:rPr>
                <w:b/>
                <w:noProof/>
                <w:sz w:val="22"/>
              </w:rPr>
              <w:t>enveloppe du programme</w:t>
            </w:r>
          </w:p>
        </w:tc>
        <w:tc>
          <w:tcPr>
            <w:tcW w:w="1440" w:type="dxa"/>
            <w:vAlign w:val="center"/>
          </w:tcPr>
          <w:p w:rsidR="00587744" w:rsidRPr="009618E4" w:rsidRDefault="00587744">
            <w:pPr>
              <w:jc w:val="left"/>
              <w:rPr>
                <w:noProof/>
                <w:sz w:val="18"/>
              </w:rPr>
            </w:pPr>
            <w:r w:rsidRPr="009618E4">
              <w:rPr>
                <w:noProof/>
                <w:sz w:val="18"/>
              </w:rPr>
              <w:t>Engagements</w:t>
            </w:r>
          </w:p>
        </w:tc>
        <w:tc>
          <w:tcPr>
            <w:tcW w:w="654" w:type="dxa"/>
            <w:vAlign w:val="center"/>
          </w:tcPr>
          <w:p w:rsidR="00587744" w:rsidRPr="009618E4" w:rsidRDefault="00587744">
            <w:pPr>
              <w:jc w:val="center"/>
              <w:rPr>
                <w:noProof/>
                <w:sz w:val="14"/>
              </w:rPr>
            </w:pPr>
            <w:r w:rsidRPr="009618E4">
              <w:rPr>
                <w:noProof/>
                <w:sz w:val="14"/>
              </w:rPr>
              <w:t>=</w:t>
            </w:r>
            <w:r w:rsidRPr="0068119E">
              <w:rPr>
                <w:noProof/>
                <w:sz w:val="14"/>
              </w:rPr>
              <w:t>1</w:t>
            </w:r>
            <w:r w:rsidRPr="009618E4">
              <w:rPr>
                <w:noProof/>
                <w:sz w:val="14"/>
              </w:rPr>
              <w:t>+</w:t>
            </w:r>
            <w:r w:rsidRPr="0068119E">
              <w:rPr>
                <w:noProof/>
                <w:sz w:val="14"/>
              </w:rPr>
              <w:t>3</w:t>
            </w:r>
          </w:p>
        </w:tc>
        <w:tc>
          <w:tcPr>
            <w:tcW w:w="868" w:type="dxa"/>
            <w:vAlign w:val="center"/>
          </w:tcPr>
          <w:p w:rsidR="00587744" w:rsidRPr="009618E4" w:rsidRDefault="002B7932">
            <w:pPr>
              <w:spacing w:before="20" w:after="20"/>
              <w:jc w:val="right"/>
              <w:rPr>
                <w:b/>
                <w:sz w:val="20"/>
              </w:rPr>
            </w:pPr>
            <w:r w:rsidRPr="0068119E">
              <w:rPr>
                <w:b/>
                <w:color w:val="000000"/>
                <w:sz w:val="20"/>
              </w:rPr>
              <w:t>322</w:t>
            </w:r>
            <w:r w:rsidRPr="009618E4">
              <w:rPr>
                <w:b/>
                <w:color w:val="000000"/>
                <w:sz w:val="20"/>
              </w:rPr>
              <w:t>,</w:t>
            </w:r>
            <w:r w:rsidRPr="0068119E">
              <w:rPr>
                <w:b/>
                <w:color w:val="000000"/>
                <w:sz w:val="20"/>
              </w:rPr>
              <w:t>000</w:t>
            </w:r>
          </w:p>
        </w:tc>
        <w:tc>
          <w:tcPr>
            <w:tcW w:w="868" w:type="dxa"/>
            <w:vAlign w:val="center"/>
          </w:tcPr>
          <w:p w:rsidR="00587744" w:rsidRPr="009618E4" w:rsidRDefault="002B7932">
            <w:pPr>
              <w:spacing w:before="20" w:after="20"/>
              <w:jc w:val="right"/>
              <w:rPr>
                <w:b/>
                <w:sz w:val="20"/>
              </w:rPr>
            </w:pPr>
            <w:r w:rsidRPr="0068119E">
              <w:rPr>
                <w:b/>
                <w:color w:val="000000"/>
                <w:sz w:val="20"/>
              </w:rPr>
              <w:t>328</w:t>
            </w:r>
            <w:r w:rsidRPr="009618E4">
              <w:rPr>
                <w:b/>
                <w:color w:val="000000"/>
                <w:sz w:val="20"/>
              </w:rPr>
              <w:t>,</w:t>
            </w:r>
            <w:r w:rsidRPr="0068119E">
              <w:rPr>
                <w:b/>
                <w:color w:val="000000"/>
                <w:sz w:val="20"/>
              </w:rPr>
              <w:t>000</w:t>
            </w:r>
          </w:p>
        </w:tc>
        <w:tc>
          <w:tcPr>
            <w:tcW w:w="868" w:type="dxa"/>
            <w:vAlign w:val="center"/>
          </w:tcPr>
          <w:p w:rsidR="00587744" w:rsidRPr="009618E4" w:rsidRDefault="002B7932">
            <w:pPr>
              <w:spacing w:before="20" w:after="20"/>
              <w:jc w:val="right"/>
              <w:rPr>
                <w:b/>
                <w:sz w:val="20"/>
              </w:rPr>
            </w:pPr>
            <w:r w:rsidRPr="0068119E">
              <w:rPr>
                <w:b/>
                <w:color w:val="000000"/>
                <w:sz w:val="20"/>
              </w:rPr>
              <w:t>335</w:t>
            </w:r>
            <w:r w:rsidRPr="009618E4">
              <w:rPr>
                <w:b/>
                <w:color w:val="000000"/>
                <w:sz w:val="20"/>
              </w:rPr>
              <w:t>,</w:t>
            </w:r>
            <w:r w:rsidRPr="0068119E">
              <w:rPr>
                <w:b/>
                <w:color w:val="000000"/>
                <w:sz w:val="20"/>
              </w:rPr>
              <w:t>000</w:t>
            </w:r>
          </w:p>
        </w:tc>
        <w:tc>
          <w:tcPr>
            <w:tcW w:w="868" w:type="dxa"/>
            <w:vAlign w:val="center"/>
          </w:tcPr>
          <w:p w:rsidR="00587744" w:rsidRPr="009618E4" w:rsidRDefault="002B7932">
            <w:pPr>
              <w:spacing w:before="20" w:after="20"/>
              <w:jc w:val="right"/>
              <w:rPr>
                <w:b/>
                <w:sz w:val="20"/>
              </w:rPr>
            </w:pPr>
            <w:r w:rsidRPr="0068119E">
              <w:rPr>
                <w:b/>
                <w:color w:val="000000"/>
                <w:sz w:val="20"/>
              </w:rPr>
              <w:t>341</w:t>
            </w:r>
            <w:r w:rsidRPr="009618E4">
              <w:rPr>
                <w:b/>
                <w:color w:val="000000"/>
                <w:sz w:val="20"/>
              </w:rPr>
              <w:t>,</w:t>
            </w:r>
            <w:r w:rsidRPr="0068119E">
              <w:rPr>
                <w:b/>
                <w:color w:val="000000"/>
                <w:sz w:val="20"/>
              </w:rPr>
              <w:t>000</w:t>
            </w:r>
          </w:p>
        </w:tc>
        <w:tc>
          <w:tcPr>
            <w:tcW w:w="868" w:type="dxa"/>
            <w:vAlign w:val="center"/>
          </w:tcPr>
          <w:p w:rsidR="00587744" w:rsidRPr="009618E4" w:rsidRDefault="002B7932">
            <w:pPr>
              <w:spacing w:before="20" w:after="20"/>
              <w:jc w:val="right"/>
              <w:rPr>
                <w:b/>
                <w:sz w:val="20"/>
              </w:rPr>
            </w:pPr>
            <w:r w:rsidRPr="0068119E">
              <w:rPr>
                <w:b/>
                <w:color w:val="000000"/>
                <w:sz w:val="20"/>
              </w:rPr>
              <w:t>349</w:t>
            </w:r>
            <w:r w:rsidRPr="009618E4">
              <w:rPr>
                <w:b/>
                <w:color w:val="000000"/>
                <w:sz w:val="20"/>
              </w:rPr>
              <w:t>,</w:t>
            </w:r>
            <w:r w:rsidRPr="0068119E">
              <w:rPr>
                <w:b/>
                <w:color w:val="000000"/>
                <w:sz w:val="20"/>
              </w:rPr>
              <w:t>000</w:t>
            </w:r>
          </w:p>
        </w:tc>
        <w:tc>
          <w:tcPr>
            <w:tcW w:w="868" w:type="dxa"/>
            <w:shd w:val="clear" w:color="auto" w:fill="7F7F7F" w:themeFill="text1" w:themeFillTint="80"/>
            <w:vAlign w:val="center"/>
          </w:tcPr>
          <w:p w:rsidR="00587744" w:rsidRPr="009618E4" w:rsidRDefault="00587744">
            <w:pPr>
              <w:spacing w:before="20" w:after="20"/>
              <w:jc w:val="right"/>
              <w:rPr>
                <w:b/>
                <w:sz w:val="20"/>
              </w:rPr>
            </w:pPr>
          </w:p>
        </w:tc>
        <w:tc>
          <w:tcPr>
            <w:tcW w:w="1289" w:type="dxa"/>
            <w:vAlign w:val="center"/>
          </w:tcPr>
          <w:p w:rsidR="00587744" w:rsidRPr="009618E4" w:rsidRDefault="002B7932">
            <w:pPr>
              <w:spacing w:before="20" w:after="20"/>
              <w:jc w:val="right"/>
              <w:rPr>
                <w:b/>
                <w:noProof/>
                <w:sz w:val="20"/>
              </w:rPr>
            </w:pPr>
            <w:r w:rsidRPr="0068119E">
              <w:rPr>
                <w:b/>
                <w:color w:val="000000"/>
                <w:sz w:val="20"/>
              </w:rPr>
              <w:t>1</w:t>
            </w:r>
            <w:r w:rsidRPr="009618E4">
              <w:rPr>
                <w:b/>
                <w:color w:val="000000"/>
                <w:sz w:val="20"/>
              </w:rPr>
              <w:t> </w:t>
            </w:r>
            <w:r w:rsidRPr="0068119E">
              <w:rPr>
                <w:b/>
                <w:color w:val="000000"/>
                <w:sz w:val="20"/>
              </w:rPr>
              <w:t>675</w:t>
            </w:r>
            <w:r w:rsidRPr="009618E4">
              <w:rPr>
                <w:b/>
                <w:color w:val="000000"/>
                <w:sz w:val="20"/>
              </w:rPr>
              <w:t>,</w:t>
            </w:r>
            <w:r w:rsidRPr="0068119E">
              <w:rPr>
                <w:b/>
                <w:color w:val="000000"/>
                <w:sz w:val="20"/>
              </w:rPr>
              <w:t>000</w:t>
            </w:r>
          </w:p>
        </w:tc>
      </w:tr>
      <w:tr w:rsidR="00587744" w:rsidRPr="009618E4" w:rsidTr="00955F36">
        <w:trPr>
          <w:jc w:val="center"/>
        </w:trPr>
        <w:tc>
          <w:tcPr>
            <w:tcW w:w="4103" w:type="dxa"/>
            <w:vMerge/>
          </w:tcPr>
          <w:p w:rsidR="00587744" w:rsidRPr="009618E4" w:rsidRDefault="00587744">
            <w:pPr>
              <w:rPr>
                <w:noProof/>
                <w:sz w:val="20"/>
              </w:rPr>
            </w:pPr>
          </w:p>
        </w:tc>
        <w:tc>
          <w:tcPr>
            <w:tcW w:w="1440" w:type="dxa"/>
            <w:vAlign w:val="center"/>
          </w:tcPr>
          <w:p w:rsidR="00587744" w:rsidRPr="009618E4" w:rsidRDefault="00587744">
            <w:pPr>
              <w:jc w:val="left"/>
              <w:rPr>
                <w:noProof/>
                <w:sz w:val="18"/>
              </w:rPr>
            </w:pPr>
            <w:r w:rsidRPr="009618E4">
              <w:rPr>
                <w:noProof/>
                <w:sz w:val="18"/>
              </w:rPr>
              <w:t>Paiements</w:t>
            </w:r>
          </w:p>
        </w:tc>
        <w:tc>
          <w:tcPr>
            <w:tcW w:w="654" w:type="dxa"/>
            <w:vAlign w:val="center"/>
          </w:tcPr>
          <w:p w:rsidR="00587744" w:rsidRPr="009618E4" w:rsidRDefault="00587744">
            <w:pPr>
              <w:jc w:val="center"/>
              <w:rPr>
                <w:noProof/>
                <w:sz w:val="14"/>
              </w:rPr>
            </w:pPr>
            <w:r w:rsidRPr="009618E4">
              <w:rPr>
                <w:noProof/>
                <w:sz w:val="14"/>
              </w:rPr>
              <w:t>=</w:t>
            </w:r>
            <w:r w:rsidRPr="0068119E">
              <w:rPr>
                <w:noProof/>
                <w:sz w:val="14"/>
              </w:rPr>
              <w:t>2</w:t>
            </w:r>
            <w:r w:rsidRPr="009618E4">
              <w:rPr>
                <w:noProof/>
                <w:sz w:val="14"/>
              </w:rPr>
              <w:t>+</w:t>
            </w:r>
            <w:r w:rsidRPr="0068119E">
              <w:rPr>
                <w:noProof/>
                <w:sz w:val="14"/>
              </w:rPr>
              <w:t>3</w:t>
            </w:r>
          </w:p>
        </w:tc>
        <w:tc>
          <w:tcPr>
            <w:tcW w:w="868" w:type="dxa"/>
            <w:vAlign w:val="center"/>
          </w:tcPr>
          <w:p w:rsidR="00587744" w:rsidRPr="009618E4" w:rsidRDefault="002B7932">
            <w:pPr>
              <w:spacing w:before="20" w:after="20"/>
              <w:jc w:val="right"/>
              <w:rPr>
                <w:b/>
                <w:sz w:val="20"/>
              </w:rPr>
            </w:pPr>
            <w:r w:rsidRPr="0068119E">
              <w:rPr>
                <w:b/>
                <w:color w:val="000000"/>
                <w:sz w:val="20"/>
              </w:rPr>
              <w:t>123</w:t>
            </w:r>
            <w:r w:rsidRPr="009618E4">
              <w:rPr>
                <w:b/>
                <w:color w:val="000000"/>
                <w:sz w:val="20"/>
              </w:rPr>
              <w:t>,</w:t>
            </w:r>
            <w:r w:rsidRPr="0068119E">
              <w:rPr>
                <w:b/>
                <w:color w:val="000000"/>
                <w:sz w:val="20"/>
              </w:rPr>
              <w:t>807</w:t>
            </w:r>
          </w:p>
        </w:tc>
        <w:tc>
          <w:tcPr>
            <w:tcW w:w="868" w:type="dxa"/>
            <w:vAlign w:val="center"/>
          </w:tcPr>
          <w:p w:rsidR="00587744" w:rsidRPr="009618E4" w:rsidRDefault="002B7932">
            <w:pPr>
              <w:spacing w:before="20" w:after="20"/>
              <w:jc w:val="right"/>
              <w:rPr>
                <w:b/>
                <w:sz w:val="20"/>
              </w:rPr>
            </w:pPr>
            <w:r w:rsidRPr="0068119E">
              <w:rPr>
                <w:b/>
                <w:color w:val="000000"/>
                <w:sz w:val="20"/>
              </w:rPr>
              <w:t>296</w:t>
            </w:r>
            <w:r w:rsidRPr="009618E4">
              <w:rPr>
                <w:b/>
                <w:color w:val="000000"/>
                <w:sz w:val="20"/>
              </w:rPr>
              <w:t>,</w:t>
            </w:r>
            <w:r w:rsidRPr="0068119E">
              <w:rPr>
                <w:b/>
                <w:color w:val="000000"/>
                <w:sz w:val="20"/>
              </w:rPr>
              <w:t>122</w:t>
            </w:r>
          </w:p>
        </w:tc>
        <w:tc>
          <w:tcPr>
            <w:tcW w:w="868" w:type="dxa"/>
            <w:vAlign w:val="center"/>
          </w:tcPr>
          <w:p w:rsidR="00587744" w:rsidRPr="009618E4" w:rsidRDefault="002B7932">
            <w:pPr>
              <w:spacing w:before="20" w:after="20"/>
              <w:jc w:val="right"/>
              <w:rPr>
                <w:b/>
                <w:sz w:val="20"/>
              </w:rPr>
            </w:pPr>
            <w:r w:rsidRPr="0068119E">
              <w:rPr>
                <w:b/>
                <w:color w:val="000000"/>
                <w:sz w:val="20"/>
              </w:rPr>
              <w:t>305</w:t>
            </w:r>
            <w:r w:rsidRPr="009618E4">
              <w:rPr>
                <w:b/>
                <w:color w:val="000000"/>
                <w:sz w:val="20"/>
              </w:rPr>
              <w:t>,</w:t>
            </w:r>
            <w:r w:rsidRPr="0068119E">
              <w:rPr>
                <w:b/>
                <w:color w:val="000000"/>
                <w:sz w:val="20"/>
              </w:rPr>
              <w:t>393</w:t>
            </w:r>
          </w:p>
        </w:tc>
        <w:tc>
          <w:tcPr>
            <w:tcW w:w="868" w:type="dxa"/>
            <w:vAlign w:val="center"/>
          </w:tcPr>
          <w:p w:rsidR="00587744" w:rsidRPr="009618E4" w:rsidRDefault="002B7932">
            <w:pPr>
              <w:spacing w:before="20" w:after="20"/>
              <w:jc w:val="right"/>
              <w:rPr>
                <w:b/>
                <w:sz w:val="20"/>
              </w:rPr>
            </w:pPr>
            <w:r w:rsidRPr="0068119E">
              <w:rPr>
                <w:b/>
                <w:color w:val="000000"/>
                <w:sz w:val="20"/>
              </w:rPr>
              <w:t>323</w:t>
            </w:r>
            <w:r w:rsidRPr="009618E4">
              <w:rPr>
                <w:b/>
                <w:color w:val="000000"/>
                <w:sz w:val="20"/>
              </w:rPr>
              <w:t>,</w:t>
            </w:r>
            <w:r w:rsidRPr="0068119E">
              <w:rPr>
                <w:b/>
                <w:color w:val="000000"/>
                <w:sz w:val="20"/>
              </w:rPr>
              <w:t>753</w:t>
            </w:r>
          </w:p>
        </w:tc>
        <w:tc>
          <w:tcPr>
            <w:tcW w:w="868" w:type="dxa"/>
            <w:vAlign w:val="center"/>
          </w:tcPr>
          <w:p w:rsidR="00587744" w:rsidRPr="009618E4" w:rsidRDefault="002B7932">
            <w:pPr>
              <w:spacing w:before="20" w:after="20"/>
              <w:jc w:val="right"/>
              <w:rPr>
                <w:b/>
                <w:sz w:val="20"/>
              </w:rPr>
            </w:pPr>
            <w:r w:rsidRPr="0068119E">
              <w:rPr>
                <w:b/>
                <w:color w:val="000000"/>
                <w:sz w:val="20"/>
              </w:rPr>
              <w:t>331</w:t>
            </w:r>
            <w:r w:rsidRPr="009618E4">
              <w:rPr>
                <w:b/>
                <w:color w:val="000000"/>
                <w:sz w:val="20"/>
              </w:rPr>
              <w:t>,</w:t>
            </w:r>
            <w:r w:rsidRPr="0068119E">
              <w:rPr>
                <w:b/>
                <w:color w:val="000000"/>
                <w:sz w:val="20"/>
              </w:rPr>
              <w:t>831</w:t>
            </w:r>
          </w:p>
        </w:tc>
        <w:tc>
          <w:tcPr>
            <w:tcW w:w="868" w:type="dxa"/>
            <w:vAlign w:val="center"/>
          </w:tcPr>
          <w:p w:rsidR="00587744" w:rsidRPr="009618E4" w:rsidRDefault="002B7932">
            <w:pPr>
              <w:spacing w:before="20" w:after="20"/>
              <w:jc w:val="right"/>
              <w:rPr>
                <w:b/>
                <w:sz w:val="20"/>
              </w:rPr>
            </w:pPr>
            <w:r w:rsidRPr="0068119E">
              <w:rPr>
                <w:b/>
                <w:color w:val="000000"/>
                <w:sz w:val="20"/>
              </w:rPr>
              <w:t>294</w:t>
            </w:r>
            <w:r w:rsidRPr="009618E4">
              <w:rPr>
                <w:b/>
                <w:color w:val="000000"/>
                <w:sz w:val="20"/>
              </w:rPr>
              <w:t>,</w:t>
            </w:r>
            <w:r w:rsidRPr="0068119E">
              <w:rPr>
                <w:b/>
                <w:color w:val="000000"/>
                <w:sz w:val="20"/>
              </w:rPr>
              <w:t>094</w:t>
            </w:r>
          </w:p>
        </w:tc>
        <w:tc>
          <w:tcPr>
            <w:tcW w:w="1289" w:type="dxa"/>
            <w:vAlign w:val="center"/>
          </w:tcPr>
          <w:p w:rsidR="00587744" w:rsidRPr="009618E4" w:rsidRDefault="002B7932">
            <w:pPr>
              <w:spacing w:before="20" w:after="20"/>
              <w:jc w:val="right"/>
              <w:rPr>
                <w:b/>
                <w:noProof/>
                <w:sz w:val="20"/>
              </w:rPr>
            </w:pPr>
            <w:r w:rsidRPr="0068119E">
              <w:rPr>
                <w:b/>
                <w:color w:val="000000"/>
                <w:sz w:val="20"/>
              </w:rPr>
              <w:t>1</w:t>
            </w:r>
            <w:r w:rsidRPr="009618E4">
              <w:rPr>
                <w:b/>
                <w:color w:val="000000"/>
                <w:sz w:val="20"/>
              </w:rPr>
              <w:t> </w:t>
            </w:r>
            <w:r w:rsidRPr="0068119E">
              <w:rPr>
                <w:b/>
                <w:color w:val="000000"/>
                <w:sz w:val="20"/>
              </w:rPr>
              <w:t>675</w:t>
            </w:r>
            <w:r w:rsidRPr="009618E4">
              <w:rPr>
                <w:b/>
                <w:color w:val="000000"/>
                <w:sz w:val="20"/>
              </w:rPr>
              <w:t>,</w:t>
            </w:r>
            <w:r w:rsidRPr="0068119E">
              <w:rPr>
                <w:b/>
                <w:color w:val="000000"/>
                <w:sz w:val="20"/>
              </w:rPr>
              <w:t>000</w:t>
            </w:r>
          </w:p>
        </w:tc>
      </w:tr>
    </w:tbl>
    <w:p w:rsidR="00F26C3B" w:rsidRPr="009618E4" w:rsidRDefault="00F26C3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F26C3B" w:rsidRPr="009618E4">
        <w:trPr>
          <w:jc w:val="center"/>
        </w:trPr>
        <w:tc>
          <w:tcPr>
            <w:tcW w:w="4744" w:type="dxa"/>
            <w:shd w:val="thinDiagStripe" w:color="C0C0C0" w:fill="auto"/>
            <w:vAlign w:val="center"/>
          </w:tcPr>
          <w:p w:rsidR="00F26C3B" w:rsidRPr="009618E4" w:rsidRDefault="00513FB2" w:rsidP="004D00FC">
            <w:pPr>
              <w:spacing w:before="60" w:after="60"/>
              <w:jc w:val="center"/>
              <w:rPr>
                <w:b/>
                <w:noProof/>
              </w:rPr>
            </w:pPr>
            <w:r w:rsidRPr="009618E4">
              <w:br w:type="page"/>
            </w:r>
            <w:r w:rsidRPr="009618E4">
              <w:rPr>
                <w:b/>
                <w:noProof/>
                <w:sz w:val="22"/>
              </w:rPr>
              <w:t>Rubrique du cadre financier pluriannuel</w:t>
            </w:r>
          </w:p>
        </w:tc>
        <w:tc>
          <w:tcPr>
            <w:tcW w:w="1080" w:type="dxa"/>
            <w:shd w:val="thinDiagStripe" w:color="C0C0C0" w:fill="auto"/>
            <w:vAlign w:val="center"/>
          </w:tcPr>
          <w:p w:rsidR="00F26C3B" w:rsidRPr="009618E4" w:rsidRDefault="00513FB2">
            <w:pPr>
              <w:spacing w:before="60" w:after="60"/>
              <w:jc w:val="center"/>
              <w:rPr>
                <w:noProof/>
              </w:rPr>
            </w:pPr>
            <w:r w:rsidRPr="0068119E">
              <w:t>7</w:t>
            </w:r>
          </w:p>
        </w:tc>
        <w:tc>
          <w:tcPr>
            <w:tcW w:w="7817" w:type="dxa"/>
            <w:vAlign w:val="center"/>
          </w:tcPr>
          <w:p w:rsidR="00F26C3B" w:rsidRPr="009618E4" w:rsidRDefault="00513FB2">
            <w:pPr>
              <w:spacing w:before="60" w:after="60"/>
              <w:rPr>
                <w:noProof/>
              </w:rPr>
            </w:pPr>
            <w:r w:rsidRPr="009618E4">
              <w:rPr>
                <w:noProof/>
                <w:sz w:val="22"/>
              </w:rPr>
              <w:t>«Dépenses administratives»</w:t>
            </w:r>
          </w:p>
        </w:tc>
      </w:tr>
    </w:tbl>
    <w:p w:rsidR="00F26C3B" w:rsidRPr="009618E4" w:rsidRDefault="00513FB2">
      <w:pPr>
        <w:jc w:val="right"/>
        <w:rPr>
          <w:noProof/>
          <w:sz w:val="20"/>
        </w:rPr>
      </w:pPr>
      <w:r w:rsidRPr="009618E4">
        <w:rPr>
          <w:noProof/>
          <w:sz w:val="20"/>
        </w:rPr>
        <w:t xml:space="preserve">En Mio EUR (à la </w:t>
      </w:r>
      <w:r w:rsidRPr="0068119E">
        <w:rPr>
          <w:noProof/>
          <w:sz w:val="20"/>
        </w:rPr>
        <w:t>3</w:t>
      </w:r>
      <w:r w:rsidRPr="009618E4">
        <w:rPr>
          <w:noProof/>
          <w:sz w:val="20"/>
          <w:vertAlign w:val="superscript"/>
        </w:rPr>
        <w:t>e</w:t>
      </w:r>
      <w:r w:rsidRPr="009618E4">
        <w:rPr>
          <w:noProof/>
          <w:sz w:val="20"/>
        </w:rPr>
        <w:t> décimale)</w:t>
      </w:r>
    </w:p>
    <w:tbl>
      <w:tblPr>
        <w:tblW w:w="12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87"/>
        <w:gridCol w:w="1291"/>
      </w:tblGrid>
      <w:tr w:rsidR="00F26C3B" w:rsidRPr="009618E4">
        <w:trPr>
          <w:jc w:val="center"/>
        </w:trPr>
        <w:tc>
          <w:tcPr>
            <w:tcW w:w="6245" w:type="dxa"/>
            <w:gridSpan w:val="2"/>
            <w:tcBorders>
              <w:top w:val="nil"/>
              <w:left w:val="nil"/>
            </w:tcBorders>
            <w:vAlign w:val="center"/>
          </w:tcPr>
          <w:p w:rsidR="00F26C3B" w:rsidRPr="009618E4" w:rsidRDefault="00F26C3B">
            <w:pPr>
              <w:jc w:val="center"/>
              <w:rPr>
                <w:noProof/>
                <w:sz w:val="20"/>
              </w:rPr>
            </w:pPr>
          </w:p>
        </w:tc>
        <w:tc>
          <w:tcPr>
            <w:tcW w:w="868" w:type="dxa"/>
            <w:vAlign w:val="center"/>
          </w:tcPr>
          <w:p w:rsidR="00F26C3B" w:rsidRPr="009618E4" w:rsidRDefault="00513FB2">
            <w:pPr>
              <w:jc w:val="center"/>
              <w:rPr>
                <w:b/>
                <w:noProof/>
                <w:sz w:val="20"/>
              </w:rPr>
            </w:pPr>
            <w:r w:rsidRPr="0068119E">
              <w:rPr>
                <w:b/>
                <w:noProof/>
                <w:sz w:val="20"/>
              </w:rPr>
              <w:t>2021</w:t>
            </w:r>
          </w:p>
        </w:tc>
        <w:tc>
          <w:tcPr>
            <w:tcW w:w="868" w:type="dxa"/>
            <w:vAlign w:val="center"/>
          </w:tcPr>
          <w:p w:rsidR="00F26C3B" w:rsidRPr="009618E4" w:rsidRDefault="00513FB2">
            <w:pPr>
              <w:jc w:val="center"/>
              <w:rPr>
                <w:b/>
                <w:noProof/>
                <w:sz w:val="20"/>
              </w:rPr>
            </w:pPr>
            <w:r w:rsidRPr="0068119E">
              <w:rPr>
                <w:b/>
                <w:noProof/>
                <w:sz w:val="20"/>
              </w:rPr>
              <w:t>2022</w:t>
            </w:r>
          </w:p>
        </w:tc>
        <w:tc>
          <w:tcPr>
            <w:tcW w:w="868" w:type="dxa"/>
            <w:vAlign w:val="center"/>
          </w:tcPr>
          <w:p w:rsidR="00F26C3B" w:rsidRPr="009618E4" w:rsidRDefault="00513FB2">
            <w:pPr>
              <w:jc w:val="center"/>
              <w:rPr>
                <w:b/>
                <w:noProof/>
                <w:sz w:val="20"/>
              </w:rPr>
            </w:pPr>
            <w:r w:rsidRPr="0068119E">
              <w:rPr>
                <w:b/>
                <w:noProof/>
                <w:sz w:val="20"/>
              </w:rPr>
              <w:t>2023</w:t>
            </w:r>
          </w:p>
        </w:tc>
        <w:tc>
          <w:tcPr>
            <w:tcW w:w="868" w:type="dxa"/>
            <w:vAlign w:val="center"/>
          </w:tcPr>
          <w:p w:rsidR="00F26C3B" w:rsidRPr="009618E4" w:rsidRDefault="00513FB2">
            <w:pPr>
              <w:jc w:val="center"/>
              <w:rPr>
                <w:b/>
                <w:noProof/>
                <w:sz w:val="20"/>
              </w:rPr>
            </w:pPr>
            <w:r w:rsidRPr="0068119E">
              <w:rPr>
                <w:b/>
                <w:noProof/>
                <w:sz w:val="20"/>
              </w:rPr>
              <w:t>2024</w:t>
            </w:r>
          </w:p>
        </w:tc>
        <w:tc>
          <w:tcPr>
            <w:tcW w:w="868" w:type="dxa"/>
            <w:vAlign w:val="center"/>
          </w:tcPr>
          <w:p w:rsidR="00F26C3B" w:rsidRPr="009618E4" w:rsidRDefault="00513FB2">
            <w:pPr>
              <w:jc w:val="center"/>
              <w:rPr>
                <w:b/>
                <w:noProof/>
                <w:sz w:val="18"/>
              </w:rPr>
            </w:pPr>
            <w:r w:rsidRPr="0068119E">
              <w:rPr>
                <w:b/>
                <w:noProof/>
                <w:sz w:val="18"/>
              </w:rPr>
              <w:t>2025</w:t>
            </w:r>
          </w:p>
        </w:tc>
        <w:tc>
          <w:tcPr>
            <w:tcW w:w="887" w:type="dxa"/>
          </w:tcPr>
          <w:p w:rsidR="00F26C3B" w:rsidRPr="009618E4" w:rsidRDefault="00513FB2">
            <w:pPr>
              <w:jc w:val="center"/>
              <w:rPr>
                <w:b/>
                <w:noProof/>
                <w:sz w:val="20"/>
              </w:rPr>
            </w:pPr>
            <w:r w:rsidRPr="009618E4">
              <w:rPr>
                <w:b/>
                <w:i/>
                <w:noProof/>
                <w:sz w:val="20"/>
              </w:rPr>
              <w:t xml:space="preserve">Après </w:t>
            </w:r>
            <w:r w:rsidRPr="0068119E">
              <w:rPr>
                <w:b/>
                <w:i/>
                <w:noProof/>
                <w:sz w:val="20"/>
              </w:rPr>
              <w:t>2025</w:t>
            </w:r>
          </w:p>
        </w:tc>
        <w:tc>
          <w:tcPr>
            <w:tcW w:w="1291" w:type="dxa"/>
            <w:vAlign w:val="center"/>
          </w:tcPr>
          <w:p w:rsidR="00F26C3B" w:rsidRPr="009618E4" w:rsidRDefault="00513FB2">
            <w:pPr>
              <w:jc w:val="center"/>
              <w:rPr>
                <w:b/>
                <w:noProof/>
                <w:sz w:val="20"/>
              </w:rPr>
            </w:pPr>
            <w:r w:rsidRPr="009618E4">
              <w:rPr>
                <w:b/>
                <w:noProof/>
                <w:sz w:val="20"/>
              </w:rPr>
              <w:t>TOTAL</w:t>
            </w:r>
          </w:p>
        </w:tc>
      </w:tr>
      <w:tr w:rsidR="00F26C3B" w:rsidRPr="009618E4">
        <w:trPr>
          <w:trHeight w:val="313"/>
          <w:jc w:val="center"/>
        </w:trPr>
        <w:tc>
          <w:tcPr>
            <w:tcW w:w="6245" w:type="dxa"/>
            <w:gridSpan w:val="2"/>
            <w:vAlign w:val="center"/>
          </w:tcPr>
          <w:p w:rsidR="00F26C3B" w:rsidRPr="009618E4" w:rsidRDefault="00513FB2" w:rsidP="004D00FC">
            <w:pPr>
              <w:spacing w:before="20" w:after="20"/>
              <w:rPr>
                <w:noProof/>
              </w:rPr>
            </w:pPr>
            <w:r w:rsidRPr="009618E4">
              <w:rPr>
                <w:noProof/>
                <w:sz w:val="22"/>
              </w:rPr>
              <w:t>Ressources humaines</w:t>
            </w:r>
          </w:p>
        </w:tc>
        <w:tc>
          <w:tcPr>
            <w:tcW w:w="868" w:type="dxa"/>
            <w:vAlign w:val="center"/>
          </w:tcPr>
          <w:p w:rsidR="00F26C3B" w:rsidRPr="009618E4" w:rsidRDefault="00F26C3B">
            <w:pPr>
              <w:spacing w:before="20" w:after="20"/>
              <w:jc w:val="right"/>
              <w:rPr>
                <w:noProof/>
                <w:sz w:val="20"/>
              </w:rPr>
            </w:pPr>
          </w:p>
        </w:tc>
        <w:tc>
          <w:tcPr>
            <w:tcW w:w="868" w:type="dxa"/>
            <w:vAlign w:val="center"/>
          </w:tcPr>
          <w:p w:rsidR="00F26C3B" w:rsidRPr="009618E4" w:rsidRDefault="00F26C3B">
            <w:pPr>
              <w:spacing w:before="20" w:after="20"/>
              <w:jc w:val="right"/>
              <w:rPr>
                <w:noProof/>
                <w:sz w:val="20"/>
              </w:rPr>
            </w:pPr>
          </w:p>
        </w:tc>
        <w:tc>
          <w:tcPr>
            <w:tcW w:w="868" w:type="dxa"/>
            <w:vAlign w:val="center"/>
          </w:tcPr>
          <w:p w:rsidR="00F26C3B" w:rsidRPr="009618E4" w:rsidRDefault="00F26C3B">
            <w:pPr>
              <w:spacing w:before="20" w:after="20"/>
              <w:jc w:val="right"/>
              <w:rPr>
                <w:noProof/>
                <w:sz w:val="20"/>
              </w:rPr>
            </w:pPr>
          </w:p>
        </w:tc>
        <w:tc>
          <w:tcPr>
            <w:tcW w:w="868" w:type="dxa"/>
            <w:vAlign w:val="center"/>
          </w:tcPr>
          <w:p w:rsidR="00F26C3B" w:rsidRPr="009618E4" w:rsidRDefault="00F26C3B">
            <w:pPr>
              <w:spacing w:before="20" w:after="20"/>
              <w:jc w:val="right"/>
              <w:rPr>
                <w:noProof/>
                <w:sz w:val="20"/>
              </w:rPr>
            </w:pPr>
          </w:p>
        </w:tc>
        <w:tc>
          <w:tcPr>
            <w:tcW w:w="868" w:type="dxa"/>
            <w:vAlign w:val="center"/>
          </w:tcPr>
          <w:p w:rsidR="00F26C3B" w:rsidRPr="009618E4" w:rsidRDefault="00F26C3B">
            <w:pPr>
              <w:spacing w:before="20" w:after="20"/>
              <w:jc w:val="right"/>
              <w:rPr>
                <w:noProof/>
                <w:sz w:val="20"/>
              </w:rPr>
            </w:pPr>
          </w:p>
        </w:tc>
        <w:tc>
          <w:tcPr>
            <w:tcW w:w="887" w:type="dxa"/>
            <w:shd w:val="clear" w:color="auto" w:fill="9D9398" w:themeFill="background1" w:themeFillShade="A6"/>
          </w:tcPr>
          <w:p w:rsidR="00F26C3B" w:rsidRPr="009618E4" w:rsidRDefault="00F26C3B">
            <w:pPr>
              <w:spacing w:before="20" w:after="20"/>
              <w:jc w:val="right"/>
              <w:rPr>
                <w:b/>
                <w:noProof/>
                <w:sz w:val="20"/>
              </w:rPr>
            </w:pPr>
          </w:p>
        </w:tc>
        <w:tc>
          <w:tcPr>
            <w:tcW w:w="1291" w:type="dxa"/>
            <w:vAlign w:val="center"/>
          </w:tcPr>
          <w:p w:rsidR="00F26C3B" w:rsidRPr="009618E4" w:rsidRDefault="00F26C3B">
            <w:pPr>
              <w:spacing w:before="20" w:after="20"/>
              <w:jc w:val="right"/>
              <w:rPr>
                <w:b/>
                <w:noProof/>
                <w:sz w:val="20"/>
              </w:rPr>
            </w:pPr>
          </w:p>
        </w:tc>
      </w:tr>
      <w:tr w:rsidR="00F26C3B" w:rsidRPr="009618E4">
        <w:trPr>
          <w:trHeight w:val="351"/>
          <w:jc w:val="center"/>
        </w:trPr>
        <w:tc>
          <w:tcPr>
            <w:tcW w:w="6245" w:type="dxa"/>
            <w:gridSpan w:val="2"/>
            <w:vAlign w:val="center"/>
          </w:tcPr>
          <w:p w:rsidR="00F26C3B" w:rsidRPr="009618E4" w:rsidRDefault="00513FB2" w:rsidP="004D00FC">
            <w:pPr>
              <w:spacing w:before="20" w:after="20"/>
              <w:rPr>
                <w:noProof/>
              </w:rPr>
            </w:pPr>
            <w:r w:rsidRPr="009618E4">
              <w:rPr>
                <w:noProof/>
                <w:sz w:val="22"/>
              </w:rPr>
              <w:t>Autres dépenses administratives</w:t>
            </w:r>
          </w:p>
        </w:tc>
        <w:tc>
          <w:tcPr>
            <w:tcW w:w="868" w:type="dxa"/>
            <w:vAlign w:val="center"/>
          </w:tcPr>
          <w:p w:rsidR="00F26C3B" w:rsidRPr="009618E4" w:rsidRDefault="00F26C3B">
            <w:pPr>
              <w:spacing w:before="20" w:after="20"/>
              <w:jc w:val="right"/>
              <w:rPr>
                <w:b/>
                <w:noProof/>
                <w:sz w:val="20"/>
              </w:rPr>
            </w:pPr>
          </w:p>
        </w:tc>
        <w:tc>
          <w:tcPr>
            <w:tcW w:w="868" w:type="dxa"/>
            <w:vAlign w:val="center"/>
          </w:tcPr>
          <w:p w:rsidR="00F26C3B" w:rsidRPr="009618E4" w:rsidRDefault="00F26C3B">
            <w:pPr>
              <w:spacing w:before="20" w:after="20"/>
              <w:jc w:val="right"/>
              <w:rPr>
                <w:b/>
                <w:noProof/>
                <w:sz w:val="20"/>
              </w:rPr>
            </w:pPr>
          </w:p>
        </w:tc>
        <w:tc>
          <w:tcPr>
            <w:tcW w:w="868" w:type="dxa"/>
            <w:vAlign w:val="center"/>
          </w:tcPr>
          <w:p w:rsidR="00F26C3B" w:rsidRPr="009618E4" w:rsidRDefault="00F26C3B">
            <w:pPr>
              <w:spacing w:before="20" w:after="20"/>
              <w:jc w:val="right"/>
              <w:rPr>
                <w:b/>
                <w:noProof/>
                <w:sz w:val="20"/>
              </w:rPr>
            </w:pPr>
          </w:p>
        </w:tc>
        <w:tc>
          <w:tcPr>
            <w:tcW w:w="868" w:type="dxa"/>
            <w:vAlign w:val="center"/>
          </w:tcPr>
          <w:p w:rsidR="00F26C3B" w:rsidRPr="009618E4" w:rsidRDefault="00F26C3B">
            <w:pPr>
              <w:spacing w:before="20" w:after="20"/>
              <w:jc w:val="right"/>
              <w:rPr>
                <w:b/>
                <w:noProof/>
                <w:sz w:val="20"/>
              </w:rPr>
            </w:pPr>
          </w:p>
        </w:tc>
        <w:tc>
          <w:tcPr>
            <w:tcW w:w="868" w:type="dxa"/>
            <w:vAlign w:val="center"/>
          </w:tcPr>
          <w:p w:rsidR="00F26C3B" w:rsidRPr="009618E4" w:rsidRDefault="00F26C3B">
            <w:pPr>
              <w:spacing w:before="20" w:after="20"/>
              <w:jc w:val="right"/>
              <w:rPr>
                <w:b/>
                <w:noProof/>
                <w:sz w:val="20"/>
              </w:rPr>
            </w:pPr>
          </w:p>
        </w:tc>
        <w:tc>
          <w:tcPr>
            <w:tcW w:w="887" w:type="dxa"/>
            <w:shd w:val="clear" w:color="auto" w:fill="9D9398" w:themeFill="background1" w:themeFillShade="A6"/>
          </w:tcPr>
          <w:p w:rsidR="00F26C3B" w:rsidRPr="009618E4" w:rsidRDefault="00F26C3B">
            <w:pPr>
              <w:spacing w:before="20" w:after="20"/>
              <w:jc w:val="right"/>
              <w:rPr>
                <w:b/>
                <w:noProof/>
                <w:sz w:val="20"/>
              </w:rPr>
            </w:pPr>
          </w:p>
        </w:tc>
        <w:tc>
          <w:tcPr>
            <w:tcW w:w="1291" w:type="dxa"/>
            <w:vAlign w:val="center"/>
          </w:tcPr>
          <w:p w:rsidR="00F26C3B" w:rsidRPr="009618E4" w:rsidRDefault="00F26C3B">
            <w:pPr>
              <w:spacing w:before="20" w:after="20"/>
              <w:jc w:val="right"/>
              <w:rPr>
                <w:b/>
                <w:noProof/>
                <w:sz w:val="20"/>
              </w:rPr>
            </w:pPr>
          </w:p>
        </w:tc>
      </w:tr>
      <w:tr w:rsidR="00F26C3B" w:rsidRPr="009618E4">
        <w:trPr>
          <w:trHeight w:val="351"/>
          <w:jc w:val="center"/>
        </w:trPr>
        <w:tc>
          <w:tcPr>
            <w:tcW w:w="4199" w:type="dxa"/>
            <w:vAlign w:val="center"/>
          </w:tcPr>
          <w:p w:rsidR="00F26C3B" w:rsidRPr="009618E4" w:rsidRDefault="00513FB2">
            <w:pPr>
              <w:spacing w:before="20" w:after="20"/>
              <w:jc w:val="left"/>
              <w:rPr>
                <w:b/>
                <w:noProof/>
                <w:sz w:val="22"/>
              </w:rPr>
            </w:pPr>
            <w:r w:rsidRPr="009618E4">
              <w:rPr>
                <w:b/>
                <w:noProof/>
                <w:sz w:val="22"/>
              </w:rPr>
              <w:t xml:space="preserve">TOTAL des crédits pour la RUBRIQUE </w:t>
            </w:r>
            <w:r w:rsidRPr="0068119E">
              <w:rPr>
                <w:b/>
                <w:noProof/>
                <w:sz w:val="22"/>
              </w:rPr>
              <w:t>7</w:t>
            </w:r>
            <w:r w:rsidRPr="009618E4">
              <w:rPr>
                <w:b/>
                <w:noProof/>
                <w:sz w:val="22"/>
              </w:rPr>
              <w:t xml:space="preserve"> du cadre financier pluriannuel</w:t>
            </w:r>
          </w:p>
        </w:tc>
        <w:tc>
          <w:tcPr>
            <w:tcW w:w="2046" w:type="dxa"/>
            <w:vAlign w:val="center"/>
          </w:tcPr>
          <w:p w:rsidR="00F26C3B" w:rsidRPr="009618E4" w:rsidRDefault="00513FB2">
            <w:pPr>
              <w:spacing w:before="20" w:after="20"/>
              <w:rPr>
                <w:noProof/>
                <w:sz w:val="22"/>
              </w:rPr>
            </w:pPr>
            <w:r w:rsidRPr="009618E4">
              <w:rPr>
                <w:noProof/>
                <w:sz w:val="18"/>
              </w:rPr>
              <w:t>(</w:t>
            </w:r>
            <w:r w:rsidRPr="00976FB0">
              <w:rPr>
                <w:noProof/>
                <w:sz w:val="18"/>
              </w:rPr>
              <w:t>Total</w:t>
            </w:r>
            <w:r w:rsidRPr="009618E4">
              <w:rPr>
                <w:noProof/>
                <w:sz w:val="18"/>
              </w:rPr>
              <w:t xml:space="preserve"> engagements = Total paiements)</w:t>
            </w:r>
          </w:p>
        </w:tc>
        <w:tc>
          <w:tcPr>
            <w:tcW w:w="868" w:type="dxa"/>
            <w:vAlign w:val="center"/>
          </w:tcPr>
          <w:p w:rsidR="00F26C3B" w:rsidRPr="009618E4" w:rsidRDefault="00F26C3B">
            <w:pPr>
              <w:spacing w:before="20" w:after="20"/>
              <w:jc w:val="right"/>
              <w:rPr>
                <w:b/>
                <w:noProof/>
                <w:sz w:val="20"/>
              </w:rPr>
            </w:pPr>
          </w:p>
        </w:tc>
        <w:tc>
          <w:tcPr>
            <w:tcW w:w="868" w:type="dxa"/>
            <w:vAlign w:val="center"/>
          </w:tcPr>
          <w:p w:rsidR="00F26C3B" w:rsidRPr="009618E4" w:rsidRDefault="00F26C3B">
            <w:pPr>
              <w:spacing w:before="20" w:after="20"/>
              <w:jc w:val="right"/>
              <w:rPr>
                <w:b/>
                <w:noProof/>
                <w:sz w:val="20"/>
              </w:rPr>
            </w:pPr>
          </w:p>
        </w:tc>
        <w:tc>
          <w:tcPr>
            <w:tcW w:w="868" w:type="dxa"/>
            <w:vAlign w:val="center"/>
          </w:tcPr>
          <w:p w:rsidR="00F26C3B" w:rsidRPr="009618E4" w:rsidRDefault="00F26C3B">
            <w:pPr>
              <w:spacing w:before="20" w:after="20"/>
              <w:jc w:val="right"/>
              <w:rPr>
                <w:b/>
                <w:noProof/>
                <w:sz w:val="20"/>
              </w:rPr>
            </w:pPr>
          </w:p>
        </w:tc>
        <w:tc>
          <w:tcPr>
            <w:tcW w:w="868" w:type="dxa"/>
            <w:vAlign w:val="center"/>
          </w:tcPr>
          <w:p w:rsidR="00F26C3B" w:rsidRPr="009618E4" w:rsidRDefault="00F26C3B">
            <w:pPr>
              <w:spacing w:before="20" w:after="20"/>
              <w:jc w:val="right"/>
              <w:rPr>
                <w:b/>
                <w:noProof/>
                <w:sz w:val="20"/>
              </w:rPr>
            </w:pPr>
          </w:p>
        </w:tc>
        <w:tc>
          <w:tcPr>
            <w:tcW w:w="868" w:type="dxa"/>
            <w:vAlign w:val="center"/>
          </w:tcPr>
          <w:p w:rsidR="00F26C3B" w:rsidRPr="009618E4" w:rsidRDefault="00F26C3B">
            <w:pPr>
              <w:spacing w:before="20" w:after="20"/>
              <w:jc w:val="right"/>
              <w:rPr>
                <w:b/>
                <w:noProof/>
                <w:sz w:val="20"/>
              </w:rPr>
            </w:pPr>
          </w:p>
        </w:tc>
        <w:tc>
          <w:tcPr>
            <w:tcW w:w="887" w:type="dxa"/>
            <w:shd w:val="clear" w:color="auto" w:fill="9D9398" w:themeFill="background1" w:themeFillShade="A6"/>
          </w:tcPr>
          <w:p w:rsidR="00F26C3B" w:rsidRPr="009618E4" w:rsidRDefault="00F26C3B">
            <w:pPr>
              <w:spacing w:before="20" w:after="20"/>
              <w:jc w:val="right"/>
              <w:rPr>
                <w:b/>
                <w:noProof/>
                <w:sz w:val="20"/>
              </w:rPr>
            </w:pPr>
          </w:p>
        </w:tc>
        <w:tc>
          <w:tcPr>
            <w:tcW w:w="1291" w:type="dxa"/>
            <w:vAlign w:val="center"/>
          </w:tcPr>
          <w:p w:rsidR="00F26C3B" w:rsidRPr="009618E4" w:rsidRDefault="00F26C3B">
            <w:pPr>
              <w:spacing w:before="20" w:after="20"/>
              <w:jc w:val="right"/>
              <w:rPr>
                <w:b/>
                <w:noProof/>
                <w:sz w:val="20"/>
              </w:rPr>
            </w:pPr>
          </w:p>
        </w:tc>
      </w:tr>
    </w:tbl>
    <w:p w:rsidR="00F26C3B" w:rsidRPr="009618E4" w:rsidRDefault="00513FB2">
      <w:pPr>
        <w:jc w:val="right"/>
        <w:rPr>
          <w:noProof/>
          <w:sz w:val="20"/>
        </w:rPr>
      </w:pPr>
      <w:r w:rsidRPr="009618E4">
        <w:rPr>
          <w:noProof/>
          <w:sz w:val="20"/>
        </w:rPr>
        <w:t xml:space="preserve">En Mio EUR (à la </w:t>
      </w:r>
      <w:r w:rsidRPr="0068119E">
        <w:rPr>
          <w:noProof/>
          <w:sz w:val="20"/>
        </w:rPr>
        <w:t>3</w:t>
      </w:r>
      <w:r w:rsidRPr="009618E4">
        <w:rPr>
          <w:noProof/>
          <w:sz w:val="20"/>
          <w:vertAlign w:val="superscript"/>
        </w:rPr>
        <w:t>e</w:t>
      </w:r>
      <w:r w:rsidRPr="009618E4">
        <w:rPr>
          <w:noProof/>
          <w:sz w:val="20"/>
        </w:rPr>
        <w:t> décimale)</w:t>
      </w:r>
    </w:p>
    <w:tbl>
      <w:tblPr>
        <w:tblW w:w="12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77"/>
        <w:gridCol w:w="1292"/>
      </w:tblGrid>
      <w:tr w:rsidR="00F26C3B" w:rsidRPr="009618E4">
        <w:trPr>
          <w:jc w:val="center"/>
        </w:trPr>
        <w:tc>
          <w:tcPr>
            <w:tcW w:w="4173" w:type="dxa"/>
            <w:tcBorders>
              <w:top w:val="nil"/>
              <w:left w:val="nil"/>
              <w:right w:val="nil"/>
            </w:tcBorders>
            <w:vAlign w:val="center"/>
          </w:tcPr>
          <w:p w:rsidR="00F26C3B" w:rsidRPr="009618E4" w:rsidRDefault="00F26C3B">
            <w:pPr>
              <w:jc w:val="center"/>
              <w:rPr>
                <w:noProof/>
              </w:rPr>
            </w:pPr>
          </w:p>
        </w:tc>
        <w:tc>
          <w:tcPr>
            <w:tcW w:w="1560" w:type="dxa"/>
            <w:tcBorders>
              <w:top w:val="nil"/>
              <w:left w:val="nil"/>
              <w:right w:val="nil"/>
            </w:tcBorders>
          </w:tcPr>
          <w:p w:rsidR="00F26C3B" w:rsidRPr="009618E4" w:rsidRDefault="00F26C3B">
            <w:pPr>
              <w:rPr>
                <w:noProof/>
                <w:sz w:val="20"/>
              </w:rPr>
            </w:pPr>
          </w:p>
        </w:tc>
        <w:tc>
          <w:tcPr>
            <w:tcW w:w="534" w:type="dxa"/>
            <w:tcBorders>
              <w:top w:val="nil"/>
              <w:left w:val="nil"/>
            </w:tcBorders>
          </w:tcPr>
          <w:p w:rsidR="00F26C3B" w:rsidRPr="009618E4" w:rsidRDefault="00F26C3B">
            <w:pPr>
              <w:jc w:val="center"/>
              <w:rPr>
                <w:noProof/>
                <w:sz w:val="20"/>
              </w:rPr>
            </w:pPr>
          </w:p>
        </w:tc>
        <w:tc>
          <w:tcPr>
            <w:tcW w:w="868" w:type="dxa"/>
            <w:vAlign w:val="center"/>
          </w:tcPr>
          <w:p w:rsidR="00F26C3B" w:rsidRPr="009618E4" w:rsidRDefault="00513FB2">
            <w:pPr>
              <w:jc w:val="center"/>
              <w:rPr>
                <w:noProof/>
                <w:sz w:val="20"/>
              </w:rPr>
            </w:pPr>
            <w:r w:rsidRPr="0068119E">
              <w:rPr>
                <w:b/>
                <w:noProof/>
                <w:sz w:val="20"/>
              </w:rPr>
              <w:t>2021</w:t>
            </w:r>
          </w:p>
        </w:tc>
        <w:tc>
          <w:tcPr>
            <w:tcW w:w="868" w:type="dxa"/>
            <w:vAlign w:val="center"/>
          </w:tcPr>
          <w:p w:rsidR="00F26C3B" w:rsidRPr="009618E4" w:rsidRDefault="00513FB2">
            <w:pPr>
              <w:jc w:val="center"/>
              <w:rPr>
                <w:noProof/>
                <w:sz w:val="20"/>
              </w:rPr>
            </w:pPr>
            <w:r w:rsidRPr="0068119E">
              <w:rPr>
                <w:b/>
                <w:noProof/>
                <w:sz w:val="20"/>
              </w:rPr>
              <w:t>2022</w:t>
            </w:r>
          </w:p>
        </w:tc>
        <w:tc>
          <w:tcPr>
            <w:tcW w:w="868" w:type="dxa"/>
            <w:vAlign w:val="center"/>
          </w:tcPr>
          <w:p w:rsidR="00F26C3B" w:rsidRPr="009618E4" w:rsidRDefault="00513FB2">
            <w:pPr>
              <w:jc w:val="center"/>
              <w:rPr>
                <w:noProof/>
                <w:sz w:val="20"/>
              </w:rPr>
            </w:pPr>
            <w:r w:rsidRPr="0068119E">
              <w:rPr>
                <w:b/>
                <w:noProof/>
                <w:sz w:val="20"/>
              </w:rPr>
              <w:t>2023</w:t>
            </w:r>
          </w:p>
        </w:tc>
        <w:tc>
          <w:tcPr>
            <w:tcW w:w="868" w:type="dxa"/>
            <w:vAlign w:val="center"/>
          </w:tcPr>
          <w:p w:rsidR="00F26C3B" w:rsidRPr="009618E4" w:rsidRDefault="00513FB2">
            <w:pPr>
              <w:jc w:val="center"/>
              <w:rPr>
                <w:noProof/>
                <w:sz w:val="20"/>
              </w:rPr>
            </w:pPr>
            <w:r w:rsidRPr="0068119E">
              <w:rPr>
                <w:b/>
                <w:noProof/>
                <w:sz w:val="20"/>
              </w:rPr>
              <w:t>2024</w:t>
            </w:r>
          </w:p>
        </w:tc>
        <w:tc>
          <w:tcPr>
            <w:tcW w:w="868" w:type="dxa"/>
            <w:vAlign w:val="center"/>
          </w:tcPr>
          <w:p w:rsidR="00F26C3B" w:rsidRPr="009618E4" w:rsidRDefault="00513FB2">
            <w:pPr>
              <w:jc w:val="center"/>
              <w:rPr>
                <w:b/>
                <w:noProof/>
                <w:sz w:val="18"/>
              </w:rPr>
            </w:pPr>
            <w:r w:rsidRPr="0068119E">
              <w:rPr>
                <w:b/>
                <w:noProof/>
                <w:sz w:val="18"/>
              </w:rPr>
              <w:t>2025</w:t>
            </w:r>
          </w:p>
        </w:tc>
        <w:tc>
          <w:tcPr>
            <w:tcW w:w="877" w:type="dxa"/>
          </w:tcPr>
          <w:p w:rsidR="00F26C3B" w:rsidRPr="009618E4" w:rsidRDefault="00513FB2">
            <w:pPr>
              <w:jc w:val="center"/>
              <w:rPr>
                <w:b/>
                <w:noProof/>
                <w:sz w:val="20"/>
              </w:rPr>
            </w:pPr>
            <w:r w:rsidRPr="009618E4">
              <w:rPr>
                <w:b/>
                <w:i/>
                <w:noProof/>
                <w:sz w:val="20"/>
              </w:rPr>
              <w:t xml:space="preserve">Après </w:t>
            </w:r>
            <w:r w:rsidRPr="0068119E">
              <w:rPr>
                <w:b/>
                <w:i/>
                <w:noProof/>
                <w:sz w:val="20"/>
              </w:rPr>
              <w:t>2025</w:t>
            </w:r>
          </w:p>
        </w:tc>
        <w:tc>
          <w:tcPr>
            <w:tcW w:w="1292" w:type="dxa"/>
            <w:vAlign w:val="center"/>
          </w:tcPr>
          <w:p w:rsidR="00F26C3B" w:rsidRPr="009618E4" w:rsidRDefault="00513FB2">
            <w:pPr>
              <w:jc w:val="center"/>
              <w:rPr>
                <w:b/>
                <w:noProof/>
                <w:sz w:val="20"/>
              </w:rPr>
            </w:pPr>
            <w:r w:rsidRPr="009618E4">
              <w:rPr>
                <w:b/>
                <w:noProof/>
                <w:sz w:val="20"/>
              </w:rPr>
              <w:t>TOTAL</w:t>
            </w:r>
          </w:p>
        </w:tc>
      </w:tr>
      <w:tr w:rsidR="00587744" w:rsidRPr="009618E4" w:rsidTr="00955F36">
        <w:trPr>
          <w:jc w:val="center"/>
        </w:trPr>
        <w:tc>
          <w:tcPr>
            <w:tcW w:w="4173" w:type="dxa"/>
            <w:vMerge w:val="restart"/>
            <w:shd w:val="clear" w:color="auto" w:fill="C0C0C0"/>
            <w:vAlign w:val="center"/>
          </w:tcPr>
          <w:p w:rsidR="00587744" w:rsidRPr="009618E4" w:rsidRDefault="00587744" w:rsidP="004D00FC">
            <w:pPr>
              <w:jc w:val="center"/>
              <w:rPr>
                <w:b/>
                <w:noProof/>
              </w:rPr>
            </w:pPr>
            <w:r w:rsidRPr="009618E4">
              <w:rPr>
                <w:b/>
                <w:noProof/>
                <w:sz w:val="22"/>
              </w:rPr>
              <w:t>TOTAL des crédits</w:t>
            </w:r>
            <w:r w:rsidRPr="009618E4">
              <w:rPr>
                <w:noProof/>
                <w:sz w:val="22"/>
              </w:rPr>
              <w:br/>
            </w:r>
            <w:r w:rsidRPr="009618E4">
              <w:rPr>
                <w:b/>
                <w:noProof/>
                <w:sz w:val="22"/>
              </w:rPr>
              <w:t xml:space="preserve">des diverses RUBRIQUES </w:t>
            </w:r>
            <w:r w:rsidRPr="009618E4">
              <w:rPr>
                <w:noProof/>
                <w:sz w:val="22"/>
              </w:rPr>
              <w:br/>
              <w:t>du cadre financier pluriannuel</w:t>
            </w:r>
          </w:p>
        </w:tc>
        <w:tc>
          <w:tcPr>
            <w:tcW w:w="2094" w:type="dxa"/>
            <w:gridSpan w:val="2"/>
            <w:vAlign w:val="center"/>
          </w:tcPr>
          <w:p w:rsidR="00587744" w:rsidRPr="009618E4" w:rsidRDefault="00587744">
            <w:pPr>
              <w:rPr>
                <w:noProof/>
                <w:sz w:val="14"/>
              </w:rPr>
            </w:pPr>
            <w:r w:rsidRPr="009618E4">
              <w:rPr>
                <w:noProof/>
                <w:sz w:val="18"/>
              </w:rPr>
              <w:t>Engagements</w:t>
            </w:r>
          </w:p>
        </w:tc>
        <w:tc>
          <w:tcPr>
            <w:tcW w:w="868" w:type="dxa"/>
            <w:vAlign w:val="center"/>
          </w:tcPr>
          <w:p w:rsidR="00587744" w:rsidRPr="009618E4" w:rsidRDefault="00924308">
            <w:pPr>
              <w:spacing w:before="60" w:after="60"/>
              <w:jc w:val="right"/>
              <w:rPr>
                <w:noProof/>
                <w:sz w:val="20"/>
              </w:rPr>
            </w:pPr>
            <w:r w:rsidRPr="0068119E">
              <w:rPr>
                <w:color w:val="000000"/>
                <w:sz w:val="20"/>
              </w:rPr>
              <w:t>322</w:t>
            </w:r>
            <w:r w:rsidRPr="009618E4">
              <w:rPr>
                <w:color w:val="000000"/>
                <w:sz w:val="20"/>
              </w:rPr>
              <w:t>,</w:t>
            </w:r>
            <w:r w:rsidRPr="0068119E">
              <w:rPr>
                <w:color w:val="000000"/>
                <w:sz w:val="20"/>
              </w:rPr>
              <w:t>000</w:t>
            </w:r>
          </w:p>
        </w:tc>
        <w:tc>
          <w:tcPr>
            <w:tcW w:w="868" w:type="dxa"/>
            <w:vAlign w:val="center"/>
          </w:tcPr>
          <w:p w:rsidR="00587744" w:rsidRPr="009618E4" w:rsidRDefault="00924308">
            <w:pPr>
              <w:spacing w:before="60" w:after="60"/>
              <w:jc w:val="right"/>
              <w:rPr>
                <w:noProof/>
                <w:sz w:val="20"/>
              </w:rPr>
            </w:pPr>
            <w:r w:rsidRPr="0068119E">
              <w:rPr>
                <w:color w:val="000000"/>
                <w:sz w:val="20"/>
              </w:rPr>
              <w:t>328</w:t>
            </w:r>
            <w:r w:rsidRPr="009618E4">
              <w:rPr>
                <w:color w:val="000000"/>
                <w:sz w:val="20"/>
              </w:rPr>
              <w:t>,</w:t>
            </w:r>
            <w:r w:rsidRPr="0068119E">
              <w:rPr>
                <w:color w:val="000000"/>
                <w:sz w:val="20"/>
              </w:rPr>
              <w:t>000</w:t>
            </w:r>
          </w:p>
        </w:tc>
        <w:tc>
          <w:tcPr>
            <w:tcW w:w="868" w:type="dxa"/>
            <w:vAlign w:val="center"/>
          </w:tcPr>
          <w:p w:rsidR="00587744" w:rsidRPr="009618E4" w:rsidRDefault="00924308">
            <w:pPr>
              <w:spacing w:before="60" w:after="60"/>
              <w:jc w:val="right"/>
              <w:rPr>
                <w:noProof/>
                <w:sz w:val="20"/>
              </w:rPr>
            </w:pPr>
            <w:r w:rsidRPr="0068119E">
              <w:rPr>
                <w:color w:val="000000"/>
                <w:sz w:val="20"/>
              </w:rPr>
              <w:t>335</w:t>
            </w:r>
            <w:r w:rsidRPr="009618E4">
              <w:rPr>
                <w:color w:val="000000"/>
                <w:sz w:val="20"/>
              </w:rPr>
              <w:t>,</w:t>
            </w:r>
            <w:r w:rsidRPr="0068119E">
              <w:rPr>
                <w:color w:val="000000"/>
                <w:sz w:val="20"/>
              </w:rPr>
              <w:t>000</w:t>
            </w:r>
          </w:p>
        </w:tc>
        <w:tc>
          <w:tcPr>
            <w:tcW w:w="868" w:type="dxa"/>
            <w:vAlign w:val="center"/>
          </w:tcPr>
          <w:p w:rsidR="00587744" w:rsidRPr="009618E4" w:rsidRDefault="00924308">
            <w:pPr>
              <w:spacing w:before="60" w:after="60"/>
              <w:jc w:val="right"/>
              <w:rPr>
                <w:noProof/>
                <w:sz w:val="20"/>
              </w:rPr>
            </w:pPr>
            <w:r w:rsidRPr="0068119E">
              <w:rPr>
                <w:color w:val="000000"/>
                <w:sz w:val="20"/>
              </w:rPr>
              <w:t>341</w:t>
            </w:r>
            <w:r w:rsidRPr="009618E4">
              <w:rPr>
                <w:color w:val="000000"/>
                <w:sz w:val="20"/>
              </w:rPr>
              <w:t>,</w:t>
            </w:r>
            <w:r w:rsidRPr="0068119E">
              <w:rPr>
                <w:color w:val="000000"/>
                <w:sz w:val="20"/>
              </w:rPr>
              <w:t>000</w:t>
            </w:r>
          </w:p>
        </w:tc>
        <w:tc>
          <w:tcPr>
            <w:tcW w:w="868" w:type="dxa"/>
            <w:vAlign w:val="center"/>
          </w:tcPr>
          <w:p w:rsidR="00587744" w:rsidRPr="009618E4" w:rsidRDefault="00924308">
            <w:pPr>
              <w:spacing w:before="60" w:after="60"/>
              <w:jc w:val="right"/>
              <w:rPr>
                <w:noProof/>
                <w:sz w:val="20"/>
              </w:rPr>
            </w:pPr>
            <w:r w:rsidRPr="0068119E">
              <w:rPr>
                <w:color w:val="000000"/>
                <w:sz w:val="20"/>
              </w:rPr>
              <w:t>349</w:t>
            </w:r>
            <w:r w:rsidRPr="009618E4">
              <w:rPr>
                <w:color w:val="000000"/>
                <w:sz w:val="20"/>
              </w:rPr>
              <w:t>,</w:t>
            </w:r>
            <w:r w:rsidRPr="0068119E">
              <w:rPr>
                <w:color w:val="000000"/>
                <w:sz w:val="20"/>
              </w:rPr>
              <w:t>000</w:t>
            </w:r>
          </w:p>
        </w:tc>
        <w:tc>
          <w:tcPr>
            <w:tcW w:w="877" w:type="dxa"/>
            <w:shd w:val="clear" w:color="auto" w:fill="9D9398" w:themeFill="background1" w:themeFillShade="A6"/>
            <w:vAlign w:val="center"/>
          </w:tcPr>
          <w:p w:rsidR="00587744" w:rsidRPr="009618E4" w:rsidRDefault="00587744">
            <w:pPr>
              <w:spacing w:before="60" w:after="60"/>
              <w:jc w:val="right"/>
              <w:rPr>
                <w:b/>
                <w:noProof/>
                <w:sz w:val="20"/>
              </w:rPr>
            </w:pPr>
          </w:p>
        </w:tc>
        <w:tc>
          <w:tcPr>
            <w:tcW w:w="1292" w:type="dxa"/>
            <w:vAlign w:val="center"/>
          </w:tcPr>
          <w:p w:rsidR="00587744" w:rsidRPr="009618E4" w:rsidRDefault="00924308">
            <w:pPr>
              <w:spacing w:before="60" w:after="60"/>
              <w:jc w:val="right"/>
              <w:rPr>
                <w:b/>
                <w:noProof/>
                <w:sz w:val="20"/>
              </w:rPr>
            </w:pPr>
            <w:r w:rsidRPr="0068119E">
              <w:rPr>
                <w:b/>
                <w:color w:val="000000"/>
                <w:sz w:val="20"/>
              </w:rPr>
              <w:t>1</w:t>
            </w:r>
            <w:r w:rsidRPr="009618E4">
              <w:rPr>
                <w:b/>
                <w:color w:val="000000"/>
                <w:sz w:val="20"/>
              </w:rPr>
              <w:t> </w:t>
            </w:r>
            <w:r w:rsidRPr="0068119E">
              <w:rPr>
                <w:b/>
                <w:color w:val="000000"/>
                <w:sz w:val="20"/>
              </w:rPr>
              <w:t>675</w:t>
            </w:r>
            <w:r w:rsidRPr="009618E4">
              <w:rPr>
                <w:b/>
                <w:color w:val="000000"/>
                <w:sz w:val="20"/>
              </w:rPr>
              <w:t>,</w:t>
            </w:r>
            <w:r w:rsidRPr="0068119E">
              <w:rPr>
                <w:b/>
                <w:color w:val="000000"/>
                <w:sz w:val="20"/>
              </w:rPr>
              <w:t>000</w:t>
            </w:r>
          </w:p>
        </w:tc>
      </w:tr>
      <w:tr w:rsidR="00587744" w:rsidRPr="009618E4" w:rsidTr="00955F36">
        <w:trPr>
          <w:jc w:val="center"/>
        </w:trPr>
        <w:tc>
          <w:tcPr>
            <w:tcW w:w="4173" w:type="dxa"/>
            <w:vMerge/>
            <w:shd w:val="clear" w:color="auto" w:fill="C0C0C0"/>
          </w:tcPr>
          <w:p w:rsidR="00587744" w:rsidRPr="009618E4" w:rsidRDefault="00587744">
            <w:pPr>
              <w:rPr>
                <w:noProof/>
                <w:sz w:val="20"/>
              </w:rPr>
            </w:pPr>
          </w:p>
        </w:tc>
        <w:tc>
          <w:tcPr>
            <w:tcW w:w="2094" w:type="dxa"/>
            <w:gridSpan w:val="2"/>
            <w:vAlign w:val="center"/>
          </w:tcPr>
          <w:p w:rsidR="00587744" w:rsidRPr="009618E4" w:rsidRDefault="00587744">
            <w:pPr>
              <w:rPr>
                <w:noProof/>
                <w:sz w:val="14"/>
              </w:rPr>
            </w:pPr>
            <w:r w:rsidRPr="009618E4">
              <w:rPr>
                <w:noProof/>
                <w:sz w:val="18"/>
              </w:rPr>
              <w:t>Paiements</w:t>
            </w:r>
          </w:p>
        </w:tc>
        <w:tc>
          <w:tcPr>
            <w:tcW w:w="868" w:type="dxa"/>
            <w:vAlign w:val="center"/>
          </w:tcPr>
          <w:p w:rsidR="00587744" w:rsidRPr="009618E4" w:rsidRDefault="00924308">
            <w:pPr>
              <w:spacing w:before="60" w:after="60"/>
              <w:jc w:val="right"/>
              <w:rPr>
                <w:noProof/>
                <w:sz w:val="20"/>
              </w:rPr>
            </w:pPr>
            <w:r w:rsidRPr="0068119E">
              <w:rPr>
                <w:color w:val="000000"/>
                <w:sz w:val="20"/>
              </w:rPr>
              <w:t>123</w:t>
            </w:r>
            <w:r w:rsidRPr="009618E4">
              <w:rPr>
                <w:color w:val="000000"/>
                <w:sz w:val="20"/>
              </w:rPr>
              <w:t>,</w:t>
            </w:r>
            <w:r w:rsidRPr="0068119E">
              <w:rPr>
                <w:color w:val="000000"/>
                <w:sz w:val="20"/>
              </w:rPr>
              <w:t>807</w:t>
            </w:r>
          </w:p>
        </w:tc>
        <w:tc>
          <w:tcPr>
            <w:tcW w:w="868" w:type="dxa"/>
            <w:vAlign w:val="center"/>
          </w:tcPr>
          <w:p w:rsidR="00587744" w:rsidRPr="009618E4" w:rsidRDefault="00924308">
            <w:pPr>
              <w:spacing w:before="60" w:after="60"/>
              <w:jc w:val="right"/>
              <w:rPr>
                <w:noProof/>
                <w:sz w:val="20"/>
              </w:rPr>
            </w:pPr>
            <w:r w:rsidRPr="0068119E">
              <w:rPr>
                <w:color w:val="000000"/>
                <w:sz w:val="20"/>
              </w:rPr>
              <w:t>296</w:t>
            </w:r>
            <w:r w:rsidRPr="009618E4">
              <w:rPr>
                <w:color w:val="000000"/>
                <w:sz w:val="20"/>
              </w:rPr>
              <w:t>,</w:t>
            </w:r>
            <w:r w:rsidRPr="0068119E">
              <w:rPr>
                <w:color w:val="000000"/>
                <w:sz w:val="20"/>
              </w:rPr>
              <w:t>121</w:t>
            </w:r>
          </w:p>
        </w:tc>
        <w:tc>
          <w:tcPr>
            <w:tcW w:w="868" w:type="dxa"/>
            <w:vAlign w:val="center"/>
          </w:tcPr>
          <w:p w:rsidR="00587744" w:rsidRPr="009618E4" w:rsidRDefault="00924308">
            <w:pPr>
              <w:spacing w:before="60" w:after="60"/>
              <w:jc w:val="right"/>
              <w:rPr>
                <w:noProof/>
                <w:sz w:val="20"/>
              </w:rPr>
            </w:pPr>
            <w:r w:rsidRPr="0068119E">
              <w:rPr>
                <w:color w:val="000000"/>
                <w:sz w:val="20"/>
              </w:rPr>
              <w:t>305</w:t>
            </w:r>
            <w:r w:rsidRPr="009618E4">
              <w:rPr>
                <w:color w:val="000000"/>
                <w:sz w:val="20"/>
              </w:rPr>
              <w:t>,</w:t>
            </w:r>
            <w:r w:rsidRPr="0068119E">
              <w:rPr>
                <w:color w:val="000000"/>
                <w:sz w:val="20"/>
              </w:rPr>
              <w:t>393</w:t>
            </w:r>
          </w:p>
        </w:tc>
        <w:tc>
          <w:tcPr>
            <w:tcW w:w="868" w:type="dxa"/>
            <w:vAlign w:val="center"/>
          </w:tcPr>
          <w:p w:rsidR="00587744" w:rsidRPr="009618E4" w:rsidRDefault="00924308">
            <w:pPr>
              <w:spacing w:before="60" w:after="60"/>
              <w:jc w:val="right"/>
              <w:rPr>
                <w:noProof/>
                <w:sz w:val="20"/>
              </w:rPr>
            </w:pPr>
            <w:r w:rsidRPr="0068119E">
              <w:rPr>
                <w:color w:val="000000"/>
                <w:sz w:val="20"/>
              </w:rPr>
              <w:t>323</w:t>
            </w:r>
            <w:r w:rsidRPr="009618E4">
              <w:rPr>
                <w:color w:val="000000"/>
                <w:sz w:val="20"/>
              </w:rPr>
              <w:t>,</w:t>
            </w:r>
            <w:r w:rsidRPr="0068119E">
              <w:rPr>
                <w:color w:val="000000"/>
                <w:sz w:val="20"/>
              </w:rPr>
              <w:t>753</w:t>
            </w:r>
          </w:p>
        </w:tc>
        <w:tc>
          <w:tcPr>
            <w:tcW w:w="868" w:type="dxa"/>
            <w:vAlign w:val="center"/>
          </w:tcPr>
          <w:p w:rsidR="00587744" w:rsidRPr="009618E4" w:rsidRDefault="00924308">
            <w:pPr>
              <w:spacing w:before="60" w:after="60"/>
              <w:jc w:val="right"/>
              <w:rPr>
                <w:noProof/>
                <w:sz w:val="20"/>
              </w:rPr>
            </w:pPr>
            <w:r w:rsidRPr="0068119E">
              <w:rPr>
                <w:color w:val="000000"/>
                <w:sz w:val="20"/>
              </w:rPr>
              <w:t>331</w:t>
            </w:r>
            <w:r w:rsidRPr="009618E4">
              <w:rPr>
                <w:color w:val="000000"/>
                <w:sz w:val="20"/>
              </w:rPr>
              <w:t>,</w:t>
            </w:r>
            <w:r w:rsidRPr="0068119E">
              <w:rPr>
                <w:color w:val="000000"/>
                <w:sz w:val="20"/>
              </w:rPr>
              <w:t>831</w:t>
            </w:r>
          </w:p>
        </w:tc>
        <w:tc>
          <w:tcPr>
            <w:tcW w:w="877" w:type="dxa"/>
            <w:vAlign w:val="center"/>
          </w:tcPr>
          <w:p w:rsidR="00587744" w:rsidRPr="009618E4" w:rsidRDefault="00924308">
            <w:pPr>
              <w:spacing w:before="60" w:after="60"/>
              <w:jc w:val="right"/>
              <w:rPr>
                <w:b/>
                <w:noProof/>
                <w:sz w:val="20"/>
              </w:rPr>
            </w:pPr>
            <w:r w:rsidRPr="0068119E">
              <w:rPr>
                <w:color w:val="000000"/>
                <w:sz w:val="20"/>
              </w:rPr>
              <w:t>294</w:t>
            </w:r>
            <w:r w:rsidRPr="009618E4">
              <w:rPr>
                <w:color w:val="000000"/>
                <w:sz w:val="20"/>
              </w:rPr>
              <w:t>,</w:t>
            </w:r>
            <w:r w:rsidRPr="0068119E">
              <w:rPr>
                <w:color w:val="000000"/>
                <w:sz w:val="20"/>
              </w:rPr>
              <w:t>094</w:t>
            </w:r>
          </w:p>
        </w:tc>
        <w:tc>
          <w:tcPr>
            <w:tcW w:w="1292" w:type="dxa"/>
            <w:vAlign w:val="center"/>
          </w:tcPr>
          <w:p w:rsidR="00587744" w:rsidRPr="009618E4" w:rsidRDefault="00924308">
            <w:pPr>
              <w:spacing w:before="60" w:after="60"/>
              <w:jc w:val="right"/>
              <w:rPr>
                <w:b/>
                <w:noProof/>
                <w:sz w:val="20"/>
              </w:rPr>
            </w:pPr>
            <w:r w:rsidRPr="0068119E">
              <w:rPr>
                <w:b/>
                <w:color w:val="000000"/>
                <w:sz w:val="20"/>
              </w:rPr>
              <w:t>1</w:t>
            </w:r>
            <w:r w:rsidRPr="009618E4">
              <w:rPr>
                <w:b/>
                <w:color w:val="000000"/>
                <w:sz w:val="20"/>
              </w:rPr>
              <w:t> </w:t>
            </w:r>
            <w:r w:rsidRPr="0068119E">
              <w:rPr>
                <w:b/>
                <w:color w:val="000000"/>
                <w:sz w:val="20"/>
              </w:rPr>
              <w:t>675</w:t>
            </w:r>
            <w:r w:rsidRPr="009618E4">
              <w:rPr>
                <w:b/>
                <w:color w:val="000000"/>
                <w:sz w:val="20"/>
              </w:rPr>
              <w:t>,</w:t>
            </w:r>
            <w:r w:rsidRPr="0068119E">
              <w:rPr>
                <w:b/>
                <w:color w:val="000000"/>
                <w:sz w:val="20"/>
              </w:rPr>
              <w:t>000</w:t>
            </w:r>
          </w:p>
        </w:tc>
      </w:tr>
    </w:tbl>
    <w:p w:rsidR="00F26C3B" w:rsidRPr="009618E4" w:rsidRDefault="00F26C3B">
      <w:pPr>
        <w:rPr>
          <w:noProof/>
        </w:rPr>
        <w:sectPr w:rsidR="00F26C3B" w:rsidRPr="009618E4" w:rsidSect="00CE7948">
          <w:headerReference w:type="default" r:id="rId29"/>
          <w:footerReference w:type="default" r:id="rId30"/>
          <w:headerReference w:type="first" r:id="rId31"/>
          <w:footerReference w:type="first" r:id="rId32"/>
          <w:pgSz w:w="16840" w:h="11907" w:orient="landscape" w:code="9"/>
          <w:pgMar w:top="1134" w:right="1418" w:bottom="1134" w:left="1418" w:header="709" w:footer="709" w:gutter="0"/>
          <w:cols w:space="708"/>
          <w:docGrid w:linePitch="360"/>
        </w:sectPr>
      </w:pPr>
    </w:p>
    <w:p w:rsidR="00F26C3B" w:rsidRPr="009618E4" w:rsidRDefault="00513FB2">
      <w:pPr>
        <w:pStyle w:val="ManualHeading3"/>
        <w:rPr>
          <w:bCs/>
          <w:noProof/>
          <w:szCs w:val="24"/>
        </w:rPr>
      </w:pPr>
      <w:r w:rsidRPr="0068119E">
        <w:t>3</w:t>
      </w:r>
      <w:r w:rsidRPr="009618E4">
        <w:t>.</w:t>
      </w:r>
      <w:r w:rsidRPr="0068119E">
        <w:t>2</w:t>
      </w:r>
      <w:r w:rsidRPr="009618E4">
        <w:t>.</w:t>
      </w:r>
      <w:r w:rsidRPr="0068119E">
        <w:t>2</w:t>
      </w:r>
      <w:r w:rsidRPr="009618E4">
        <w:t>.</w:t>
      </w:r>
      <w:r w:rsidRPr="009618E4">
        <w:tab/>
        <w:t>Synthèse de l</w:t>
      </w:r>
      <w:r w:rsidR="00266719" w:rsidRPr="009618E4">
        <w:t>’</w:t>
      </w:r>
      <w:r w:rsidRPr="009618E4">
        <w:t>incidence estimée sur les crédits de nature administrative</w:t>
      </w:r>
    </w:p>
    <w:p w:rsidR="00F26C3B" w:rsidRPr="009618E4" w:rsidRDefault="00513FB2">
      <w:pPr>
        <w:pStyle w:val="ListDash1"/>
        <w:rPr>
          <w:noProof/>
        </w:rPr>
      </w:pPr>
      <w:r w:rsidRPr="009618E4">
        <w:rPr>
          <w:noProof/>
        </w:rPr>
        <w:sym w:font="Wingdings" w:char="F0A8"/>
      </w:r>
      <w:r w:rsidRPr="009618E4">
        <w:tab/>
        <w:t>La proposition/l</w:t>
      </w:r>
      <w:r w:rsidR="00266719" w:rsidRPr="009618E4">
        <w:t>’</w:t>
      </w:r>
      <w:r w:rsidRPr="009618E4">
        <w:t>initiative n</w:t>
      </w:r>
      <w:r w:rsidR="00266719" w:rsidRPr="009618E4">
        <w:t>’</w:t>
      </w:r>
      <w:r w:rsidRPr="009618E4">
        <w:t>engendre pas l</w:t>
      </w:r>
      <w:r w:rsidR="00266719" w:rsidRPr="009618E4">
        <w:t>’</w:t>
      </w:r>
      <w:r w:rsidRPr="009618E4">
        <w:t>utilisation de crédits de nature administrative.</w:t>
      </w:r>
    </w:p>
    <w:p w:rsidR="00F26C3B" w:rsidRPr="009618E4" w:rsidRDefault="00513FB2">
      <w:pPr>
        <w:pStyle w:val="ListDash1"/>
        <w:rPr>
          <w:noProof/>
        </w:rPr>
      </w:pPr>
      <w:r w:rsidRPr="009618E4">
        <w:t>X</w:t>
      </w:r>
      <w:r w:rsidRPr="009618E4">
        <w:tab/>
        <w:t>La proposition/l</w:t>
      </w:r>
      <w:r w:rsidR="00266719" w:rsidRPr="009618E4">
        <w:t>’</w:t>
      </w:r>
      <w:r w:rsidRPr="009618E4">
        <w:t>initiative engendre l</w:t>
      </w:r>
      <w:r w:rsidR="00266719" w:rsidRPr="009618E4">
        <w:t>’</w:t>
      </w:r>
      <w:r w:rsidRPr="009618E4">
        <w:t>utilisation de crédits de nature administrative, comme expliqué ci-après:</w:t>
      </w:r>
    </w:p>
    <w:p w:rsidR="00F26C3B" w:rsidRPr="009618E4" w:rsidRDefault="00513FB2">
      <w:pPr>
        <w:rPr>
          <w:noProof/>
          <w:sz w:val="20"/>
        </w:rPr>
      </w:pPr>
      <w:r w:rsidRPr="009618E4">
        <w:rPr>
          <w:noProof/>
          <w:sz w:val="20"/>
        </w:rPr>
        <w:t xml:space="preserve">En Mio EUR (à la </w:t>
      </w:r>
      <w:r w:rsidRPr="0068119E">
        <w:rPr>
          <w:noProof/>
          <w:sz w:val="20"/>
        </w:rPr>
        <w:t>3</w:t>
      </w:r>
      <w:r w:rsidRPr="009618E4">
        <w:rPr>
          <w:noProof/>
          <w:sz w:val="20"/>
          <w:vertAlign w:val="superscript"/>
        </w:rPr>
        <w:t>e</w:t>
      </w:r>
      <w:r w:rsidRPr="009618E4">
        <w:rPr>
          <w:noProof/>
          <w:sz w:val="20"/>
        </w:rPr>
        <w:t> décimale)</w:t>
      </w:r>
    </w:p>
    <w:tbl>
      <w:tblPr>
        <w:tblW w:w="8460" w:type="dxa"/>
        <w:tblInd w:w="2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F26C3B" w:rsidRPr="009618E4" w:rsidTr="00955F36">
        <w:trPr>
          <w:trHeight w:val="585"/>
        </w:trPr>
        <w:tc>
          <w:tcPr>
            <w:tcW w:w="1980" w:type="dxa"/>
            <w:vAlign w:val="center"/>
          </w:tcPr>
          <w:p w:rsidR="00F26C3B" w:rsidRPr="009618E4" w:rsidRDefault="00513FB2">
            <w:pPr>
              <w:spacing w:before="60" w:after="60" w:line="200" w:lineRule="exact"/>
              <w:jc w:val="center"/>
              <w:rPr>
                <w:b/>
                <w:noProof/>
                <w:sz w:val="16"/>
                <w:szCs w:val="16"/>
              </w:rPr>
            </w:pPr>
            <w:r w:rsidRPr="009618E4">
              <w:rPr>
                <w:b/>
                <w:noProof/>
                <w:sz w:val="16"/>
              </w:rPr>
              <w:t>Années</w:t>
            </w:r>
          </w:p>
        </w:tc>
        <w:tc>
          <w:tcPr>
            <w:tcW w:w="1080" w:type="dxa"/>
            <w:vAlign w:val="center"/>
          </w:tcPr>
          <w:p w:rsidR="00F26C3B" w:rsidRPr="009618E4" w:rsidRDefault="00513FB2">
            <w:pPr>
              <w:spacing w:before="60" w:after="60" w:line="200" w:lineRule="exact"/>
              <w:jc w:val="center"/>
              <w:rPr>
                <w:noProof/>
                <w:sz w:val="16"/>
                <w:szCs w:val="16"/>
              </w:rPr>
            </w:pPr>
            <w:r w:rsidRPr="0068119E">
              <w:rPr>
                <w:b/>
                <w:noProof/>
                <w:sz w:val="20"/>
              </w:rPr>
              <w:t>2021</w:t>
            </w:r>
          </w:p>
        </w:tc>
        <w:tc>
          <w:tcPr>
            <w:tcW w:w="1080" w:type="dxa"/>
            <w:vAlign w:val="center"/>
          </w:tcPr>
          <w:p w:rsidR="00F26C3B" w:rsidRPr="009618E4" w:rsidRDefault="00513FB2">
            <w:pPr>
              <w:spacing w:before="60" w:after="60" w:line="200" w:lineRule="exact"/>
              <w:jc w:val="center"/>
              <w:rPr>
                <w:noProof/>
                <w:sz w:val="16"/>
                <w:szCs w:val="16"/>
              </w:rPr>
            </w:pPr>
            <w:r w:rsidRPr="0068119E">
              <w:rPr>
                <w:b/>
                <w:noProof/>
                <w:sz w:val="20"/>
              </w:rPr>
              <w:t>2022</w:t>
            </w:r>
          </w:p>
        </w:tc>
        <w:tc>
          <w:tcPr>
            <w:tcW w:w="1080" w:type="dxa"/>
            <w:vAlign w:val="center"/>
          </w:tcPr>
          <w:p w:rsidR="00F26C3B" w:rsidRPr="009618E4" w:rsidRDefault="00513FB2">
            <w:pPr>
              <w:spacing w:before="60" w:after="60" w:line="200" w:lineRule="exact"/>
              <w:jc w:val="center"/>
              <w:rPr>
                <w:noProof/>
                <w:sz w:val="16"/>
                <w:szCs w:val="16"/>
              </w:rPr>
            </w:pPr>
            <w:r w:rsidRPr="0068119E">
              <w:rPr>
                <w:b/>
                <w:noProof/>
                <w:sz w:val="20"/>
              </w:rPr>
              <w:t>2023</w:t>
            </w:r>
          </w:p>
        </w:tc>
        <w:tc>
          <w:tcPr>
            <w:tcW w:w="1080" w:type="dxa"/>
            <w:vAlign w:val="center"/>
          </w:tcPr>
          <w:p w:rsidR="00F26C3B" w:rsidRPr="009618E4" w:rsidRDefault="00513FB2">
            <w:pPr>
              <w:spacing w:before="60" w:after="60" w:line="200" w:lineRule="exact"/>
              <w:jc w:val="center"/>
              <w:rPr>
                <w:noProof/>
                <w:sz w:val="16"/>
                <w:szCs w:val="16"/>
              </w:rPr>
            </w:pPr>
            <w:r w:rsidRPr="0068119E">
              <w:rPr>
                <w:b/>
                <w:noProof/>
                <w:sz w:val="20"/>
              </w:rPr>
              <w:t>2024</w:t>
            </w:r>
          </w:p>
        </w:tc>
        <w:tc>
          <w:tcPr>
            <w:tcW w:w="1080" w:type="dxa"/>
            <w:vAlign w:val="center"/>
          </w:tcPr>
          <w:p w:rsidR="00F26C3B" w:rsidRPr="009618E4" w:rsidRDefault="00513FB2">
            <w:pPr>
              <w:spacing w:line="200" w:lineRule="exact"/>
              <w:jc w:val="center"/>
              <w:rPr>
                <w:b/>
                <w:noProof/>
                <w:sz w:val="16"/>
                <w:szCs w:val="16"/>
              </w:rPr>
            </w:pPr>
            <w:r w:rsidRPr="0068119E">
              <w:rPr>
                <w:b/>
                <w:noProof/>
                <w:sz w:val="18"/>
              </w:rPr>
              <w:t>2025</w:t>
            </w:r>
          </w:p>
        </w:tc>
        <w:tc>
          <w:tcPr>
            <w:tcW w:w="1080" w:type="dxa"/>
            <w:vAlign w:val="center"/>
          </w:tcPr>
          <w:p w:rsidR="00F26C3B" w:rsidRPr="009618E4" w:rsidRDefault="00513FB2">
            <w:pPr>
              <w:spacing w:before="60" w:after="60" w:line="200" w:lineRule="exact"/>
              <w:jc w:val="center"/>
              <w:rPr>
                <w:b/>
                <w:noProof/>
                <w:sz w:val="16"/>
                <w:szCs w:val="16"/>
              </w:rPr>
            </w:pPr>
            <w:r w:rsidRPr="009618E4">
              <w:rPr>
                <w:b/>
                <w:noProof/>
                <w:sz w:val="16"/>
              </w:rPr>
              <w:t>TOTAL</w:t>
            </w:r>
          </w:p>
        </w:tc>
      </w:tr>
    </w:tbl>
    <w:p w:rsidR="00F26C3B" w:rsidRPr="009618E4" w:rsidRDefault="00F26C3B">
      <w:pPr>
        <w:spacing w:line="200" w:lineRule="exact"/>
        <w:rPr>
          <w:noProof/>
          <w:sz w:val="16"/>
          <w:szCs w:val="16"/>
        </w:rPr>
      </w:pPr>
    </w:p>
    <w:tbl>
      <w:tblPr>
        <w:tblW w:w="8460" w:type="dxa"/>
        <w:tblInd w:w="2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F26C3B" w:rsidRPr="009618E4" w:rsidTr="00955F36">
        <w:trPr>
          <w:trHeight w:val="585"/>
        </w:trPr>
        <w:tc>
          <w:tcPr>
            <w:tcW w:w="1980" w:type="dxa"/>
            <w:shd w:val="clear" w:color="auto" w:fill="CCCCCC"/>
            <w:vAlign w:val="center"/>
          </w:tcPr>
          <w:p w:rsidR="00F26C3B" w:rsidRPr="009618E4" w:rsidRDefault="00513FB2">
            <w:pPr>
              <w:spacing w:before="60" w:after="60" w:line="200" w:lineRule="exact"/>
              <w:jc w:val="center"/>
              <w:rPr>
                <w:b/>
                <w:noProof/>
                <w:sz w:val="16"/>
                <w:szCs w:val="16"/>
              </w:rPr>
            </w:pPr>
            <w:r w:rsidRPr="009618E4">
              <w:rPr>
                <w:b/>
                <w:noProof/>
                <w:sz w:val="16"/>
              </w:rPr>
              <w:t xml:space="preserve">RUBRIQUE </w:t>
            </w:r>
            <w:r w:rsidRPr="0068119E">
              <w:rPr>
                <w:b/>
                <w:noProof/>
                <w:sz w:val="16"/>
              </w:rPr>
              <w:t>7</w:t>
            </w:r>
            <w:r w:rsidRPr="009618E4">
              <w:rPr>
                <w:noProof/>
                <w:sz w:val="22"/>
              </w:rPr>
              <w:br/>
            </w:r>
            <w:r w:rsidRPr="009618E4">
              <w:rPr>
                <w:b/>
                <w:noProof/>
                <w:sz w:val="16"/>
              </w:rPr>
              <w:t>du cadre financier pluriannuel</w:t>
            </w: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b/>
                <w:noProof/>
                <w:sz w:val="16"/>
                <w:szCs w:val="16"/>
              </w:rPr>
            </w:pPr>
          </w:p>
        </w:tc>
      </w:tr>
      <w:tr w:rsidR="00F26C3B" w:rsidRPr="009618E4" w:rsidTr="00955F36">
        <w:trPr>
          <w:trHeight w:val="585"/>
        </w:trPr>
        <w:tc>
          <w:tcPr>
            <w:tcW w:w="1980" w:type="dxa"/>
            <w:vAlign w:val="center"/>
          </w:tcPr>
          <w:p w:rsidR="00F26C3B" w:rsidRPr="009618E4" w:rsidRDefault="00513FB2" w:rsidP="004D00FC">
            <w:pPr>
              <w:spacing w:before="60" w:after="60" w:line="200" w:lineRule="exact"/>
              <w:jc w:val="left"/>
              <w:rPr>
                <w:noProof/>
                <w:sz w:val="16"/>
                <w:szCs w:val="16"/>
              </w:rPr>
            </w:pPr>
            <w:r w:rsidRPr="009618E4">
              <w:rPr>
                <w:noProof/>
                <w:sz w:val="16"/>
              </w:rPr>
              <w:t>Ressources humaines</w:t>
            </w: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b/>
                <w:noProof/>
                <w:sz w:val="16"/>
                <w:szCs w:val="16"/>
              </w:rPr>
            </w:pPr>
          </w:p>
        </w:tc>
      </w:tr>
      <w:tr w:rsidR="00F26C3B" w:rsidRPr="009618E4" w:rsidTr="00955F36">
        <w:trPr>
          <w:trHeight w:val="585"/>
        </w:trPr>
        <w:tc>
          <w:tcPr>
            <w:tcW w:w="1980" w:type="dxa"/>
            <w:vAlign w:val="center"/>
          </w:tcPr>
          <w:p w:rsidR="00F26C3B" w:rsidRPr="009618E4" w:rsidRDefault="00513FB2" w:rsidP="004D00FC">
            <w:pPr>
              <w:spacing w:before="60" w:after="60" w:line="200" w:lineRule="exact"/>
              <w:jc w:val="left"/>
              <w:rPr>
                <w:noProof/>
                <w:sz w:val="16"/>
                <w:szCs w:val="16"/>
              </w:rPr>
            </w:pPr>
            <w:r w:rsidRPr="009618E4">
              <w:rPr>
                <w:noProof/>
                <w:sz w:val="16"/>
              </w:rPr>
              <w:t>Autres dépenses administratives</w:t>
            </w: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b/>
                <w:noProof/>
                <w:sz w:val="16"/>
                <w:szCs w:val="16"/>
              </w:rPr>
            </w:pPr>
          </w:p>
        </w:tc>
      </w:tr>
      <w:tr w:rsidR="00F26C3B" w:rsidRPr="009618E4" w:rsidTr="00955F36">
        <w:trPr>
          <w:trHeight w:val="585"/>
        </w:trPr>
        <w:tc>
          <w:tcPr>
            <w:tcW w:w="1980" w:type="dxa"/>
            <w:shd w:val="clear" w:color="auto" w:fill="CCCCCC"/>
            <w:vAlign w:val="center"/>
          </w:tcPr>
          <w:p w:rsidR="00F26C3B" w:rsidRPr="009618E4" w:rsidRDefault="00513FB2" w:rsidP="004D00FC">
            <w:pPr>
              <w:spacing w:before="60" w:after="60" w:line="200" w:lineRule="exact"/>
              <w:jc w:val="center"/>
              <w:rPr>
                <w:b/>
                <w:noProof/>
                <w:sz w:val="16"/>
                <w:szCs w:val="16"/>
              </w:rPr>
            </w:pPr>
            <w:r w:rsidRPr="009618E4">
              <w:rPr>
                <w:b/>
                <w:noProof/>
                <w:sz w:val="16"/>
              </w:rPr>
              <w:t xml:space="preserve">Sous-total RUBRIQUE </w:t>
            </w:r>
            <w:r w:rsidRPr="0068119E">
              <w:rPr>
                <w:b/>
                <w:noProof/>
                <w:sz w:val="16"/>
              </w:rPr>
              <w:t>7</w:t>
            </w:r>
            <w:r w:rsidRPr="009618E4">
              <w:rPr>
                <w:noProof/>
                <w:sz w:val="22"/>
              </w:rPr>
              <w:br/>
            </w:r>
            <w:r w:rsidRPr="009618E4">
              <w:rPr>
                <w:b/>
                <w:noProof/>
                <w:sz w:val="16"/>
              </w:rPr>
              <w:t>du cadre financier pluriannuel</w:t>
            </w: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b/>
                <w:noProof/>
                <w:sz w:val="16"/>
                <w:szCs w:val="16"/>
              </w:rPr>
            </w:pPr>
          </w:p>
        </w:tc>
      </w:tr>
    </w:tbl>
    <w:p w:rsidR="00F26C3B" w:rsidRPr="009618E4" w:rsidRDefault="00F26C3B">
      <w:pPr>
        <w:spacing w:line="200" w:lineRule="exact"/>
        <w:rPr>
          <w:noProof/>
          <w:sz w:val="16"/>
          <w:szCs w:val="16"/>
        </w:rPr>
      </w:pPr>
    </w:p>
    <w:tbl>
      <w:tblPr>
        <w:tblW w:w="8460" w:type="dxa"/>
        <w:tblInd w:w="2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tblGrid>
      <w:tr w:rsidR="00F26C3B" w:rsidRPr="009618E4" w:rsidTr="00955F36">
        <w:trPr>
          <w:trHeight w:val="585"/>
        </w:trPr>
        <w:tc>
          <w:tcPr>
            <w:tcW w:w="1980" w:type="dxa"/>
            <w:shd w:val="clear" w:color="auto" w:fill="CCCCCC"/>
            <w:vAlign w:val="center"/>
          </w:tcPr>
          <w:p w:rsidR="00F26C3B" w:rsidRPr="009618E4" w:rsidRDefault="00513FB2">
            <w:pPr>
              <w:spacing w:before="60" w:after="60" w:line="200" w:lineRule="exact"/>
              <w:jc w:val="center"/>
              <w:rPr>
                <w:noProof/>
                <w:sz w:val="16"/>
                <w:szCs w:val="16"/>
              </w:rPr>
            </w:pPr>
            <w:r w:rsidRPr="009618E4">
              <w:rPr>
                <w:b/>
                <w:noProof/>
                <w:sz w:val="16"/>
              </w:rPr>
              <w:t xml:space="preserve">Hors RUBRIQUE </w:t>
            </w:r>
            <w:r w:rsidRPr="0068119E">
              <w:rPr>
                <w:b/>
                <w:noProof/>
                <w:sz w:val="16"/>
              </w:rPr>
              <w:t>7</w:t>
            </w:r>
            <w:r w:rsidRPr="009618E4">
              <w:rPr>
                <w:rStyle w:val="FootnoteReference"/>
                <w:noProof/>
              </w:rPr>
              <w:footnoteReference w:id="39"/>
            </w:r>
            <w:r w:rsidRPr="009618E4">
              <w:rPr>
                <w:noProof/>
                <w:sz w:val="22"/>
              </w:rPr>
              <w:br/>
            </w:r>
            <w:r w:rsidRPr="009618E4">
              <w:rPr>
                <w:b/>
                <w:noProof/>
                <w:sz w:val="16"/>
              </w:rPr>
              <w:t>du cadre financier pluriannuel</w:t>
            </w:r>
          </w:p>
          <w:p w:rsidR="00F26C3B" w:rsidRPr="009618E4" w:rsidRDefault="00F26C3B">
            <w:pPr>
              <w:spacing w:before="0" w:after="0" w:line="200" w:lineRule="exact"/>
              <w:jc w:val="center"/>
              <w:rPr>
                <w:b/>
                <w:noProof/>
                <w:sz w:val="16"/>
                <w:szCs w:val="16"/>
              </w:rPr>
            </w:pP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noProof/>
                <w:sz w:val="16"/>
                <w:szCs w:val="16"/>
              </w:rPr>
            </w:pPr>
          </w:p>
        </w:tc>
        <w:tc>
          <w:tcPr>
            <w:tcW w:w="1080" w:type="dxa"/>
            <w:vAlign w:val="center"/>
          </w:tcPr>
          <w:p w:rsidR="00F26C3B" w:rsidRPr="009618E4" w:rsidRDefault="00F26C3B">
            <w:pPr>
              <w:spacing w:before="60" w:after="60" w:line="200" w:lineRule="exact"/>
              <w:jc w:val="right"/>
              <w:rPr>
                <w:b/>
                <w:noProof/>
                <w:sz w:val="16"/>
                <w:szCs w:val="16"/>
              </w:rPr>
            </w:pPr>
          </w:p>
        </w:tc>
      </w:tr>
      <w:tr w:rsidR="00587744" w:rsidRPr="009618E4" w:rsidTr="00955F36">
        <w:trPr>
          <w:trHeight w:val="585"/>
        </w:trPr>
        <w:tc>
          <w:tcPr>
            <w:tcW w:w="1980" w:type="dxa"/>
            <w:vAlign w:val="center"/>
          </w:tcPr>
          <w:p w:rsidR="00587744" w:rsidRPr="009618E4" w:rsidRDefault="00587744" w:rsidP="004D00FC">
            <w:pPr>
              <w:spacing w:before="60" w:after="60" w:line="200" w:lineRule="exact"/>
              <w:jc w:val="left"/>
              <w:rPr>
                <w:noProof/>
                <w:sz w:val="16"/>
                <w:szCs w:val="16"/>
              </w:rPr>
            </w:pPr>
            <w:r w:rsidRPr="009618E4">
              <w:rPr>
                <w:noProof/>
                <w:sz w:val="16"/>
              </w:rPr>
              <w:t>Ressources humaines</w:t>
            </w:r>
            <w:r w:rsidRPr="009618E4">
              <w:rPr>
                <w:rStyle w:val="FootnoteReference"/>
                <w:noProof/>
                <w:sz w:val="16"/>
              </w:rPr>
              <w:footnoteReference w:id="40"/>
            </w:r>
          </w:p>
        </w:tc>
        <w:tc>
          <w:tcPr>
            <w:tcW w:w="1080" w:type="dxa"/>
            <w:vAlign w:val="center"/>
          </w:tcPr>
          <w:p w:rsidR="00587744" w:rsidRPr="009618E4" w:rsidRDefault="00924308">
            <w:pPr>
              <w:spacing w:before="60" w:after="60" w:line="200" w:lineRule="exact"/>
              <w:jc w:val="right"/>
              <w:rPr>
                <w:noProof/>
                <w:sz w:val="16"/>
                <w:szCs w:val="16"/>
              </w:rPr>
            </w:pPr>
            <w:r w:rsidRPr="0068119E">
              <w:rPr>
                <w:noProof/>
                <w:sz w:val="16"/>
              </w:rPr>
              <w:t>79</w:t>
            </w:r>
            <w:r w:rsidRPr="009618E4">
              <w:rPr>
                <w:noProof/>
                <w:sz w:val="16"/>
              </w:rPr>
              <w:t>,</w:t>
            </w:r>
            <w:r w:rsidRPr="0068119E">
              <w:rPr>
                <w:noProof/>
                <w:sz w:val="16"/>
              </w:rPr>
              <w:t>863</w:t>
            </w:r>
          </w:p>
        </w:tc>
        <w:tc>
          <w:tcPr>
            <w:tcW w:w="1080" w:type="dxa"/>
            <w:vAlign w:val="center"/>
          </w:tcPr>
          <w:p w:rsidR="00587744" w:rsidRPr="009618E4" w:rsidRDefault="00924308">
            <w:pPr>
              <w:spacing w:before="60" w:after="60" w:line="200" w:lineRule="exact"/>
              <w:jc w:val="right"/>
              <w:rPr>
                <w:noProof/>
                <w:sz w:val="16"/>
                <w:szCs w:val="16"/>
              </w:rPr>
            </w:pPr>
            <w:r w:rsidRPr="0068119E">
              <w:rPr>
                <w:noProof/>
                <w:sz w:val="16"/>
              </w:rPr>
              <w:t>81</w:t>
            </w:r>
            <w:r w:rsidRPr="009618E4">
              <w:rPr>
                <w:noProof/>
                <w:sz w:val="16"/>
              </w:rPr>
              <w:t>,</w:t>
            </w:r>
            <w:r w:rsidRPr="0068119E">
              <w:rPr>
                <w:noProof/>
                <w:sz w:val="16"/>
              </w:rPr>
              <w:t>550</w:t>
            </w:r>
          </w:p>
        </w:tc>
        <w:tc>
          <w:tcPr>
            <w:tcW w:w="1080" w:type="dxa"/>
            <w:vAlign w:val="center"/>
          </w:tcPr>
          <w:p w:rsidR="00587744" w:rsidRPr="009618E4" w:rsidRDefault="00924308">
            <w:pPr>
              <w:spacing w:before="60" w:after="60" w:line="200" w:lineRule="exact"/>
              <w:jc w:val="right"/>
              <w:rPr>
                <w:noProof/>
                <w:sz w:val="16"/>
                <w:szCs w:val="16"/>
              </w:rPr>
            </w:pPr>
            <w:r w:rsidRPr="0068119E">
              <w:rPr>
                <w:noProof/>
                <w:sz w:val="16"/>
              </w:rPr>
              <w:t>83</w:t>
            </w:r>
            <w:r w:rsidRPr="009618E4">
              <w:rPr>
                <w:noProof/>
                <w:sz w:val="16"/>
              </w:rPr>
              <w:t>,</w:t>
            </w:r>
            <w:r w:rsidRPr="0068119E">
              <w:rPr>
                <w:noProof/>
                <w:sz w:val="16"/>
              </w:rPr>
              <w:t>274</w:t>
            </w:r>
          </w:p>
        </w:tc>
        <w:tc>
          <w:tcPr>
            <w:tcW w:w="1080" w:type="dxa"/>
            <w:vAlign w:val="center"/>
          </w:tcPr>
          <w:p w:rsidR="00587744" w:rsidRPr="009618E4" w:rsidRDefault="00924308">
            <w:pPr>
              <w:spacing w:before="60" w:after="60" w:line="200" w:lineRule="exact"/>
              <w:jc w:val="right"/>
              <w:rPr>
                <w:noProof/>
                <w:sz w:val="16"/>
                <w:szCs w:val="16"/>
              </w:rPr>
            </w:pPr>
            <w:r w:rsidRPr="0068119E">
              <w:rPr>
                <w:noProof/>
                <w:sz w:val="16"/>
              </w:rPr>
              <w:t>85</w:t>
            </w:r>
            <w:r w:rsidRPr="009618E4">
              <w:rPr>
                <w:noProof/>
                <w:sz w:val="16"/>
              </w:rPr>
              <w:t>,</w:t>
            </w:r>
            <w:r w:rsidRPr="0068119E">
              <w:rPr>
                <w:noProof/>
                <w:sz w:val="16"/>
              </w:rPr>
              <w:t>034</w:t>
            </w:r>
          </w:p>
        </w:tc>
        <w:tc>
          <w:tcPr>
            <w:tcW w:w="1080" w:type="dxa"/>
            <w:vAlign w:val="center"/>
          </w:tcPr>
          <w:p w:rsidR="00587744" w:rsidRPr="009618E4" w:rsidRDefault="00924308">
            <w:pPr>
              <w:spacing w:before="60" w:after="60" w:line="200" w:lineRule="exact"/>
              <w:jc w:val="right"/>
              <w:rPr>
                <w:noProof/>
                <w:sz w:val="16"/>
                <w:szCs w:val="16"/>
              </w:rPr>
            </w:pPr>
            <w:r w:rsidRPr="0068119E">
              <w:rPr>
                <w:noProof/>
                <w:sz w:val="16"/>
              </w:rPr>
              <w:t>86</w:t>
            </w:r>
            <w:r w:rsidRPr="009618E4">
              <w:rPr>
                <w:noProof/>
                <w:sz w:val="16"/>
              </w:rPr>
              <w:t>,</w:t>
            </w:r>
            <w:r w:rsidRPr="0068119E">
              <w:rPr>
                <w:noProof/>
                <w:sz w:val="16"/>
              </w:rPr>
              <w:t>833</w:t>
            </w:r>
          </w:p>
        </w:tc>
        <w:tc>
          <w:tcPr>
            <w:tcW w:w="1080" w:type="dxa"/>
            <w:vAlign w:val="center"/>
          </w:tcPr>
          <w:p w:rsidR="00587744" w:rsidRPr="009618E4" w:rsidRDefault="00587744">
            <w:pPr>
              <w:spacing w:before="60" w:after="60" w:line="200" w:lineRule="exact"/>
              <w:jc w:val="right"/>
              <w:rPr>
                <w:b/>
                <w:noProof/>
                <w:sz w:val="16"/>
                <w:szCs w:val="16"/>
              </w:rPr>
            </w:pPr>
            <w:r w:rsidRPr="0068119E">
              <w:rPr>
                <w:b/>
                <w:noProof/>
                <w:sz w:val="16"/>
              </w:rPr>
              <w:t>416</w:t>
            </w:r>
            <w:r w:rsidRPr="009618E4">
              <w:rPr>
                <w:b/>
                <w:noProof/>
                <w:sz w:val="16"/>
              </w:rPr>
              <w:t>,</w:t>
            </w:r>
            <w:r w:rsidRPr="0068119E">
              <w:rPr>
                <w:b/>
                <w:noProof/>
                <w:sz w:val="16"/>
              </w:rPr>
              <w:t>554</w:t>
            </w:r>
          </w:p>
        </w:tc>
      </w:tr>
      <w:tr w:rsidR="00587744" w:rsidRPr="009618E4" w:rsidTr="00955F36">
        <w:trPr>
          <w:trHeight w:val="585"/>
        </w:trPr>
        <w:tc>
          <w:tcPr>
            <w:tcW w:w="1980" w:type="dxa"/>
            <w:vAlign w:val="center"/>
          </w:tcPr>
          <w:p w:rsidR="00587744" w:rsidRPr="009618E4" w:rsidRDefault="00587744" w:rsidP="00F32CF1">
            <w:pPr>
              <w:spacing w:before="60" w:after="60" w:line="200" w:lineRule="exact"/>
              <w:jc w:val="left"/>
              <w:rPr>
                <w:noProof/>
                <w:sz w:val="16"/>
                <w:szCs w:val="16"/>
              </w:rPr>
            </w:pPr>
            <w:r w:rsidRPr="009618E4">
              <w:rPr>
                <w:noProof/>
                <w:sz w:val="16"/>
              </w:rPr>
              <w:t>Autres dépenses de nature administrative</w:t>
            </w:r>
            <w:r w:rsidRPr="009618E4">
              <w:rPr>
                <w:rStyle w:val="FootnoteReference"/>
                <w:noProof/>
                <w:sz w:val="16"/>
              </w:rPr>
              <w:footnoteReference w:id="41"/>
            </w:r>
          </w:p>
        </w:tc>
        <w:tc>
          <w:tcPr>
            <w:tcW w:w="1080" w:type="dxa"/>
            <w:vAlign w:val="center"/>
          </w:tcPr>
          <w:p w:rsidR="00587744" w:rsidRPr="009618E4" w:rsidRDefault="00587744">
            <w:pPr>
              <w:spacing w:before="60" w:after="60" w:line="200" w:lineRule="exact"/>
              <w:jc w:val="right"/>
              <w:rPr>
                <w:noProof/>
                <w:sz w:val="16"/>
                <w:szCs w:val="16"/>
              </w:rPr>
            </w:pPr>
            <w:r w:rsidRPr="0068119E">
              <w:rPr>
                <w:noProof/>
                <w:sz w:val="16"/>
              </w:rPr>
              <w:t>39</w:t>
            </w:r>
            <w:r w:rsidRPr="009618E4">
              <w:rPr>
                <w:noProof/>
                <w:sz w:val="16"/>
              </w:rPr>
              <w:t>,</w:t>
            </w:r>
            <w:r w:rsidRPr="0068119E">
              <w:rPr>
                <w:noProof/>
                <w:sz w:val="16"/>
              </w:rPr>
              <w:t>773</w:t>
            </w:r>
          </w:p>
        </w:tc>
        <w:tc>
          <w:tcPr>
            <w:tcW w:w="1080" w:type="dxa"/>
            <w:vAlign w:val="center"/>
          </w:tcPr>
          <w:p w:rsidR="00587744" w:rsidRPr="009618E4" w:rsidRDefault="00587744">
            <w:pPr>
              <w:spacing w:before="60" w:after="60" w:line="200" w:lineRule="exact"/>
              <w:jc w:val="right"/>
              <w:rPr>
                <w:noProof/>
                <w:sz w:val="16"/>
                <w:szCs w:val="16"/>
              </w:rPr>
            </w:pPr>
            <w:r w:rsidRPr="0068119E">
              <w:rPr>
                <w:noProof/>
                <w:sz w:val="16"/>
              </w:rPr>
              <w:t>40</w:t>
            </w:r>
            <w:r w:rsidRPr="009618E4">
              <w:rPr>
                <w:noProof/>
                <w:sz w:val="16"/>
              </w:rPr>
              <w:t>,</w:t>
            </w:r>
            <w:r w:rsidRPr="0068119E">
              <w:rPr>
                <w:noProof/>
                <w:sz w:val="16"/>
              </w:rPr>
              <w:t>452</w:t>
            </w:r>
          </w:p>
        </w:tc>
        <w:tc>
          <w:tcPr>
            <w:tcW w:w="1080" w:type="dxa"/>
            <w:vAlign w:val="center"/>
          </w:tcPr>
          <w:p w:rsidR="00587744" w:rsidRPr="009618E4" w:rsidRDefault="00587744">
            <w:pPr>
              <w:spacing w:before="60" w:after="60" w:line="200" w:lineRule="exact"/>
              <w:jc w:val="right"/>
              <w:rPr>
                <w:noProof/>
                <w:sz w:val="16"/>
                <w:szCs w:val="16"/>
              </w:rPr>
            </w:pPr>
            <w:r w:rsidRPr="0068119E">
              <w:rPr>
                <w:noProof/>
                <w:sz w:val="16"/>
              </w:rPr>
              <w:t>41</w:t>
            </w:r>
            <w:r w:rsidRPr="009618E4">
              <w:rPr>
                <w:noProof/>
                <w:sz w:val="16"/>
              </w:rPr>
              <w:t>,</w:t>
            </w:r>
            <w:r w:rsidRPr="0068119E">
              <w:rPr>
                <w:noProof/>
                <w:sz w:val="16"/>
              </w:rPr>
              <w:t>195</w:t>
            </w:r>
          </w:p>
        </w:tc>
        <w:tc>
          <w:tcPr>
            <w:tcW w:w="1080" w:type="dxa"/>
            <w:vAlign w:val="center"/>
          </w:tcPr>
          <w:p w:rsidR="00587744" w:rsidRPr="009618E4" w:rsidRDefault="00587744">
            <w:pPr>
              <w:spacing w:before="60" w:after="60" w:line="200" w:lineRule="exact"/>
              <w:jc w:val="right"/>
              <w:rPr>
                <w:noProof/>
                <w:sz w:val="16"/>
                <w:szCs w:val="16"/>
              </w:rPr>
            </w:pPr>
            <w:r w:rsidRPr="0068119E">
              <w:rPr>
                <w:noProof/>
                <w:sz w:val="16"/>
              </w:rPr>
              <w:t>41</w:t>
            </w:r>
            <w:r w:rsidRPr="009618E4">
              <w:rPr>
                <w:noProof/>
                <w:sz w:val="16"/>
              </w:rPr>
              <w:t>,</w:t>
            </w:r>
            <w:r w:rsidRPr="0068119E">
              <w:rPr>
                <w:noProof/>
                <w:sz w:val="16"/>
              </w:rPr>
              <w:t>881</w:t>
            </w:r>
          </w:p>
        </w:tc>
        <w:tc>
          <w:tcPr>
            <w:tcW w:w="1080" w:type="dxa"/>
            <w:vAlign w:val="center"/>
          </w:tcPr>
          <w:p w:rsidR="00587744" w:rsidRPr="009618E4" w:rsidRDefault="00587744">
            <w:pPr>
              <w:spacing w:before="60" w:after="60" w:line="200" w:lineRule="exact"/>
              <w:jc w:val="right"/>
              <w:rPr>
                <w:noProof/>
                <w:sz w:val="16"/>
                <w:szCs w:val="16"/>
              </w:rPr>
            </w:pPr>
            <w:r w:rsidRPr="0068119E">
              <w:rPr>
                <w:noProof/>
                <w:sz w:val="16"/>
              </w:rPr>
              <w:t>42</w:t>
            </w:r>
            <w:r w:rsidRPr="009618E4">
              <w:rPr>
                <w:noProof/>
                <w:sz w:val="16"/>
              </w:rPr>
              <w:t>,</w:t>
            </w:r>
            <w:r w:rsidRPr="0068119E">
              <w:rPr>
                <w:noProof/>
                <w:sz w:val="16"/>
              </w:rPr>
              <w:t>692</w:t>
            </w:r>
          </w:p>
        </w:tc>
        <w:tc>
          <w:tcPr>
            <w:tcW w:w="1080" w:type="dxa"/>
            <w:vAlign w:val="center"/>
          </w:tcPr>
          <w:p w:rsidR="00587744" w:rsidRPr="009618E4" w:rsidRDefault="00924308">
            <w:pPr>
              <w:spacing w:before="60" w:after="60" w:line="200" w:lineRule="exact"/>
              <w:jc w:val="right"/>
              <w:rPr>
                <w:b/>
                <w:noProof/>
                <w:sz w:val="16"/>
                <w:szCs w:val="16"/>
              </w:rPr>
            </w:pPr>
            <w:r w:rsidRPr="0068119E">
              <w:rPr>
                <w:b/>
                <w:noProof/>
                <w:sz w:val="16"/>
              </w:rPr>
              <w:t>205</w:t>
            </w:r>
            <w:r w:rsidRPr="009618E4">
              <w:rPr>
                <w:b/>
                <w:noProof/>
                <w:sz w:val="16"/>
              </w:rPr>
              <w:t>,</w:t>
            </w:r>
            <w:r w:rsidRPr="0068119E">
              <w:rPr>
                <w:b/>
                <w:noProof/>
                <w:sz w:val="16"/>
              </w:rPr>
              <w:t>993</w:t>
            </w:r>
          </w:p>
        </w:tc>
      </w:tr>
      <w:tr w:rsidR="00587744" w:rsidRPr="009618E4" w:rsidTr="00955F36">
        <w:trPr>
          <w:trHeight w:val="585"/>
        </w:trPr>
        <w:tc>
          <w:tcPr>
            <w:tcW w:w="1980" w:type="dxa"/>
            <w:shd w:val="clear" w:color="auto" w:fill="CCCCCC"/>
            <w:vAlign w:val="center"/>
          </w:tcPr>
          <w:p w:rsidR="00587744" w:rsidRPr="009618E4" w:rsidRDefault="00587744" w:rsidP="004D00FC">
            <w:pPr>
              <w:spacing w:before="60" w:after="60" w:line="200" w:lineRule="exact"/>
              <w:jc w:val="center"/>
              <w:rPr>
                <w:b/>
                <w:noProof/>
                <w:sz w:val="16"/>
                <w:szCs w:val="16"/>
              </w:rPr>
            </w:pPr>
            <w:r w:rsidRPr="009618E4">
              <w:rPr>
                <w:b/>
                <w:noProof/>
                <w:sz w:val="16"/>
              </w:rPr>
              <w:t>Sous-total</w:t>
            </w:r>
            <w:r w:rsidRPr="009618E4">
              <w:rPr>
                <w:noProof/>
                <w:sz w:val="22"/>
              </w:rPr>
              <w:br/>
            </w:r>
            <w:r w:rsidRPr="009618E4">
              <w:rPr>
                <w:b/>
                <w:noProof/>
                <w:sz w:val="16"/>
              </w:rPr>
              <w:t xml:space="preserve">hors RUBRIQUE </w:t>
            </w:r>
            <w:r w:rsidRPr="0068119E">
              <w:rPr>
                <w:b/>
                <w:noProof/>
                <w:sz w:val="16"/>
              </w:rPr>
              <w:t>7</w:t>
            </w:r>
            <w:r w:rsidRPr="009618E4">
              <w:rPr>
                <w:noProof/>
                <w:sz w:val="22"/>
              </w:rPr>
              <w:br/>
            </w:r>
            <w:r w:rsidRPr="009618E4">
              <w:rPr>
                <w:b/>
                <w:noProof/>
                <w:sz w:val="16"/>
              </w:rPr>
              <w:t>du cadre financier pluriannuel</w:t>
            </w:r>
          </w:p>
        </w:tc>
        <w:tc>
          <w:tcPr>
            <w:tcW w:w="1080" w:type="dxa"/>
            <w:vAlign w:val="center"/>
          </w:tcPr>
          <w:p w:rsidR="00587744" w:rsidRPr="009618E4" w:rsidRDefault="00924308">
            <w:pPr>
              <w:spacing w:before="60" w:after="60" w:line="200" w:lineRule="exact"/>
              <w:jc w:val="right"/>
              <w:rPr>
                <w:noProof/>
                <w:sz w:val="16"/>
                <w:szCs w:val="16"/>
              </w:rPr>
            </w:pPr>
            <w:r w:rsidRPr="0068119E">
              <w:rPr>
                <w:noProof/>
                <w:sz w:val="16"/>
              </w:rPr>
              <w:t>119</w:t>
            </w:r>
            <w:r w:rsidRPr="009618E4">
              <w:rPr>
                <w:noProof/>
                <w:sz w:val="16"/>
              </w:rPr>
              <w:t>,</w:t>
            </w:r>
            <w:r w:rsidRPr="0068119E">
              <w:rPr>
                <w:noProof/>
                <w:sz w:val="16"/>
              </w:rPr>
              <w:t>636</w:t>
            </w:r>
          </w:p>
        </w:tc>
        <w:tc>
          <w:tcPr>
            <w:tcW w:w="1080" w:type="dxa"/>
            <w:vAlign w:val="center"/>
          </w:tcPr>
          <w:p w:rsidR="00587744" w:rsidRPr="009618E4" w:rsidRDefault="00924308">
            <w:pPr>
              <w:spacing w:before="60" w:after="60" w:line="200" w:lineRule="exact"/>
              <w:jc w:val="right"/>
              <w:rPr>
                <w:noProof/>
                <w:sz w:val="16"/>
                <w:szCs w:val="16"/>
              </w:rPr>
            </w:pPr>
            <w:r w:rsidRPr="0068119E">
              <w:rPr>
                <w:noProof/>
                <w:sz w:val="16"/>
              </w:rPr>
              <w:t>122</w:t>
            </w:r>
            <w:r w:rsidRPr="009618E4">
              <w:rPr>
                <w:noProof/>
                <w:sz w:val="16"/>
              </w:rPr>
              <w:t>,</w:t>
            </w:r>
            <w:r w:rsidRPr="0068119E">
              <w:rPr>
                <w:noProof/>
                <w:sz w:val="16"/>
              </w:rPr>
              <w:t>002</w:t>
            </w:r>
          </w:p>
        </w:tc>
        <w:tc>
          <w:tcPr>
            <w:tcW w:w="1080" w:type="dxa"/>
            <w:vAlign w:val="center"/>
          </w:tcPr>
          <w:p w:rsidR="00587744" w:rsidRPr="009618E4" w:rsidRDefault="00924308">
            <w:pPr>
              <w:spacing w:before="60" w:after="60" w:line="200" w:lineRule="exact"/>
              <w:jc w:val="right"/>
              <w:rPr>
                <w:noProof/>
                <w:sz w:val="16"/>
                <w:szCs w:val="16"/>
              </w:rPr>
            </w:pPr>
            <w:r w:rsidRPr="0068119E">
              <w:rPr>
                <w:noProof/>
                <w:sz w:val="16"/>
              </w:rPr>
              <w:t>124</w:t>
            </w:r>
            <w:r w:rsidRPr="009618E4">
              <w:rPr>
                <w:noProof/>
                <w:sz w:val="16"/>
              </w:rPr>
              <w:t>,</w:t>
            </w:r>
            <w:r w:rsidRPr="0068119E">
              <w:rPr>
                <w:noProof/>
                <w:sz w:val="16"/>
              </w:rPr>
              <w:t>469</w:t>
            </w:r>
          </w:p>
        </w:tc>
        <w:tc>
          <w:tcPr>
            <w:tcW w:w="1080" w:type="dxa"/>
            <w:vAlign w:val="center"/>
          </w:tcPr>
          <w:p w:rsidR="00587744" w:rsidRPr="009618E4" w:rsidRDefault="00924308">
            <w:pPr>
              <w:spacing w:before="60" w:after="60" w:line="200" w:lineRule="exact"/>
              <w:jc w:val="right"/>
              <w:rPr>
                <w:noProof/>
                <w:sz w:val="16"/>
                <w:szCs w:val="16"/>
              </w:rPr>
            </w:pPr>
            <w:r w:rsidRPr="0068119E">
              <w:rPr>
                <w:noProof/>
                <w:sz w:val="16"/>
              </w:rPr>
              <w:t>126</w:t>
            </w:r>
            <w:r w:rsidRPr="009618E4">
              <w:rPr>
                <w:noProof/>
                <w:sz w:val="16"/>
              </w:rPr>
              <w:t>,</w:t>
            </w:r>
            <w:r w:rsidRPr="0068119E">
              <w:rPr>
                <w:noProof/>
                <w:sz w:val="16"/>
              </w:rPr>
              <w:t>915</w:t>
            </w:r>
          </w:p>
        </w:tc>
        <w:tc>
          <w:tcPr>
            <w:tcW w:w="1080" w:type="dxa"/>
            <w:vAlign w:val="center"/>
          </w:tcPr>
          <w:p w:rsidR="00587744" w:rsidRPr="009618E4" w:rsidRDefault="00924308">
            <w:pPr>
              <w:spacing w:before="60" w:after="60" w:line="200" w:lineRule="exact"/>
              <w:jc w:val="right"/>
              <w:rPr>
                <w:noProof/>
                <w:sz w:val="16"/>
                <w:szCs w:val="16"/>
              </w:rPr>
            </w:pPr>
            <w:r w:rsidRPr="0068119E">
              <w:rPr>
                <w:noProof/>
                <w:sz w:val="16"/>
              </w:rPr>
              <w:t>129</w:t>
            </w:r>
            <w:r w:rsidRPr="009618E4">
              <w:rPr>
                <w:noProof/>
                <w:sz w:val="16"/>
              </w:rPr>
              <w:t>,</w:t>
            </w:r>
            <w:r w:rsidRPr="0068119E">
              <w:rPr>
                <w:noProof/>
                <w:sz w:val="16"/>
              </w:rPr>
              <w:t>525</w:t>
            </w:r>
          </w:p>
        </w:tc>
        <w:tc>
          <w:tcPr>
            <w:tcW w:w="1080" w:type="dxa"/>
            <w:vAlign w:val="center"/>
          </w:tcPr>
          <w:p w:rsidR="00587744" w:rsidRPr="009618E4" w:rsidRDefault="00587744">
            <w:pPr>
              <w:spacing w:before="60" w:after="60" w:line="200" w:lineRule="exact"/>
              <w:jc w:val="right"/>
              <w:rPr>
                <w:b/>
                <w:noProof/>
                <w:sz w:val="16"/>
                <w:szCs w:val="16"/>
              </w:rPr>
            </w:pPr>
            <w:r w:rsidRPr="0068119E">
              <w:rPr>
                <w:b/>
                <w:noProof/>
                <w:sz w:val="16"/>
              </w:rPr>
              <w:t>622</w:t>
            </w:r>
            <w:r w:rsidRPr="009618E4">
              <w:rPr>
                <w:b/>
                <w:noProof/>
                <w:sz w:val="16"/>
              </w:rPr>
              <w:t>,</w:t>
            </w:r>
            <w:r w:rsidRPr="0068119E">
              <w:rPr>
                <w:b/>
                <w:noProof/>
                <w:sz w:val="16"/>
              </w:rPr>
              <w:t>547</w:t>
            </w:r>
          </w:p>
        </w:tc>
      </w:tr>
    </w:tbl>
    <w:p w:rsidR="00F26C3B" w:rsidRPr="009618E4" w:rsidRDefault="00F26C3B">
      <w:pPr>
        <w:spacing w:line="200" w:lineRule="exact"/>
        <w:rPr>
          <w:noProof/>
          <w:sz w:val="16"/>
          <w:szCs w:val="16"/>
        </w:rPr>
      </w:pPr>
    </w:p>
    <w:tbl>
      <w:tblPr>
        <w:tblW w:w="8460" w:type="dxa"/>
        <w:tblInd w:w="228" w:type="dxa"/>
        <w:tblLayout w:type="fixed"/>
        <w:tblLook w:val="01E0" w:firstRow="1" w:lastRow="1" w:firstColumn="1" w:lastColumn="1" w:noHBand="0" w:noVBand="0"/>
      </w:tblPr>
      <w:tblGrid>
        <w:gridCol w:w="1980"/>
        <w:gridCol w:w="1080"/>
        <w:gridCol w:w="1080"/>
        <w:gridCol w:w="1080"/>
        <w:gridCol w:w="1080"/>
        <w:gridCol w:w="1080"/>
        <w:gridCol w:w="1080"/>
      </w:tblGrid>
      <w:tr w:rsidR="00587744" w:rsidRPr="009618E4" w:rsidTr="00955F36">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587744" w:rsidRPr="009618E4" w:rsidRDefault="00587744">
            <w:pPr>
              <w:spacing w:before="60" w:after="60" w:line="200" w:lineRule="exact"/>
              <w:jc w:val="center"/>
              <w:rPr>
                <w:noProof/>
                <w:sz w:val="16"/>
                <w:szCs w:val="16"/>
              </w:rPr>
            </w:pPr>
            <w:r w:rsidRPr="009618E4">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587744" w:rsidRPr="009618E4" w:rsidRDefault="00924308">
            <w:pPr>
              <w:spacing w:before="60" w:after="60" w:line="200" w:lineRule="exact"/>
              <w:jc w:val="right"/>
              <w:rPr>
                <w:b/>
                <w:noProof/>
                <w:sz w:val="16"/>
                <w:szCs w:val="16"/>
              </w:rPr>
            </w:pPr>
            <w:r w:rsidRPr="0068119E">
              <w:rPr>
                <w:b/>
                <w:sz w:val="16"/>
              </w:rPr>
              <w:t>119</w:t>
            </w:r>
            <w:r w:rsidRPr="009618E4">
              <w:rPr>
                <w:b/>
                <w:sz w:val="16"/>
              </w:rPr>
              <w:t>,</w:t>
            </w:r>
            <w:r w:rsidRPr="0068119E">
              <w:rPr>
                <w:b/>
                <w:sz w:val="16"/>
              </w:rPr>
              <w:t>636</w:t>
            </w:r>
          </w:p>
        </w:tc>
        <w:tc>
          <w:tcPr>
            <w:tcW w:w="1080" w:type="dxa"/>
            <w:tcBorders>
              <w:top w:val="single" w:sz="12" w:space="0" w:color="auto"/>
              <w:left w:val="single" w:sz="2" w:space="0" w:color="auto"/>
              <w:bottom w:val="single" w:sz="12" w:space="0" w:color="auto"/>
              <w:right w:val="single" w:sz="2" w:space="0" w:color="auto"/>
            </w:tcBorders>
            <w:vAlign w:val="center"/>
          </w:tcPr>
          <w:p w:rsidR="00587744" w:rsidRPr="009618E4" w:rsidRDefault="00924308">
            <w:pPr>
              <w:spacing w:before="60" w:after="60" w:line="200" w:lineRule="exact"/>
              <w:jc w:val="right"/>
              <w:rPr>
                <w:b/>
                <w:noProof/>
                <w:sz w:val="16"/>
                <w:szCs w:val="16"/>
              </w:rPr>
            </w:pPr>
            <w:r w:rsidRPr="0068119E">
              <w:rPr>
                <w:b/>
                <w:sz w:val="16"/>
              </w:rPr>
              <w:t>122</w:t>
            </w:r>
            <w:r w:rsidRPr="009618E4">
              <w:rPr>
                <w:b/>
                <w:sz w:val="16"/>
              </w:rPr>
              <w:t>,</w:t>
            </w:r>
            <w:r w:rsidRPr="0068119E">
              <w:rPr>
                <w:b/>
                <w:sz w:val="16"/>
              </w:rPr>
              <w:t>002</w:t>
            </w:r>
          </w:p>
        </w:tc>
        <w:tc>
          <w:tcPr>
            <w:tcW w:w="1080" w:type="dxa"/>
            <w:tcBorders>
              <w:top w:val="single" w:sz="12" w:space="0" w:color="auto"/>
              <w:left w:val="single" w:sz="2" w:space="0" w:color="auto"/>
              <w:bottom w:val="single" w:sz="12" w:space="0" w:color="auto"/>
              <w:right w:val="single" w:sz="2" w:space="0" w:color="auto"/>
            </w:tcBorders>
            <w:vAlign w:val="center"/>
          </w:tcPr>
          <w:p w:rsidR="00587744" w:rsidRPr="009618E4" w:rsidRDefault="00924308">
            <w:pPr>
              <w:spacing w:before="60" w:after="60" w:line="200" w:lineRule="exact"/>
              <w:jc w:val="right"/>
              <w:rPr>
                <w:b/>
                <w:noProof/>
                <w:sz w:val="16"/>
                <w:szCs w:val="16"/>
              </w:rPr>
            </w:pPr>
            <w:r w:rsidRPr="0068119E">
              <w:rPr>
                <w:b/>
                <w:sz w:val="16"/>
              </w:rPr>
              <w:t>124</w:t>
            </w:r>
            <w:r w:rsidRPr="009618E4">
              <w:rPr>
                <w:b/>
                <w:sz w:val="16"/>
              </w:rPr>
              <w:t>,</w:t>
            </w:r>
            <w:r w:rsidRPr="0068119E">
              <w:rPr>
                <w:b/>
                <w:sz w:val="16"/>
              </w:rPr>
              <w:t>469</w:t>
            </w:r>
          </w:p>
        </w:tc>
        <w:tc>
          <w:tcPr>
            <w:tcW w:w="1080" w:type="dxa"/>
            <w:tcBorders>
              <w:top w:val="single" w:sz="12" w:space="0" w:color="auto"/>
              <w:left w:val="single" w:sz="2" w:space="0" w:color="auto"/>
              <w:bottom w:val="single" w:sz="12" w:space="0" w:color="auto"/>
              <w:right w:val="single" w:sz="2" w:space="0" w:color="auto"/>
            </w:tcBorders>
            <w:vAlign w:val="center"/>
          </w:tcPr>
          <w:p w:rsidR="00587744" w:rsidRPr="009618E4" w:rsidRDefault="00924308">
            <w:pPr>
              <w:spacing w:before="60" w:after="60" w:line="200" w:lineRule="exact"/>
              <w:jc w:val="right"/>
              <w:rPr>
                <w:b/>
                <w:noProof/>
                <w:sz w:val="16"/>
                <w:szCs w:val="16"/>
              </w:rPr>
            </w:pPr>
            <w:r w:rsidRPr="0068119E">
              <w:rPr>
                <w:b/>
                <w:sz w:val="16"/>
              </w:rPr>
              <w:t>126</w:t>
            </w:r>
            <w:r w:rsidRPr="009618E4">
              <w:rPr>
                <w:b/>
                <w:sz w:val="16"/>
              </w:rPr>
              <w:t>,</w:t>
            </w:r>
            <w:r w:rsidRPr="0068119E">
              <w:rPr>
                <w:b/>
                <w:sz w:val="16"/>
              </w:rPr>
              <w:t>915</w:t>
            </w:r>
          </w:p>
        </w:tc>
        <w:tc>
          <w:tcPr>
            <w:tcW w:w="1080" w:type="dxa"/>
            <w:tcBorders>
              <w:top w:val="single" w:sz="12" w:space="0" w:color="auto"/>
              <w:left w:val="single" w:sz="2" w:space="0" w:color="auto"/>
              <w:bottom w:val="single" w:sz="12" w:space="0" w:color="auto"/>
              <w:right w:val="single" w:sz="2" w:space="0" w:color="auto"/>
            </w:tcBorders>
            <w:vAlign w:val="center"/>
          </w:tcPr>
          <w:p w:rsidR="00587744" w:rsidRPr="009618E4" w:rsidRDefault="00924308">
            <w:pPr>
              <w:spacing w:before="60" w:after="60" w:line="200" w:lineRule="exact"/>
              <w:jc w:val="right"/>
              <w:rPr>
                <w:b/>
                <w:noProof/>
                <w:sz w:val="16"/>
                <w:szCs w:val="16"/>
              </w:rPr>
            </w:pPr>
            <w:r w:rsidRPr="0068119E">
              <w:rPr>
                <w:b/>
                <w:sz w:val="16"/>
              </w:rPr>
              <w:t>129</w:t>
            </w:r>
            <w:r w:rsidRPr="009618E4">
              <w:rPr>
                <w:b/>
                <w:sz w:val="16"/>
              </w:rPr>
              <w:t>,</w:t>
            </w:r>
            <w:r w:rsidRPr="0068119E">
              <w:rPr>
                <w:b/>
                <w:sz w:val="16"/>
              </w:rPr>
              <w:t>525</w:t>
            </w:r>
          </w:p>
        </w:tc>
        <w:tc>
          <w:tcPr>
            <w:tcW w:w="1080" w:type="dxa"/>
            <w:tcBorders>
              <w:top w:val="single" w:sz="12" w:space="0" w:color="auto"/>
              <w:left w:val="single" w:sz="2" w:space="0" w:color="auto"/>
              <w:bottom w:val="single" w:sz="12" w:space="0" w:color="auto"/>
              <w:right w:val="single" w:sz="12" w:space="0" w:color="auto"/>
            </w:tcBorders>
            <w:vAlign w:val="center"/>
          </w:tcPr>
          <w:p w:rsidR="00587744" w:rsidRPr="009618E4" w:rsidRDefault="00587744">
            <w:pPr>
              <w:spacing w:before="60" w:after="60" w:line="200" w:lineRule="exact"/>
              <w:jc w:val="right"/>
              <w:rPr>
                <w:b/>
                <w:noProof/>
                <w:sz w:val="16"/>
                <w:szCs w:val="16"/>
              </w:rPr>
            </w:pPr>
            <w:r w:rsidRPr="0068119E">
              <w:rPr>
                <w:b/>
                <w:noProof/>
                <w:sz w:val="16"/>
              </w:rPr>
              <w:t>622</w:t>
            </w:r>
            <w:r w:rsidRPr="009618E4">
              <w:rPr>
                <w:b/>
                <w:noProof/>
                <w:sz w:val="16"/>
              </w:rPr>
              <w:t>,</w:t>
            </w:r>
            <w:r w:rsidRPr="0068119E">
              <w:rPr>
                <w:b/>
                <w:noProof/>
                <w:sz w:val="16"/>
              </w:rPr>
              <w:t>547</w:t>
            </w:r>
          </w:p>
        </w:tc>
      </w:tr>
    </w:tbl>
    <w:p w:rsidR="00F26C3B" w:rsidRPr="009618E4" w:rsidRDefault="00513FB2">
      <w:pPr>
        <w:rPr>
          <w:noProof/>
          <w:sz w:val="20"/>
        </w:rPr>
      </w:pPr>
      <w:r w:rsidRPr="009618E4">
        <w:rPr>
          <w:noProof/>
          <w:sz w:val="20"/>
        </w:rPr>
        <w:t>Les besoins en crédits de nature administrative seront couverts par les crédits déjà affectés à la gestion de l</w:t>
      </w:r>
      <w:r w:rsidR="00266719" w:rsidRPr="009618E4">
        <w:rPr>
          <w:noProof/>
          <w:sz w:val="20"/>
        </w:rPr>
        <w:t>’</w:t>
      </w:r>
      <w:r w:rsidRPr="009618E4">
        <w:rPr>
          <w:noProof/>
          <w:sz w:val="20"/>
        </w:rPr>
        <w:t>action et/ou réaffectés, complétés le cas échéant par toute dotation additionnelle qui pourrait être allouée à la DG gestionnaire dans le cadre de la procédure d</w:t>
      </w:r>
      <w:r w:rsidR="00266719" w:rsidRPr="009618E4">
        <w:rPr>
          <w:noProof/>
          <w:sz w:val="20"/>
        </w:rPr>
        <w:t>’</w:t>
      </w:r>
      <w:r w:rsidRPr="009618E4">
        <w:rPr>
          <w:noProof/>
          <w:sz w:val="20"/>
        </w:rPr>
        <w:t>allocation annuelle et compte tenu des contraintes budgétaires existantes.</w:t>
      </w:r>
    </w:p>
    <w:p w:rsidR="00F26C3B" w:rsidRPr="009618E4" w:rsidRDefault="00513FB2">
      <w:pPr>
        <w:pStyle w:val="ManualHeading4"/>
        <w:rPr>
          <w:bCs/>
          <w:noProof/>
          <w:szCs w:val="24"/>
        </w:rPr>
      </w:pPr>
      <w:r w:rsidRPr="0068119E">
        <w:t>3</w:t>
      </w:r>
      <w:r w:rsidRPr="009618E4">
        <w:t>.</w:t>
      </w:r>
      <w:r w:rsidRPr="0068119E">
        <w:t>2</w:t>
      </w:r>
      <w:r w:rsidRPr="009618E4">
        <w:t>.</w:t>
      </w:r>
      <w:r w:rsidRPr="0068119E">
        <w:t>2</w:t>
      </w:r>
      <w:r w:rsidRPr="009618E4">
        <w:t>.</w:t>
      </w:r>
      <w:r w:rsidRPr="0068119E">
        <w:t>1</w:t>
      </w:r>
      <w:r w:rsidRPr="009618E4">
        <w:t>.</w:t>
      </w:r>
      <w:r w:rsidRPr="009618E4">
        <w:tab/>
        <w:t>Besoins estimés en ressources humaines</w:t>
      </w:r>
    </w:p>
    <w:p w:rsidR="00F26C3B" w:rsidRPr="009618E4" w:rsidRDefault="00513FB2">
      <w:pPr>
        <w:pStyle w:val="ListDash1"/>
        <w:rPr>
          <w:noProof/>
        </w:rPr>
      </w:pPr>
      <w:r w:rsidRPr="009618E4">
        <w:rPr>
          <w:noProof/>
        </w:rPr>
        <w:sym w:font="Wingdings" w:char="F0A8"/>
      </w:r>
      <w:r w:rsidRPr="009618E4">
        <w:tab/>
        <w:t>La proposition/l</w:t>
      </w:r>
      <w:r w:rsidR="00266719" w:rsidRPr="009618E4">
        <w:t>’</w:t>
      </w:r>
      <w:r w:rsidRPr="009618E4">
        <w:t>initiative n</w:t>
      </w:r>
      <w:r w:rsidR="00266719" w:rsidRPr="009618E4">
        <w:t>’</w:t>
      </w:r>
      <w:r w:rsidRPr="009618E4">
        <w:t>engendre pas l</w:t>
      </w:r>
      <w:r w:rsidR="00266719" w:rsidRPr="009618E4">
        <w:t>’</w:t>
      </w:r>
      <w:r w:rsidRPr="009618E4">
        <w:t>utilisation de ressources humaines.</w:t>
      </w:r>
    </w:p>
    <w:p w:rsidR="00F26C3B" w:rsidRPr="009618E4" w:rsidRDefault="00513FB2">
      <w:pPr>
        <w:pStyle w:val="ListDash1"/>
        <w:rPr>
          <w:noProof/>
        </w:rPr>
      </w:pPr>
      <w:r w:rsidRPr="009618E4">
        <w:rPr>
          <w:noProof/>
        </w:rPr>
        <w:sym w:font="Wingdings" w:char="F0FE"/>
      </w:r>
      <w:r w:rsidRPr="009618E4">
        <w:tab/>
        <w:t>La proposition/l</w:t>
      </w:r>
      <w:r w:rsidR="00266719" w:rsidRPr="009618E4">
        <w:t>’</w:t>
      </w:r>
      <w:r w:rsidRPr="009618E4">
        <w:t>initiative engendre l</w:t>
      </w:r>
      <w:r w:rsidR="00266719" w:rsidRPr="009618E4">
        <w:t>’</w:t>
      </w:r>
      <w:r w:rsidRPr="009618E4">
        <w:t>utilisation de ressources humaines, comme expliqué ci-après:</w:t>
      </w:r>
    </w:p>
    <w:p w:rsidR="00F26C3B" w:rsidRPr="009618E4" w:rsidRDefault="00513FB2">
      <w:pPr>
        <w:spacing w:after="60"/>
        <w:jc w:val="right"/>
        <w:rPr>
          <w:i/>
          <w:noProof/>
          <w:sz w:val="20"/>
        </w:rPr>
      </w:pPr>
      <w:r w:rsidRPr="009618E4">
        <w:rPr>
          <w:i/>
          <w:noProof/>
          <w:sz w:val="20"/>
        </w:rPr>
        <w:t>Estimation à exprimer en équivalents temps plein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59"/>
        <w:gridCol w:w="1566"/>
        <w:gridCol w:w="1233"/>
        <w:gridCol w:w="1233"/>
        <w:gridCol w:w="1233"/>
        <w:gridCol w:w="1233"/>
        <w:gridCol w:w="1230"/>
      </w:tblGrid>
      <w:tr w:rsidR="00F26C3B" w:rsidRPr="009618E4">
        <w:trPr>
          <w:trHeight w:val="289"/>
        </w:trPr>
        <w:tc>
          <w:tcPr>
            <w:tcW w:w="1682" w:type="pct"/>
            <w:gridSpan w:val="2"/>
            <w:vAlign w:val="center"/>
          </w:tcPr>
          <w:p w:rsidR="00F26C3B" w:rsidRPr="009618E4" w:rsidRDefault="00513FB2">
            <w:pPr>
              <w:pStyle w:val="Text1"/>
              <w:spacing w:before="40" w:after="40"/>
              <w:ind w:left="0"/>
              <w:jc w:val="center"/>
              <w:rPr>
                <w:i/>
                <w:noProof/>
                <w:sz w:val="16"/>
                <w:szCs w:val="16"/>
              </w:rPr>
            </w:pPr>
            <w:r w:rsidRPr="009618E4">
              <w:rPr>
                <w:b/>
                <w:noProof/>
                <w:sz w:val="16"/>
              </w:rPr>
              <w:t>Années</w:t>
            </w:r>
          </w:p>
        </w:tc>
        <w:tc>
          <w:tcPr>
            <w:tcW w:w="664" w:type="pct"/>
            <w:shd w:val="clear" w:color="auto" w:fill="auto"/>
            <w:vAlign w:val="center"/>
          </w:tcPr>
          <w:p w:rsidR="00F26C3B" w:rsidRPr="009618E4" w:rsidRDefault="00513FB2">
            <w:pPr>
              <w:spacing w:before="20" w:after="20"/>
              <w:jc w:val="center"/>
              <w:rPr>
                <w:b/>
                <w:noProof/>
                <w:sz w:val="16"/>
                <w:szCs w:val="16"/>
              </w:rPr>
            </w:pPr>
            <w:r w:rsidRPr="0068119E">
              <w:rPr>
                <w:b/>
                <w:noProof/>
                <w:sz w:val="20"/>
              </w:rPr>
              <w:t>2021</w:t>
            </w:r>
          </w:p>
        </w:tc>
        <w:tc>
          <w:tcPr>
            <w:tcW w:w="664" w:type="pct"/>
            <w:shd w:val="clear" w:color="auto" w:fill="auto"/>
            <w:vAlign w:val="center"/>
          </w:tcPr>
          <w:p w:rsidR="00F26C3B" w:rsidRPr="009618E4" w:rsidRDefault="00513FB2">
            <w:pPr>
              <w:spacing w:before="20" w:after="20"/>
              <w:jc w:val="center"/>
              <w:rPr>
                <w:b/>
                <w:noProof/>
                <w:sz w:val="20"/>
              </w:rPr>
            </w:pPr>
            <w:r w:rsidRPr="0068119E">
              <w:rPr>
                <w:b/>
                <w:noProof/>
                <w:sz w:val="20"/>
              </w:rPr>
              <w:t>2022</w:t>
            </w:r>
          </w:p>
        </w:tc>
        <w:tc>
          <w:tcPr>
            <w:tcW w:w="664" w:type="pct"/>
            <w:shd w:val="clear" w:color="auto" w:fill="auto"/>
            <w:vAlign w:val="center"/>
          </w:tcPr>
          <w:p w:rsidR="00F26C3B" w:rsidRPr="009618E4" w:rsidRDefault="00513FB2">
            <w:pPr>
              <w:spacing w:before="20" w:after="20"/>
              <w:jc w:val="center"/>
              <w:rPr>
                <w:b/>
                <w:noProof/>
                <w:sz w:val="20"/>
              </w:rPr>
            </w:pPr>
            <w:r w:rsidRPr="0068119E">
              <w:rPr>
                <w:b/>
                <w:noProof/>
                <w:sz w:val="20"/>
              </w:rPr>
              <w:t>2023</w:t>
            </w:r>
          </w:p>
        </w:tc>
        <w:tc>
          <w:tcPr>
            <w:tcW w:w="664" w:type="pct"/>
            <w:shd w:val="clear" w:color="auto" w:fill="auto"/>
            <w:vAlign w:val="center"/>
          </w:tcPr>
          <w:p w:rsidR="00F26C3B" w:rsidRPr="009618E4" w:rsidRDefault="00513FB2">
            <w:pPr>
              <w:spacing w:before="20" w:after="20"/>
              <w:jc w:val="center"/>
              <w:rPr>
                <w:b/>
                <w:noProof/>
                <w:sz w:val="20"/>
              </w:rPr>
            </w:pPr>
            <w:r w:rsidRPr="0068119E">
              <w:rPr>
                <w:b/>
                <w:noProof/>
                <w:sz w:val="20"/>
              </w:rPr>
              <w:t>2024</w:t>
            </w:r>
          </w:p>
        </w:tc>
        <w:tc>
          <w:tcPr>
            <w:tcW w:w="662" w:type="pct"/>
            <w:shd w:val="clear" w:color="auto" w:fill="auto"/>
            <w:vAlign w:val="center"/>
          </w:tcPr>
          <w:p w:rsidR="00F26C3B" w:rsidRPr="009618E4" w:rsidRDefault="00513FB2">
            <w:pPr>
              <w:jc w:val="center"/>
              <w:rPr>
                <w:b/>
                <w:noProof/>
                <w:sz w:val="20"/>
              </w:rPr>
            </w:pPr>
            <w:r w:rsidRPr="0068119E">
              <w:rPr>
                <w:b/>
                <w:noProof/>
                <w:sz w:val="20"/>
              </w:rPr>
              <w:t>2025</w:t>
            </w:r>
          </w:p>
        </w:tc>
      </w:tr>
      <w:tr w:rsidR="00F26C3B" w:rsidRPr="009618E4">
        <w:trPr>
          <w:trHeight w:val="289"/>
        </w:trPr>
        <w:tc>
          <w:tcPr>
            <w:tcW w:w="5000" w:type="pct"/>
            <w:gridSpan w:val="7"/>
            <w:vAlign w:val="center"/>
          </w:tcPr>
          <w:p w:rsidR="00F26C3B" w:rsidRPr="009618E4" w:rsidRDefault="00513FB2">
            <w:pPr>
              <w:jc w:val="left"/>
              <w:rPr>
                <w:b/>
                <w:noProof/>
                <w:sz w:val="20"/>
              </w:rPr>
            </w:pPr>
            <w:r w:rsidRPr="009618E4">
              <w:rPr>
                <w:b/>
                <w:noProof/>
                <w:sz w:val="16"/>
              </w:rPr>
              <w:t>Emplois du tableau des effectifs (fonctionnaires et agents temporaires)</w:t>
            </w:r>
          </w:p>
        </w:tc>
      </w:tr>
      <w:tr w:rsidR="00F26C3B" w:rsidRPr="009618E4">
        <w:trPr>
          <w:trHeight w:val="289"/>
        </w:trPr>
        <w:tc>
          <w:tcPr>
            <w:tcW w:w="1682" w:type="pct"/>
            <w:gridSpan w:val="2"/>
          </w:tcPr>
          <w:p w:rsidR="00F26C3B" w:rsidRPr="009618E4" w:rsidRDefault="00513FB2">
            <w:pPr>
              <w:pStyle w:val="Text1"/>
              <w:spacing w:beforeLines="20" w:before="48" w:afterLines="20" w:after="48"/>
              <w:ind w:left="134"/>
              <w:jc w:val="left"/>
              <w:rPr>
                <w:b/>
                <w:noProof/>
                <w:sz w:val="16"/>
                <w:szCs w:val="16"/>
              </w:rPr>
            </w:pPr>
            <w:r w:rsidRPr="009618E4">
              <w:rPr>
                <w:noProof/>
                <w:sz w:val="16"/>
              </w:rPr>
              <w:t>Siège et bureaux de représentation de la Commission</w:t>
            </w: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2" w:type="pct"/>
            <w:shd w:val="clear" w:color="auto" w:fill="auto"/>
            <w:vAlign w:val="center"/>
          </w:tcPr>
          <w:p w:rsidR="00F26C3B" w:rsidRPr="009618E4" w:rsidRDefault="00F26C3B">
            <w:pPr>
              <w:spacing w:beforeLines="20" w:before="48" w:afterLines="20" w:after="48"/>
              <w:jc w:val="center"/>
              <w:rPr>
                <w:noProof/>
                <w:sz w:val="16"/>
                <w:szCs w:val="16"/>
              </w:rPr>
            </w:pPr>
          </w:p>
        </w:tc>
      </w:tr>
      <w:tr w:rsidR="00F26C3B" w:rsidRPr="009618E4">
        <w:trPr>
          <w:trHeight w:val="289"/>
        </w:trPr>
        <w:tc>
          <w:tcPr>
            <w:tcW w:w="1682" w:type="pct"/>
            <w:gridSpan w:val="2"/>
          </w:tcPr>
          <w:p w:rsidR="00F26C3B" w:rsidRPr="009618E4" w:rsidRDefault="00513FB2">
            <w:pPr>
              <w:pStyle w:val="Text1"/>
              <w:spacing w:beforeLines="20" w:before="48" w:afterLines="20" w:after="48"/>
              <w:ind w:left="134"/>
              <w:jc w:val="left"/>
              <w:rPr>
                <w:noProof/>
                <w:sz w:val="16"/>
                <w:szCs w:val="16"/>
              </w:rPr>
            </w:pPr>
            <w:r w:rsidRPr="009618E4">
              <w:rPr>
                <w:noProof/>
                <w:sz w:val="16"/>
              </w:rPr>
              <w:t>Délégations</w:t>
            </w: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2" w:type="pct"/>
            <w:shd w:val="clear" w:color="auto" w:fill="auto"/>
            <w:vAlign w:val="center"/>
          </w:tcPr>
          <w:p w:rsidR="00F26C3B" w:rsidRPr="009618E4" w:rsidRDefault="00F26C3B">
            <w:pPr>
              <w:spacing w:beforeLines="20" w:before="48" w:afterLines="20" w:after="48"/>
              <w:jc w:val="center"/>
              <w:rPr>
                <w:noProof/>
                <w:sz w:val="16"/>
                <w:szCs w:val="16"/>
              </w:rPr>
            </w:pPr>
          </w:p>
        </w:tc>
      </w:tr>
      <w:tr w:rsidR="00F26C3B" w:rsidRPr="009618E4">
        <w:trPr>
          <w:trHeight w:val="289"/>
        </w:trPr>
        <w:tc>
          <w:tcPr>
            <w:tcW w:w="1682" w:type="pct"/>
            <w:gridSpan w:val="2"/>
          </w:tcPr>
          <w:p w:rsidR="00F26C3B" w:rsidRPr="009618E4" w:rsidRDefault="00513FB2">
            <w:pPr>
              <w:pStyle w:val="Text1"/>
              <w:spacing w:beforeLines="20" w:before="48" w:afterLines="20" w:after="48"/>
              <w:ind w:left="134"/>
              <w:jc w:val="left"/>
              <w:rPr>
                <w:noProof/>
                <w:sz w:val="16"/>
                <w:szCs w:val="16"/>
              </w:rPr>
            </w:pPr>
            <w:r w:rsidRPr="009618E4">
              <w:rPr>
                <w:noProof/>
                <w:sz w:val="16"/>
              </w:rPr>
              <w:t>Recherche</w:t>
            </w:r>
          </w:p>
        </w:tc>
        <w:tc>
          <w:tcPr>
            <w:tcW w:w="664" w:type="pct"/>
            <w:shd w:val="clear" w:color="auto" w:fill="auto"/>
            <w:vAlign w:val="center"/>
          </w:tcPr>
          <w:p w:rsidR="00F26C3B" w:rsidRPr="009618E4" w:rsidRDefault="00513FB2">
            <w:pPr>
              <w:spacing w:beforeLines="20" w:before="48" w:afterLines="20" w:after="48"/>
              <w:jc w:val="center"/>
              <w:rPr>
                <w:noProof/>
                <w:sz w:val="16"/>
                <w:szCs w:val="16"/>
              </w:rPr>
            </w:pPr>
            <w:r w:rsidRPr="0068119E">
              <w:rPr>
                <w:noProof/>
                <w:sz w:val="16"/>
              </w:rPr>
              <w:t>556</w:t>
            </w:r>
          </w:p>
        </w:tc>
        <w:tc>
          <w:tcPr>
            <w:tcW w:w="664" w:type="pct"/>
            <w:shd w:val="clear" w:color="auto" w:fill="auto"/>
            <w:vAlign w:val="center"/>
          </w:tcPr>
          <w:p w:rsidR="00F26C3B" w:rsidRPr="009618E4" w:rsidRDefault="00513FB2">
            <w:pPr>
              <w:spacing w:beforeLines="20" w:before="48" w:afterLines="20" w:after="48"/>
              <w:jc w:val="center"/>
              <w:rPr>
                <w:noProof/>
                <w:sz w:val="16"/>
                <w:szCs w:val="16"/>
              </w:rPr>
            </w:pPr>
            <w:r w:rsidRPr="0068119E">
              <w:rPr>
                <w:noProof/>
                <w:sz w:val="16"/>
              </w:rPr>
              <w:t>556</w:t>
            </w:r>
          </w:p>
        </w:tc>
        <w:tc>
          <w:tcPr>
            <w:tcW w:w="664" w:type="pct"/>
            <w:shd w:val="clear" w:color="auto" w:fill="auto"/>
            <w:vAlign w:val="center"/>
          </w:tcPr>
          <w:p w:rsidR="00F26C3B" w:rsidRPr="009618E4" w:rsidRDefault="00513FB2">
            <w:pPr>
              <w:spacing w:beforeLines="20" w:before="48" w:afterLines="20" w:after="48"/>
              <w:jc w:val="center"/>
              <w:rPr>
                <w:noProof/>
                <w:sz w:val="16"/>
                <w:szCs w:val="16"/>
              </w:rPr>
            </w:pPr>
            <w:r w:rsidRPr="0068119E">
              <w:rPr>
                <w:noProof/>
                <w:sz w:val="16"/>
              </w:rPr>
              <w:t>556</w:t>
            </w:r>
          </w:p>
        </w:tc>
        <w:tc>
          <w:tcPr>
            <w:tcW w:w="664" w:type="pct"/>
            <w:shd w:val="clear" w:color="auto" w:fill="auto"/>
            <w:vAlign w:val="center"/>
          </w:tcPr>
          <w:p w:rsidR="00F26C3B" w:rsidRPr="009618E4" w:rsidRDefault="00513FB2">
            <w:pPr>
              <w:spacing w:beforeLines="20" w:before="48" w:afterLines="20" w:after="48"/>
              <w:jc w:val="center"/>
              <w:rPr>
                <w:noProof/>
                <w:sz w:val="16"/>
                <w:szCs w:val="16"/>
              </w:rPr>
            </w:pPr>
            <w:r w:rsidRPr="0068119E">
              <w:rPr>
                <w:noProof/>
                <w:sz w:val="16"/>
              </w:rPr>
              <w:t>556</w:t>
            </w:r>
          </w:p>
        </w:tc>
        <w:tc>
          <w:tcPr>
            <w:tcW w:w="662" w:type="pct"/>
            <w:shd w:val="clear" w:color="auto" w:fill="auto"/>
            <w:vAlign w:val="center"/>
          </w:tcPr>
          <w:p w:rsidR="00F26C3B" w:rsidRPr="009618E4" w:rsidRDefault="00513FB2">
            <w:pPr>
              <w:spacing w:beforeLines="20" w:before="48" w:afterLines="20" w:after="48"/>
              <w:jc w:val="center"/>
              <w:rPr>
                <w:noProof/>
                <w:sz w:val="16"/>
                <w:szCs w:val="16"/>
              </w:rPr>
            </w:pPr>
            <w:r w:rsidRPr="0068119E">
              <w:rPr>
                <w:noProof/>
                <w:sz w:val="16"/>
              </w:rPr>
              <w:t>556</w:t>
            </w:r>
          </w:p>
        </w:tc>
      </w:tr>
      <w:tr w:rsidR="00F26C3B" w:rsidRPr="009618E4">
        <w:trPr>
          <w:trHeight w:val="289"/>
        </w:trPr>
        <w:tc>
          <w:tcPr>
            <w:tcW w:w="5000" w:type="pct"/>
            <w:gridSpan w:val="7"/>
          </w:tcPr>
          <w:p w:rsidR="00F26C3B" w:rsidRPr="009618E4" w:rsidRDefault="00513FB2">
            <w:pPr>
              <w:spacing w:beforeLines="20" w:before="48" w:afterLines="20" w:after="48"/>
              <w:jc w:val="left"/>
              <w:rPr>
                <w:noProof/>
                <w:sz w:val="16"/>
                <w:szCs w:val="16"/>
              </w:rPr>
            </w:pPr>
            <w:r w:rsidRPr="009618E4">
              <w:rPr>
                <w:b/>
                <w:noProof/>
                <w:sz w:val="16"/>
              </w:rPr>
              <w:t>Personnel externe (en équivalent temps plein: ETP) - AC, AL, END, INT et JPD</w:t>
            </w:r>
          </w:p>
        </w:tc>
      </w:tr>
      <w:tr w:rsidR="00F26C3B" w:rsidRPr="009618E4">
        <w:trPr>
          <w:trHeight w:val="485"/>
        </w:trPr>
        <w:tc>
          <w:tcPr>
            <w:tcW w:w="839" w:type="pct"/>
            <w:vMerge w:val="restart"/>
            <w:vAlign w:val="center"/>
          </w:tcPr>
          <w:p w:rsidR="00F26C3B" w:rsidRPr="009618E4" w:rsidRDefault="00513FB2" w:rsidP="004D00FC">
            <w:pPr>
              <w:pStyle w:val="Text1"/>
              <w:spacing w:beforeLines="20" w:before="48" w:afterLines="20" w:after="48"/>
              <w:ind w:left="136"/>
              <w:jc w:val="left"/>
              <w:rPr>
                <w:b/>
                <w:noProof/>
                <w:sz w:val="16"/>
                <w:szCs w:val="16"/>
              </w:rPr>
            </w:pPr>
            <w:r w:rsidRPr="009618E4">
              <w:rPr>
                <w:noProof/>
                <w:sz w:val="16"/>
              </w:rPr>
              <w:t xml:space="preserve">Financés au titre de la RUBRIQUE </w:t>
            </w:r>
            <w:r w:rsidRPr="0068119E">
              <w:rPr>
                <w:noProof/>
                <w:sz w:val="16"/>
              </w:rPr>
              <w:t>7</w:t>
            </w:r>
            <w:r w:rsidRPr="009618E4">
              <w:rPr>
                <w:noProof/>
                <w:sz w:val="16"/>
              </w:rPr>
              <w:t xml:space="preserve"> du cadre financier pluriannuel</w:t>
            </w:r>
          </w:p>
        </w:tc>
        <w:tc>
          <w:tcPr>
            <w:tcW w:w="843" w:type="pct"/>
            <w:vAlign w:val="center"/>
          </w:tcPr>
          <w:p w:rsidR="00F26C3B" w:rsidRPr="009618E4" w:rsidRDefault="00513FB2">
            <w:pPr>
              <w:pStyle w:val="Text1"/>
              <w:spacing w:beforeLines="20" w:before="48" w:afterLines="20" w:after="48"/>
              <w:ind w:left="136"/>
              <w:jc w:val="left"/>
              <w:rPr>
                <w:b/>
                <w:noProof/>
                <w:sz w:val="16"/>
                <w:szCs w:val="16"/>
              </w:rPr>
            </w:pPr>
            <w:r w:rsidRPr="009618E4">
              <w:rPr>
                <w:noProof/>
                <w:sz w:val="16"/>
              </w:rPr>
              <w:t>- au siège</w:t>
            </w: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2" w:type="pct"/>
            <w:shd w:val="clear" w:color="auto" w:fill="auto"/>
            <w:vAlign w:val="center"/>
          </w:tcPr>
          <w:p w:rsidR="00F26C3B" w:rsidRPr="009618E4" w:rsidRDefault="00F26C3B">
            <w:pPr>
              <w:spacing w:beforeLines="20" w:before="48" w:afterLines="20" w:after="48"/>
              <w:jc w:val="center"/>
              <w:rPr>
                <w:noProof/>
                <w:sz w:val="16"/>
                <w:szCs w:val="16"/>
              </w:rPr>
            </w:pPr>
          </w:p>
        </w:tc>
      </w:tr>
      <w:tr w:rsidR="00F26C3B" w:rsidRPr="009618E4">
        <w:trPr>
          <w:trHeight w:val="289"/>
        </w:trPr>
        <w:tc>
          <w:tcPr>
            <w:tcW w:w="839" w:type="pct"/>
            <w:vMerge/>
            <w:vAlign w:val="center"/>
          </w:tcPr>
          <w:p w:rsidR="00F26C3B" w:rsidRPr="009618E4" w:rsidRDefault="00F26C3B">
            <w:pPr>
              <w:pStyle w:val="Text1"/>
              <w:spacing w:beforeLines="20" w:before="48" w:afterLines="20" w:after="48"/>
              <w:ind w:left="136"/>
              <w:jc w:val="left"/>
              <w:rPr>
                <w:noProof/>
                <w:sz w:val="16"/>
                <w:szCs w:val="16"/>
              </w:rPr>
            </w:pPr>
          </w:p>
        </w:tc>
        <w:tc>
          <w:tcPr>
            <w:tcW w:w="843" w:type="pct"/>
            <w:vAlign w:val="center"/>
          </w:tcPr>
          <w:p w:rsidR="00F26C3B" w:rsidRPr="009618E4" w:rsidRDefault="00513FB2" w:rsidP="004D00FC">
            <w:pPr>
              <w:pStyle w:val="Text1"/>
              <w:spacing w:beforeLines="20" w:before="48" w:afterLines="20" w:after="48"/>
              <w:ind w:left="136"/>
              <w:jc w:val="left"/>
              <w:rPr>
                <w:noProof/>
                <w:sz w:val="16"/>
                <w:szCs w:val="16"/>
              </w:rPr>
            </w:pPr>
            <w:r w:rsidRPr="009618E4">
              <w:rPr>
                <w:noProof/>
                <w:sz w:val="16"/>
              </w:rPr>
              <w:t>- en délégation</w:t>
            </w: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2" w:type="pct"/>
            <w:shd w:val="clear" w:color="auto" w:fill="auto"/>
            <w:vAlign w:val="center"/>
          </w:tcPr>
          <w:p w:rsidR="00F26C3B" w:rsidRPr="009618E4" w:rsidRDefault="00F26C3B">
            <w:pPr>
              <w:spacing w:beforeLines="20" w:before="48" w:afterLines="20" w:after="48"/>
              <w:jc w:val="center"/>
              <w:rPr>
                <w:noProof/>
                <w:sz w:val="16"/>
                <w:szCs w:val="16"/>
              </w:rPr>
            </w:pPr>
          </w:p>
        </w:tc>
      </w:tr>
      <w:tr w:rsidR="00F26C3B" w:rsidRPr="009618E4">
        <w:trPr>
          <w:trHeight w:val="370"/>
        </w:trPr>
        <w:tc>
          <w:tcPr>
            <w:tcW w:w="839" w:type="pct"/>
            <w:vMerge w:val="restart"/>
            <w:vAlign w:val="center"/>
          </w:tcPr>
          <w:p w:rsidR="00F26C3B" w:rsidRPr="009618E4" w:rsidRDefault="00513FB2">
            <w:pPr>
              <w:pStyle w:val="Text1"/>
              <w:spacing w:beforeLines="20" w:before="48" w:afterLines="20" w:after="48"/>
              <w:ind w:left="136"/>
              <w:jc w:val="left"/>
              <w:rPr>
                <w:b/>
                <w:noProof/>
                <w:sz w:val="16"/>
                <w:szCs w:val="16"/>
              </w:rPr>
            </w:pPr>
            <w:r w:rsidRPr="009618E4">
              <w:rPr>
                <w:noProof/>
                <w:sz w:val="16"/>
              </w:rPr>
              <w:t>Financés par l</w:t>
            </w:r>
            <w:r w:rsidR="00266719" w:rsidRPr="009618E4">
              <w:rPr>
                <w:noProof/>
                <w:sz w:val="16"/>
              </w:rPr>
              <w:t>’</w:t>
            </w:r>
            <w:r w:rsidRPr="009618E4">
              <w:rPr>
                <w:noProof/>
                <w:sz w:val="16"/>
              </w:rPr>
              <w:t>enveloppe du programme</w:t>
            </w:r>
            <w:r w:rsidRPr="009618E4">
              <w:rPr>
                <w:b/>
                <w:noProof/>
                <w:sz w:val="16"/>
              </w:rPr>
              <w:t xml:space="preserve"> </w:t>
            </w:r>
            <w:r w:rsidRPr="009618E4">
              <w:rPr>
                <w:rStyle w:val="FootnoteReference"/>
                <w:noProof/>
              </w:rPr>
              <w:footnoteReference w:id="42"/>
            </w:r>
          </w:p>
        </w:tc>
        <w:tc>
          <w:tcPr>
            <w:tcW w:w="843" w:type="pct"/>
            <w:shd w:val="clear" w:color="auto" w:fill="auto"/>
            <w:vAlign w:val="center"/>
          </w:tcPr>
          <w:p w:rsidR="00F26C3B" w:rsidRPr="009618E4" w:rsidRDefault="00513FB2">
            <w:pPr>
              <w:pStyle w:val="Text1"/>
              <w:spacing w:beforeLines="20" w:before="48" w:afterLines="20" w:after="48"/>
              <w:ind w:left="136"/>
              <w:jc w:val="left"/>
              <w:rPr>
                <w:b/>
                <w:noProof/>
                <w:sz w:val="16"/>
                <w:szCs w:val="16"/>
              </w:rPr>
            </w:pPr>
            <w:r w:rsidRPr="009618E4">
              <w:rPr>
                <w:noProof/>
                <w:sz w:val="16"/>
              </w:rPr>
              <w:t>- au siège</w:t>
            </w:r>
          </w:p>
        </w:tc>
        <w:tc>
          <w:tcPr>
            <w:tcW w:w="664" w:type="pct"/>
            <w:shd w:val="clear" w:color="auto" w:fill="auto"/>
            <w:vAlign w:val="center"/>
          </w:tcPr>
          <w:p w:rsidR="00F26C3B" w:rsidRPr="009618E4" w:rsidRDefault="00F26C3B">
            <w:pPr>
              <w:pStyle w:val="Text1"/>
              <w:spacing w:beforeLines="20" w:before="48" w:afterLines="20" w:after="48"/>
              <w:ind w:left="0"/>
              <w:jc w:val="center"/>
              <w:rPr>
                <w:noProof/>
                <w:sz w:val="16"/>
                <w:szCs w:val="16"/>
              </w:rPr>
            </w:pP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2" w:type="pct"/>
            <w:shd w:val="clear" w:color="auto" w:fill="auto"/>
            <w:vAlign w:val="center"/>
          </w:tcPr>
          <w:p w:rsidR="00F26C3B" w:rsidRPr="009618E4" w:rsidRDefault="00F26C3B">
            <w:pPr>
              <w:spacing w:beforeLines="20" w:before="48" w:afterLines="20" w:after="48"/>
              <w:jc w:val="center"/>
              <w:rPr>
                <w:noProof/>
                <w:sz w:val="16"/>
                <w:szCs w:val="16"/>
              </w:rPr>
            </w:pPr>
          </w:p>
        </w:tc>
      </w:tr>
      <w:tr w:rsidR="00F26C3B" w:rsidRPr="009618E4">
        <w:trPr>
          <w:trHeight w:val="289"/>
        </w:trPr>
        <w:tc>
          <w:tcPr>
            <w:tcW w:w="839" w:type="pct"/>
            <w:vMerge/>
          </w:tcPr>
          <w:p w:rsidR="00F26C3B" w:rsidRPr="009618E4" w:rsidRDefault="00F26C3B">
            <w:pPr>
              <w:pStyle w:val="Text1"/>
              <w:spacing w:beforeLines="20" w:before="48" w:afterLines="20" w:after="48"/>
              <w:ind w:left="136"/>
              <w:jc w:val="left"/>
              <w:rPr>
                <w:b/>
                <w:noProof/>
                <w:sz w:val="16"/>
                <w:szCs w:val="16"/>
              </w:rPr>
            </w:pPr>
          </w:p>
        </w:tc>
        <w:tc>
          <w:tcPr>
            <w:tcW w:w="843" w:type="pct"/>
            <w:shd w:val="clear" w:color="auto" w:fill="auto"/>
            <w:vAlign w:val="center"/>
          </w:tcPr>
          <w:p w:rsidR="00F26C3B" w:rsidRPr="009618E4" w:rsidRDefault="00513FB2" w:rsidP="004D00FC">
            <w:pPr>
              <w:pStyle w:val="Text1"/>
              <w:spacing w:beforeLines="20" w:before="48" w:afterLines="20" w:after="48"/>
              <w:ind w:left="136"/>
              <w:jc w:val="left"/>
              <w:rPr>
                <w:b/>
                <w:noProof/>
                <w:sz w:val="16"/>
                <w:szCs w:val="16"/>
              </w:rPr>
            </w:pPr>
            <w:r w:rsidRPr="009618E4">
              <w:rPr>
                <w:noProof/>
                <w:sz w:val="16"/>
              </w:rPr>
              <w:t>- en délégation</w:t>
            </w:r>
          </w:p>
        </w:tc>
        <w:tc>
          <w:tcPr>
            <w:tcW w:w="664" w:type="pct"/>
            <w:shd w:val="clear" w:color="auto" w:fill="auto"/>
            <w:vAlign w:val="center"/>
          </w:tcPr>
          <w:p w:rsidR="00F26C3B" w:rsidRPr="009618E4" w:rsidRDefault="00F26C3B">
            <w:pPr>
              <w:pStyle w:val="Text1"/>
              <w:spacing w:beforeLines="20" w:before="48" w:afterLines="20" w:after="48"/>
              <w:ind w:left="0"/>
              <w:jc w:val="center"/>
              <w:rPr>
                <w:noProof/>
                <w:sz w:val="16"/>
                <w:szCs w:val="16"/>
              </w:rPr>
            </w:pP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4" w:type="pct"/>
            <w:shd w:val="clear" w:color="auto" w:fill="auto"/>
            <w:vAlign w:val="center"/>
          </w:tcPr>
          <w:p w:rsidR="00F26C3B" w:rsidRPr="009618E4" w:rsidRDefault="00F26C3B">
            <w:pPr>
              <w:spacing w:beforeLines="20" w:before="48" w:afterLines="20" w:after="48"/>
              <w:jc w:val="center"/>
              <w:rPr>
                <w:noProof/>
                <w:sz w:val="16"/>
                <w:szCs w:val="16"/>
              </w:rPr>
            </w:pPr>
          </w:p>
        </w:tc>
        <w:tc>
          <w:tcPr>
            <w:tcW w:w="662" w:type="pct"/>
            <w:shd w:val="clear" w:color="auto" w:fill="auto"/>
            <w:vAlign w:val="center"/>
          </w:tcPr>
          <w:p w:rsidR="00F26C3B" w:rsidRPr="009618E4" w:rsidRDefault="00F26C3B">
            <w:pPr>
              <w:spacing w:beforeLines="20" w:before="48" w:afterLines="20" w:after="48"/>
              <w:jc w:val="center"/>
              <w:rPr>
                <w:noProof/>
                <w:sz w:val="16"/>
                <w:szCs w:val="16"/>
              </w:rPr>
            </w:pPr>
          </w:p>
        </w:tc>
      </w:tr>
      <w:tr w:rsidR="00F26C3B" w:rsidRPr="009618E4">
        <w:trPr>
          <w:trHeight w:val="289"/>
        </w:trPr>
        <w:tc>
          <w:tcPr>
            <w:tcW w:w="1682" w:type="pct"/>
            <w:gridSpan w:val="2"/>
          </w:tcPr>
          <w:p w:rsidR="00F26C3B" w:rsidRPr="009618E4" w:rsidRDefault="00513FB2" w:rsidP="004D00FC">
            <w:pPr>
              <w:pStyle w:val="Text1"/>
              <w:spacing w:beforeLines="20" w:before="48" w:afterLines="20" w:after="48"/>
              <w:ind w:left="136"/>
              <w:jc w:val="left"/>
              <w:rPr>
                <w:noProof/>
                <w:sz w:val="16"/>
                <w:szCs w:val="16"/>
              </w:rPr>
            </w:pPr>
            <w:r w:rsidRPr="009618E4">
              <w:rPr>
                <w:noProof/>
                <w:sz w:val="16"/>
              </w:rPr>
              <w:t>Recherche</w:t>
            </w:r>
          </w:p>
        </w:tc>
        <w:tc>
          <w:tcPr>
            <w:tcW w:w="664" w:type="pct"/>
            <w:shd w:val="clear" w:color="auto" w:fill="auto"/>
            <w:vAlign w:val="center"/>
          </w:tcPr>
          <w:p w:rsidR="00F26C3B" w:rsidRPr="009618E4" w:rsidRDefault="00513FB2">
            <w:pPr>
              <w:spacing w:beforeLines="20" w:before="48" w:afterLines="20" w:after="48"/>
              <w:jc w:val="center"/>
              <w:rPr>
                <w:noProof/>
                <w:sz w:val="16"/>
                <w:szCs w:val="16"/>
              </w:rPr>
            </w:pPr>
            <w:r w:rsidRPr="0068119E">
              <w:rPr>
                <w:noProof/>
                <w:sz w:val="16"/>
              </w:rPr>
              <w:t>185</w:t>
            </w:r>
          </w:p>
        </w:tc>
        <w:tc>
          <w:tcPr>
            <w:tcW w:w="664" w:type="pct"/>
            <w:shd w:val="clear" w:color="auto" w:fill="auto"/>
            <w:vAlign w:val="center"/>
          </w:tcPr>
          <w:p w:rsidR="00F26C3B" w:rsidRPr="009618E4" w:rsidRDefault="00513FB2">
            <w:pPr>
              <w:spacing w:beforeLines="20" w:before="48" w:afterLines="20" w:after="48"/>
              <w:jc w:val="center"/>
              <w:rPr>
                <w:noProof/>
                <w:sz w:val="16"/>
                <w:szCs w:val="16"/>
              </w:rPr>
            </w:pPr>
            <w:r w:rsidRPr="0068119E">
              <w:rPr>
                <w:noProof/>
                <w:sz w:val="16"/>
              </w:rPr>
              <w:t>185</w:t>
            </w:r>
          </w:p>
        </w:tc>
        <w:tc>
          <w:tcPr>
            <w:tcW w:w="664" w:type="pct"/>
            <w:shd w:val="clear" w:color="auto" w:fill="auto"/>
            <w:vAlign w:val="center"/>
          </w:tcPr>
          <w:p w:rsidR="00F26C3B" w:rsidRPr="009618E4" w:rsidRDefault="00513FB2">
            <w:pPr>
              <w:spacing w:beforeLines="20" w:before="48" w:afterLines="20" w:after="48"/>
              <w:jc w:val="center"/>
              <w:rPr>
                <w:noProof/>
                <w:sz w:val="16"/>
                <w:szCs w:val="16"/>
              </w:rPr>
            </w:pPr>
            <w:r w:rsidRPr="0068119E">
              <w:rPr>
                <w:noProof/>
                <w:sz w:val="16"/>
              </w:rPr>
              <w:t>185</w:t>
            </w:r>
          </w:p>
        </w:tc>
        <w:tc>
          <w:tcPr>
            <w:tcW w:w="664" w:type="pct"/>
            <w:shd w:val="clear" w:color="auto" w:fill="auto"/>
            <w:vAlign w:val="center"/>
          </w:tcPr>
          <w:p w:rsidR="00F26C3B" w:rsidRPr="009618E4" w:rsidRDefault="00513FB2">
            <w:pPr>
              <w:spacing w:beforeLines="20" w:before="48" w:afterLines="20" w:after="48"/>
              <w:jc w:val="center"/>
              <w:rPr>
                <w:noProof/>
                <w:sz w:val="16"/>
                <w:szCs w:val="16"/>
              </w:rPr>
            </w:pPr>
            <w:r w:rsidRPr="0068119E">
              <w:rPr>
                <w:noProof/>
                <w:sz w:val="16"/>
              </w:rPr>
              <w:t>185</w:t>
            </w:r>
          </w:p>
        </w:tc>
        <w:tc>
          <w:tcPr>
            <w:tcW w:w="662" w:type="pct"/>
            <w:shd w:val="clear" w:color="auto" w:fill="auto"/>
            <w:vAlign w:val="center"/>
          </w:tcPr>
          <w:p w:rsidR="00F26C3B" w:rsidRPr="009618E4" w:rsidRDefault="00513FB2">
            <w:pPr>
              <w:spacing w:beforeLines="20" w:before="48" w:afterLines="20" w:after="48"/>
              <w:jc w:val="center"/>
              <w:rPr>
                <w:noProof/>
                <w:sz w:val="16"/>
                <w:szCs w:val="16"/>
              </w:rPr>
            </w:pPr>
            <w:r w:rsidRPr="0068119E">
              <w:rPr>
                <w:noProof/>
                <w:sz w:val="16"/>
              </w:rPr>
              <w:t>185</w:t>
            </w:r>
          </w:p>
        </w:tc>
      </w:tr>
      <w:tr w:rsidR="00F26C3B" w:rsidRPr="009618E4">
        <w:trPr>
          <w:trHeight w:val="289"/>
        </w:trPr>
        <w:tc>
          <w:tcPr>
            <w:tcW w:w="1682" w:type="pct"/>
            <w:gridSpan w:val="2"/>
            <w:tcBorders>
              <w:bottom w:val="double" w:sz="4" w:space="0" w:color="auto"/>
            </w:tcBorders>
          </w:tcPr>
          <w:p w:rsidR="00F26C3B" w:rsidRPr="009618E4" w:rsidRDefault="00513FB2">
            <w:pPr>
              <w:pStyle w:val="Text1"/>
              <w:spacing w:beforeLines="20" w:before="48" w:afterLines="20" w:after="48"/>
              <w:ind w:left="134"/>
              <w:jc w:val="left"/>
              <w:rPr>
                <w:noProof/>
                <w:sz w:val="16"/>
                <w:szCs w:val="16"/>
              </w:rPr>
            </w:pPr>
            <w:r w:rsidRPr="009618E4">
              <w:rPr>
                <w:noProof/>
                <w:sz w:val="16"/>
              </w:rPr>
              <w:t>Autre (préciser)</w:t>
            </w:r>
          </w:p>
        </w:tc>
        <w:tc>
          <w:tcPr>
            <w:tcW w:w="664" w:type="pct"/>
            <w:tcBorders>
              <w:bottom w:val="double" w:sz="4" w:space="0" w:color="auto"/>
            </w:tcBorders>
            <w:shd w:val="clear" w:color="auto" w:fill="auto"/>
            <w:vAlign w:val="center"/>
          </w:tcPr>
          <w:p w:rsidR="00F26C3B" w:rsidRPr="009618E4" w:rsidRDefault="00F26C3B">
            <w:pPr>
              <w:spacing w:beforeLines="20" w:before="48" w:afterLines="20" w:after="48"/>
              <w:jc w:val="center"/>
              <w:rPr>
                <w:noProof/>
                <w:sz w:val="16"/>
                <w:szCs w:val="16"/>
              </w:rPr>
            </w:pPr>
          </w:p>
        </w:tc>
        <w:tc>
          <w:tcPr>
            <w:tcW w:w="664" w:type="pct"/>
            <w:tcBorders>
              <w:bottom w:val="double" w:sz="4" w:space="0" w:color="auto"/>
            </w:tcBorders>
            <w:shd w:val="clear" w:color="auto" w:fill="auto"/>
            <w:vAlign w:val="center"/>
          </w:tcPr>
          <w:p w:rsidR="00F26C3B" w:rsidRPr="009618E4" w:rsidRDefault="00F26C3B">
            <w:pPr>
              <w:spacing w:beforeLines="20" w:before="48" w:afterLines="20" w:after="48"/>
              <w:jc w:val="center"/>
              <w:rPr>
                <w:noProof/>
                <w:sz w:val="16"/>
                <w:szCs w:val="16"/>
              </w:rPr>
            </w:pPr>
          </w:p>
        </w:tc>
        <w:tc>
          <w:tcPr>
            <w:tcW w:w="664" w:type="pct"/>
            <w:tcBorders>
              <w:bottom w:val="double" w:sz="4" w:space="0" w:color="auto"/>
            </w:tcBorders>
            <w:shd w:val="clear" w:color="auto" w:fill="auto"/>
            <w:vAlign w:val="center"/>
          </w:tcPr>
          <w:p w:rsidR="00F26C3B" w:rsidRPr="009618E4" w:rsidRDefault="00F26C3B">
            <w:pPr>
              <w:spacing w:beforeLines="20" w:before="48" w:afterLines="20" w:after="48"/>
              <w:jc w:val="center"/>
              <w:rPr>
                <w:noProof/>
                <w:sz w:val="16"/>
                <w:szCs w:val="16"/>
              </w:rPr>
            </w:pPr>
          </w:p>
        </w:tc>
        <w:tc>
          <w:tcPr>
            <w:tcW w:w="664" w:type="pct"/>
            <w:tcBorders>
              <w:bottom w:val="double" w:sz="4" w:space="0" w:color="auto"/>
            </w:tcBorders>
            <w:shd w:val="clear" w:color="auto" w:fill="auto"/>
            <w:vAlign w:val="center"/>
          </w:tcPr>
          <w:p w:rsidR="00F26C3B" w:rsidRPr="009618E4" w:rsidRDefault="00F26C3B">
            <w:pPr>
              <w:spacing w:beforeLines="20" w:before="48" w:afterLines="20" w:after="48"/>
              <w:jc w:val="center"/>
              <w:rPr>
                <w:noProof/>
                <w:sz w:val="16"/>
                <w:szCs w:val="16"/>
              </w:rPr>
            </w:pPr>
          </w:p>
        </w:tc>
        <w:tc>
          <w:tcPr>
            <w:tcW w:w="662" w:type="pct"/>
            <w:tcBorders>
              <w:bottom w:val="double" w:sz="4" w:space="0" w:color="auto"/>
            </w:tcBorders>
            <w:shd w:val="clear" w:color="auto" w:fill="auto"/>
            <w:vAlign w:val="center"/>
          </w:tcPr>
          <w:p w:rsidR="00F26C3B" w:rsidRPr="009618E4" w:rsidRDefault="00F26C3B">
            <w:pPr>
              <w:spacing w:beforeLines="20" w:before="48" w:afterLines="20" w:after="48"/>
              <w:jc w:val="center"/>
              <w:rPr>
                <w:noProof/>
                <w:sz w:val="16"/>
                <w:szCs w:val="16"/>
              </w:rPr>
            </w:pPr>
          </w:p>
        </w:tc>
      </w:tr>
      <w:tr w:rsidR="00F26C3B" w:rsidRPr="009618E4">
        <w:trPr>
          <w:trHeight w:val="289"/>
        </w:trPr>
        <w:tc>
          <w:tcPr>
            <w:tcW w:w="1682" w:type="pct"/>
            <w:gridSpan w:val="2"/>
            <w:tcBorders>
              <w:top w:val="double" w:sz="4" w:space="0" w:color="auto"/>
            </w:tcBorders>
          </w:tcPr>
          <w:p w:rsidR="00F26C3B" w:rsidRPr="009618E4" w:rsidRDefault="00513FB2">
            <w:pPr>
              <w:pStyle w:val="Text1"/>
              <w:spacing w:beforeLines="20" w:before="48" w:afterLines="20" w:after="48"/>
              <w:ind w:left="136"/>
              <w:jc w:val="left"/>
              <w:rPr>
                <w:noProof/>
                <w:sz w:val="16"/>
                <w:szCs w:val="16"/>
              </w:rPr>
            </w:pPr>
            <w:r w:rsidRPr="009618E4">
              <w:rPr>
                <w:b/>
                <w:noProof/>
                <w:sz w:val="16"/>
              </w:rPr>
              <w:t>TOTAL</w:t>
            </w:r>
          </w:p>
        </w:tc>
        <w:tc>
          <w:tcPr>
            <w:tcW w:w="664" w:type="pct"/>
            <w:tcBorders>
              <w:top w:val="double" w:sz="4" w:space="0" w:color="auto"/>
            </w:tcBorders>
            <w:shd w:val="clear" w:color="auto" w:fill="auto"/>
            <w:vAlign w:val="center"/>
          </w:tcPr>
          <w:p w:rsidR="00F26C3B" w:rsidRPr="009618E4" w:rsidRDefault="00513FB2">
            <w:pPr>
              <w:spacing w:beforeLines="20" w:before="48" w:afterLines="20" w:after="48"/>
              <w:jc w:val="center"/>
              <w:rPr>
                <w:b/>
                <w:noProof/>
                <w:sz w:val="16"/>
                <w:szCs w:val="16"/>
              </w:rPr>
            </w:pPr>
            <w:r w:rsidRPr="0068119E">
              <w:rPr>
                <w:b/>
                <w:noProof/>
                <w:sz w:val="16"/>
              </w:rPr>
              <w:t>741</w:t>
            </w:r>
          </w:p>
        </w:tc>
        <w:tc>
          <w:tcPr>
            <w:tcW w:w="664" w:type="pct"/>
            <w:tcBorders>
              <w:top w:val="double" w:sz="4" w:space="0" w:color="auto"/>
            </w:tcBorders>
            <w:shd w:val="clear" w:color="auto" w:fill="auto"/>
            <w:vAlign w:val="center"/>
          </w:tcPr>
          <w:p w:rsidR="00F26C3B" w:rsidRPr="009618E4" w:rsidRDefault="00513FB2">
            <w:pPr>
              <w:spacing w:beforeLines="20" w:before="48" w:afterLines="20" w:after="48"/>
              <w:jc w:val="center"/>
              <w:rPr>
                <w:b/>
                <w:noProof/>
                <w:sz w:val="16"/>
                <w:szCs w:val="16"/>
              </w:rPr>
            </w:pPr>
            <w:r w:rsidRPr="0068119E">
              <w:rPr>
                <w:b/>
                <w:noProof/>
                <w:sz w:val="16"/>
              </w:rPr>
              <w:t>741</w:t>
            </w:r>
          </w:p>
        </w:tc>
        <w:tc>
          <w:tcPr>
            <w:tcW w:w="664" w:type="pct"/>
            <w:tcBorders>
              <w:top w:val="double" w:sz="4" w:space="0" w:color="auto"/>
            </w:tcBorders>
            <w:shd w:val="clear" w:color="auto" w:fill="auto"/>
            <w:vAlign w:val="center"/>
          </w:tcPr>
          <w:p w:rsidR="00F26C3B" w:rsidRPr="009618E4" w:rsidRDefault="00513FB2">
            <w:pPr>
              <w:spacing w:beforeLines="20" w:before="48" w:afterLines="20" w:after="48"/>
              <w:jc w:val="center"/>
              <w:rPr>
                <w:b/>
                <w:noProof/>
                <w:sz w:val="16"/>
                <w:szCs w:val="16"/>
              </w:rPr>
            </w:pPr>
            <w:r w:rsidRPr="0068119E">
              <w:rPr>
                <w:b/>
                <w:noProof/>
                <w:sz w:val="16"/>
              </w:rPr>
              <w:t>741</w:t>
            </w:r>
          </w:p>
        </w:tc>
        <w:tc>
          <w:tcPr>
            <w:tcW w:w="664" w:type="pct"/>
            <w:tcBorders>
              <w:top w:val="double" w:sz="4" w:space="0" w:color="auto"/>
            </w:tcBorders>
            <w:shd w:val="clear" w:color="auto" w:fill="auto"/>
            <w:vAlign w:val="center"/>
          </w:tcPr>
          <w:p w:rsidR="00F26C3B" w:rsidRPr="009618E4" w:rsidRDefault="00513FB2">
            <w:pPr>
              <w:spacing w:beforeLines="20" w:before="48" w:afterLines="20" w:after="48"/>
              <w:jc w:val="center"/>
              <w:rPr>
                <w:b/>
                <w:noProof/>
                <w:sz w:val="16"/>
                <w:szCs w:val="16"/>
              </w:rPr>
            </w:pPr>
            <w:r w:rsidRPr="0068119E">
              <w:rPr>
                <w:b/>
                <w:noProof/>
                <w:sz w:val="16"/>
              </w:rPr>
              <w:t>741</w:t>
            </w:r>
          </w:p>
        </w:tc>
        <w:tc>
          <w:tcPr>
            <w:tcW w:w="662" w:type="pct"/>
            <w:tcBorders>
              <w:top w:val="double" w:sz="4" w:space="0" w:color="auto"/>
            </w:tcBorders>
            <w:shd w:val="clear" w:color="auto" w:fill="auto"/>
            <w:vAlign w:val="center"/>
          </w:tcPr>
          <w:p w:rsidR="00F26C3B" w:rsidRPr="009618E4" w:rsidRDefault="00513FB2">
            <w:pPr>
              <w:spacing w:beforeLines="20" w:before="48" w:afterLines="20" w:after="48"/>
              <w:jc w:val="center"/>
              <w:rPr>
                <w:b/>
                <w:noProof/>
                <w:sz w:val="16"/>
                <w:szCs w:val="16"/>
              </w:rPr>
            </w:pPr>
            <w:r w:rsidRPr="0068119E">
              <w:rPr>
                <w:b/>
                <w:noProof/>
                <w:sz w:val="16"/>
              </w:rPr>
              <w:t>741</w:t>
            </w:r>
          </w:p>
        </w:tc>
      </w:tr>
    </w:tbl>
    <w:p w:rsidR="00F26C3B" w:rsidRPr="009618E4" w:rsidRDefault="00513FB2">
      <w:pPr>
        <w:rPr>
          <w:noProof/>
          <w:sz w:val="18"/>
        </w:rPr>
      </w:pPr>
      <w:r w:rsidRPr="009618E4">
        <w:rPr>
          <w:noProof/>
          <w:sz w:val="18"/>
        </w:rPr>
        <w:t>Ces chiffres n</w:t>
      </w:r>
      <w:r w:rsidR="00266719" w:rsidRPr="009618E4">
        <w:rPr>
          <w:noProof/>
          <w:sz w:val="18"/>
        </w:rPr>
        <w:t>’</w:t>
      </w:r>
      <w:r w:rsidRPr="009618E4">
        <w:rPr>
          <w:noProof/>
          <w:sz w:val="18"/>
        </w:rPr>
        <w:t xml:space="preserve">incluent que le personnel autorisé en place en </w:t>
      </w:r>
      <w:r w:rsidRPr="0068119E">
        <w:rPr>
          <w:noProof/>
          <w:sz w:val="18"/>
        </w:rPr>
        <w:t>2020</w:t>
      </w:r>
      <w:r w:rsidRPr="009618E4">
        <w:rPr>
          <w:noProof/>
          <w:sz w:val="18"/>
        </w:rPr>
        <w:t xml:space="preserve"> dans les directions générales et n</w:t>
      </w:r>
      <w:r w:rsidR="00266719" w:rsidRPr="009618E4">
        <w:rPr>
          <w:noProof/>
          <w:sz w:val="18"/>
        </w:rPr>
        <w:t>’</w:t>
      </w:r>
      <w:r w:rsidRPr="009618E4">
        <w:rPr>
          <w:noProof/>
          <w:sz w:val="18"/>
        </w:rPr>
        <w:t>incluent pas le personnel supplémentaire payé par les contributions des futurs pays associés ni le personnel nécessaire dans le cas où la Commission décide, si elle le juge nécessaire, de déléguer la réalisation de certaines parties du programme conformément à l</w:t>
      </w:r>
      <w:r w:rsidR="00266719" w:rsidRPr="009618E4">
        <w:rPr>
          <w:noProof/>
          <w:sz w:val="18"/>
        </w:rPr>
        <w:t>’</w:t>
      </w:r>
      <w:r w:rsidRPr="009618E4">
        <w:rPr>
          <w:noProof/>
          <w:sz w:val="18"/>
        </w:rPr>
        <w:t>article </w:t>
      </w:r>
      <w:r w:rsidRPr="0068119E">
        <w:rPr>
          <w:noProof/>
          <w:sz w:val="18"/>
        </w:rPr>
        <w:t>10</w:t>
      </w:r>
      <w:r w:rsidRPr="009618E4">
        <w:rPr>
          <w:noProof/>
          <w:sz w:val="18"/>
        </w:rPr>
        <w:t xml:space="preserve"> du traité Euratom.</w:t>
      </w:r>
    </w:p>
    <w:p w:rsidR="00F26C3B" w:rsidRPr="009618E4" w:rsidRDefault="00513FB2">
      <w:pPr>
        <w:rPr>
          <w:noProof/>
          <w:sz w:val="18"/>
        </w:rPr>
      </w:pPr>
      <w:r w:rsidRPr="009618E4">
        <w:rPr>
          <w:noProof/>
          <w:sz w:val="18"/>
        </w:rPr>
        <w:t>Les besoins en ressources humaines seront couverts par les effectifs de la DG déjà affectés à la gestion de l</w:t>
      </w:r>
      <w:r w:rsidR="00266719" w:rsidRPr="009618E4">
        <w:rPr>
          <w:noProof/>
          <w:sz w:val="18"/>
        </w:rPr>
        <w:t>’</w:t>
      </w:r>
      <w:r w:rsidRPr="009618E4">
        <w:rPr>
          <w:noProof/>
          <w:sz w:val="18"/>
        </w:rPr>
        <w:t>action et/ou redéployés en interne au sein de la DG, complétés le cas échéant par toute dotation additionnelle qui pourrait être allouée à la DG gestionnaire dans le cadre de la procédure d</w:t>
      </w:r>
      <w:r w:rsidR="00266719" w:rsidRPr="009618E4">
        <w:rPr>
          <w:noProof/>
          <w:sz w:val="18"/>
        </w:rPr>
        <w:t>’</w:t>
      </w:r>
      <w:r w:rsidRPr="009618E4">
        <w:rPr>
          <w:noProof/>
          <w:sz w:val="18"/>
        </w:rPr>
        <w:t>allocation annuelle et compte tenu des contraintes budgétaires existantes.</w:t>
      </w:r>
    </w:p>
    <w:p w:rsidR="00F26C3B" w:rsidRPr="009618E4" w:rsidRDefault="00513FB2">
      <w:pPr>
        <w:rPr>
          <w:noProof/>
          <w:sz w:val="20"/>
        </w:rPr>
      </w:pPr>
      <w:r w:rsidRPr="009618E4">
        <w:rPr>
          <w:noProof/>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F26C3B" w:rsidRPr="009618E4">
        <w:tc>
          <w:tcPr>
            <w:tcW w:w="3240" w:type="dxa"/>
          </w:tcPr>
          <w:p w:rsidR="00F26C3B" w:rsidRPr="009618E4" w:rsidRDefault="00513FB2">
            <w:pPr>
              <w:rPr>
                <w:noProof/>
                <w:sz w:val="20"/>
              </w:rPr>
            </w:pPr>
            <w:r w:rsidRPr="009618E4">
              <w:rPr>
                <w:noProof/>
                <w:sz w:val="20"/>
              </w:rPr>
              <w:t>Fonctionnaires et agents temporaires</w:t>
            </w:r>
          </w:p>
        </w:tc>
        <w:tc>
          <w:tcPr>
            <w:tcW w:w="7392" w:type="dxa"/>
            <w:vMerge w:val="restart"/>
          </w:tcPr>
          <w:p w:rsidR="00F26C3B" w:rsidRPr="009618E4" w:rsidRDefault="00513FB2">
            <w:pPr>
              <w:rPr>
                <w:noProof/>
                <w:sz w:val="20"/>
              </w:rPr>
            </w:pPr>
            <w:r w:rsidRPr="009618E4">
              <w:rPr>
                <w:noProof/>
                <w:sz w:val="20"/>
              </w:rPr>
              <w:t>Tâches découlant de la gestion et de la mise en œuvre du programme de recherche et de formation dans le domaine nucléaire, en lien notamment avec la gestion des déchets nucléaires, la sûreté nucléaire et les garanties nucléaires, la sécurité et la fusion nucléaire.</w:t>
            </w:r>
          </w:p>
        </w:tc>
      </w:tr>
      <w:tr w:rsidR="00F26C3B" w:rsidRPr="009618E4">
        <w:tc>
          <w:tcPr>
            <w:tcW w:w="3240" w:type="dxa"/>
          </w:tcPr>
          <w:p w:rsidR="00F26C3B" w:rsidRPr="009618E4" w:rsidRDefault="00513FB2">
            <w:pPr>
              <w:spacing w:before="60" w:after="60"/>
              <w:rPr>
                <w:noProof/>
                <w:sz w:val="20"/>
              </w:rPr>
            </w:pPr>
            <w:r w:rsidRPr="009618E4">
              <w:rPr>
                <w:noProof/>
                <w:sz w:val="20"/>
              </w:rPr>
              <w:t>Personnel externe</w:t>
            </w:r>
          </w:p>
        </w:tc>
        <w:tc>
          <w:tcPr>
            <w:tcW w:w="7392" w:type="dxa"/>
            <w:vMerge/>
          </w:tcPr>
          <w:p w:rsidR="00F26C3B" w:rsidRPr="009618E4" w:rsidRDefault="00F26C3B">
            <w:pPr>
              <w:rPr>
                <w:noProof/>
                <w:sz w:val="20"/>
              </w:rPr>
            </w:pPr>
          </w:p>
        </w:tc>
      </w:tr>
    </w:tbl>
    <w:p w:rsidR="00F26C3B" w:rsidRPr="009618E4" w:rsidRDefault="00F26C3B">
      <w:pPr>
        <w:rPr>
          <w:noProof/>
        </w:rPr>
        <w:sectPr w:rsidR="00F26C3B" w:rsidRPr="009618E4" w:rsidSect="00CE7948">
          <w:headerReference w:type="default" r:id="rId33"/>
          <w:footerReference w:type="default" r:id="rId34"/>
          <w:headerReference w:type="first" r:id="rId35"/>
          <w:footerReference w:type="first" r:id="rId36"/>
          <w:pgSz w:w="11907" w:h="16840"/>
          <w:pgMar w:top="1134" w:right="1418" w:bottom="1134" w:left="1418" w:header="709" w:footer="709" w:gutter="0"/>
          <w:cols w:space="708"/>
          <w:docGrid w:linePitch="360"/>
        </w:sectPr>
      </w:pPr>
    </w:p>
    <w:p w:rsidR="00F26C3B" w:rsidRPr="009618E4" w:rsidRDefault="00513FB2">
      <w:pPr>
        <w:pStyle w:val="ManualHeading3"/>
        <w:rPr>
          <w:bCs/>
          <w:noProof/>
          <w:szCs w:val="24"/>
        </w:rPr>
      </w:pPr>
      <w:r w:rsidRPr="0068119E">
        <w:t>3</w:t>
      </w:r>
      <w:r w:rsidRPr="009618E4">
        <w:t>.</w:t>
      </w:r>
      <w:r w:rsidRPr="0068119E">
        <w:t>2</w:t>
      </w:r>
      <w:r w:rsidRPr="009618E4">
        <w:t>.</w:t>
      </w:r>
      <w:r w:rsidRPr="0068119E">
        <w:t>3</w:t>
      </w:r>
      <w:r w:rsidRPr="009618E4">
        <w:t>.</w:t>
      </w:r>
      <w:r w:rsidRPr="009618E4">
        <w:tab/>
        <w:t>Participation de tiers au financement</w:t>
      </w:r>
    </w:p>
    <w:p w:rsidR="00F26C3B" w:rsidRPr="009618E4" w:rsidRDefault="00513FB2">
      <w:pPr>
        <w:pStyle w:val="Text1"/>
        <w:rPr>
          <w:noProof/>
        </w:rPr>
      </w:pPr>
      <w:r w:rsidRPr="009618E4">
        <w:t>La proposition/l</w:t>
      </w:r>
      <w:r w:rsidR="00266719" w:rsidRPr="009618E4">
        <w:t>’</w:t>
      </w:r>
      <w:r w:rsidRPr="009618E4">
        <w:t>initiative:</w:t>
      </w:r>
    </w:p>
    <w:p w:rsidR="00F26C3B" w:rsidRPr="009618E4" w:rsidRDefault="00513FB2">
      <w:pPr>
        <w:pStyle w:val="ListDash1"/>
        <w:rPr>
          <w:noProof/>
        </w:rPr>
      </w:pPr>
      <w:r w:rsidRPr="009618E4">
        <w:rPr>
          <w:noProof/>
        </w:rPr>
        <w:sym w:font="Wingdings" w:char="F0A8"/>
      </w:r>
      <w:r w:rsidRPr="009618E4">
        <w:tab/>
        <w:t>ne prévoit pas de cofinancement par des tierces parties</w:t>
      </w:r>
    </w:p>
    <w:p w:rsidR="00F26C3B" w:rsidRPr="009618E4" w:rsidRDefault="00513FB2">
      <w:pPr>
        <w:pStyle w:val="ListDash1"/>
        <w:rPr>
          <w:noProof/>
        </w:rPr>
      </w:pPr>
      <w:r w:rsidRPr="009618E4">
        <w:t>X</w:t>
      </w:r>
      <w:r w:rsidRPr="009618E4">
        <w:tab/>
        <w:t>prévoit le cofinancement par des tierces parties estimé ci</w:t>
      </w:r>
      <w:r w:rsidRPr="009618E4">
        <w:noBreakHyphen/>
        <w:t>après:</w:t>
      </w:r>
    </w:p>
    <w:p w:rsidR="00F26C3B" w:rsidRPr="009618E4" w:rsidRDefault="00513FB2">
      <w:pPr>
        <w:jc w:val="right"/>
        <w:rPr>
          <w:noProof/>
          <w:sz w:val="20"/>
        </w:rPr>
      </w:pPr>
      <w:r w:rsidRPr="009618E4">
        <w:rPr>
          <w:noProof/>
          <w:sz w:val="20"/>
        </w:rPr>
        <w:t xml:space="preserve">Crédits en Mio EUR (à la </w:t>
      </w:r>
      <w:r w:rsidRPr="0068119E">
        <w:rPr>
          <w:noProof/>
          <w:sz w:val="20"/>
        </w:rPr>
        <w:t>3</w:t>
      </w:r>
      <w:r w:rsidRPr="009618E4">
        <w:rPr>
          <w:noProof/>
          <w:sz w:val="20"/>
          <w:vertAlign w:val="superscript"/>
        </w:rPr>
        <w:t>e</w:t>
      </w:r>
      <w:r w:rsidRPr="009618E4">
        <w:rPr>
          <w:noProof/>
          <w:sz w:val="20"/>
        </w:rPr>
        <w:t> décimale)</w:t>
      </w:r>
    </w:p>
    <w:tbl>
      <w:tblPr>
        <w:tblW w:w="83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1158"/>
      </w:tblGrid>
      <w:tr w:rsidR="00F26C3B" w:rsidRPr="009618E4">
        <w:trPr>
          <w:cantSplit/>
          <w:jc w:val="center"/>
        </w:trPr>
        <w:tc>
          <w:tcPr>
            <w:tcW w:w="2340" w:type="dxa"/>
            <w:vAlign w:val="center"/>
          </w:tcPr>
          <w:p w:rsidR="00F26C3B" w:rsidRPr="009618E4" w:rsidRDefault="00513FB2">
            <w:pPr>
              <w:spacing w:before="60" w:after="60"/>
              <w:jc w:val="center"/>
              <w:rPr>
                <w:b/>
                <w:noProof/>
                <w:sz w:val="20"/>
              </w:rPr>
            </w:pPr>
            <w:r w:rsidRPr="009618E4">
              <w:rPr>
                <w:b/>
                <w:noProof/>
                <w:sz w:val="20"/>
              </w:rPr>
              <w:t>Années</w:t>
            </w:r>
          </w:p>
        </w:tc>
        <w:tc>
          <w:tcPr>
            <w:tcW w:w="964" w:type="dxa"/>
            <w:vAlign w:val="center"/>
          </w:tcPr>
          <w:p w:rsidR="00F26C3B" w:rsidRPr="009618E4" w:rsidRDefault="00513FB2">
            <w:pPr>
              <w:jc w:val="center"/>
              <w:rPr>
                <w:noProof/>
                <w:sz w:val="20"/>
              </w:rPr>
            </w:pPr>
            <w:r w:rsidRPr="0068119E">
              <w:rPr>
                <w:b/>
                <w:noProof/>
                <w:sz w:val="20"/>
              </w:rPr>
              <w:t>2021</w:t>
            </w:r>
          </w:p>
        </w:tc>
        <w:tc>
          <w:tcPr>
            <w:tcW w:w="964" w:type="dxa"/>
            <w:vAlign w:val="center"/>
          </w:tcPr>
          <w:p w:rsidR="00F26C3B" w:rsidRPr="009618E4" w:rsidRDefault="00513FB2">
            <w:pPr>
              <w:jc w:val="center"/>
              <w:rPr>
                <w:b/>
                <w:noProof/>
                <w:sz w:val="20"/>
              </w:rPr>
            </w:pPr>
            <w:r w:rsidRPr="0068119E">
              <w:rPr>
                <w:b/>
                <w:noProof/>
                <w:sz w:val="20"/>
              </w:rPr>
              <w:t>2022</w:t>
            </w:r>
          </w:p>
        </w:tc>
        <w:tc>
          <w:tcPr>
            <w:tcW w:w="964" w:type="dxa"/>
            <w:vAlign w:val="center"/>
          </w:tcPr>
          <w:p w:rsidR="00F26C3B" w:rsidRPr="009618E4" w:rsidRDefault="00513FB2">
            <w:pPr>
              <w:jc w:val="center"/>
              <w:rPr>
                <w:b/>
                <w:noProof/>
                <w:sz w:val="20"/>
              </w:rPr>
            </w:pPr>
            <w:r w:rsidRPr="0068119E">
              <w:rPr>
                <w:b/>
                <w:noProof/>
                <w:sz w:val="20"/>
              </w:rPr>
              <w:t>2023</w:t>
            </w:r>
          </w:p>
        </w:tc>
        <w:tc>
          <w:tcPr>
            <w:tcW w:w="964" w:type="dxa"/>
            <w:vAlign w:val="center"/>
          </w:tcPr>
          <w:p w:rsidR="00F26C3B" w:rsidRPr="009618E4" w:rsidRDefault="00513FB2">
            <w:pPr>
              <w:jc w:val="center"/>
              <w:rPr>
                <w:b/>
                <w:noProof/>
                <w:sz w:val="20"/>
              </w:rPr>
            </w:pPr>
            <w:r w:rsidRPr="0068119E">
              <w:rPr>
                <w:b/>
                <w:noProof/>
                <w:sz w:val="20"/>
              </w:rPr>
              <w:t>2024</w:t>
            </w:r>
          </w:p>
        </w:tc>
        <w:tc>
          <w:tcPr>
            <w:tcW w:w="964" w:type="dxa"/>
            <w:vAlign w:val="center"/>
          </w:tcPr>
          <w:p w:rsidR="00F26C3B" w:rsidRPr="009618E4" w:rsidRDefault="00513FB2">
            <w:pPr>
              <w:jc w:val="center"/>
              <w:rPr>
                <w:b/>
                <w:noProof/>
                <w:sz w:val="20"/>
              </w:rPr>
            </w:pPr>
            <w:r w:rsidRPr="0068119E">
              <w:rPr>
                <w:b/>
                <w:noProof/>
                <w:sz w:val="20"/>
              </w:rPr>
              <w:t>2025</w:t>
            </w:r>
          </w:p>
        </w:tc>
        <w:tc>
          <w:tcPr>
            <w:tcW w:w="1158" w:type="dxa"/>
            <w:vAlign w:val="center"/>
          </w:tcPr>
          <w:p w:rsidR="00F26C3B" w:rsidRPr="009618E4" w:rsidRDefault="00513FB2">
            <w:pPr>
              <w:spacing w:before="60" w:after="60"/>
              <w:jc w:val="center"/>
              <w:rPr>
                <w:b/>
                <w:noProof/>
                <w:sz w:val="20"/>
              </w:rPr>
            </w:pPr>
            <w:r w:rsidRPr="009618E4">
              <w:rPr>
                <w:b/>
                <w:noProof/>
                <w:sz w:val="20"/>
              </w:rPr>
              <w:t>TOTAL</w:t>
            </w:r>
          </w:p>
        </w:tc>
      </w:tr>
      <w:tr w:rsidR="00F26C3B" w:rsidRPr="009618E4">
        <w:trPr>
          <w:cantSplit/>
          <w:jc w:val="center"/>
        </w:trPr>
        <w:tc>
          <w:tcPr>
            <w:tcW w:w="2340" w:type="dxa"/>
          </w:tcPr>
          <w:p w:rsidR="00F26C3B" w:rsidRPr="009618E4" w:rsidRDefault="00513FB2" w:rsidP="004D00FC">
            <w:pPr>
              <w:rPr>
                <w:noProof/>
              </w:rPr>
            </w:pPr>
            <w:r w:rsidRPr="009618E4">
              <w:rPr>
                <w:noProof/>
                <w:sz w:val="20"/>
              </w:rPr>
              <w:t>Préciser l</w:t>
            </w:r>
            <w:r w:rsidR="00266719" w:rsidRPr="009618E4">
              <w:rPr>
                <w:noProof/>
                <w:sz w:val="20"/>
              </w:rPr>
              <w:t>’</w:t>
            </w:r>
            <w:r w:rsidRPr="009618E4">
              <w:rPr>
                <w:noProof/>
                <w:sz w:val="20"/>
              </w:rPr>
              <w:t>organisme de cofinancement</w:t>
            </w:r>
          </w:p>
        </w:tc>
        <w:tc>
          <w:tcPr>
            <w:tcW w:w="964" w:type="dxa"/>
            <w:vAlign w:val="center"/>
          </w:tcPr>
          <w:p w:rsidR="00F26C3B" w:rsidRPr="009618E4" w:rsidRDefault="00F26C3B">
            <w:pPr>
              <w:spacing w:before="60" w:after="60"/>
              <w:jc w:val="center"/>
              <w:rPr>
                <w:noProof/>
                <w:sz w:val="20"/>
              </w:rPr>
            </w:pPr>
          </w:p>
        </w:tc>
        <w:tc>
          <w:tcPr>
            <w:tcW w:w="964" w:type="dxa"/>
            <w:vAlign w:val="center"/>
          </w:tcPr>
          <w:p w:rsidR="00F26C3B" w:rsidRPr="009618E4" w:rsidRDefault="00F26C3B">
            <w:pPr>
              <w:spacing w:before="60" w:after="60"/>
              <w:jc w:val="center"/>
              <w:rPr>
                <w:noProof/>
                <w:sz w:val="20"/>
              </w:rPr>
            </w:pPr>
          </w:p>
        </w:tc>
        <w:tc>
          <w:tcPr>
            <w:tcW w:w="964" w:type="dxa"/>
            <w:vAlign w:val="center"/>
          </w:tcPr>
          <w:p w:rsidR="00F26C3B" w:rsidRPr="009618E4" w:rsidRDefault="00F26C3B">
            <w:pPr>
              <w:spacing w:before="60" w:after="60"/>
              <w:jc w:val="center"/>
              <w:rPr>
                <w:noProof/>
                <w:sz w:val="20"/>
              </w:rPr>
            </w:pPr>
          </w:p>
        </w:tc>
        <w:tc>
          <w:tcPr>
            <w:tcW w:w="964" w:type="dxa"/>
            <w:vAlign w:val="center"/>
          </w:tcPr>
          <w:p w:rsidR="00F26C3B" w:rsidRPr="009618E4" w:rsidRDefault="00F26C3B">
            <w:pPr>
              <w:spacing w:before="60" w:after="60"/>
              <w:jc w:val="center"/>
              <w:rPr>
                <w:noProof/>
                <w:sz w:val="20"/>
              </w:rPr>
            </w:pPr>
          </w:p>
        </w:tc>
        <w:tc>
          <w:tcPr>
            <w:tcW w:w="964" w:type="dxa"/>
            <w:vAlign w:val="center"/>
          </w:tcPr>
          <w:p w:rsidR="00F26C3B" w:rsidRPr="009618E4" w:rsidRDefault="00F26C3B">
            <w:pPr>
              <w:spacing w:before="60" w:after="60"/>
              <w:jc w:val="center"/>
              <w:rPr>
                <w:noProof/>
                <w:sz w:val="20"/>
              </w:rPr>
            </w:pPr>
          </w:p>
        </w:tc>
        <w:tc>
          <w:tcPr>
            <w:tcW w:w="1158" w:type="dxa"/>
            <w:vAlign w:val="center"/>
          </w:tcPr>
          <w:p w:rsidR="00F26C3B" w:rsidRPr="009618E4" w:rsidRDefault="00F26C3B">
            <w:pPr>
              <w:spacing w:before="60" w:after="60"/>
              <w:jc w:val="center"/>
              <w:rPr>
                <w:noProof/>
                <w:sz w:val="20"/>
              </w:rPr>
            </w:pPr>
          </w:p>
        </w:tc>
      </w:tr>
      <w:tr w:rsidR="00F26C3B" w:rsidRPr="009618E4">
        <w:trPr>
          <w:cantSplit/>
          <w:jc w:val="center"/>
        </w:trPr>
        <w:tc>
          <w:tcPr>
            <w:tcW w:w="2340" w:type="dxa"/>
          </w:tcPr>
          <w:p w:rsidR="00F26C3B" w:rsidRPr="009618E4" w:rsidRDefault="00513FB2" w:rsidP="004D00FC">
            <w:pPr>
              <w:spacing w:before="60" w:after="60"/>
              <w:jc w:val="left"/>
              <w:rPr>
                <w:noProof/>
                <w:sz w:val="20"/>
              </w:rPr>
            </w:pPr>
            <w:r w:rsidRPr="009618E4">
              <w:rPr>
                <w:noProof/>
                <w:sz w:val="20"/>
              </w:rPr>
              <w:t>TOTAL crédits cofinancés</w:t>
            </w:r>
            <w:r w:rsidRPr="009618E4">
              <w:rPr>
                <w:rStyle w:val="FootnoteReference"/>
                <w:noProof/>
              </w:rPr>
              <w:footnoteReference w:id="43"/>
            </w:r>
          </w:p>
        </w:tc>
        <w:tc>
          <w:tcPr>
            <w:tcW w:w="964" w:type="dxa"/>
            <w:vAlign w:val="center"/>
          </w:tcPr>
          <w:p w:rsidR="00F26C3B" w:rsidRPr="009618E4" w:rsidRDefault="00513FB2">
            <w:pPr>
              <w:spacing w:before="60" w:after="60"/>
              <w:jc w:val="center"/>
              <w:rPr>
                <w:noProof/>
                <w:sz w:val="20"/>
              </w:rPr>
            </w:pPr>
            <w:r w:rsidRPr="009618E4">
              <w:rPr>
                <w:noProof/>
                <w:sz w:val="20"/>
              </w:rPr>
              <w:t>p.m.</w:t>
            </w:r>
          </w:p>
        </w:tc>
        <w:tc>
          <w:tcPr>
            <w:tcW w:w="964" w:type="dxa"/>
            <w:vAlign w:val="center"/>
          </w:tcPr>
          <w:p w:rsidR="00F26C3B" w:rsidRPr="009618E4" w:rsidRDefault="00513FB2">
            <w:pPr>
              <w:spacing w:before="60" w:after="60"/>
              <w:jc w:val="center"/>
              <w:rPr>
                <w:noProof/>
                <w:sz w:val="20"/>
              </w:rPr>
            </w:pPr>
            <w:r w:rsidRPr="009618E4">
              <w:rPr>
                <w:noProof/>
                <w:sz w:val="20"/>
              </w:rPr>
              <w:t>p.m.</w:t>
            </w:r>
          </w:p>
        </w:tc>
        <w:tc>
          <w:tcPr>
            <w:tcW w:w="964" w:type="dxa"/>
            <w:vAlign w:val="center"/>
          </w:tcPr>
          <w:p w:rsidR="00F26C3B" w:rsidRPr="009618E4" w:rsidRDefault="00513FB2">
            <w:pPr>
              <w:spacing w:before="60" w:after="60"/>
              <w:jc w:val="center"/>
              <w:rPr>
                <w:noProof/>
                <w:sz w:val="20"/>
              </w:rPr>
            </w:pPr>
            <w:r w:rsidRPr="009618E4">
              <w:rPr>
                <w:noProof/>
                <w:sz w:val="20"/>
              </w:rPr>
              <w:t>p.m.</w:t>
            </w:r>
          </w:p>
        </w:tc>
        <w:tc>
          <w:tcPr>
            <w:tcW w:w="964" w:type="dxa"/>
            <w:vAlign w:val="center"/>
          </w:tcPr>
          <w:p w:rsidR="00F26C3B" w:rsidRPr="009618E4" w:rsidRDefault="00513FB2">
            <w:pPr>
              <w:spacing w:before="60" w:after="60"/>
              <w:jc w:val="center"/>
              <w:rPr>
                <w:noProof/>
                <w:sz w:val="20"/>
              </w:rPr>
            </w:pPr>
            <w:r w:rsidRPr="009618E4">
              <w:rPr>
                <w:noProof/>
                <w:sz w:val="20"/>
              </w:rPr>
              <w:t>p.m.</w:t>
            </w:r>
          </w:p>
        </w:tc>
        <w:tc>
          <w:tcPr>
            <w:tcW w:w="964" w:type="dxa"/>
            <w:vAlign w:val="center"/>
          </w:tcPr>
          <w:p w:rsidR="00F26C3B" w:rsidRPr="009618E4" w:rsidRDefault="00513FB2">
            <w:pPr>
              <w:spacing w:before="60" w:after="60"/>
              <w:jc w:val="center"/>
              <w:rPr>
                <w:noProof/>
                <w:sz w:val="20"/>
              </w:rPr>
            </w:pPr>
            <w:r w:rsidRPr="009618E4">
              <w:rPr>
                <w:noProof/>
                <w:sz w:val="20"/>
              </w:rPr>
              <w:t>p.m.</w:t>
            </w:r>
          </w:p>
        </w:tc>
        <w:tc>
          <w:tcPr>
            <w:tcW w:w="1158" w:type="dxa"/>
            <w:vAlign w:val="center"/>
          </w:tcPr>
          <w:p w:rsidR="00F26C3B" w:rsidRPr="009618E4" w:rsidRDefault="00513FB2">
            <w:pPr>
              <w:spacing w:before="60" w:after="60"/>
              <w:jc w:val="center"/>
              <w:rPr>
                <w:noProof/>
                <w:sz w:val="20"/>
              </w:rPr>
            </w:pPr>
            <w:r w:rsidRPr="009618E4">
              <w:rPr>
                <w:noProof/>
                <w:sz w:val="20"/>
              </w:rPr>
              <w:t>p.m.</w:t>
            </w:r>
          </w:p>
        </w:tc>
      </w:tr>
    </w:tbl>
    <w:p w:rsidR="00F26C3B" w:rsidRPr="009618E4" w:rsidRDefault="00F26C3B">
      <w:pPr>
        <w:rPr>
          <w:noProof/>
        </w:rPr>
      </w:pPr>
    </w:p>
    <w:p w:rsidR="00F26C3B" w:rsidRPr="009618E4" w:rsidRDefault="00513FB2">
      <w:pPr>
        <w:pStyle w:val="ManualHeading2"/>
        <w:rPr>
          <w:bCs/>
          <w:noProof/>
          <w:szCs w:val="24"/>
        </w:rPr>
      </w:pPr>
      <w:r w:rsidRPr="0068119E">
        <w:t>3</w:t>
      </w:r>
      <w:r w:rsidRPr="009618E4">
        <w:t>.</w:t>
      </w:r>
      <w:r w:rsidRPr="0068119E">
        <w:t>3</w:t>
      </w:r>
      <w:r w:rsidRPr="009618E4">
        <w:t>.</w:t>
      </w:r>
      <w:r w:rsidRPr="009618E4">
        <w:tab/>
        <w:t>Incidence estimée sur les recettes</w:t>
      </w:r>
    </w:p>
    <w:p w:rsidR="00F26C3B" w:rsidRPr="009618E4" w:rsidRDefault="00513FB2">
      <w:pPr>
        <w:pStyle w:val="ListDash1"/>
        <w:rPr>
          <w:noProof/>
        </w:rPr>
      </w:pPr>
      <w:r w:rsidRPr="009618E4">
        <w:rPr>
          <w:noProof/>
        </w:rPr>
        <w:sym w:font="Wingdings" w:char="F0A8"/>
      </w:r>
      <w:r w:rsidRPr="009618E4">
        <w:tab/>
        <w:t>La proposition/l</w:t>
      </w:r>
      <w:r w:rsidR="00266719" w:rsidRPr="009618E4">
        <w:t>’</w:t>
      </w:r>
      <w:r w:rsidRPr="009618E4">
        <w:t>initiative est sans incidence financière sur les recettes.</w:t>
      </w:r>
    </w:p>
    <w:p w:rsidR="00F26C3B" w:rsidRPr="009618E4" w:rsidRDefault="00513FB2">
      <w:pPr>
        <w:pStyle w:val="ListDash1"/>
        <w:rPr>
          <w:noProof/>
        </w:rPr>
      </w:pPr>
      <w:r w:rsidRPr="009618E4">
        <w:t>X</w:t>
      </w:r>
      <w:r w:rsidRPr="009618E4">
        <w:tab/>
        <w:t>La proposition/l</w:t>
      </w:r>
      <w:r w:rsidR="00266719" w:rsidRPr="009618E4">
        <w:t>’</w:t>
      </w:r>
      <w:r w:rsidRPr="009618E4">
        <w:t>initiative a une incidence financière décrite ci</w:t>
      </w:r>
      <w:r w:rsidRPr="009618E4">
        <w:noBreakHyphen/>
        <w:t>après:</w:t>
      </w:r>
    </w:p>
    <w:p w:rsidR="00F26C3B" w:rsidRPr="009618E4" w:rsidRDefault="00513FB2">
      <w:pPr>
        <w:pStyle w:val="ListNumberLevel3"/>
        <w:tabs>
          <w:tab w:val="clear" w:pos="2126"/>
          <w:tab w:val="num" w:pos="1843"/>
        </w:tabs>
        <w:rPr>
          <w:noProof/>
        </w:rPr>
      </w:pPr>
      <w:r w:rsidRPr="009618E4">
        <w:rPr>
          <w:noProof/>
        </w:rPr>
        <w:sym w:font="Wingdings" w:char="F0A8"/>
      </w:r>
      <w:r w:rsidRPr="009618E4">
        <w:tab/>
        <w:t>sur les ressources propres</w:t>
      </w:r>
    </w:p>
    <w:p w:rsidR="00F26C3B" w:rsidRPr="009618E4" w:rsidRDefault="00513FB2">
      <w:pPr>
        <w:pStyle w:val="ListNumberLevel3"/>
        <w:tabs>
          <w:tab w:val="clear" w:pos="2126"/>
          <w:tab w:val="num" w:pos="1843"/>
        </w:tabs>
        <w:rPr>
          <w:noProof/>
        </w:rPr>
      </w:pPr>
      <w:r w:rsidRPr="009618E4">
        <w:t>X</w:t>
      </w:r>
      <w:r w:rsidRPr="009618E4">
        <w:tab/>
        <w:t xml:space="preserve"> sur les autres recettes</w:t>
      </w:r>
    </w:p>
    <w:p w:rsidR="00F26C3B" w:rsidRPr="009618E4" w:rsidRDefault="00513FB2">
      <w:pPr>
        <w:jc w:val="right"/>
        <w:rPr>
          <w:noProof/>
        </w:rPr>
      </w:pPr>
      <w:proofErr w:type="gramStart"/>
      <w:r w:rsidRPr="009618E4">
        <w:t>veuillez</w:t>
      </w:r>
      <w:proofErr w:type="gramEnd"/>
      <w:r w:rsidRPr="009618E4">
        <w:t xml:space="preserve"> indiquer si les recettes sont affectées à des lignes de dépenses X</w:t>
      </w:r>
      <w:r w:rsidRPr="009618E4">
        <w:tab/>
      </w:r>
    </w:p>
    <w:p w:rsidR="00F26C3B" w:rsidRPr="009618E4" w:rsidRDefault="00513FB2">
      <w:pPr>
        <w:jc w:val="right"/>
        <w:rPr>
          <w:i/>
          <w:noProof/>
          <w:sz w:val="20"/>
        </w:rPr>
      </w:pPr>
      <w:r w:rsidRPr="009618E4">
        <w:t xml:space="preserve">En Mio EUR (à la </w:t>
      </w:r>
      <w:r w:rsidRPr="0068119E">
        <w:t>3</w:t>
      </w:r>
      <w:r w:rsidRPr="009618E4">
        <w:rPr>
          <w:vertAlign w:val="superscript"/>
        </w:rPr>
        <w:t>e</w:t>
      </w:r>
      <w:r w:rsidRPr="009618E4">
        <w:t> décimale)</w:t>
      </w:r>
    </w:p>
    <w:tbl>
      <w:tblPr>
        <w:tblW w:w="7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687"/>
      </w:tblGrid>
      <w:tr w:rsidR="00F26C3B" w:rsidRPr="009618E4">
        <w:trPr>
          <w:trHeight w:val="388"/>
          <w:jc w:val="center"/>
        </w:trPr>
        <w:tc>
          <w:tcPr>
            <w:tcW w:w="2144" w:type="dxa"/>
            <w:vMerge w:val="restart"/>
            <w:vAlign w:val="center"/>
          </w:tcPr>
          <w:p w:rsidR="00F26C3B" w:rsidRPr="009618E4" w:rsidRDefault="00513FB2">
            <w:pPr>
              <w:spacing w:before="40" w:after="40"/>
              <w:rPr>
                <w:noProof/>
                <w:sz w:val="18"/>
              </w:rPr>
            </w:pPr>
            <w:r w:rsidRPr="009618E4">
              <w:rPr>
                <w:noProof/>
                <w:sz w:val="18"/>
              </w:rPr>
              <w:t>Ligne budgétaire de recettes:</w:t>
            </w:r>
          </w:p>
        </w:tc>
        <w:tc>
          <w:tcPr>
            <w:tcW w:w="5647" w:type="dxa"/>
            <w:gridSpan w:val="5"/>
            <w:vAlign w:val="center"/>
          </w:tcPr>
          <w:p w:rsidR="00F26C3B" w:rsidRPr="009618E4" w:rsidRDefault="00513FB2">
            <w:pPr>
              <w:jc w:val="center"/>
              <w:rPr>
                <w:noProof/>
                <w:sz w:val="18"/>
              </w:rPr>
            </w:pPr>
            <w:r w:rsidRPr="009618E4">
              <w:rPr>
                <w:noProof/>
                <w:sz w:val="18"/>
              </w:rPr>
              <w:t>Incidence de la proposition/de l</w:t>
            </w:r>
            <w:r w:rsidR="00266719" w:rsidRPr="009618E4">
              <w:rPr>
                <w:noProof/>
                <w:sz w:val="18"/>
              </w:rPr>
              <w:t>’</w:t>
            </w:r>
            <w:r w:rsidRPr="009618E4">
              <w:rPr>
                <w:noProof/>
                <w:sz w:val="18"/>
              </w:rPr>
              <w:t>initiative</w:t>
            </w:r>
          </w:p>
        </w:tc>
      </w:tr>
      <w:tr w:rsidR="00F26C3B" w:rsidRPr="009618E4">
        <w:trPr>
          <w:trHeight w:val="388"/>
          <w:jc w:val="center"/>
        </w:trPr>
        <w:tc>
          <w:tcPr>
            <w:tcW w:w="2144" w:type="dxa"/>
            <w:vMerge/>
          </w:tcPr>
          <w:p w:rsidR="00F26C3B" w:rsidRPr="009618E4" w:rsidRDefault="00F26C3B">
            <w:pPr>
              <w:spacing w:before="40" w:after="40"/>
              <w:rPr>
                <w:noProof/>
                <w:sz w:val="18"/>
              </w:rPr>
            </w:pPr>
          </w:p>
        </w:tc>
        <w:tc>
          <w:tcPr>
            <w:tcW w:w="1080" w:type="dxa"/>
            <w:vAlign w:val="center"/>
          </w:tcPr>
          <w:p w:rsidR="00F26C3B" w:rsidRPr="009618E4" w:rsidRDefault="00513FB2">
            <w:pPr>
              <w:jc w:val="center"/>
              <w:rPr>
                <w:noProof/>
                <w:sz w:val="18"/>
              </w:rPr>
            </w:pPr>
            <w:r w:rsidRPr="0068119E">
              <w:rPr>
                <w:b/>
                <w:noProof/>
                <w:sz w:val="20"/>
              </w:rPr>
              <w:t>2021</w:t>
            </w:r>
          </w:p>
        </w:tc>
        <w:tc>
          <w:tcPr>
            <w:tcW w:w="900" w:type="dxa"/>
            <w:vAlign w:val="center"/>
          </w:tcPr>
          <w:p w:rsidR="00F26C3B" w:rsidRPr="009618E4" w:rsidRDefault="00513FB2">
            <w:pPr>
              <w:jc w:val="center"/>
              <w:rPr>
                <w:b/>
                <w:noProof/>
                <w:sz w:val="20"/>
              </w:rPr>
            </w:pPr>
            <w:r w:rsidRPr="0068119E">
              <w:rPr>
                <w:b/>
                <w:noProof/>
                <w:sz w:val="20"/>
              </w:rPr>
              <w:t>2022</w:t>
            </w:r>
          </w:p>
        </w:tc>
        <w:tc>
          <w:tcPr>
            <w:tcW w:w="900" w:type="dxa"/>
            <w:vAlign w:val="center"/>
          </w:tcPr>
          <w:p w:rsidR="00F26C3B" w:rsidRPr="009618E4" w:rsidRDefault="00513FB2">
            <w:pPr>
              <w:jc w:val="center"/>
              <w:rPr>
                <w:b/>
                <w:noProof/>
                <w:sz w:val="20"/>
              </w:rPr>
            </w:pPr>
            <w:r w:rsidRPr="0068119E">
              <w:rPr>
                <w:b/>
                <w:noProof/>
                <w:sz w:val="20"/>
              </w:rPr>
              <w:t>2023</w:t>
            </w:r>
          </w:p>
        </w:tc>
        <w:tc>
          <w:tcPr>
            <w:tcW w:w="1080" w:type="dxa"/>
            <w:vAlign w:val="center"/>
          </w:tcPr>
          <w:p w:rsidR="00F26C3B" w:rsidRPr="009618E4" w:rsidRDefault="00513FB2">
            <w:pPr>
              <w:jc w:val="center"/>
              <w:rPr>
                <w:b/>
                <w:noProof/>
                <w:sz w:val="20"/>
              </w:rPr>
            </w:pPr>
            <w:r w:rsidRPr="0068119E">
              <w:rPr>
                <w:b/>
                <w:noProof/>
                <w:sz w:val="20"/>
              </w:rPr>
              <w:t>2024</w:t>
            </w:r>
          </w:p>
        </w:tc>
        <w:tc>
          <w:tcPr>
            <w:tcW w:w="1687" w:type="dxa"/>
            <w:vAlign w:val="center"/>
          </w:tcPr>
          <w:p w:rsidR="00F26C3B" w:rsidRPr="009618E4" w:rsidRDefault="00513FB2">
            <w:pPr>
              <w:jc w:val="center"/>
              <w:rPr>
                <w:b/>
                <w:noProof/>
                <w:sz w:val="20"/>
              </w:rPr>
            </w:pPr>
            <w:r w:rsidRPr="0068119E">
              <w:rPr>
                <w:b/>
                <w:noProof/>
                <w:sz w:val="20"/>
              </w:rPr>
              <w:t>2025</w:t>
            </w:r>
          </w:p>
        </w:tc>
      </w:tr>
      <w:tr w:rsidR="00F26C3B" w:rsidRPr="009618E4">
        <w:trPr>
          <w:trHeight w:val="388"/>
          <w:jc w:val="center"/>
        </w:trPr>
        <w:tc>
          <w:tcPr>
            <w:tcW w:w="2144" w:type="dxa"/>
            <w:vAlign w:val="center"/>
          </w:tcPr>
          <w:p w:rsidR="00F26C3B" w:rsidRPr="009618E4" w:rsidRDefault="00513FB2">
            <w:pPr>
              <w:spacing w:before="40" w:after="40"/>
              <w:rPr>
                <w:noProof/>
                <w:sz w:val="18"/>
              </w:rPr>
            </w:pPr>
            <w:r w:rsidRPr="009618E4">
              <w:rPr>
                <w:noProof/>
                <w:sz w:val="18"/>
              </w:rPr>
              <w:t xml:space="preserve">Poste </w:t>
            </w:r>
            <w:r w:rsidRPr="0068119E">
              <w:rPr>
                <w:noProof/>
                <w:sz w:val="18"/>
              </w:rPr>
              <w:t>6011</w:t>
            </w:r>
          </w:p>
          <w:p w:rsidR="00F26C3B" w:rsidRPr="009618E4" w:rsidRDefault="00513FB2">
            <w:pPr>
              <w:spacing w:before="40" w:after="40"/>
              <w:rPr>
                <w:noProof/>
                <w:sz w:val="18"/>
              </w:rPr>
            </w:pPr>
            <w:r w:rsidRPr="009618E4">
              <w:rPr>
                <w:noProof/>
                <w:sz w:val="18"/>
              </w:rPr>
              <w:t xml:space="preserve">Poste </w:t>
            </w:r>
            <w:r w:rsidRPr="0068119E">
              <w:rPr>
                <w:noProof/>
                <w:sz w:val="18"/>
              </w:rPr>
              <w:t>6012</w:t>
            </w:r>
          </w:p>
          <w:p w:rsidR="00F26C3B" w:rsidRPr="009618E4" w:rsidRDefault="00513FB2">
            <w:pPr>
              <w:spacing w:before="40" w:after="40"/>
              <w:rPr>
                <w:noProof/>
                <w:sz w:val="18"/>
              </w:rPr>
            </w:pPr>
            <w:r w:rsidRPr="009618E4">
              <w:rPr>
                <w:noProof/>
                <w:sz w:val="18"/>
              </w:rPr>
              <w:t xml:space="preserve">Poste </w:t>
            </w:r>
            <w:r w:rsidRPr="0068119E">
              <w:rPr>
                <w:noProof/>
                <w:sz w:val="18"/>
              </w:rPr>
              <w:t>6013</w:t>
            </w:r>
          </w:p>
          <w:p w:rsidR="00F26C3B" w:rsidRPr="009618E4" w:rsidRDefault="00513FB2">
            <w:pPr>
              <w:spacing w:before="40" w:after="40"/>
              <w:rPr>
                <w:noProof/>
                <w:sz w:val="18"/>
              </w:rPr>
            </w:pPr>
            <w:r w:rsidRPr="009618E4">
              <w:rPr>
                <w:noProof/>
                <w:sz w:val="18"/>
              </w:rPr>
              <w:t xml:space="preserve">Poste </w:t>
            </w:r>
            <w:r w:rsidRPr="0068119E">
              <w:rPr>
                <w:noProof/>
                <w:sz w:val="18"/>
              </w:rPr>
              <w:t>6031</w:t>
            </w:r>
          </w:p>
        </w:tc>
        <w:tc>
          <w:tcPr>
            <w:tcW w:w="1080" w:type="dxa"/>
          </w:tcPr>
          <w:p w:rsidR="00F26C3B" w:rsidRPr="009618E4" w:rsidRDefault="00513FB2">
            <w:pPr>
              <w:spacing w:beforeLines="40" w:before="96" w:afterLines="40" w:after="96"/>
              <w:jc w:val="center"/>
              <w:rPr>
                <w:noProof/>
                <w:sz w:val="18"/>
              </w:rPr>
            </w:pPr>
            <w:r w:rsidRPr="009618E4">
              <w:rPr>
                <w:noProof/>
                <w:sz w:val="18"/>
              </w:rPr>
              <w:t>p.m.</w:t>
            </w:r>
          </w:p>
        </w:tc>
        <w:tc>
          <w:tcPr>
            <w:tcW w:w="900" w:type="dxa"/>
          </w:tcPr>
          <w:p w:rsidR="00F26C3B" w:rsidRPr="009618E4" w:rsidRDefault="00513FB2">
            <w:pPr>
              <w:spacing w:beforeLines="40" w:before="96" w:afterLines="40" w:after="96"/>
              <w:jc w:val="center"/>
              <w:rPr>
                <w:noProof/>
                <w:sz w:val="18"/>
              </w:rPr>
            </w:pPr>
            <w:r w:rsidRPr="009618E4">
              <w:rPr>
                <w:noProof/>
                <w:sz w:val="18"/>
              </w:rPr>
              <w:t>p.m.</w:t>
            </w:r>
          </w:p>
        </w:tc>
        <w:tc>
          <w:tcPr>
            <w:tcW w:w="900" w:type="dxa"/>
          </w:tcPr>
          <w:p w:rsidR="00F26C3B" w:rsidRPr="009618E4" w:rsidRDefault="00513FB2">
            <w:pPr>
              <w:spacing w:beforeLines="40" w:before="96" w:afterLines="40" w:after="96"/>
              <w:jc w:val="center"/>
              <w:rPr>
                <w:noProof/>
                <w:sz w:val="18"/>
              </w:rPr>
            </w:pPr>
            <w:r w:rsidRPr="009618E4">
              <w:rPr>
                <w:noProof/>
                <w:sz w:val="18"/>
              </w:rPr>
              <w:t>p.m.</w:t>
            </w:r>
          </w:p>
        </w:tc>
        <w:tc>
          <w:tcPr>
            <w:tcW w:w="1080" w:type="dxa"/>
          </w:tcPr>
          <w:p w:rsidR="00F26C3B" w:rsidRPr="009618E4" w:rsidRDefault="00513FB2">
            <w:pPr>
              <w:spacing w:beforeLines="40" w:before="96" w:afterLines="40" w:after="96"/>
              <w:jc w:val="center"/>
              <w:rPr>
                <w:noProof/>
                <w:sz w:val="18"/>
              </w:rPr>
            </w:pPr>
            <w:r w:rsidRPr="009618E4">
              <w:rPr>
                <w:noProof/>
                <w:sz w:val="18"/>
              </w:rPr>
              <w:t>p.m.</w:t>
            </w:r>
          </w:p>
        </w:tc>
        <w:tc>
          <w:tcPr>
            <w:tcW w:w="1687" w:type="dxa"/>
          </w:tcPr>
          <w:p w:rsidR="00F26C3B" w:rsidRPr="009618E4" w:rsidRDefault="00513FB2">
            <w:pPr>
              <w:spacing w:beforeLines="40" w:before="96" w:afterLines="40" w:after="96"/>
              <w:jc w:val="center"/>
              <w:rPr>
                <w:noProof/>
                <w:sz w:val="18"/>
              </w:rPr>
            </w:pPr>
            <w:r w:rsidRPr="009618E4">
              <w:rPr>
                <w:noProof/>
                <w:sz w:val="18"/>
              </w:rPr>
              <w:t>p.m.</w:t>
            </w:r>
          </w:p>
        </w:tc>
      </w:tr>
    </w:tbl>
    <w:p w:rsidR="00F26C3B" w:rsidRPr="009618E4" w:rsidRDefault="00513FB2">
      <w:pPr>
        <w:pStyle w:val="Text1"/>
        <w:rPr>
          <w:noProof/>
          <w:sz w:val="20"/>
        </w:rPr>
      </w:pPr>
      <w:r w:rsidRPr="009618E4">
        <w:rPr>
          <w:noProof/>
          <w:sz w:val="20"/>
        </w:rPr>
        <w:t>Pour les recettes affectées, préciser la(les) ligne(s) budgétaire(s) de dépenses concernée(s).</w:t>
      </w:r>
    </w:p>
    <w:p w:rsidR="00F26C3B" w:rsidRPr="009618E4" w:rsidRDefault="00513FB2">
      <w:pPr>
        <w:pStyle w:val="Text1"/>
        <w:pBdr>
          <w:top w:val="single" w:sz="4" w:space="1" w:color="auto"/>
          <w:left w:val="single" w:sz="4" w:space="4" w:color="auto"/>
          <w:bottom w:val="single" w:sz="4" w:space="1" w:color="auto"/>
          <w:right w:val="single" w:sz="4" w:space="4" w:color="auto"/>
        </w:pBdr>
        <w:rPr>
          <w:noProof/>
        </w:rPr>
      </w:pPr>
      <w:r w:rsidRPr="0068119E">
        <w:t>01</w:t>
      </w:r>
      <w:r w:rsidRPr="009618E4">
        <w:t xml:space="preserve"> </w:t>
      </w:r>
      <w:r w:rsidRPr="0068119E">
        <w:t>03</w:t>
      </w:r>
      <w:r w:rsidRPr="009618E4">
        <w:t>XX – Crédits provenant de la participation de tiers</w:t>
      </w:r>
    </w:p>
    <w:p w:rsidR="00F26C3B" w:rsidRPr="009618E4" w:rsidRDefault="00513FB2">
      <w:pPr>
        <w:pStyle w:val="Text1"/>
        <w:rPr>
          <w:noProof/>
          <w:sz w:val="20"/>
        </w:rPr>
      </w:pPr>
      <w:r w:rsidRPr="009618E4">
        <w:rPr>
          <w:noProof/>
          <w:sz w:val="20"/>
        </w:rPr>
        <w:t>Autres remarques (relatives par exemple à la méthode/formule utilisée pour le calcul de l</w:t>
      </w:r>
      <w:r w:rsidR="00266719" w:rsidRPr="009618E4">
        <w:rPr>
          <w:noProof/>
          <w:sz w:val="20"/>
        </w:rPr>
        <w:t>’</w:t>
      </w:r>
      <w:r w:rsidRPr="009618E4">
        <w:rPr>
          <w:noProof/>
          <w:sz w:val="20"/>
        </w:rPr>
        <w:t>incidence sur les recettes ou toute autre information).</w:t>
      </w:r>
    </w:p>
    <w:p w:rsidR="00F26C3B" w:rsidRPr="00CE7948" w:rsidRDefault="00513FB2">
      <w:pPr>
        <w:pStyle w:val="Text1"/>
        <w:pBdr>
          <w:top w:val="single" w:sz="4" w:space="1" w:color="auto"/>
          <w:left w:val="single" w:sz="4" w:space="4" w:color="auto"/>
          <w:bottom w:val="single" w:sz="4" w:space="1" w:color="auto"/>
          <w:right w:val="single" w:sz="4" w:space="4" w:color="auto"/>
        </w:pBdr>
        <w:rPr>
          <w:noProof/>
        </w:rPr>
      </w:pPr>
      <w:r w:rsidRPr="009618E4">
        <w:t>Les pays tiers peuvent contribuer au programme par l</w:t>
      </w:r>
      <w:r w:rsidR="00266719" w:rsidRPr="009618E4">
        <w:t>’</w:t>
      </w:r>
      <w:r w:rsidRPr="009618E4">
        <w:t>intermédiaire d</w:t>
      </w:r>
      <w:r w:rsidR="00266719" w:rsidRPr="009618E4">
        <w:t>’</w:t>
      </w:r>
      <w:r w:rsidRPr="009618E4">
        <w:t>accords d</w:t>
      </w:r>
      <w:r w:rsidR="00266719" w:rsidRPr="009618E4">
        <w:t>’</w:t>
      </w:r>
      <w:r w:rsidRPr="009618E4">
        <w:t>association. Les conditions qui déterminent le niveau de leur contribution financière seront énoncées dans les accords d</w:t>
      </w:r>
      <w:r w:rsidR="00266719" w:rsidRPr="009618E4">
        <w:t>’</w:t>
      </w:r>
      <w:r w:rsidRPr="009618E4">
        <w:t>association conclus avec chacun des pays, une correction automatique étant assurée en cas de déséquilibre significatif par rapport au montant que les entités établies dans le pays associé reçoivent en raison de leur participation au programme, compte tenu des coûts liés à la gestion du programme.</w:t>
      </w:r>
      <w:r w:rsidRPr="00266719">
        <w:t xml:space="preserve"> </w:t>
      </w:r>
    </w:p>
    <w:sectPr w:rsidR="00F26C3B" w:rsidRPr="00CE7948" w:rsidSect="00CE7948">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FB0" w:rsidRDefault="00976FB0">
      <w:pPr>
        <w:spacing w:before="0" w:after="0"/>
      </w:pPr>
      <w:r>
        <w:separator/>
      </w:r>
    </w:p>
  </w:endnote>
  <w:endnote w:type="continuationSeparator" w:id="0">
    <w:p w:rsidR="00976FB0" w:rsidRDefault="00976FB0">
      <w:pPr>
        <w:spacing w:before="0" w:after="0"/>
      </w:pPr>
      <w:r>
        <w:continuationSeparator/>
      </w:r>
    </w:p>
  </w:endnote>
  <w:endnote w:type="continuationNotice" w:id="1">
    <w:p w:rsidR="00976FB0" w:rsidRDefault="00976FB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82" w:rsidRDefault="005E5E8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48" w:rsidRPr="00CE7948" w:rsidRDefault="00CE7948" w:rsidP="00CE7948">
    <w:pPr>
      <w:pStyle w:val="FooterLandscape"/>
      <w:rPr>
        <w:rFonts w:ascii="Arial" w:hAnsi="Arial" w:cs="Arial"/>
        <w:b/>
        <w:sz w:val="48"/>
      </w:rPr>
    </w:pPr>
    <w:r w:rsidRPr="00CE7948">
      <w:rPr>
        <w:rFonts w:ascii="Arial" w:hAnsi="Arial" w:cs="Arial"/>
        <w:b/>
        <w:sz w:val="48"/>
      </w:rPr>
      <w:t>FR</w:t>
    </w:r>
    <w:r w:rsidRPr="00CE7948">
      <w:rPr>
        <w:rFonts w:ascii="Arial" w:hAnsi="Arial" w:cs="Arial"/>
        <w:b/>
        <w:sz w:val="48"/>
      </w:rPr>
      <w:tab/>
    </w:r>
    <w:r>
      <w:fldChar w:fldCharType="begin"/>
    </w:r>
    <w:r>
      <w:instrText xml:space="preserve"> PAGE  \* MERGEFORMAT </w:instrText>
    </w:r>
    <w:r>
      <w:fldChar w:fldCharType="separate"/>
    </w:r>
    <w:r w:rsidR="005E5E82">
      <w:rPr>
        <w:noProof/>
      </w:rPr>
      <w:t>37</w:t>
    </w:r>
    <w:r>
      <w:fldChar w:fldCharType="end"/>
    </w:r>
    <w:r>
      <w:tab/>
    </w:r>
    <w:r w:rsidRPr="00CE7948">
      <w:tab/>
    </w:r>
    <w:r w:rsidRPr="00CE7948">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48" w:rsidRPr="00CE7948" w:rsidRDefault="00CE7948" w:rsidP="00CE7948">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FB0" w:rsidRPr="00CE7948" w:rsidRDefault="00CE7948" w:rsidP="00CE7948">
    <w:pPr>
      <w:pStyle w:val="Footer"/>
      <w:rPr>
        <w:rFonts w:ascii="Arial" w:hAnsi="Arial" w:cs="Arial"/>
        <w:b/>
        <w:sz w:val="48"/>
      </w:rPr>
    </w:pPr>
    <w:r w:rsidRPr="00CE7948">
      <w:rPr>
        <w:rFonts w:ascii="Arial" w:hAnsi="Arial" w:cs="Arial"/>
        <w:b/>
        <w:sz w:val="48"/>
      </w:rPr>
      <w:t>FR</w:t>
    </w:r>
    <w:r w:rsidRPr="00CE7948">
      <w:rPr>
        <w:rFonts w:ascii="Arial" w:hAnsi="Arial" w:cs="Arial"/>
        <w:b/>
        <w:sz w:val="48"/>
      </w:rPr>
      <w:tab/>
    </w:r>
    <w:r>
      <w:fldChar w:fldCharType="begin"/>
    </w:r>
    <w:r>
      <w:instrText xml:space="preserve"> PAGE  \* MERGEFORMAT </w:instrText>
    </w:r>
    <w:r>
      <w:fldChar w:fldCharType="separate"/>
    </w:r>
    <w:r w:rsidR="005E5E82">
      <w:rPr>
        <w:noProof/>
      </w:rPr>
      <w:t>40</w:t>
    </w:r>
    <w:r>
      <w:fldChar w:fldCharType="end"/>
    </w:r>
    <w:r>
      <w:tab/>
    </w:r>
    <w:r w:rsidRPr="00CE7948">
      <w:tab/>
    </w:r>
    <w:r w:rsidRPr="00CE7948">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48" w:rsidRPr="00CE7948" w:rsidRDefault="00CE7948" w:rsidP="00CE79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FB0" w:rsidRPr="00CE7948" w:rsidRDefault="00CE7948" w:rsidP="00CE7948">
    <w:pPr>
      <w:pStyle w:val="Footer"/>
      <w:rPr>
        <w:rFonts w:ascii="Arial" w:hAnsi="Arial" w:cs="Arial"/>
        <w:b/>
        <w:sz w:val="48"/>
      </w:rPr>
    </w:pPr>
    <w:r w:rsidRPr="00CE7948">
      <w:rPr>
        <w:rFonts w:ascii="Arial" w:hAnsi="Arial" w:cs="Arial"/>
        <w:b/>
        <w:sz w:val="48"/>
      </w:rPr>
      <w:t>FR</w:t>
    </w:r>
    <w:r w:rsidRPr="00CE7948">
      <w:rPr>
        <w:rFonts w:ascii="Arial" w:hAnsi="Arial" w:cs="Arial"/>
        <w:b/>
        <w:sz w:val="48"/>
      </w:rPr>
      <w:tab/>
    </w:r>
    <w:r w:rsidRPr="00CE7948">
      <w:rPr>
        <w:rFonts w:ascii="Arial" w:hAnsi="Arial" w:cs="Arial"/>
        <w:b/>
        <w:sz w:val="48"/>
      </w:rPr>
      <w:tab/>
    </w:r>
    <w:r w:rsidRPr="00CE7948">
      <w:tab/>
    </w:r>
    <w:proofErr w:type="spellStart"/>
    <w:r w:rsidRPr="00CE7948">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82" w:rsidRDefault="005E5E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48" w:rsidRPr="00CE7948" w:rsidRDefault="00CE7948" w:rsidP="00CE7948">
    <w:pPr>
      <w:pStyle w:val="Footer"/>
      <w:rPr>
        <w:rFonts w:ascii="Arial" w:hAnsi="Arial" w:cs="Arial"/>
        <w:b/>
        <w:sz w:val="48"/>
      </w:rPr>
    </w:pPr>
    <w:r w:rsidRPr="00CE7948">
      <w:rPr>
        <w:rFonts w:ascii="Arial" w:hAnsi="Arial" w:cs="Arial"/>
        <w:b/>
        <w:sz w:val="48"/>
      </w:rPr>
      <w:t>FR</w:t>
    </w:r>
    <w:r w:rsidRPr="00CE7948">
      <w:rPr>
        <w:rFonts w:ascii="Arial" w:hAnsi="Arial" w:cs="Arial"/>
        <w:b/>
        <w:sz w:val="48"/>
      </w:rPr>
      <w:tab/>
    </w:r>
    <w:r>
      <w:fldChar w:fldCharType="begin"/>
    </w:r>
    <w:r>
      <w:instrText xml:space="preserve"> PAGE  \* MERGEFORMAT </w:instrText>
    </w:r>
    <w:r>
      <w:fldChar w:fldCharType="separate"/>
    </w:r>
    <w:r w:rsidR="005E5E82">
      <w:rPr>
        <w:noProof/>
      </w:rPr>
      <w:t>9</w:t>
    </w:r>
    <w:r>
      <w:fldChar w:fldCharType="end"/>
    </w:r>
    <w:r>
      <w:tab/>
    </w:r>
    <w:r w:rsidRPr="00CE7948">
      <w:tab/>
    </w:r>
    <w:r w:rsidRPr="00CE7948">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48" w:rsidRPr="00CE7948" w:rsidRDefault="00CE7948" w:rsidP="00CE794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48" w:rsidRPr="00CE7948" w:rsidRDefault="00CE7948" w:rsidP="00CE7948">
    <w:pPr>
      <w:pStyle w:val="Footer"/>
      <w:rPr>
        <w:rFonts w:ascii="Arial" w:hAnsi="Arial" w:cs="Arial"/>
        <w:b/>
        <w:sz w:val="48"/>
      </w:rPr>
    </w:pPr>
    <w:bookmarkStart w:id="4" w:name="_GoBack"/>
    <w:bookmarkEnd w:id="4"/>
    <w:r w:rsidRPr="00CE7948">
      <w:rPr>
        <w:rFonts w:ascii="Arial" w:hAnsi="Arial" w:cs="Arial"/>
        <w:b/>
        <w:sz w:val="48"/>
      </w:rPr>
      <w:t>FR</w:t>
    </w:r>
    <w:r w:rsidRPr="00CE7948">
      <w:rPr>
        <w:rFonts w:ascii="Arial" w:hAnsi="Arial" w:cs="Arial"/>
        <w:b/>
        <w:sz w:val="48"/>
      </w:rPr>
      <w:tab/>
    </w:r>
    <w:r>
      <w:fldChar w:fldCharType="begin"/>
    </w:r>
    <w:r>
      <w:instrText xml:space="preserve"> PAGE  \* MERGEFORMAT </w:instrText>
    </w:r>
    <w:r>
      <w:fldChar w:fldCharType="separate"/>
    </w:r>
    <w:r w:rsidR="005E5E82">
      <w:rPr>
        <w:noProof/>
      </w:rPr>
      <w:t>24</w:t>
    </w:r>
    <w:r>
      <w:fldChar w:fldCharType="end"/>
    </w:r>
    <w:r>
      <w:tab/>
    </w:r>
    <w:r w:rsidRPr="00CE7948">
      <w:tab/>
    </w:r>
    <w:r w:rsidRPr="00CE7948">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48" w:rsidRPr="00CE7948" w:rsidRDefault="00CE7948" w:rsidP="00CE794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FB0" w:rsidRPr="00CE7948" w:rsidRDefault="00CE7948" w:rsidP="00CE7948">
    <w:pPr>
      <w:pStyle w:val="Footer"/>
      <w:rPr>
        <w:rFonts w:ascii="Arial" w:hAnsi="Arial" w:cs="Arial"/>
        <w:b/>
        <w:sz w:val="48"/>
      </w:rPr>
    </w:pPr>
    <w:r w:rsidRPr="00CE7948">
      <w:rPr>
        <w:rFonts w:ascii="Arial" w:hAnsi="Arial" w:cs="Arial"/>
        <w:b/>
        <w:sz w:val="48"/>
      </w:rPr>
      <w:t>FR</w:t>
    </w:r>
    <w:r w:rsidRPr="00CE7948">
      <w:rPr>
        <w:rFonts w:ascii="Arial" w:hAnsi="Arial" w:cs="Arial"/>
        <w:b/>
        <w:sz w:val="48"/>
      </w:rPr>
      <w:tab/>
    </w:r>
    <w:r>
      <w:fldChar w:fldCharType="begin"/>
    </w:r>
    <w:r>
      <w:instrText xml:space="preserve"> PAGE  \* MERGEFORMAT </w:instrText>
    </w:r>
    <w:r>
      <w:fldChar w:fldCharType="separate"/>
    </w:r>
    <w:r w:rsidR="005E5E82">
      <w:rPr>
        <w:noProof/>
      </w:rPr>
      <w:t>35</w:t>
    </w:r>
    <w:r>
      <w:fldChar w:fldCharType="end"/>
    </w:r>
    <w:r>
      <w:tab/>
    </w:r>
    <w:r w:rsidRPr="00CE7948">
      <w:tab/>
    </w:r>
    <w:r w:rsidRPr="00CE7948">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48" w:rsidRPr="00CE7948" w:rsidRDefault="00CE7948" w:rsidP="00CE7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FB0" w:rsidRDefault="00976FB0">
      <w:pPr>
        <w:spacing w:before="0" w:after="0"/>
      </w:pPr>
      <w:r>
        <w:separator/>
      </w:r>
    </w:p>
  </w:footnote>
  <w:footnote w:type="continuationSeparator" w:id="0">
    <w:p w:rsidR="00976FB0" w:rsidRDefault="00976FB0">
      <w:pPr>
        <w:spacing w:before="0" w:after="0"/>
      </w:pPr>
      <w:r>
        <w:continuationSeparator/>
      </w:r>
    </w:p>
  </w:footnote>
  <w:footnote w:type="continuationNotice" w:id="1">
    <w:p w:rsidR="00976FB0" w:rsidRDefault="00976FB0">
      <w:pPr>
        <w:spacing w:before="0" w:after="0"/>
      </w:pPr>
    </w:p>
  </w:footnote>
  <w:footnote w:id="2">
    <w:p w:rsidR="00976FB0" w:rsidRDefault="00976FB0">
      <w:pPr>
        <w:pStyle w:val="FootnoteText"/>
      </w:pPr>
      <w:r>
        <w:rPr>
          <w:rStyle w:val="FootnoteReference"/>
        </w:rPr>
        <w:footnoteRef/>
      </w:r>
      <w:r>
        <w:tab/>
        <w:t>Le délai de cinq ans est fixé à l'article </w:t>
      </w:r>
      <w:r w:rsidRPr="0068119E">
        <w:t>7</w:t>
      </w:r>
      <w:r>
        <w:t xml:space="preserve"> du traité Euratom.</w:t>
      </w:r>
    </w:p>
  </w:footnote>
  <w:footnote w:id="3">
    <w:p w:rsidR="00976FB0" w:rsidRDefault="00976FB0">
      <w:pPr>
        <w:pStyle w:val="FootnoteText"/>
      </w:pPr>
      <w:r>
        <w:rPr>
          <w:rStyle w:val="FootnoteReference"/>
        </w:rPr>
        <w:footnoteRef/>
      </w:r>
      <w:r>
        <w:tab/>
        <w:t>Ces principales activités de recherche incluent la sûreté nucléaire, la sécurité, la gestion des déchets radioactifs et du combustible usé, la radioprotection et l'énergie de fusion.</w:t>
      </w:r>
    </w:p>
  </w:footnote>
  <w:footnote w:id="4">
    <w:p w:rsidR="00976FB0" w:rsidRDefault="00976FB0">
      <w:pPr>
        <w:pStyle w:val="FootnoteText"/>
      </w:pPr>
      <w:r>
        <w:rPr>
          <w:rStyle w:val="FootnoteReference"/>
        </w:rPr>
        <w:footnoteRef/>
      </w:r>
      <w:r>
        <w:tab/>
        <w:t>Les «actions directes» désignent les activités de recherche et d'innovation entreprises par la Commission en recourant à son Centre commun de recherche (le «JRC»).</w:t>
      </w:r>
    </w:p>
  </w:footnote>
  <w:footnote w:id="5">
    <w:p w:rsidR="00976FB0" w:rsidRDefault="00976FB0">
      <w:pPr>
        <w:pStyle w:val="FootnoteText"/>
      </w:pPr>
      <w:r>
        <w:rPr>
          <w:rStyle w:val="FootnoteReference"/>
        </w:rPr>
        <w:footnoteRef/>
      </w:r>
      <w:r>
        <w:tab/>
        <w:t>Les «actions indirectes», désignent les activités de recherche et d'innovation entreprises par des participants recevant un soutien financier de la Communauté européenne de l'énergie atomique.</w:t>
      </w:r>
    </w:p>
  </w:footnote>
  <w:footnote w:id="6">
    <w:p w:rsidR="00976FB0" w:rsidRDefault="00976FB0">
      <w:pPr>
        <w:spacing w:before="0" w:after="0"/>
        <w:rPr>
          <w:sz w:val="20"/>
          <w:szCs w:val="20"/>
        </w:rPr>
      </w:pPr>
      <w:r>
        <w:rPr>
          <w:rStyle w:val="FootnoteReference"/>
        </w:rPr>
        <w:footnoteRef/>
      </w:r>
      <w:r>
        <w:tab/>
      </w:r>
      <w:r>
        <w:rPr>
          <w:sz w:val="20"/>
        </w:rPr>
        <w:t>Installation de recherche destinée à éprouver les principes fondamentaux de la centrale électrique à fusion à l'échelle industrielle. L'ITER ne produira pas d'électricité.</w:t>
      </w:r>
    </w:p>
  </w:footnote>
  <w:footnote w:id="7">
    <w:p w:rsidR="00976FB0" w:rsidRDefault="00976FB0">
      <w:pPr>
        <w:pStyle w:val="FootnoteText"/>
      </w:pPr>
      <w:r>
        <w:rPr>
          <w:rStyle w:val="FootnoteReference"/>
        </w:rPr>
        <w:footnoteRef/>
      </w:r>
      <w:r>
        <w:tab/>
        <w:t>Centrale électrique à fusion de démonstration — une installation prévue après l'ITER afin de démontrer tous les éléments d'une centrale électrique à fusion, notamment la production d’électricité avec un cycle du combustible fermé.</w:t>
      </w:r>
    </w:p>
  </w:footnote>
  <w:footnote w:id="8">
    <w:p w:rsidR="00976FB0" w:rsidRDefault="00976FB0">
      <w:pPr>
        <w:pStyle w:val="FootnoteText"/>
      </w:pPr>
      <w:r>
        <w:rPr>
          <w:rStyle w:val="FootnoteReference"/>
        </w:rPr>
        <w:footnoteRef/>
      </w:r>
      <w:r>
        <w:tab/>
        <w:t xml:space="preserve">Y compris la proposition d'extension du programme pour </w:t>
      </w:r>
      <w:r w:rsidRPr="0068119E">
        <w:t>2019</w:t>
      </w:r>
      <w:r>
        <w:t>–</w:t>
      </w:r>
      <w:r w:rsidRPr="0068119E">
        <w:t>2020</w:t>
      </w:r>
      <w:r>
        <w:t xml:space="preserve"> [COM (</w:t>
      </w:r>
      <w:r w:rsidRPr="0068119E">
        <w:t>2017</w:t>
      </w:r>
      <w:r>
        <w:t xml:space="preserve">) </w:t>
      </w:r>
      <w:r w:rsidRPr="0068119E">
        <w:t>698</w:t>
      </w:r>
      <w:r>
        <w:t>].</w:t>
      </w:r>
    </w:p>
  </w:footnote>
  <w:footnote w:id="9">
    <w:p w:rsidR="00976FB0" w:rsidRDefault="00976FB0">
      <w:pPr>
        <w:pStyle w:val="FootnoteText"/>
      </w:pPr>
      <w:r>
        <w:rPr>
          <w:rStyle w:val="FootnoteReference"/>
        </w:rPr>
        <w:footnoteRef/>
      </w:r>
      <w:r>
        <w:tab/>
        <w:t>Cette initiative contribue à la réalisation des priorités suivantes de la Commission: emploi, croissance et investissement; marché unique numérique; une union de l'énergie résiliente, dotée d'une politique clairvoyante en matière de changement climatique; un marché intérieur plus approfondi et plus équitable, doté d’une base industrielle renforcée; une Europe plus forte sur la scène internationale.</w:t>
      </w:r>
    </w:p>
  </w:footnote>
  <w:footnote w:id="10">
    <w:p w:rsidR="00976FB0" w:rsidRDefault="00976FB0">
      <w:pPr>
        <w:pStyle w:val="FootnoteText"/>
      </w:pPr>
      <w:r>
        <w:rPr>
          <w:rStyle w:val="FootnoteReference"/>
        </w:rPr>
        <w:footnoteRef/>
      </w:r>
      <w:r>
        <w:tab/>
      </w:r>
      <w:hyperlink r:id="rId1">
        <w:r>
          <w:rPr>
            <w:rStyle w:val="Hyperlink"/>
          </w:rPr>
          <w:t>«Une stratégie globale pour la politique étrangère et de sécurité de l'Union européenne»</w:t>
        </w:r>
      </w:hyperlink>
      <w:r>
        <w:t xml:space="preserve">, juin </w:t>
      </w:r>
      <w:r w:rsidRPr="0068119E">
        <w:t>2016</w:t>
      </w:r>
      <w:r>
        <w:t>.</w:t>
      </w:r>
    </w:p>
  </w:footnote>
  <w:footnote w:id="11">
    <w:p w:rsidR="00976FB0" w:rsidRPr="00266719" w:rsidRDefault="00976FB0">
      <w:pPr>
        <w:pStyle w:val="FootnoteText"/>
        <w:rPr>
          <w:lang w:val="fr-BE"/>
        </w:rPr>
      </w:pPr>
      <w:r>
        <w:rPr>
          <w:rStyle w:val="FootnoteReference"/>
        </w:rPr>
        <w:footnoteRef/>
      </w:r>
      <w:r>
        <w:tab/>
        <w:t xml:space="preserve">JO L </w:t>
      </w:r>
      <w:r w:rsidRPr="0068119E">
        <w:t>172</w:t>
      </w:r>
      <w:r>
        <w:t xml:space="preserve"> du </w:t>
      </w:r>
      <w:r w:rsidRPr="0068119E">
        <w:t>2</w:t>
      </w:r>
      <w:r>
        <w:t>.</w:t>
      </w:r>
      <w:r w:rsidRPr="0068119E">
        <w:t>7</w:t>
      </w:r>
      <w:r>
        <w:t>.</w:t>
      </w:r>
      <w:r w:rsidRPr="0068119E">
        <w:t>2009</w:t>
      </w:r>
      <w:r>
        <w:t>, p. </w:t>
      </w:r>
      <w:r w:rsidRPr="0068119E">
        <w:t>18</w:t>
      </w:r>
      <w:r>
        <w:t>.</w:t>
      </w:r>
    </w:p>
  </w:footnote>
  <w:footnote w:id="12">
    <w:p w:rsidR="00976FB0" w:rsidRPr="00266719" w:rsidRDefault="00976FB0">
      <w:pPr>
        <w:pStyle w:val="FootnoteText"/>
        <w:rPr>
          <w:lang w:val="fr-BE"/>
        </w:rPr>
      </w:pPr>
      <w:r>
        <w:rPr>
          <w:rStyle w:val="FootnoteReference"/>
        </w:rPr>
        <w:footnoteRef/>
      </w:r>
      <w:r>
        <w:tab/>
        <w:t xml:space="preserve">JO L </w:t>
      </w:r>
      <w:r w:rsidRPr="0068119E">
        <w:t>219</w:t>
      </w:r>
      <w:r>
        <w:t xml:space="preserve"> du </w:t>
      </w:r>
      <w:r w:rsidRPr="0068119E">
        <w:t>25</w:t>
      </w:r>
      <w:r>
        <w:t>.</w:t>
      </w:r>
      <w:r w:rsidRPr="0068119E">
        <w:t>7</w:t>
      </w:r>
      <w:r>
        <w:t>.</w:t>
      </w:r>
      <w:r w:rsidRPr="0068119E">
        <w:t>2014</w:t>
      </w:r>
      <w:r>
        <w:t>, p. </w:t>
      </w:r>
      <w:r w:rsidRPr="0068119E">
        <w:t>42</w:t>
      </w:r>
      <w:r>
        <w:t>.</w:t>
      </w:r>
    </w:p>
  </w:footnote>
  <w:footnote w:id="13">
    <w:p w:rsidR="00976FB0" w:rsidRPr="00266719" w:rsidRDefault="00976FB0">
      <w:pPr>
        <w:pStyle w:val="FootnoteText"/>
        <w:rPr>
          <w:lang w:val="fr-BE"/>
        </w:rPr>
      </w:pPr>
      <w:r>
        <w:rPr>
          <w:rStyle w:val="FootnoteReference"/>
        </w:rPr>
        <w:footnoteRef/>
      </w:r>
      <w:r>
        <w:tab/>
        <w:t xml:space="preserve">JO L </w:t>
      </w:r>
      <w:r w:rsidRPr="0068119E">
        <w:t>199</w:t>
      </w:r>
      <w:r>
        <w:t xml:space="preserve"> du </w:t>
      </w:r>
      <w:r w:rsidRPr="0068119E">
        <w:t>2</w:t>
      </w:r>
      <w:r>
        <w:t>.</w:t>
      </w:r>
      <w:r w:rsidRPr="0068119E">
        <w:t>8</w:t>
      </w:r>
      <w:r>
        <w:t>.</w:t>
      </w:r>
      <w:r w:rsidRPr="0068119E">
        <w:t>2011</w:t>
      </w:r>
      <w:r>
        <w:t>, p. </w:t>
      </w:r>
      <w:r w:rsidRPr="0068119E">
        <w:t>48</w:t>
      </w:r>
      <w:r>
        <w:t>.</w:t>
      </w:r>
    </w:p>
  </w:footnote>
  <w:footnote w:id="14">
    <w:p w:rsidR="00976FB0" w:rsidRDefault="00976FB0">
      <w:pPr>
        <w:pStyle w:val="FootnoteText"/>
      </w:pPr>
      <w:r>
        <w:rPr>
          <w:rStyle w:val="FootnoteReference"/>
        </w:rPr>
        <w:footnoteRef/>
      </w:r>
      <w:r>
        <w:tab/>
        <w:t xml:space="preserve">JO L </w:t>
      </w:r>
      <w:r w:rsidRPr="0068119E">
        <w:t>13</w:t>
      </w:r>
      <w:r>
        <w:t xml:space="preserve"> du </w:t>
      </w:r>
      <w:r w:rsidRPr="0068119E">
        <w:t>17</w:t>
      </w:r>
      <w:r>
        <w:t>.</w:t>
      </w:r>
      <w:r w:rsidRPr="0068119E">
        <w:t>1</w:t>
      </w:r>
      <w:r>
        <w:t>.</w:t>
      </w:r>
      <w:r w:rsidRPr="0068119E">
        <w:t>2014</w:t>
      </w:r>
      <w:r>
        <w:t>, p. </w:t>
      </w:r>
      <w:r w:rsidRPr="0068119E">
        <w:t>1</w:t>
      </w:r>
      <w:r>
        <w:t>.</w:t>
      </w:r>
    </w:p>
  </w:footnote>
  <w:footnote w:id="15">
    <w:p w:rsidR="00976FB0" w:rsidRDefault="00976FB0">
      <w:pPr>
        <w:pStyle w:val="FootnoteText"/>
      </w:pPr>
      <w:r>
        <w:rPr>
          <w:rStyle w:val="FootnoteReference"/>
        </w:rPr>
        <w:footnoteRef/>
      </w:r>
      <w:r>
        <w:tab/>
        <w:t>Programme européen en matière de sécurité [COM(</w:t>
      </w:r>
      <w:r w:rsidRPr="0068119E">
        <w:t>2015</w:t>
      </w:r>
      <w:r>
        <w:t xml:space="preserve">) </w:t>
      </w:r>
      <w:r w:rsidRPr="0068119E">
        <w:t>185</w:t>
      </w:r>
      <w:r>
        <w:t xml:space="preserve"> final]; plan d’action CBRN [COM (</w:t>
      </w:r>
      <w:r w:rsidRPr="0068119E">
        <w:t>2017</w:t>
      </w:r>
      <w:r>
        <w:t>) </w:t>
      </w:r>
      <w:r w:rsidRPr="0068119E">
        <w:t>610</w:t>
      </w:r>
      <w:r>
        <w:t xml:space="preserve"> final].</w:t>
      </w:r>
    </w:p>
  </w:footnote>
  <w:footnote w:id="16">
    <w:p w:rsidR="00976FB0" w:rsidRPr="00266719" w:rsidRDefault="00976FB0">
      <w:pPr>
        <w:pStyle w:val="FootnoteText"/>
        <w:rPr>
          <w:lang w:val="da-DK"/>
        </w:rPr>
      </w:pPr>
      <w:r>
        <w:rPr>
          <w:rStyle w:val="FootnoteReference"/>
        </w:rPr>
        <w:footnoteRef/>
      </w:r>
      <w:r w:rsidRPr="00266719">
        <w:rPr>
          <w:lang w:val="da-DK"/>
        </w:rPr>
        <w:tab/>
        <w:t>COM(</w:t>
      </w:r>
      <w:r w:rsidRPr="0068119E">
        <w:rPr>
          <w:lang w:val="da-DK"/>
        </w:rPr>
        <w:t>2017</w:t>
      </w:r>
      <w:r w:rsidRPr="00266719">
        <w:rPr>
          <w:lang w:val="da-DK"/>
        </w:rPr>
        <w:t xml:space="preserve">) </w:t>
      </w:r>
      <w:r w:rsidRPr="0068119E">
        <w:rPr>
          <w:lang w:val="da-DK"/>
        </w:rPr>
        <w:t>697</w:t>
      </w:r>
      <w:r w:rsidRPr="00266719">
        <w:rPr>
          <w:lang w:val="da-DK"/>
        </w:rPr>
        <w:t>, SWD(</w:t>
      </w:r>
      <w:r w:rsidRPr="0068119E">
        <w:rPr>
          <w:lang w:val="da-DK"/>
        </w:rPr>
        <w:t>2017</w:t>
      </w:r>
      <w:r w:rsidRPr="00266719">
        <w:rPr>
          <w:lang w:val="da-DK"/>
        </w:rPr>
        <w:t xml:space="preserve">) </w:t>
      </w:r>
      <w:r w:rsidRPr="0068119E">
        <w:rPr>
          <w:lang w:val="da-DK"/>
        </w:rPr>
        <w:t>426</w:t>
      </w:r>
      <w:r w:rsidRPr="00266719">
        <w:rPr>
          <w:lang w:val="da-DK"/>
        </w:rPr>
        <w:t xml:space="preserve"> et </w:t>
      </w:r>
      <w:r w:rsidRPr="0068119E">
        <w:rPr>
          <w:lang w:val="da-DK"/>
        </w:rPr>
        <w:t>427</w:t>
      </w:r>
      <w:r w:rsidRPr="00266719">
        <w:rPr>
          <w:lang w:val="da-DK"/>
        </w:rPr>
        <w:t>.</w:t>
      </w:r>
    </w:p>
  </w:footnote>
  <w:footnote w:id="17">
    <w:p w:rsidR="00976FB0" w:rsidRPr="00266719" w:rsidRDefault="00976FB0">
      <w:pPr>
        <w:pStyle w:val="FootnoteText"/>
        <w:rPr>
          <w:lang w:val="da-DK"/>
        </w:rPr>
      </w:pPr>
      <w:r>
        <w:rPr>
          <w:rStyle w:val="FootnoteReference"/>
        </w:rPr>
        <w:footnoteRef/>
      </w:r>
      <w:r w:rsidRPr="00266719">
        <w:rPr>
          <w:lang w:val="da-DK"/>
        </w:rPr>
        <w:tab/>
      </w:r>
      <w:hyperlink r:id="rId2">
        <w:r w:rsidRPr="00266719">
          <w:rPr>
            <w:rStyle w:val="Hyperlink"/>
            <w:lang w:val="da-DK"/>
          </w:rPr>
          <w:t>https://ec.europa.eu/research/evaluations/index_en.cfm?pg=h</w:t>
        </w:r>
        <w:r w:rsidRPr="0068119E">
          <w:rPr>
            <w:rStyle w:val="Hyperlink"/>
            <w:lang w:val="da-DK"/>
          </w:rPr>
          <w:t>2020</w:t>
        </w:r>
        <w:r w:rsidRPr="00266719">
          <w:rPr>
            <w:rStyle w:val="Hyperlink"/>
            <w:lang w:val="da-DK"/>
          </w:rPr>
          <w:t>evaluation</w:t>
        </w:r>
      </w:hyperlink>
      <w:r w:rsidRPr="00266719">
        <w:rPr>
          <w:lang w:val="da-DK"/>
        </w:rPr>
        <w:t xml:space="preserve"> </w:t>
      </w:r>
    </w:p>
  </w:footnote>
  <w:footnote w:id="18">
    <w:p w:rsidR="00976FB0" w:rsidRDefault="00976FB0">
      <w:pPr>
        <w:pStyle w:val="FootnoteText"/>
      </w:pPr>
      <w:r>
        <w:rPr>
          <w:rStyle w:val="FootnoteReference"/>
        </w:rPr>
        <w:footnoteRef/>
      </w:r>
      <w:r>
        <w:tab/>
        <w:t xml:space="preserve">Accord interinstitutionnel du </w:t>
      </w:r>
      <w:r w:rsidRPr="0068119E">
        <w:t>13</w:t>
      </w:r>
      <w:r>
        <w:t> avril </w:t>
      </w:r>
      <w:r w:rsidRPr="0068119E">
        <w:t>2016</w:t>
      </w:r>
      <w:r>
        <w:t xml:space="preserve"> entre le Parlement européen, le Conseil de l’Union européenne et la Commission européenne intitulé «Mieux légiférer» JO L </w:t>
      </w:r>
      <w:r w:rsidRPr="0068119E">
        <w:t>123</w:t>
      </w:r>
      <w:r>
        <w:t xml:space="preserve"> du </w:t>
      </w:r>
      <w:r w:rsidRPr="0068119E">
        <w:t>12</w:t>
      </w:r>
      <w:r>
        <w:t>.</w:t>
      </w:r>
      <w:r w:rsidRPr="0068119E">
        <w:t>5</w:t>
      </w:r>
      <w:r>
        <w:t>.</w:t>
      </w:r>
      <w:r w:rsidRPr="0068119E">
        <w:t>2016</w:t>
      </w:r>
      <w:r>
        <w:t xml:space="preserve">, p. </w:t>
      </w:r>
      <w:r w:rsidRPr="0068119E">
        <w:t>1</w:t>
      </w:r>
      <w:r>
        <w:t>-</w:t>
      </w:r>
      <w:r w:rsidRPr="0068119E">
        <w:t>14</w:t>
      </w:r>
      <w:r>
        <w:t>.</w:t>
      </w:r>
    </w:p>
  </w:footnote>
  <w:footnote w:id="19">
    <w:p w:rsidR="00976FB0" w:rsidRDefault="00976FB0">
      <w:pPr>
        <w:pStyle w:val="FootnoteText"/>
      </w:pPr>
      <w:r>
        <w:rPr>
          <w:rStyle w:val="FootnoteReference"/>
        </w:rPr>
        <w:footnoteRef/>
      </w:r>
      <w:r>
        <w:tab/>
        <w:t>Avis du ... Avis rendu à la suite d’une consultation facultative.</w:t>
      </w:r>
    </w:p>
  </w:footnote>
  <w:footnote w:id="20">
    <w:p w:rsidR="00976FB0" w:rsidRDefault="00976FB0">
      <w:pPr>
        <w:pStyle w:val="FootnoteText"/>
      </w:pPr>
      <w:r>
        <w:rPr>
          <w:rStyle w:val="FootnoteReference"/>
        </w:rPr>
        <w:footnoteRef/>
      </w:r>
      <w:r>
        <w:tab/>
        <w:t>JO C [...] du [...]. Avis rendu à la suite d’une consultation facultative.</w:t>
      </w:r>
    </w:p>
  </w:footnote>
  <w:footnote w:id="21">
    <w:p w:rsidR="00976FB0" w:rsidRDefault="00976FB0">
      <w:pPr>
        <w:pStyle w:val="FootnoteText"/>
      </w:pPr>
      <w:r>
        <w:rPr>
          <w:rStyle w:val="FootnoteReference"/>
        </w:rPr>
        <w:footnoteRef/>
      </w:r>
      <w:r>
        <w:tab/>
        <w:t>Règlement (UE) nº [...] du Parlement européen et du Conseil du [...] établissant le neuvième programme-cadre pour la recherche et l'innovation (FP</w:t>
      </w:r>
      <w:r w:rsidRPr="0068119E">
        <w:t>9</w:t>
      </w:r>
      <w:r>
        <w:t>) de l'UE (</w:t>
      </w:r>
      <w:r w:rsidRPr="0068119E">
        <w:t>2021</w:t>
      </w:r>
      <w:r>
        <w:t>–</w:t>
      </w:r>
      <w:r w:rsidRPr="0068119E">
        <w:t>2027</w:t>
      </w:r>
      <w:r>
        <w:t>) et abrogeant le règlement (UE) nº </w:t>
      </w:r>
      <w:r w:rsidRPr="0068119E">
        <w:t>1291</w:t>
      </w:r>
      <w:r>
        <w:t>/</w:t>
      </w:r>
      <w:r w:rsidRPr="0068119E">
        <w:t>2013</w:t>
      </w:r>
      <w:r>
        <w:t>/CE (JO […]).</w:t>
      </w:r>
    </w:p>
  </w:footnote>
  <w:footnote w:id="22">
    <w:p w:rsidR="00976FB0" w:rsidRPr="00513FB2" w:rsidRDefault="00976FB0">
      <w:pPr>
        <w:pStyle w:val="FootnoteText"/>
      </w:pPr>
      <w:r>
        <w:rPr>
          <w:rStyle w:val="FootnoteReference"/>
        </w:rPr>
        <w:footnoteRef/>
      </w:r>
      <w:r>
        <w:tab/>
      </w:r>
    </w:p>
  </w:footnote>
  <w:footnote w:id="23">
    <w:p w:rsidR="00976FB0" w:rsidRDefault="00976FB0">
      <w:pPr>
        <w:pStyle w:val="FootnoteText"/>
      </w:pPr>
      <w:r>
        <w:rPr>
          <w:rStyle w:val="FootnoteReference"/>
        </w:rPr>
        <w:footnoteRef/>
      </w:r>
      <w:r>
        <w:tab/>
        <w:t>Règlement (UE, Euratom) nº </w:t>
      </w:r>
      <w:r w:rsidRPr="0068119E">
        <w:t>883</w:t>
      </w:r>
      <w:r>
        <w:t>/</w:t>
      </w:r>
      <w:r w:rsidRPr="0068119E">
        <w:t>2013</w:t>
      </w:r>
      <w:r>
        <w:t xml:space="preserve"> du Parlement européen et du Conseil du </w:t>
      </w:r>
      <w:r w:rsidRPr="0068119E">
        <w:t>11</w:t>
      </w:r>
      <w:r>
        <w:t xml:space="preserve"> septembre </w:t>
      </w:r>
      <w:r w:rsidRPr="0068119E">
        <w:t>2013</w:t>
      </w:r>
      <w:r>
        <w:t xml:space="preserve"> relatif aux enquêtes effectuées par l'Office européen de lutte antifraude (OLAF) et abrogeant le règlement (CE) nº </w:t>
      </w:r>
      <w:r w:rsidRPr="0068119E">
        <w:t>1073</w:t>
      </w:r>
      <w:r>
        <w:t>/</w:t>
      </w:r>
      <w:r w:rsidRPr="0068119E">
        <w:t>1999</w:t>
      </w:r>
      <w:r>
        <w:t xml:space="preserve"> du Parlement européen et du Conseil et le règlement (Euratom) nº </w:t>
      </w:r>
      <w:r w:rsidRPr="0068119E">
        <w:t>1074</w:t>
      </w:r>
      <w:r>
        <w:t>/</w:t>
      </w:r>
      <w:r w:rsidRPr="0068119E">
        <w:t>1999</w:t>
      </w:r>
      <w:r>
        <w:t xml:space="preserve"> du Conseil (JO L </w:t>
      </w:r>
      <w:r w:rsidRPr="0068119E">
        <w:t>248</w:t>
      </w:r>
      <w:r>
        <w:t xml:space="preserve"> du </w:t>
      </w:r>
      <w:r w:rsidRPr="0068119E">
        <w:t>18</w:t>
      </w:r>
      <w:r>
        <w:t>.</w:t>
      </w:r>
      <w:r w:rsidRPr="0068119E">
        <w:t>9</w:t>
      </w:r>
      <w:r>
        <w:t>.</w:t>
      </w:r>
      <w:r w:rsidRPr="0068119E">
        <w:t>2013</w:t>
      </w:r>
      <w:r>
        <w:t>, p. </w:t>
      </w:r>
      <w:r w:rsidRPr="0068119E">
        <w:t>1</w:t>
      </w:r>
      <w:r>
        <w:t>).</w:t>
      </w:r>
    </w:p>
  </w:footnote>
  <w:footnote w:id="24">
    <w:p w:rsidR="00976FB0" w:rsidRDefault="00976FB0">
      <w:pPr>
        <w:pStyle w:val="FootnoteText"/>
      </w:pPr>
      <w:r>
        <w:rPr>
          <w:rStyle w:val="FootnoteReference"/>
        </w:rPr>
        <w:footnoteRef/>
      </w:r>
      <w:r>
        <w:tab/>
        <w:t>Règlement (CE, Euratom) nº </w:t>
      </w:r>
      <w:r w:rsidRPr="0068119E">
        <w:t>2988</w:t>
      </w:r>
      <w:r>
        <w:t>/</w:t>
      </w:r>
      <w:r w:rsidRPr="0068119E">
        <w:t>95</w:t>
      </w:r>
      <w:r>
        <w:t xml:space="preserve"> du Conseil du </w:t>
      </w:r>
      <w:r w:rsidRPr="0068119E">
        <w:t>18</w:t>
      </w:r>
      <w:r>
        <w:t xml:space="preserve"> décembre </w:t>
      </w:r>
      <w:r w:rsidRPr="0068119E">
        <w:t>1995</w:t>
      </w:r>
      <w:r>
        <w:t xml:space="preserve"> relatif à la protection des intérêts financiers des Communautés européennes (JO L </w:t>
      </w:r>
      <w:r w:rsidRPr="0068119E">
        <w:t>312</w:t>
      </w:r>
      <w:r>
        <w:t xml:space="preserve"> du </w:t>
      </w:r>
      <w:r w:rsidRPr="0068119E">
        <w:t>23</w:t>
      </w:r>
      <w:r>
        <w:t>.</w:t>
      </w:r>
      <w:r w:rsidRPr="0068119E">
        <w:t>12</w:t>
      </w:r>
      <w:r>
        <w:t>.</w:t>
      </w:r>
      <w:r w:rsidRPr="0068119E">
        <w:t>1995</w:t>
      </w:r>
      <w:r>
        <w:t>, p. </w:t>
      </w:r>
      <w:r w:rsidRPr="0068119E">
        <w:t>1</w:t>
      </w:r>
      <w:r>
        <w:t>).</w:t>
      </w:r>
    </w:p>
  </w:footnote>
  <w:footnote w:id="25">
    <w:p w:rsidR="00976FB0" w:rsidRDefault="00976FB0">
      <w:pPr>
        <w:pStyle w:val="FootnoteText"/>
      </w:pPr>
      <w:r>
        <w:rPr>
          <w:rStyle w:val="FootnoteReference"/>
        </w:rPr>
        <w:footnoteRef/>
      </w:r>
      <w:r>
        <w:tab/>
        <w:t>Règlement (Euratom, CE) nº </w:t>
      </w:r>
      <w:r w:rsidRPr="0068119E">
        <w:t>2185</w:t>
      </w:r>
      <w:r>
        <w:t>/</w:t>
      </w:r>
      <w:r w:rsidRPr="0068119E">
        <w:t>96</w:t>
      </w:r>
      <w:r>
        <w:t xml:space="preserve"> du Conseil du </w:t>
      </w:r>
      <w:r w:rsidRPr="0068119E">
        <w:t>11</w:t>
      </w:r>
      <w:r>
        <w:t xml:space="preserve"> novembre </w:t>
      </w:r>
      <w:r w:rsidRPr="0068119E">
        <w:t>1996</w:t>
      </w:r>
      <w:r>
        <w:t xml:space="preserve"> relatif aux contrôles et vérifications sur place effectués par la Commission pour la protection des intérêts financiers des Communautés européennes contre les fraudes et autres irrégularités (JO L </w:t>
      </w:r>
      <w:r w:rsidRPr="0068119E">
        <w:t>292</w:t>
      </w:r>
      <w:r>
        <w:t xml:space="preserve"> du </w:t>
      </w:r>
      <w:r w:rsidRPr="0068119E">
        <w:t>15</w:t>
      </w:r>
      <w:r>
        <w:t>.</w:t>
      </w:r>
      <w:r w:rsidRPr="0068119E">
        <w:t>11</w:t>
      </w:r>
      <w:r>
        <w:t>.</w:t>
      </w:r>
      <w:r w:rsidRPr="0068119E">
        <w:t>1996</w:t>
      </w:r>
      <w:r>
        <w:t>, p. </w:t>
      </w:r>
      <w:r w:rsidRPr="0068119E">
        <w:t>2</w:t>
      </w:r>
      <w:r>
        <w:t>).</w:t>
      </w:r>
    </w:p>
  </w:footnote>
  <w:footnote w:id="26">
    <w:p w:rsidR="00976FB0" w:rsidRDefault="00976FB0">
      <w:pPr>
        <w:pStyle w:val="FootnoteText"/>
      </w:pPr>
      <w:r>
        <w:rPr>
          <w:rStyle w:val="FootnoteReference"/>
        </w:rPr>
        <w:footnoteRef/>
      </w:r>
      <w:r>
        <w:tab/>
        <w:t xml:space="preserve">Règlement (UE) </w:t>
      </w:r>
      <w:r w:rsidRPr="0068119E">
        <w:t>2017</w:t>
      </w:r>
      <w:r>
        <w:t>/</w:t>
      </w:r>
      <w:r w:rsidRPr="0068119E">
        <w:t>1939</w:t>
      </w:r>
      <w:r>
        <w:t xml:space="preserve"> du Conseil du </w:t>
      </w:r>
      <w:r w:rsidRPr="0068119E">
        <w:t>12</w:t>
      </w:r>
      <w:r>
        <w:t xml:space="preserve"> octobre </w:t>
      </w:r>
      <w:r w:rsidRPr="0068119E">
        <w:t>2017</w:t>
      </w:r>
      <w:r>
        <w:t xml:space="preserve"> mettant en œuvre une coopération renforcée concernant la création du Parquet européen (JO L </w:t>
      </w:r>
      <w:r w:rsidRPr="0068119E">
        <w:t>283</w:t>
      </w:r>
      <w:r>
        <w:t xml:space="preserve"> du </w:t>
      </w:r>
      <w:r w:rsidRPr="0068119E">
        <w:t>31</w:t>
      </w:r>
      <w:r>
        <w:t>.</w:t>
      </w:r>
      <w:r w:rsidRPr="0068119E">
        <w:t>10</w:t>
      </w:r>
      <w:r>
        <w:t>.</w:t>
      </w:r>
      <w:r w:rsidRPr="0068119E">
        <w:t>2017</w:t>
      </w:r>
      <w:r>
        <w:t>, p. </w:t>
      </w:r>
      <w:r w:rsidRPr="0068119E">
        <w:t>1</w:t>
      </w:r>
      <w:r>
        <w:t>).</w:t>
      </w:r>
    </w:p>
  </w:footnote>
  <w:footnote w:id="27">
    <w:p w:rsidR="00976FB0" w:rsidRDefault="00976FB0">
      <w:pPr>
        <w:pStyle w:val="FootnoteText"/>
      </w:pPr>
      <w:r>
        <w:rPr>
          <w:rStyle w:val="FootnoteReference"/>
        </w:rPr>
        <w:footnoteRef/>
      </w:r>
      <w:r>
        <w:tab/>
        <w:t xml:space="preserve">Directive (UE) </w:t>
      </w:r>
      <w:r w:rsidRPr="0068119E">
        <w:t>2017</w:t>
      </w:r>
      <w:r>
        <w:t>/</w:t>
      </w:r>
      <w:r w:rsidRPr="0068119E">
        <w:t>1371</w:t>
      </w:r>
      <w:r>
        <w:t xml:space="preserve"> du Parlement européen et du Conseil du </w:t>
      </w:r>
      <w:r w:rsidRPr="0068119E">
        <w:t>5</w:t>
      </w:r>
      <w:r>
        <w:t xml:space="preserve"> juillet </w:t>
      </w:r>
      <w:r w:rsidRPr="0068119E">
        <w:t>2017</w:t>
      </w:r>
      <w:r>
        <w:t xml:space="preserve"> relative à la lutte contre la fraude portant atteinte aux intérêts financiers de l’Union au moyen du droit pénal (JO L </w:t>
      </w:r>
      <w:r w:rsidRPr="0068119E">
        <w:t>198</w:t>
      </w:r>
      <w:r>
        <w:t xml:space="preserve"> du </w:t>
      </w:r>
      <w:r w:rsidRPr="0068119E">
        <w:t>28</w:t>
      </w:r>
      <w:r>
        <w:t>.</w:t>
      </w:r>
      <w:r w:rsidRPr="0068119E">
        <w:t>7</w:t>
      </w:r>
      <w:r>
        <w:t>.</w:t>
      </w:r>
      <w:r w:rsidRPr="0068119E">
        <w:t>2017</w:t>
      </w:r>
      <w:r>
        <w:t>, p. </w:t>
      </w:r>
      <w:r w:rsidRPr="0068119E">
        <w:t>29</w:t>
      </w:r>
      <w:r>
        <w:t>).</w:t>
      </w:r>
    </w:p>
  </w:footnote>
  <w:footnote w:id="28">
    <w:p w:rsidR="00976FB0" w:rsidRDefault="00976FB0">
      <w:pPr>
        <w:pStyle w:val="FootnoteText"/>
      </w:pPr>
      <w:r>
        <w:rPr>
          <w:rStyle w:val="FootnoteReference"/>
        </w:rPr>
        <w:footnoteRef/>
      </w:r>
      <w:r>
        <w:tab/>
        <w:t>Règlement (UE) nº </w:t>
      </w:r>
      <w:r w:rsidRPr="0068119E">
        <w:t>182</w:t>
      </w:r>
      <w:r>
        <w:t>/</w:t>
      </w:r>
      <w:r w:rsidRPr="0068119E">
        <w:t>2011</w:t>
      </w:r>
      <w:r>
        <w:t xml:space="preserve"> du Parlement européen et du Conseil du </w:t>
      </w:r>
      <w:r w:rsidRPr="0068119E">
        <w:t>16</w:t>
      </w:r>
      <w:r>
        <w:t xml:space="preserve"> février </w:t>
      </w:r>
      <w:r w:rsidRPr="0068119E">
        <w:t>2011</w:t>
      </w:r>
      <w:r>
        <w:t xml:space="preserve"> établissant les règles et principes généraux relatifs aux modalités de contrôle par les États membres de l’exercice des compétences d’exécution par la Commission (JO L </w:t>
      </w:r>
      <w:r w:rsidRPr="0068119E">
        <w:t>55</w:t>
      </w:r>
      <w:r>
        <w:t xml:space="preserve"> du </w:t>
      </w:r>
      <w:r w:rsidRPr="0068119E">
        <w:t>28</w:t>
      </w:r>
      <w:r>
        <w:t>.</w:t>
      </w:r>
      <w:r w:rsidRPr="0068119E">
        <w:t>2</w:t>
      </w:r>
      <w:r>
        <w:t>.</w:t>
      </w:r>
      <w:r w:rsidRPr="0068119E">
        <w:t>2011</w:t>
      </w:r>
      <w:r>
        <w:t>, p. </w:t>
      </w:r>
      <w:r w:rsidRPr="0068119E">
        <w:t>13</w:t>
      </w:r>
      <w:r>
        <w:t>).</w:t>
      </w:r>
    </w:p>
  </w:footnote>
  <w:footnote w:id="29">
    <w:p w:rsidR="00976FB0" w:rsidRDefault="00976FB0">
      <w:pPr>
        <w:pStyle w:val="NoSpacing"/>
      </w:pPr>
      <w:r>
        <w:rPr>
          <w:rStyle w:val="FootnoteReference"/>
        </w:rPr>
        <w:footnoteRef/>
      </w:r>
      <w:r>
        <w:tab/>
      </w:r>
      <w:r>
        <w:rPr>
          <w:sz w:val="20"/>
        </w:rPr>
        <w:t xml:space="preserve">Décision </w:t>
      </w:r>
      <w:r w:rsidRPr="0068119E">
        <w:rPr>
          <w:sz w:val="20"/>
        </w:rPr>
        <w:t>96</w:t>
      </w:r>
      <w:r>
        <w:rPr>
          <w:sz w:val="20"/>
        </w:rPr>
        <w:t>/</w:t>
      </w:r>
      <w:r w:rsidRPr="0068119E">
        <w:rPr>
          <w:sz w:val="20"/>
        </w:rPr>
        <w:t>282</w:t>
      </w:r>
      <w:r>
        <w:rPr>
          <w:sz w:val="20"/>
        </w:rPr>
        <w:t xml:space="preserve">/Euratom de la Commission du </w:t>
      </w:r>
      <w:r w:rsidRPr="0068119E">
        <w:rPr>
          <w:sz w:val="20"/>
        </w:rPr>
        <w:t>10</w:t>
      </w:r>
      <w:r>
        <w:rPr>
          <w:sz w:val="20"/>
        </w:rPr>
        <w:t xml:space="preserve"> avril </w:t>
      </w:r>
      <w:r w:rsidRPr="0068119E">
        <w:rPr>
          <w:sz w:val="20"/>
        </w:rPr>
        <w:t>1996</w:t>
      </w:r>
      <w:r>
        <w:rPr>
          <w:sz w:val="20"/>
        </w:rPr>
        <w:t xml:space="preserve"> portant réorganisation du Centre commun de </w:t>
      </w:r>
      <w:r w:rsidR="009060C2">
        <w:rPr>
          <w:sz w:val="20"/>
        </w:rPr>
        <w:tab/>
      </w:r>
      <w:r>
        <w:rPr>
          <w:sz w:val="20"/>
        </w:rPr>
        <w:t xml:space="preserve">recherche (JO L </w:t>
      </w:r>
      <w:r>
        <w:tab/>
      </w:r>
      <w:r w:rsidRPr="0068119E">
        <w:rPr>
          <w:sz w:val="20"/>
        </w:rPr>
        <w:t>107</w:t>
      </w:r>
      <w:r>
        <w:rPr>
          <w:sz w:val="20"/>
        </w:rPr>
        <w:t xml:space="preserve"> du </w:t>
      </w:r>
      <w:r w:rsidRPr="0068119E">
        <w:rPr>
          <w:sz w:val="20"/>
        </w:rPr>
        <w:t>30</w:t>
      </w:r>
      <w:r>
        <w:rPr>
          <w:sz w:val="20"/>
        </w:rPr>
        <w:t>.</w:t>
      </w:r>
      <w:r w:rsidRPr="0068119E">
        <w:rPr>
          <w:sz w:val="20"/>
        </w:rPr>
        <w:t>4</w:t>
      </w:r>
      <w:r>
        <w:rPr>
          <w:sz w:val="20"/>
        </w:rPr>
        <w:t>.</w:t>
      </w:r>
      <w:r w:rsidRPr="0068119E">
        <w:rPr>
          <w:sz w:val="20"/>
        </w:rPr>
        <w:t>1996</w:t>
      </w:r>
      <w:r>
        <w:rPr>
          <w:sz w:val="20"/>
        </w:rPr>
        <w:t xml:space="preserve">, p. </w:t>
      </w:r>
      <w:r w:rsidRPr="0068119E">
        <w:rPr>
          <w:sz w:val="20"/>
        </w:rPr>
        <w:t>12</w:t>
      </w:r>
      <w:r>
        <w:rPr>
          <w:sz w:val="20"/>
        </w:rPr>
        <w:t>).</w:t>
      </w:r>
    </w:p>
  </w:footnote>
  <w:footnote w:id="30">
    <w:p w:rsidR="00976FB0" w:rsidRDefault="00976FB0">
      <w:pPr>
        <w:pStyle w:val="FootnoteText"/>
      </w:pPr>
      <w:r>
        <w:rPr>
          <w:rStyle w:val="FootnoteReference"/>
        </w:rPr>
        <w:footnoteRef/>
      </w:r>
      <w:r>
        <w:tab/>
        <w:t>Titre complet + référence JO</w:t>
      </w:r>
    </w:p>
  </w:footnote>
  <w:footnote w:id="31">
    <w:p w:rsidR="00976FB0" w:rsidRDefault="00976FB0" w:rsidP="00EF4030">
      <w:pPr>
        <w:pStyle w:val="FootnoteText"/>
      </w:pPr>
      <w:r>
        <w:rPr>
          <w:rStyle w:val="FootnoteReference"/>
        </w:rPr>
        <w:footnoteRef/>
      </w:r>
      <w:r>
        <w:tab/>
      </w:r>
    </w:p>
  </w:footnote>
  <w:footnote w:id="32">
    <w:p w:rsidR="00976FB0" w:rsidRDefault="00976FB0">
      <w:pPr>
        <w:pStyle w:val="FootnoteText"/>
        <w:rPr>
          <w:szCs w:val="24"/>
        </w:rPr>
      </w:pPr>
      <w:r>
        <w:rPr>
          <w:rStyle w:val="FootnoteReference"/>
        </w:rPr>
        <w:footnoteRef/>
      </w:r>
      <w:r>
        <w:tab/>
        <w:t>Tel(le) que visé(e) à l’article </w:t>
      </w:r>
      <w:r w:rsidRPr="0068119E">
        <w:t>58</w:t>
      </w:r>
      <w:r>
        <w:t>, paragraphe </w:t>
      </w:r>
      <w:r w:rsidRPr="0068119E">
        <w:t>2</w:t>
      </w:r>
      <w:r>
        <w:t>, point a) ou b), du règlement financier.</w:t>
      </w:r>
    </w:p>
  </w:footnote>
  <w:footnote w:id="33">
    <w:p w:rsidR="00976FB0" w:rsidRDefault="00976FB0">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w:t>
      </w:r>
      <w:proofErr w:type="spellStart"/>
      <w:r>
        <w:t>BudgWeb</w:t>
      </w:r>
      <w:proofErr w:type="spellEnd"/>
      <w:r>
        <w:t xml:space="preserve">: </w:t>
      </w:r>
      <w:hyperlink r:id="rId3">
        <w:r>
          <w:rPr>
            <w:rStyle w:val="Hyperlink"/>
          </w:rPr>
          <w:t>https://myintracomm.ec.europa.eu/budgweb/FR/man/budgmanag/Pages/budgmanag.aspx</w:t>
        </w:r>
      </w:hyperlink>
      <w:r>
        <w:t xml:space="preserve"> </w:t>
      </w:r>
    </w:p>
  </w:footnote>
  <w:footnote w:id="34">
    <w:p w:rsidR="00976FB0" w:rsidRDefault="00976FB0">
      <w:pPr>
        <w:pStyle w:val="FootnoteText"/>
      </w:pPr>
      <w:r>
        <w:rPr>
          <w:rStyle w:val="FootnoteReference"/>
        </w:rPr>
        <w:footnoteRef/>
      </w:r>
      <w:r>
        <w:tab/>
        <w:t>Pourcentage de la valeur en EUR en comparaison de tous les ajustements des coûts directs en faveur du budget de l'Union.</w:t>
      </w:r>
    </w:p>
  </w:footnote>
  <w:footnote w:id="35">
    <w:p w:rsidR="00976FB0" w:rsidRDefault="00976FB0">
      <w:pPr>
        <w:pStyle w:val="FootnoteText"/>
        <w:rPr>
          <w:szCs w:val="24"/>
        </w:rPr>
      </w:pPr>
      <w:r>
        <w:rPr>
          <w:rStyle w:val="FootnoteReference"/>
        </w:rPr>
        <w:footnoteRef/>
      </w:r>
      <w:r>
        <w:tab/>
        <w:t>CD = crédits dissociés/CND = crédits non dissociés.</w:t>
      </w:r>
    </w:p>
  </w:footnote>
  <w:footnote w:id="36">
    <w:p w:rsidR="00976FB0" w:rsidRDefault="00976FB0">
      <w:pPr>
        <w:pStyle w:val="FootnoteText"/>
        <w:rPr>
          <w:szCs w:val="24"/>
        </w:rPr>
      </w:pPr>
      <w:r>
        <w:rPr>
          <w:rStyle w:val="FootnoteReference"/>
        </w:rPr>
        <w:footnoteRef/>
      </w:r>
      <w:r>
        <w:tab/>
        <w:t xml:space="preserve">AELE: Association européenne de libre-échange. </w:t>
      </w:r>
    </w:p>
  </w:footnote>
  <w:footnote w:id="37">
    <w:p w:rsidR="00976FB0" w:rsidRDefault="00976FB0">
      <w:pPr>
        <w:pStyle w:val="FootnoteText"/>
      </w:pPr>
      <w:r>
        <w:rPr>
          <w:rStyle w:val="FootnoteReference"/>
        </w:rPr>
        <w:footnoteRef/>
      </w:r>
      <w:r>
        <w:tab/>
        <w:t>Pays candidats et, le cas échéant, candidats potentiels des Balkans occidentaux.</w:t>
      </w:r>
    </w:p>
  </w:footnote>
  <w:footnote w:id="38">
    <w:p w:rsidR="00976FB0" w:rsidRDefault="00976FB0">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39">
    <w:p w:rsidR="00976FB0" w:rsidRDefault="00976FB0">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0">
    <w:p w:rsidR="00976FB0" w:rsidRDefault="00976FB0">
      <w:pPr>
        <w:pStyle w:val="FootnoteText"/>
      </w:pPr>
      <w:r>
        <w:rPr>
          <w:rStyle w:val="FootnoteReference"/>
        </w:rPr>
        <w:footnoteRef/>
      </w:r>
      <w:r>
        <w:tab/>
        <w:t xml:space="preserve">Ces chiffres n'incluent que le personnel autorisé en place en </w:t>
      </w:r>
      <w:r w:rsidRPr="0068119E">
        <w:t>2020</w:t>
      </w:r>
      <w:r>
        <w:t xml:space="preserve"> dans les directions générales et n'incluent pas le personnel supplémentaire payé par les contributions des futurs pays associés ni le personnel nécessaire dans le cas où la Commission décide, si elle le juge nécessaire, de déléguer la réalisation de certaines parties du programme conformément à l'article </w:t>
      </w:r>
      <w:r w:rsidRPr="0068119E">
        <w:t>10</w:t>
      </w:r>
      <w:r>
        <w:t xml:space="preserve"> du traité Euratom. </w:t>
      </w:r>
    </w:p>
  </w:footnote>
  <w:footnote w:id="41">
    <w:p w:rsidR="00976FB0" w:rsidRDefault="00976FB0">
      <w:pPr>
        <w:pStyle w:val="FootnoteText"/>
      </w:pPr>
      <w:r>
        <w:rPr>
          <w:rStyle w:val="FootnoteReference"/>
        </w:rPr>
        <w:footnoteRef/>
      </w:r>
      <w:r>
        <w:tab/>
        <w:t>Ces chiffres représentent une estimation des dépenses administratives maximales nécessaires à la mise en œuvre de la base légale.</w:t>
      </w:r>
    </w:p>
  </w:footnote>
  <w:footnote w:id="42">
    <w:p w:rsidR="00976FB0" w:rsidRDefault="00976FB0">
      <w:pPr>
        <w:pStyle w:val="FootnoteText"/>
        <w:rPr>
          <w:szCs w:val="24"/>
        </w:rPr>
      </w:pPr>
      <w:r>
        <w:rPr>
          <w:rStyle w:val="FootnoteReference"/>
        </w:rPr>
        <w:footnoteRef/>
      </w:r>
      <w:r>
        <w:tab/>
        <w:t>Sous-plafonds de personnel externe financés sur crédits opérationnels (anciennes lignes «BA»).</w:t>
      </w:r>
    </w:p>
  </w:footnote>
  <w:footnote w:id="43">
    <w:p w:rsidR="00976FB0" w:rsidRDefault="00976FB0">
      <w:pPr>
        <w:pStyle w:val="FootnoteText"/>
      </w:pPr>
      <w:r>
        <w:rPr>
          <w:rStyle w:val="FootnoteReference"/>
        </w:rPr>
        <w:footnoteRef/>
      </w:r>
      <w:r>
        <w:tab/>
        <w:t>Les accords bilatéraux d’association ne sont pas encore établis. Les contributions des pays associés viendront s’ajouter aux montants présentés dans la présente fiche financière législative.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82" w:rsidRDefault="005E5E8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FB0" w:rsidRPr="00955F36" w:rsidRDefault="00976FB0" w:rsidP="00CE794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48" w:rsidRPr="00CE7948" w:rsidRDefault="00CE7948" w:rsidP="00CE7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82" w:rsidRDefault="005E5E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82" w:rsidRDefault="005E5E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48" w:rsidRPr="00CE7948" w:rsidRDefault="00CE7948" w:rsidP="00CE794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48" w:rsidRPr="00CE7948" w:rsidRDefault="00CE7948" w:rsidP="00CE794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FB0" w:rsidRPr="00955F36" w:rsidRDefault="00976FB0" w:rsidP="00CE794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48" w:rsidRPr="00CE7948" w:rsidRDefault="00CE7948" w:rsidP="00CE794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48" w:rsidRPr="00955F36" w:rsidRDefault="00CE7948" w:rsidP="00CE7948">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48" w:rsidRPr="00CE7948" w:rsidRDefault="00CE7948" w:rsidP="00CE7948">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4AD7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F0057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361D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E6C55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42C614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56AB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9280C708"/>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4"/>
  </w:num>
  <w:num w:numId="6">
    <w:abstractNumId w:val="3"/>
  </w:num>
  <w:num w:numId="7">
    <w:abstractNumId w:val="7"/>
  </w:num>
  <w:num w:numId="8">
    <w:abstractNumId w:val="16"/>
  </w:num>
  <w:num w:numId="9">
    <w:abstractNumId w:val="15"/>
  </w:num>
  <w:num w:numId="10">
    <w:abstractNumId w:val="23"/>
  </w:num>
  <w:num w:numId="11">
    <w:abstractNumId w:val="0"/>
  </w:num>
  <w:num w:numId="12">
    <w:abstractNumId w:val="1"/>
  </w:num>
  <w:num w:numId="13">
    <w:abstractNumId w:val="20"/>
    <w:lvlOverride w:ilvl="0">
      <w:startOverride w:val="1"/>
    </w:lvlOverride>
  </w:num>
  <w:num w:numId="14">
    <w:abstractNumId w:val="20"/>
    <w:lvlOverride w:ilvl="0">
      <w:startOverride w:val="1"/>
    </w:lvlOverride>
  </w:num>
  <w:num w:numId="15">
    <w:abstractNumId w:val="18"/>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2"/>
  </w:num>
  <w:num w:numId="26">
    <w:abstractNumId w:val="22"/>
  </w:num>
  <w:num w:numId="27">
    <w:abstractNumId w:val="11"/>
  </w:num>
  <w:num w:numId="28">
    <w:abstractNumId w:val="13"/>
  </w:num>
  <w:num w:numId="29">
    <w:abstractNumId w:val="9"/>
  </w:num>
  <w:num w:numId="30">
    <w:abstractNumId w:val="21"/>
  </w:num>
  <w:num w:numId="31">
    <w:abstractNumId w:val="8"/>
  </w:num>
  <w:num w:numId="32">
    <w:abstractNumId w:val="14"/>
  </w:num>
  <w:num w:numId="33">
    <w:abstractNumId w:val="18"/>
  </w:num>
  <w:num w:numId="34">
    <w:abstractNumId w:val="19"/>
  </w:num>
  <w:num w:numId="35">
    <w:abstractNumId w:val="10"/>
  </w:num>
  <w:num w:numId="36">
    <w:abstractNumId w:val="17"/>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6 14:28: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2"/>
    <w:docVar w:name="DQCResult_StructureCheck" w:val="0;0"/>
    <w:docVar w:name="DQCResult_SuperfluousWhitespace" w:val="0;14"/>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5F0A12AD-48E6-4033-A938-44F7AAF7EB30"/>
    <w:docVar w:name="LW_COVERPAGE_TYPE" w:val="1"/>
    <w:docVar w:name="LW_CROSSREFERENCE" w:val="{SEC(2018) 291 final}_x000a_{SWD(2018) 307 final}_x000a_{SWD(2018) 308 final}_x000a_{SWD(2018) 309 final}"/>
    <w:docVar w:name="LW_DocType" w:val="COM"/>
    <w:docVar w:name="LW_EMISSION" w:val="7.6.2018"/>
    <w:docVar w:name="LW_EMISSION_ISODATE" w:val="2018-06-07"/>
    <w:docVar w:name="LW_EMISSION_LOCATION" w:val="BRX"/>
    <w:docVar w:name="LW_EMISSION_PREFIX" w:val="Bruxelles, le"/>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26"/>
    <w:docVar w:name="LW_REF.II.NEW.CP_YEAR" w:val="2018"/>
    <w:docVar w:name="LW_REF.INST.NEW" w:val="COM"/>
    <w:docVar w:name="LW_REF.INST.NEW_ADOPTED" w:val="final"/>
    <w:docVar w:name="LW_REF.INST.NEW_TEXT" w:val="(2018) 4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établissant le programme de recherche et de formation de la Communauté européenne de l\u8217?énergie atomique pour la période 2021\u8211?2025 complétant le programme-cadre pour la recherche et l\u8217?innovation «Horizon Europe»"/>
    <w:docVar w:name="LW_TYPE.DOC.CP" w:val="RÈGLEMENT DU CONSEIL"/>
  </w:docVars>
  <w:rsids>
    <w:rsidRoot w:val="00F26C3B"/>
    <w:rsid w:val="00036757"/>
    <w:rsid w:val="000711CA"/>
    <w:rsid w:val="00072536"/>
    <w:rsid w:val="000909C7"/>
    <w:rsid w:val="000941D9"/>
    <w:rsid w:val="000A0D54"/>
    <w:rsid w:val="000A207D"/>
    <w:rsid w:val="000B1E83"/>
    <w:rsid w:val="00146650"/>
    <w:rsid w:val="0015412D"/>
    <w:rsid w:val="00180422"/>
    <w:rsid w:val="001B3CF2"/>
    <w:rsid w:val="00201C70"/>
    <w:rsid w:val="002044C3"/>
    <w:rsid w:val="0021187D"/>
    <w:rsid w:val="00214D54"/>
    <w:rsid w:val="00224B6B"/>
    <w:rsid w:val="00266719"/>
    <w:rsid w:val="00270443"/>
    <w:rsid w:val="002746C8"/>
    <w:rsid w:val="002B33F0"/>
    <w:rsid w:val="002B7932"/>
    <w:rsid w:val="002D3EF3"/>
    <w:rsid w:val="002F0FBD"/>
    <w:rsid w:val="00313E5C"/>
    <w:rsid w:val="00331ACB"/>
    <w:rsid w:val="00354574"/>
    <w:rsid w:val="0037667E"/>
    <w:rsid w:val="003873D7"/>
    <w:rsid w:val="003B59CD"/>
    <w:rsid w:val="003D1B65"/>
    <w:rsid w:val="004175DC"/>
    <w:rsid w:val="0042068C"/>
    <w:rsid w:val="00451F68"/>
    <w:rsid w:val="00465235"/>
    <w:rsid w:val="00483F12"/>
    <w:rsid w:val="004A0581"/>
    <w:rsid w:val="004A1356"/>
    <w:rsid w:val="004B6B9D"/>
    <w:rsid w:val="004C32B7"/>
    <w:rsid w:val="004C4713"/>
    <w:rsid w:val="004D00FC"/>
    <w:rsid w:val="0050165F"/>
    <w:rsid w:val="00506088"/>
    <w:rsid w:val="00513FB2"/>
    <w:rsid w:val="00532A8D"/>
    <w:rsid w:val="00587744"/>
    <w:rsid w:val="00592A5B"/>
    <w:rsid w:val="005A5C70"/>
    <w:rsid w:val="005D24F6"/>
    <w:rsid w:val="005E5E82"/>
    <w:rsid w:val="00610DDE"/>
    <w:rsid w:val="00613DF0"/>
    <w:rsid w:val="00621D86"/>
    <w:rsid w:val="00637FB6"/>
    <w:rsid w:val="00681149"/>
    <w:rsid w:val="0068119E"/>
    <w:rsid w:val="006A21E9"/>
    <w:rsid w:val="006D3A6D"/>
    <w:rsid w:val="006E0C02"/>
    <w:rsid w:val="006E1102"/>
    <w:rsid w:val="00703D78"/>
    <w:rsid w:val="00730AF7"/>
    <w:rsid w:val="007349C4"/>
    <w:rsid w:val="00734F24"/>
    <w:rsid w:val="00744802"/>
    <w:rsid w:val="00767876"/>
    <w:rsid w:val="00771E69"/>
    <w:rsid w:val="007869B4"/>
    <w:rsid w:val="008105E9"/>
    <w:rsid w:val="008735A9"/>
    <w:rsid w:val="008775D3"/>
    <w:rsid w:val="00882F12"/>
    <w:rsid w:val="00884F9C"/>
    <w:rsid w:val="00890BEA"/>
    <w:rsid w:val="00891E09"/>
    <w:rsid w:val="008A0686"/>
    <w:rsid w:val="008A2005"/>
    <w:rsid w:val="008A42D0"/>
    <w:rsid w:val="008D5A77"/>
    <w:rsid w:val="009060C2"/>
    <w:rsid w:val="0091640D"/>
    <w:rsid w:val="00921A83"/>
    <w:rsid w:val="00924308"/>
    <w:rsid w:val="00925CAD"/>
    <w:rsid w:val="00951718"/>
    <w:rsid w:val="00953D3B"/>
    <w:rsid w:val="00955F36"/>
    <w:rsid w:val="009618E4"/>
    <w:rsid w:val="00976510"/>
    <w:rsid w:val="00976FB0"/>
    <w:rsid w:val="00987764"/>
    <w:rsid w:val="00996FEE"/>
    <w:rsid w:val="009C30F8"/>
    <w:rsid w:val="009E03BC"/>
    <w:rsid w:val="00A015CA"/>
    <w:rsid w:val="00A07698"/>
    <w:rsid w:val="00A452D3"/>
    <w:rsid w:val="00A47F86"/>
    <w:rsid w:val="00A93BB9"/>
    <w:rsid w:val="00AB5FA1"/>
    <w:rsid w:val="00B22D85"/>
    <w:rsid w:val="00B25124"/>
    <w:rsid w:val="00B326D2"/>
    <w:rsid w:val="00B41CF9"/>
    <w:rsid w:val="00B643B4"/>
    <w:rsid w:val="00B86F6C"/>
    <w:rsid w:val="00B92BC7"/>
    <w:rsid w:val="00B941A9"/>
    <w:rsid w:val="00BA6AB7"/>
    <w:rsid w:val="00BB0334"/>
    <w:rsid w:val="00BB53B7"/>
    <w:rsid w:val="00BC7282"/>
    <w:rsid w:val="00BE3EB3"/>
    <w:rsid w:val="00C21F34"/>
    <w:rsid w:val="00C2587D"/>
    <w:rsid w:val="00C27FCC"/>
    <w:rsid w:val="00C4061D"/>
    <w:rsid w:val="00C41806"/>
    <w:rsid w:val="00C54E15"/>
    <w:rsid w:val="00CE7948"/>
    <w:rsid w:val="00CF590E"/>
    <w:rsid w:val="00CF65EF"/>
    <w:rsid w:val="00D10D42"/>
    <w:rsid w:val="00D118C1"/>
    <w:rsid w:val="00D22A49"/>
    <w:rsid w:val="00D44524"/>
    <w:rsid w:val="00D501AF"/>
    <w:rsid w:val="00D50DE7"/>
    <w:rsid w:val="00D7120F"/>
    <w:rsid w:val="00D84690"/>
    <w:rsid w:val="00D87366"/>
    <w:rsid w:val="00DA0087"/>
    <w:rsid w:val="00E103B4"/>
    <w:rsid w:val="00E12970"/>
    <w:rsid w:val="00E17DCA"/>
    <w:rsid w:val="00E2745A"/>
    <w:rsid w:val="00E3415D"/>
    <w:rsid w:val="00E35515"/>
    <w:rsid w:val="00E64D9B"/>
    <w:rsid w:val="00E964EB"/>
    <w:rsid w:val="00EB12C9"/>
    <w:rsid w:val="00EB439E"/>
    <w:rsid w:val="00EE6722"/>
    <w:rsid w:val="00EF4030"/>
    <w:rsid w:val="00F0679C"/>
    <w:rsid w:val="00F06E48"/>
    <w:rsid w:val="00F12B79"/>
    <w:rsid w:val="00F151FF"/>
    <w:rsid w:val="00F1698E"/>
    <w:rsid w:val="00F26C3B"/>
    <w:rsid w:val="00F32CF1"/>
    <w:rsid w:val="00F44E27"/>
    <w:rsid w:val="00F45BE0"/>
    <w:rsid w:val="00F7196C"/>
    <w:rsid w:val="00F80180"/>
    <w:rsid w:val="00FD5B64"/>
    <w:rsid w:val="00FD6816"/>
    <w:rsid w:val="00FE1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Numbered Para 1,Bullet Points,Nad,L"/>
    <w:basedOn w:val="Normal"/>
    <w:link w:val="ListParagraphChar"/>
    <w:uiPriority w:val="34"/>
    <w:qFormat/>
    <w:pPr>
      <w:ind w:left="720"/>
      <w:contextualSpacing/>
    </w:pPr>
  </w:style>
  <w:style w:type="character" w:styleId="Hyperlink">
    <w:name w:val="Hyperlink"/>
    <w:basedOn w:val="DefaultParagraphFont"/>
    <w:unhideWhenUsed/>
    <w:rPr>
      <w:color w:val="0000FF" w:themeColor="hyperlink"/>
      <w:u w:val="single"/>
    </w:rPr>
  </w:style>
  <w:style w:type="paragraph" w:styleId="ListNumber2">
    <w:name w:val="List Number 2"/>
    <w:basedOn w:val="Normal"/>
    <w:uiPriority w:val="99"/>
    <w:unhideWhenUsed/>
    <w:pPr>
      <w:numPr>
        <w:numId w:val="2"/>
      </w:numPr>
      <w:contextualSpacing/>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link w:val="ListParagraph"/>
    <w:uiPriority w:val="34"/>
    <w:qFormat/>
    <w:locked/>
    <w:rPr>
      <w:rFonts w:ascii="Times New Roman" w:hAnsi="Times New Roman" w:cs="Times New Roman"/>
      <w:sz w:val="24"/>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jc w:val="both"/>
    </w:pPr>
    <w:rPr>
      <w:rFonts w:ascii="Times New Roman" w:hAnsi="Times New Roman" w:cs="Times New Roman"/>
      <w:sz w:val="24"/>
    </w:r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EBE9EA"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aliases w:val="Document Table,CV1,Standard table format"/>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PSParagraphTitle">
    <w:name w:val="PS_Paragraph_Title"/>
    <w:basedOn w:val="Normal"/>
    <w:link w:val="PSParagraphTitleChar"/>
    <w:qFormat/>
    <w:rPr>
      <w:rFonts w:eastAsia="Times New Roman"/>
      <w:b/>
      <w:i/>
      <w:sz w:val="20"/>
      <w:szCs w:val="20"/>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val="fr-FR" w:eastAsia="fr-FR"/>
    </w:rPr>
  </w:style>
  <w:style w:type="paragraph" w:styleId="ListNumber">
    <w:name w:val="List Number"/>
    <w:basedOn w:val="Normal"/>
    <w:pPr>
      <w:numPr>
        <w:numId w:val="10"/>
      </w:numPr>
    </w:pPr>
    <w:rPr>
      <w:rFonts w:eastAsia="Times New Roman"/>
    </w:rPr>
  </w:style>
  <w:style w:type="paragraph" w:customStyle="1" w:styleId="ListBullet1">
    <w:name w:val="List Bullet 1"/>
    <w:basedOn w:val="Normal"/>
    <w:pPr>
      <w:numPr>
        <w:numId w:val="7"/>
      </w:numPr>
    </w:pPr>
    <w:rPr>
      <w:rFonts w:eastAsia="Times New Roman"/>
    </w:rPr>
  </w:style>
  <w:style w:type="paragraph" w:customStyle="1" w:styleId="ListDash1">
    <w:name w:val="List Dash 1"/>
    <w:basedOn w:val="Normal"/>
    <w:pPr>
      <w:numPr>
        <w:numId w:val="8"/>
      </w:numPr>
    </w:pPr>
    <w:rPr>
      <w:rFonts w:eastAsia="Times New Roman"/>
    </w:rPr>
  </w:style>
  <w:style w:type="paragraph" w:customStyle="1" w:styleId="ListDash2">
    <w:name w:val="List Dash 2"/>
    <w:basedOn w:val="Normal"/>
    <w:pPr>
      <w:numPr>
        <w:numId w:val="9"/>
      </w:numPr>
    </w:pPr>
    <w:rPr>
      <w:rFonts w:eastAsia="Times New Roman"/>
    </w:rPr>
  </w:style>
  <w:style w:type="paragraph" w:customStyle="1" w:styleId="ListNumberLevel2">
    <w:name w:val="List Number (Level 2)"/>
    <w:basedOn w:val="Normal"/>
    <w:pPr>
      <w:numPr>
        <w:ilvl w:val="1"/>
        <w:numId w:val="10"/>
      </w:numPr>
    </w:pPr>
    <w:rPr>
      <w:rFonts w:eastAsia="Times New Roman"/>
    </w:rPr>
  </w:style>
  <w:style w:type="paragraph" w:customStyle="1" w:styleId="ListNumberLevel3">
    <w:name w:val="List Number (Level 3)"/>
    <w:basedOn w:val="Normal"/>
    <w:pPr>
      <w:numPr>
        <w:ilvl w:val="2"/>
        <w:numId w:val="10"/>
      </w:numPr>
    </w:pPr>
    <w:rPr>
      <w:rFonts w:eastAsia="Times New Roman"/>
    </w:rPr>
  </w:style>
  <w:style w:type="paragraph" w:customStyle="1" w:styleId="ListNumberLevel4">
    <w:name w:val="List Number (Level 4)"/>
    <w:basedOn w:val="Normal"/>
    <w:pPr>
      <w:numPr>
        <w:ilvl w:val="3"/>
        <w:numId w:val="10"/>
      </w:numPr>
    </w:pPr>
    <w:rPr>
      <w:rFonts w:eastAsia="Times New Roman"/>
    </w:rPr>
  </w:style>
  <w:style w:type="paragraph" w:styleId="ListNumber4">
    <w:name w:val="List Number 4"/>
    <w:basedOn w:val="Normal"/>
    <w:pPr>
      <w:numPr>
        <w:numId w:val="11"/>
      </w:numPr>
      <w:contextualSpacing/>
    </w:pPr>
    <w:rPr>
      <w:rFonts w:eastAsia="Times New Roma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2"/>
      </w:numPr>
      <w:contextualSpacing/>
    </w:pPr>
  </w:style>
  <w:style w:type="paragraph" w:styleId="Header">
    <w:name w:val="header"/>
    <w:basedOn w:val="Normal"/>
    <w:link w:val="HeaderChar"/>
    <w:uiPriority w:val="99"/>
    <w:unhideWhenUsed/>
    <w:rsid w:val="00CE794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E7948"/>
    <w:rPr>
      <w:rFonts w:ascii="Times New Roman" w:hAnsi="Times New Roman" w:cs="Times New Roman"/>
      <w:sz w:val="24"/>
      <w:lang w:eastAsia="en-US" w:bidi="ar-SA"/>
    </w:rPr>
  </w:style>
  <w:style w:type="paragraph" w:styleId="Footer">
    <w:name w:val="footer"/>
    <w:basedOn w:val="Normal"/>
    <w:link w:val="FooterChar"/>
    <w:uiPriority w:val="99"/>
    <w:unhideWhenUsed/>
    <w:rsid w:val="00CE7948"/>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CE7948"/>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CE7948"/>
    <w:pPr>
      <w:tabs>
        <w:tab w:val="center" w:pos="7285"/>
        <w:tab w:val="right" w:pos="14003"/>
      </w:tabs>
      <w:spacing w:before="0"/>
    </w:pPr>
    <w:rPr>
      <w:lang w:eastAsia="en-US" w:bidi="ar-SA"/>
    </w:rPr>
  </w:style>
  <w:style w:type="paragraph" w:customStyle="1" w:styleId="FooterLandscape">
    <w:name w:val="FooterLandscape"/>
    <w:basedOn w:val="Normal"/>
    <w:rsid w:val="00CE7948"/>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CE7948"/>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CE7948"/>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24"/>
      </w:numPr>
    </w:pPr>
  </w:style>
  <w:style w:type="paragraph" w:customStyle="1" w:styleId="Tiret1">
    <w:name w:val="Tiret 1"/>
    <w:basedOn w:val="Point1"/>
    <w:rsid w:val="00877878"/>
    <w:pPr>
      <w:numPr>
        <w:numId w:val="25"/>
      </w:numPr>
    </w:pPr>
  </w:style>
  <w:style w:type="paragraph" w:customStyle="1" w:styleId="Tiret2">
    <w:name w:val="Tiret 2"/>
    <w:basedOn w:val="Point2"/>
    <w:rsid w:val="00877878"/>
    <w:pPr>
      <w:numPr>
        <w:numId w:val="26"/>
      </w:numPr>
    </w:pPr>
  </w:style>
  <w:style w:type="paragraph" w:customStyle="1" w:styleId="Tiret3">
    <w:name w:val="Tiret 3"/>
    <w:basedOn w:val="Point3"/>
    <w:rsid w:val="00877878"/>
    <w:pPr>
      <w:numPr>
        <w:numId w:val="27"/>
      </w:numPr>
    </w:pPr>
  </w:style>
  <w:style w:type="paragraph" w:customStyle="1" w:styleId="Tiret4">
    <w:name w:val="Tiret 4"/>
    <w:basedOn w:val="Point4"/>
    <w:rsid w:val="00877878"/>
    <w:pPr>
      <w:numPr>
        <w:numId w:val="28"/>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29"/>
      </w:numPr>
    </w:pPr>
  </w:style>
  <w:style w:type="paragraph" w:customStyle="1" w:styleId="NumPar2">
    <w:name w:val="NumPar 2"/>
    <w:basedOn w:val="Normal"/>
    <w:next w:val="Text1"/>
    <w:rsid w:val="00877878"/>
    <w:pPr>
      <w:numPr>
        <w:ilvl w:val="1"/>
        <w:numId w:val="29"/>
      </w:numPr>
    </w:pPr>
  </w:style>
  <w:style w:type="paragraph" w:customStyle="1" w:styleId="NumPar3">
    <w:name w:val="NumPar 3"/>
    <w:basedOn w:val="Normal"/>
    <w:next w:val="Text1"/>
    <w:rsid w:val="00877878"/>
    <w:pPr>
      <w:numPr>
        <w:ilvl w:val="2"/>
        <w:numId w:val="29"/>
      </w:numPr>
    </w:pPr>
  </w:style>
  <w:style w:type="paragraph" w:customStyle="1" w:styleId="NumPar4">
    <w:name w:val="NumPar 4"/>
    <w:basedOn w:val="Normal"/>
    <w:next w:val="Text1"/>
    <w:rsid w:val="00877878"/>
    <w:pPr>
      <w:numPr>
        <w:ilvl w:val="3"/>
        <w:numId w:val="29"/>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1"/>
      </w:numPr>
    </w:pPr>
  </w:style>
  <w:style w:type="paragraph" w:customStyle="1" w:styleId="Point1number">
    <w:name w:val="Point 1 (number)"/>
    <w:basedOn w:val="Normal"/>
    <w:rsid w:val="00877878"/>
    <w:pPr>
      <w:numPr>
        <w:ilvl w:val="2"/>
        <w:numId w:val="31"/>
      </w:numPr>
    </w:pPr>
  </w:style>
  <w:style w:type="paragraph" w:customStyle="1" w:styleId="Point2number">
    <w:name w:val="Point 2 (number)"/>
    <w:basedOn w:val="Normal"/>
    <w:rsid w:val="00877878"/>
    <w:pPr>
      <w:numPr>
        <w:ilvl w:val="4"/>
        <w:numId w:val="31"/>
      </w:numPr>
    </w:pPr>
  </w:style>
  <w:style w:type="paragraph" w:customStyle="1" w:styleId="Point3number">
    <w:name w:val="Point 3 (number)"/>
    <w:basedOn w:val="Normal"/>
    <w:rsid w:val="00877878"/>
    <w:pPr>
      <w:numPr>
        <w:ilvl w:val="6"/>
        <w:numId w:val="31"/>
      </w:numPr>
    </w:pPr>
  </w:style>
  <w:style w:type="paragraph" w:customStyle="1" w:styleId="Point0letter">
    <w:name w:val="Point 0 (letter)"/>
    <w:basedOn w:val="Normal"/>
    <w:rsid w:val="00877878"/>
    <w:pPr>
      <w:numPr>
        <w:ilvl w:val="1"/>
        <w:numId w:val="31"/>
      </w:numPr>
    </w:pPr>
  </w:style>
  <w:style w:type="paragraph" w:customStyle="1" w:styleId="Point1letter">
    <w:name w:val="Point 1 (letter)"/>
    <w:basedOn w:val="Normal"/>
    <w:rsid w:val="00877878"/>
    <w:pPr>
      <w:numPr>
        <w:ilvl w:val="3"/>
        <w:numId w:val="31"/>
      </w:numPr>
    </w:pPr>
  </w:style>
  <w:style w:type="paragraph" w:customStyle="1" w:styleId="Point2letter">
    <w:name w:val="Point 2 (letter)"/>
    <w:basedOn w:val="Normal"/>
    <w:rsid w:val="00877878"/>
    <w:pPr>
      <w:numPr>
        <w:ilvl w:val="5"/>
        <w:numId w:val="31"/>
      </w:numPr>
    </w:pPr>
  </w:style>
  <w:style w:type="paragraph" w:customStyle="1" w:styleId="Point3letter">
    <w:name w:val="Point 3 (letter)"/>
    <w:basedOn w:val="Normal"/>
    <w:rsid w:val="00877878"/>
    <w:pPr>
      <w:numPr>
        <w:ilvl w:val="7"/>
        <w:numId w:val="31"/>
      </w:numPr>
    </w:pPr>
  </w:style>
  <w:style w:type="paragraph" w:customStyle="1" w:styleId="Point4letter">
    <w:name w:val="Point 4 (letter)"/>
    <w:basedOn w:val="Normal"/>
    <w:rsid w:val="00877878"/>
    <w:pPr>
      <w:numPr>
        <w:ilvl w:val="8"/>
        <w:numId w:val="31"/>
      </w:numPr>
    </w:pPr>
  </w:style>
  <w:style w:type="paragraph" w:customStyle="1" w:styleId="Bullet0">
    <w:name w:val="Bullet 0"/>
    <w:basedOn w:val="Normal"/>
    <w:rsid w:val="00877878"/>
    <w:pPr>
      <w:numPr>
        <w:numId w:val="32"/>
      </w:numPr>
    </w:pPr>
  </w:style>
  <w:style w:type="paragraph" w:customStyle="1" w:styleId="Bullet1">
    <w:name w:val="Bullet 1"/>
    <w:basedOn w:val="Normal"/>
    <w:rsid w:val="00877878"/>
    <w:pPr>
      <w:numPr>
        <w:numId w:val="33"/>
      </w:numPr>
    </w:pPr>
  </w:style>
  <w:style w:type="paragraph" w:customStyle="1" w:styleId="Bullet2">
    <w:name w:val="Bullet 2"/>
    <w:basedOn w:val="Normal"/>
    <w:rsid w:val="00877878"/>
    <w:pPr>
      <w:numPr>
        <w:numId w:val="34"/>
      </w:numPr>
    </w:pPr>
  </w:style>
  <w:style w:type="paragraph" w:customStyle="1" w:styleId="Bullet3">
    <w:name w:val="Bullet 3"/>
    <w:basedOn w:val="Normal"/>
    <w:rsid w:val="00877878"/>
    <w:pPr>
      <w:numPr>
        <w:numId w:val="35"/>
      </w:numPr>
    </w:pPr>
  </w:style>
  <w:style w:type="paragraph" w:customStyle="1" w:styleId="Bullet4">
    <w:name w:val="Bullet 4"/>
    <w:basedOn w:val="Normal"/>
    <w:rsid w:val="00877878"/>
    <w:pPr>
      <w:numPr>
        <w:numId w:val="36"/>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37"/>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Numbered Para 1,Bullet Points,Nad,L"/>
    <w:basedOn w:val="Normal"/>
    <w:link w:val="ListParagraphChar"/>
    <w:uiPriority w:val="34"/>
    <w:qFormat/>
    <w:pPr>
      <w:ind w:left="720"/>
      <w:contextualSpacing/>
    </w:pPr>
  </w:style>
  <w:style w:type="character" w:styleId="Hyperlink">
    <w:name w:val="Hyperlink"/>
    <w:basedOn w:val="DefaultParagraphFont"/>
    <w:unhideWhenUsed/>
    <w:rPr>
      <w:color w:val="0000FF" w:themeColor="hyperlink"/>
      <w:u w:val="single"/>
    </w:rPr>
  </w:style>
  <w:style w:type="paragraph" w:styleId="ListNumber2">
    <w:name w:val="List Number 2"/>
    <w:basedOn w:val="Normal"/>
    <w:uiPriority w:val="99"/>
    <w:unhideWhenUsed/>
    <w:pPr>
      <w:numPr>
        <w:numId w:val="2"/>
      </w:numPr>
      <w:contextualSpacing/>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link w:val="ListParagraph"/>
    <w:uiPriority w:val="34"/>
    <w:qFormat/>
    <w:locked/>
    <w:rPr>
      <w:rFonts w:ascii="Times New Roman" w:hAnsi="Times New Roman" w:cs="Times New Roman"/>
      <w:sz w:val="24"/>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jc w:val="both"/>
    </w:pPr>
    <w:rPr>
      <w:rFonts w:ascii="Times New Roman" w:hAnsi="Times New Roman" w:cs="Times New Roman"/>
      <w:sz w:val="24"/>
    </w:r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EBE9EA"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aliases w:val="Document Table,CV1,Standard table format"/>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PSParagraphTitle">
    <w:name w:val="PS_Paragraph_Title"/>
    <w:basedOn w:val="Normal"/>
    <w:link w:val="PSParagraphTitleChar"/>
    <w:qFormat/>
    <w:rPr>
      <w:rFonts w:eastAsia="Times New Roman"/>
      <w:b/>
      <w:i/>
      <w:sz w:val="20"/>
      <w:szCs w:val="20"/>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val="fr-FR" w:eastAsia="fr-FR"/>
    </w:rPr>
  </w:style>
  <w:style w:type="paragraph" w:styleId="ListNumber">
    <w:name w:val="List Number"/>
    <w:basedOn w:val="Normal"/>
    <w:pPr>
      <w:numPr>
        <w:numId w:val="10"/>
      </w:numPr>
    </w:pPr>
    <w:rPr>
      <w:rFonts w:eastAsia="Times New Roman"/>
    </w:rPr>
  </w:style>
  <w:style w:type="paragraph" w:customStyle="1" w:styleId="ListBullet1">
    <w:name w:val="List Bullet 1"/>
    <w:basedOn w:val="Normal"/>
    <w:pPr>
      <w:numPr>
        <w:numId w:val="7"/>
      </w:numPr>
    </w:pPr>
    <w:rPr>
      <w:rFonts w:eastAsia="Times New Roman"/>
    </w:rPr>
  </w:style>
  <w:style w:type="paragraph" w:customStyle="1" w:styleId="ListDash1">
    <w:name w:val="List Dash 1"/>
    <w:basedOn w:val="Normal"/>
    <w:pPr>
      <w:numPr>
        <w:numId w:val="8"/>
      </w:numPr>
    </w:pPr>
    <w:rPr>
      <w:rFonts w:eastAsia="Times New Roman"/>
    </w:rPr>
  </w:style>
  <w:style w:type="paragraph" w:customStyle="1" w:styleId="ListDash2">
    <w:name w:val="List Dash 2"/>
    <w:basedOn w:val="Normal"/>
    <w:pPr>
      <w:numPr>
        <w:numId w:val="9"/>
      </w:numPr>
    </w:pPr>
    <w:rPr>
      <w:rFonts w:eastAsia="Times New Roman"/>
    </w:rPr>
  </w:style>
  <w:style w:type="paragraph" w:customStyle="1" w:styleId="ListNumberLevel2">
    <w:name w:val="List Number (Level 2)"/>
    <w:basedOn w:val="Normal"/>
    <w:pPr>
      <w:numPr>
        <w:ilvl w:val="1"/>
        <w:numId w:val="10"/>
      </w:numPr>
    </w:pPr>
    <w:rPr>
      <w:rFonts w:eastAsia="Times New Roman"/>
    </w:rPr>
  </w:style>
  <w:style w:type="paragraph" w:customStyle="1" w:styleId="ListNumberLevel3">
    <w:name w:val="List Number (Level 3)"/>
    <w:basedOn w:val="Normal"/>
    <w:pPr>
      <w:numPr>
        <w:ilvl w:val="2"/>
        <w:numId w:val="10"/>
      </w:numPr>
    </w:pPr>
    <w:rPr>
      <w:rFonts w:eastAsia="Times New Roman"/>
    </w:rPr>
  </w:style>
  <w:style w:type="paragraph" w:customStyle="1" w:styleId="ListNumberLevel4">
    <w:name w:val="List Number (Level 4)"/>
    <w:basedOn w:val="Normal"/>
    <w:pPr>
      <w:numPr>
        <w:ilvl w:val="3"/>
        <w:numId w:val="10"/>
      </w:numPr>
    </w:pPr>
    <w:rPr>
      <w:rFonts w:eastAsia="Times New Roman"/>
    </w:rPr>
  </w:style>
  <w:style w:type="paragraph" w:styleId="ListNumber4">
    <w:name w:val="List Number 4"/>
    <w:basedOn w:val="Normal"/>
    <w:pPr>
      <w:numPr>
        <w:numId w:val="11"/>
      </w:numPr>
      <w:contextualSpacing/>
    </w:pPr>
    <w:rPr>
      <w:rFonts w:eastAsia="Times New Roma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12"/>
      </w:numPr>
      <w:contextualSpacing/>
    </w:pPr>
  </w:style>
  <w:style w:type="paragraph" w:styleId="Header">
    <w:name w:val="header"/>
    <w:basedOn w:val="Normal"/>
    <w:link w:val="HeaderChar"/>
    <w:uiPriority w:val="99"/>
    <w:unhideWhenUsed/>
    <w:rsid w:val="00CE794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E7948"/>
    <w:rPr>
      <w:rFonts w:ascii="Times New Roman" w:hAnsi="Times New Roman" w:cs="Times New Roman"/>
      <w:sz w:val="24"/>
      <w:lang w:eastAsia="en-US" w:bidi="ar-SA"/>
    </w:rPr>
  </w:style>
  <w:style w:type="paragraph" w:styleId="Footer">
    <w:name w:val="footer"/>
    <w:basedOn w:val="Normal"/>
    <w:link w:val="FooterChar"/>
    <w:uiPriority w:val="99"/>
    <w:unhideWhenUsed/>
    <w:rsid w:val="00CE7948"/>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CE7948"/>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CE7948"/>
    <w:pPr>
      <w:tabs>
        <w:tab w:val="center" w:pos="7285"/>
        <w:tab w:val="right" w:pos="14003"/>
      </w:tabs>
      <w:spacing w:before="0"/>
    </w:pPr>
    <w:rPr>
      <w:lang w:eastAsia="en-US" w:bidi="ar-SA"/>
    </w:rPr>
  </w:style>
  <w:style w:type="paragraph" w:customStyle="1" w:styleId="FooterLandscape">
    <w:name w:val="FooterLandscape"/>
    <w:basedOn w:val="Normal"/>
    <w:rsid w:val="00CE7948"/>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CE7948"/>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CE7948"/>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24"/>
      </w:numPr>
    </w:pPr>
  </w:style>
  <w:style w:type="paragraph" w:customStyle="1" w:styleId="Tiret1">
    <w:name w:val="Tiret 1"/>
    <w:basedOn w:val="Point1"/>
    <w:rsid w:val="00877878"/>
    <w:pPr>
      <w:numPr>
        <w:numId w:val="25"/>
      </w:numPr>
    </w:pPr>
  </w:style>
  <w:style w:type="paragraph" w:customStyle="1" w:styleId="Tiret2">
    <w:name w:val="Tiret 2"/>
    <w:basedOn w:val="Point2"/>
    <w:rsid w:val="00877878"/>
    <w:pPr>
      <w:numPr>
        <w:numId w:val="26"/>
      </w:numPr>
    </w:pPr>
  </w:style>
  <w:style w:type="paragraph" w:customStyle="1" w:styleId="Tiret3">
    <w:name w:val="Tiret 3"/>
    <w:basedOn w:val="Point3"/>
    <w:rsid w:val="00877878"/>
    <w:pPr>
      <w:numPr>
        <w:numId w:val="27"/>
      </w:numPr>
    </w:pPr>
  </w:style>
  <w:style w:type="paragraph" w:customStyle="1" w:styleId="Tiret4">
    <w:name w:val="Tiret 4"/>
    <w:basedOn w:val="Point4"/>
    <w:rsid w:val="00877878"/>
    <w:pPr>
      <w:numPr>
        <w:numId w:val="28"/>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29"/>
      </w:numPr>
    </w:pPr>
  </w:style>
  <w:style w:type="paragraph" w:customStyle="1" w:styleId="NumPar2">
    <w:name w:val="NumPar 2"/>
    <w:basedOn w:val="Normal"/>
    <w:next w:val="Text1"/>
    <w:rsid w:val="00877878"/>
    <w:pPr>
      <w:numPr>
        <w:ilvl w:val="1"/>
        <w:numId w:val="29"/>
      </w:numPr>
    </w:pPr>
  </w:style>
  <w:style w:type="paragraph" w:customStyle="1" w:styleId="NumPar3">
    <w:name w:val="NumPar 3"/>
    <w:basedOn w:val="Normal"/>
    <w:next w:val="Text1"/>
    <w:rsid w:val="00877878"/>
    <w:pPr>
      <w:numPr>
        <w:ilvl w:val="2"/>
        <w:numId w:val="29"/>
      </w:numPr>
    </w:pPr>
  </w:style>
  <w:style w:type="paragraph" w:customStyle="1" w:styleId="NumPar4">
    <w:name w:val="NumPar 4"/>
    <w:basedOn w:val="Normal"/>
    <w:next w:val="Text1"/>
    <w:rsid w:val="00877878"/>
    <w:pPr>
      <w:numPr>
        <w:ilvl w:val="3"/>
        <w:numId w:val="29"/>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31"/>
      </w:numPr>
    </w:pPr>
  </w:style>
  <w:style w:type="paragraph" w:customStyle="1" w:styleId="Point1number">
    <w:name w:val="Point 1 (number)"/>
    <w:basedOn w:val="Normal"/>
    <w:rsid w:val="00877878"/>
    <w:pPr>
      <w:numPr>
        <w:ilvl w:val="2"/>
        <w:numId w:val="31"/>
      </w:numPr>
    </w:pPr>
  </w:style>
  <w:style w:type="paragraph" w:customStyle="1" w:styleId="Point2number">
    <w:name w:val="Point 2 (number)"/>
    <w:basedOn w:val="Normal"/>
    <w:rsid w:val="00877878"/>
    <w:pPr>
      <w:numPr>
        <w:ilvl w:val="4"/>
        <w:numId w:val="31"/>
      </w:numPr>
    </w:pPr>
  </w:style>
  <w:style w:type="paragraph" w:customStyle="1" w:styleId="Point3number">
    <w:name w:val="Point 3 (number)"/>
    <w:basedOn w:val="Normal"/>
    <w:rsid w:val="00877878"/>
    <w:pPr>
      <w:numPr>
        <w:ilvl w:val="6"/>
        <w:numId w:val="31"/>
      </w:numPr>
    </w:pPr>
  </w:style>
  <w:style w:type="paragraph" w:customStyle="1" w:styleId="Point0letter">
    <w:name w:val="Point 0 (letter)"/>
    <w:basedOn w:val="Normal"/>
    <w:rsid w:val="00877878"/>
    <w:pPr>
      <w:numPr>
        <w:ilvl w:val="1"/>
        <w:numId w:val="31"/>
      </w:numPr>
    </w:pPr>
  </w:style>
  <w:style w:type="paragraph" w:customStyle="1" w:styleId="Point1letter">
    <w:name w:val="Point 1 (letter)"/>
    <w:basedOn w:val="Normal"/>
    <w:rsid w:val="00877878"/>
    <w:pPr>
      <w:numPr>
        <w:ilvl w:val="3"/>
        <w:numId w:val="31"/>
      </w:numPr>
    </w:pPr>
  </w:style>
  <w:style w:type="paragraph" w:customStyle="1" w:styleId="Point2letter">
    <w:name w:val="Point 2 (letter)"/>
    <w:basedOn w:val="Normal"/>
    <w:rsid w:val="00877878"/>
    <w:pPr>
      <w:numPr>
        <w:ilvl w:val="5"/>
        <w:numId w:val="31"/>
      </w:numPr>
    </w:pPr>
  </w:style>
  <w:style w:type="paragraph" w:customStyle="1" w:styleId="Point3letter">
    <w:name w:val="Point 3 (letter)"/>
    <w:basedOn w:val="Normal"/>
    <w:rsid w:val="00877878"/>
    <w:pPr>
      <w:numPr>
        <w:ilvl w:val="7"/>
        <w:numId w:val="31"/>
      </w:numPr>
    </w:pPr>
  </w:style>
  <w:style w:type="paragraph" w:customStyle="1" w:styleId="Point4letter">
    <w:name w:val="Point 4 (letter)"/>
    <w:basedOn w:val="Normal"/>
    <w:rsid w:val="00877878"/>
    <w:pPr>
      <w:numPr>
        <w:ilvl w:val="8"/>
        <w:numId w:val="31"/>
      </w:numPr>
    </w:pPr>
  </w:style>
  <w:style w:type="paragraph" w:customStyle="1" w:styleId="Bullet0">
    <w:name w:val="Bullet 0"/>
    <w:basedOn w:val="Normal"/>
    <w:rsid w:val="00877878"/>
    <w:pPr>
      <w:numPr>
        <w:numId w:val="32"/>
      </w:numPr>
    </w:pPr>
  </w:style>
  <w:style w:type="paragraph" w:customStyle="1" w:styleId="Bullet1">
    <w:name w:val="Bullet 1"/>
    <w:basedOn w:val="Normal"/>
    <w:rsid w:val="00877878"/>
    <w:pPr>
      <w:numPr>
        <w:numId w:val="33"/>
      </w:numPr>
    </w:pPr>
  </w:style>
  <w:style w:type="paragraph" w:customStyle="1" w:styleId="Bullet2">
    <w:name w:val="Bullet 2"/>
    <w:basedOn w:val="Normal"/>
    <w:rsid w:val="00877878"/>
    <w:pPr>
      <w:numPr>
        <w:numId w:val="34"/>
      </w:numPr>
    </w:pPr>
  </w:style>
  <w:style w:type="paragraph" w:customStyle="1" w:styleId="Bullet3">
    <w:name w:val="Bullet 3"/>
    <w:basedOn w:val="Normal"/>
    <w:rsid w:val="00877878"/>
    <w:pPr>
      <w:numPr>
        <w:numId w:val="35"/>
      </w:numPr>
    </w:pPr>
  </w:style>
  <w:style w:type="paragraph" w:customStyle="1" w:styleId="Bullet4">
    <w:name w:val="Bullet 4"/>
    <w:basedOn w:val="Normal"/>
    <w:rsid w:val="00877878"/>
    <w:pPr>
      <w:numPr>
        <w:numId w:val="36"/>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37"/>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9694">
      <w:bodyDiv w:val="1"/>
      <w:marLeft w:val="0"/>
      <w:marRight w:val="0"/>
      <w:marTop w:val="0"/>
      <w:marBottom w:val="0"/>
      <w:divBdr>
        <w:top w:val="none" w:sz="0" w:space="0" w:color="auto"/>
        <w:left w:val="none" w:sz="0" w:space="0" w:color="auto"/>
        <w:bottom w:val="none" w:sz="0" w:space="0" w:color="auto"/>
        <w:right w:val="none" w:sz="0" w:space="0" w:color="auto"/>
      </w:divBdr>
    </w:div>
    <w:div w:id="294214508">
      <w:bodyDiv w:val="1"/>
      <w:marLeft w:val="0"/>
      <w:marRight w:val="0"/>
      <w:marTop w:val="0"/>
      <w:marBottom w:val="0"/>
      <w:divBdr>
        <w:top w:val="none" w:sz="0" w:space="0" w:color="auto"/>
        <w:left w:val="none" w:sz="0" w:space="0" w:color="auto"/>
        <w:bottom w:val="none" w:sz="0" w:space="0" w:color="auto"/>
        <w:right w:val="none" w:sz="0" w:space="0" w:color="auto"/>
      </w:divBdr>
    </w:div>
    <w:div w:id="349182239">
      <w:bodyDiv w:val="1"/>
      <w:marLeft w:val="0"/>
      <w:marRight w:val="0"/>
      <w:marTop w:val="0"/>
      <w:marBottom w:val="0"/>
      <w:divBdr>
        <w:top w:val="none" w:sz="0" w:space="0" w:color="auto"/>
        <w:left w:val="none" w:sz="0" w:space="0" w:color="auto"/>
        <w:bottom w:val="none" w:sz="0" w:space="0" w:color="auto"/>
        <w:right w:val="none" w:sz="0" w:space="0" w:color="auto"/>
      </w:divBdr>
    </w:div>
    <w:div w:id="589313207">
      <w:bodyDiv w:val="1"/>
      <w:marLeft w:val="0"/>
      <w:marRight w:val="0"/>
      <w:marTop w:val="0"/>
      <w:marBottom w:val="0"/>
      <w:divBdr>
        <w:top w:val="none" w:sz="0" w:space="0" w:color="auto"/>
        <w:left w:val="none" w:sz="0" w:space="0" w:color="auto"/>
        <w:bottom w:val="none" w:sz="0" w:space="0" w:color="auto"/>
        <w:right w:val="none" w:sz="0" w:space="0" w:color="auto"/>
      </w:divBdr>
    </w:div>
    <w:div w:id="680619001">
      <w:bodyDiv w:val="1"/>
      <w:marLeft w:val="0"/>
      <w:marRight w:val="0"/>
      <w:marTop w:val="0"/>
      <w:marBottom w:val="0"/>
      <w:divBdr>
        <w:top w:val="none" w:sz="0" w:space="0" w:color="auto"/>
        <w:left w:val="none" w:sz="0" w:space="0" w:color="auto"/>
        <w:bottom w:val="none" w:sz="0" w:space="0" w:color="auto"/>
        <w:right w:val="none" w:sz="0" w:space="0" w:color="auto"/>
      </w:divBdr>
    </w:div>
    <w:div w:id="1000549399">
      <w:bodyDiv w:val="1"/>
      <w:marLeft w:val="0"/>
      <w:marRight w:val="0"/>
      <w:marTop w:val="0"/>
      <w:marBottom w:val="0"/>
      <w:divBdr>
        <w:top w:val="none" w:sz="0" w:space="0" w:color="auto"/>
        <w:left w:val="none" w:sz="0" w:space="0" w:color="auto"/>
        <w:bottom w:val="none" w:sz="0" w:space="0" w:color="auto"/>
        <w:right w:val="none" w:sz="0" w:space="0" w:color="auto"/>
      </w:divBdr>
    </w:div>
    <w:div w:id="1266185069">
      <w:bodyDiv w:val="1"/>
      <w:marLeft w:val="0"/>
      <w:marRight w:val="0"/>
      <w:marTop w:val="0"/>
      <w:marBottom w:val="0"/>
      <w:divBdr>
        <w:top w:val="none" w:sz="0" w:space="0" w:color="auto"/>
        <w:left w:val="none" w:sz="0" w:space="0" w:color="auto"/>
        <w:bottom w:val="none" w:sz="0" w:space="0" w:color="auto"/>
        <w:right w:val="none" w:sz="0" w:space="0" w:color="auto"/>
      </w:divBdr>
    </w:div>
    <w:div w:id="1337073833">
      <w:bodyDiv w:val="1"/>
      <w:marLeft w:val="0"/>
      <w:marRight w:val="0"/>
      <w:marTop w:val="0"/>
      <w:marBottom w:val="0"/>
      <w:divBdr>
        <w:top w:val="none" w:sz="0" w:space="0" w:color="auto"/>
        <w:left w:val="none" w:sz="0" w:space="0" w:color="auto"/>
        <w:bottom w:val="none" w:sz="0" w:space="0" w:color="auto"/>
        <w:right w:val="none" w:sz="0" w:space="0" w:color="auto"/>
      </w:divBdr>
    </w:div>
    <w:div w:id="1733308572">
      <w:bodyDiv w:val="1"/>
      <w:marLeft w:val="0"/>
      <w:marRight w:val="0"/>
      <w:marTop w:val="0"/>
      <w:marBottom w:val="0"/>
      <w:divBdr>
        <w:top w:val="none" w:sz="0" w:space="0" w:color="auto"/>
        <w:left w:val="none" w:sz="0" w:space="0" w:color="auto"/>
        <w:bottom w:val="none" w:sz="0" w:space="0" w:color="auto"/>
        <w:right w:val="none" w:sz="0" w:space="0" w:color="auto"/>
      </w:divBdr>
    </w:div>
    <w:div w:id="1865898566">
      <w:bodyDiv w:val="1"/>
      <w:marLeft w:val="0"/>
      <w:marRight w:val="0"/>
      <w:marTop w:val="0"/>
      <w:marBottom w:val="0"/>
      <w:divBdr>
        <w:top w:val="none" w:sz="0" w:space="0" w:color="auto"/>
        <w:left w:val="none" w:sz="0" w:space="0" w:color="auto"/>
        <w:bottom w:val="none" w:sz="0" w:space="0" w:color="auto"/>
        <w:right w:val="none" w:sz="0" w:space="0" w:color="auto"/>
      </w:divBdr>
    </w:div>
    <w:div w:id="2030445594">
      <w:bodyDiv w:val="1"/>
      <w:marLeft w:val="0"/>
      <w:marRight w:val="0"/>
      <w:marTop w:val="0"/>
      <w:marBottom w:val="0"/>
      <w:divBdr>
        <w:top w:val="none" w:sz="0" w:space="0" w:color="auto"/>
        <w:left w:val="none" w:sz="0" w:space="0" w:color="auto"/>
        <w:bottom w:val="none" w:sz="0" w:space="0" w:color="auto"/>
        <w:right w:val="none" w:sz="0" w:space="0" w:color="auto"/>
      </w:divBdr>
    </w:div>
    <w:div w:id="208440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FR/man/budgmanag/Pages/budgmanag.aspx" TargetMode="External"/><Relationship Id="rId2" Type="http://schemas.openxmlformats.org/officeDocument/2006/relationships/hyperlink" Target="https://ec.europa.eu/research/evaluations/index_en.cfm?pg=h2020evaluation" TargetMode="External"/><Relationship Id="rId1" Type="http://schemas.openxmlformats.org/officeDocument/2006/relationships/hyperlink" Target="https://eeas.europa.eu/top_stories/pdf/eugs_review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6220B9CDD5B4AA251AE0A4FB43EDD" ma:contentTypeVersion="0" ma:contentTypeDescription="Create a new document." ma:contentTypeScope="" ma:versionID="4a3ad58c74ce6b717f7c202ddeb4ce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05EEF-59E5-4BA5-8DC8-9B3FEFEF548D}">
  <ds:schemaRefs>
    <ds:schemaRef ds:uri="http://schemas.microsoft.com/sharepoint/v3/contenttype/forms"/>
  </ds:schemaRefs>
</ds:datastoreItem>
</file>

<file path=customXml/itemProps2.xml><?xml version="1.0" encoding="utf-8"?>
<ds:datastoreItem xmlns:ds="http://schemas.openxmlformats.org/officeDocument/2006/customXml" ds:itemID="{80E7785D-2F11-4CD3-851A-74B160591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3F5A33-737E-4811-82ED-9BEE46A819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72C1F5-3442-4DDA-B081-5CCA6D2B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41</Pages>
  <Words>14601</Words>
  <Characters>84397</Characters>
  <Application>Microsoft Office Word</Application>
  <DocSecurity>0</DocSecurity>
  <Lines>1918</Lines>
  <Paragraphs>925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5</cp:revision>
  <cp:lastPrinted>2018-06-05T09:26:00Z</cp:lastPrinted>
  <dcterms:created xsi:type="dcterms:W3CDTF">2018-06-06T12:28:00Z</dcterms:created>
  <dcterms:modified xsi:type="dcterms:W3CDTF">2018-06-07T05:51:00Z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0x010100E276220B9CDD5B4AA251AE0A4FB43EDD</vt:lpwstr>
  </property>
  <property fmtid="{D5CDD505-2E9C-101B-9397-08002B2CF9AE}" pid="11" name="IsMyDocuments">
    <vt:bool>true</vt:bool>
  </property>
  <property fmtid="{D5CDD505-2E9C-101B-9397-08002B2CF9AE}" pid="12" name="DQCStatus">
    <vt:lpwstr>Yellow (DQC version 03)</vt:lpwstr>
  </property>
</Properties>
</file>