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384" w:rsidRDefault="004D1F15" w:rsidP="004D1F15">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0B84D85F-80B0-4B74-A4D0-468015106390" style="width:450.75pt;height:423pt">
            <v:imagedata r:id="rId12" o:title=""/>
          </v:shape>
        </w:pict>
      </w:r>
    </w:p>
    <w:p w:rsidR="00211384" w:rsidRDefault="00211384">
      <w:pPr>
        <w:rPr>
          <w:noProof/>
        </w:rPr>
        <w:sectPr w:rsidR="00211384" w:rsidSect="004D1F15">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rsidR="00211384" w:rsidRDefault="004D1F15">
      <w:pPr>
        <w:pStyle w:val="Exposdesmotifstitre"/>
        <w:rPr>
          <w:noProof/>
        </w:rPr>
      </w:pPr>
      <w:bookmarkStart w:id="0" w:name="_GoBack"/>
      <w:bookmarkEnd w:id="0"/>
      <w:r>
        <w:rPr>
          <w:noProof/>
        </w:rPr>
        <w:lastRenderedPageBreak/>
        <w:t>EXPLANATORY MEMORANDUM</w:t>
      </w:r>
    </w:p>
    <w:p w:rsidR="00211384" w:rsidRDefault="004D1F15">
      <w:pPr>
        <w:pStyle w:val="ManualHeading1"/>
        <w:rPr>
          <w:noProof/>
        </w:rPr>
      </w:pPr>
      <w:r>
        <w:rPr>
          <w:noProof/>
        </w:rPr>
        <w:t>1.</w:t>
      </w:r>
      <w:r>
        <w:rPr>
          <w:noProof/>
        </w:rPr>
        <w:tab/>
        <w:t>CONTEXT OF THE PROPOSAL</w:t>
      </w:r>
    </w:p>
    <w:p w:rsidR="00211384" w:rsidRDefault="00211384">
      <w:pPr>
        <w:ind w:left="851"/>
        <w:rPr>
          <w:noProof/>
          <w:szCs w:val="24"/>
        </w:rPr>
      </w:pPr>
    </w:p>
    <w:p w:rsidR="00211384" w:rsidRDefault="004D1F15">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t xml:space="preserve">Reasons and objectives </w:t>
      </w:r>
    </w:p>
    <w:p w:rsidR="00211384" w:rsidRDefault="004D1F15">
      <w:pPr>
        <w:pBdr>
          <w:top w:val="nil"/>
          <w:left w:val="nil"/>
          <w:bottom w:val="nil"/>
          <w:right w:val="nil"/>
          <w:between w:val="nil"/>
          <w:bar w:val="nil"/>
        </w:pBdr>
        <w:rPr>
          <w:noProof/>
          <w:szCs w:val="24"/>
        </w:rPr>
      </w:pPr>
      <w:r>
        <w:rPr>
          <w:noProof/>
          <w:szCs w:val="24"/>
        </w:rPr>
        <w:t xml:space="preserve">The ‘Horizon Europe’ proposal is fully in line with the Commission's proposal on the next long-term Union budget for 2021 to 2027, as well as the Commission’s priorities, as set out in its </w:t>
      </w:r>
      <w:r>
        <w:rPr>
          <w:rFonts w:eastAsia="Times New Roman"/>
          <w:noProof/>
          <w:szCs w:val="24"/>
          <w:lang w:eastAsia="en-GB"/>
        </w:rPr>
        <w:t xml:space="preserve">Agenda for Jobs, Growth, Fairness and Democratic Change and global </w:t>
      </w:r>
      <w:r>
        <w:rPr>
          <w:rFonts w:eastAsia="Times New Roman"/>
          <w:noProof/>
          <w:szCs w:val="24"/>
          <w:lang w:eastAsia="en-GB"/>
        </w:rPr>
        <w:t xml:space="preserve">policy priorities </w:t>
      </w:r>
      <w:r>
        <w:rPr>
          <w:noProof/>
          <w:szCs w:val="24"/>
        </w:rPr>
        <w:t>(the Sustainable Development Goals). It supports the agenda of the Union post-2020 as agreed in the Rome Declaration of 25 March 2017.</w:t>
      </w:r>
    </w:p>
    <w:p w:rsidR="00211384" w:rsidRDefault="004D1F15">
      <w:pPr>
        <w:pBdr>
          <w:top w:val="nil"/>
          <w:left w:val="nil"/>
          <w:bottom w:val="nil"/>
          <w:right w:val="nil"/>
          <w:between w:val="nil"/>
          <w:bar w:val="nil"/>
        </w:pBdr>
        <w:rPr>
          <w:noProof/>
          <w:szCs w:val="24"/>
        </w:rPr>
      </w:pPr>
      <w:r>
        <w:rPr>
          <w:noProof/>
          <w:szCs w:val="24"/>
        </w:rPr>
        <w:t>The proposal is framed by the premise that research and innovation (R&amp;I) delivers on citizens’ prioriti</w:t>
      </w:r>
      <w:r>
        <w:rPr>
          <w:noProof/>
          <w:szCs w:val="24"/>
        </w:rPr>
        <w:t>es, boosts the Union’s productivity and competitiveness, and is crucial for sustaining our socio-economic model and values, and enabling solutions that address challenges in a more systemic way.</w:t>
      </w:r>
    </w:p>
    <w:p w:rsidR="00211384" w:rsidRDefault="004D1F15">
      <w:pPr>
        <w:pBdr>
          <w:top w:val="nil"/>
          <w:left w:val="nil"/>
          <w:bottom w:val="nil"/>
          <w:right w:val="nil"/>
          <w:between w:val="nil"/>
          <w:bar w:val="nil"/>
        </w:pBdr>
        <w:rPr>
          <w:noProof/>
          <w:szCs w:val="24"/>
        </w:rPr>
      </w:pPr>
      <w:r>
        <w:rPr>
          <w:noProof/>
          <w:szCs w:val="24"/>
        </w:rPr>
        <w:t>As per Article 182 of the Treaty on the Functioning of the Eu</w:t>
      </w:r>
      <w:r>
        <w:rPr>
          <w:noProof/>
          <w:szCs w:val="24"/>
        </w:rPr>
        <w:t>ropean Union (‘TFEU’) the framework programme shall be implemented through specific programmes that set out detailed rules for implementing it, fix its duration and provide for the means deemed necessary. The programme Horizon Europe will be implemented th</w:t>
      </w:r>
      <w:r>
        <w:rPr>
          <w:noProof/>
          <w:szCs w:val="24"/>
        </w:rPr>
        <w:t>rough the specific programme established by this Decision and the specific programme on defence research.</w:t>
      </w:r>
    </w:p>
    <w:p w:rsidR="00211384" w:rsidRDefault="004D1F15">
      <w:pPr>
        <w:pBdr>
          <w:top w:val="nil"/>
          <w:left w:val="nil"/>
          <w:bottom w:val="nil"/>
          <w:right w:val="nil"/>
          <w:between w:val="nil"/>
          <w:bar w:val="nil"/>
        </w:pBdr>
        <w:rPr>
          <w:rFonts w:eastAsia="Arial Unicode MS"/>
          <w:noProof/>
          <w:szCs w:val="24"/>
        </w:rPr>
      </w:pPr>
      <w:r>
        <w:rPr>
          <w:rFonts w:eastAsia="Arial Unicode MS"/>
          <w:noProof/>
          <w:szCs w:val="24"/>
        </w:rPr>
        <w:t>The specific programme established by this Decision is based both on Article 182 TFEU and, due to its strong support for innovation, on Article 173 TF</w:t>
      </w:r>
      <w:r>
        <w:rPr>
          <w:rFonts w:eastAsia="Arial Unicode MS"/>
          <w:noProof/>
          <w:szCs w:val="24"/>
        </w:rPr>
        <w:t>EU.</w:t>
      </w:r>
    </w:p>
    <w:p w:rsidR="00211384" w:rsidRDefault="004D1F15">
      <w:pPr>
        <w:rPr>
          <w:noProof/>
          <w:szCs w:val="24"/>
        </w:rPr>
      </w:pPr>
      <w:r>
        <w:rPr>
          <w:noProof/>
          <w:szCs w:val="24"/>
        </w:rPr>
        <w:t>For more on the overall Horizon Europe proposal, see the explanatory memorandum for the underlying act (proposal for a regulation establishing 'Horizon Europe – the Framework Programme for Research and Innovation and laying down its rules for participa</w:t>
      </w:r>
      <w:r>
        <w:rPr>
          <w:noProof/>
          <w:szCs w:val="24"/>
        </w:rPr>
        <w:t xml:space="preserve">tion and dissemination'). </w:t>
      </w:r>
    </w:p>
    <w:p w:rsidR="00211384" w:rsidRDefault="004D1F15">
      <w:pPr>
        <w:rPr>
          <w:noProof/>
          <w:szCs w:val="24"/>
        </w:rPr>
      </w:pPr>
      <w:r>
        <w:rPr>
          <w:noProof/>
        </w:rPr>
        <w:t xml:space="preserve">This proposal provides for a date of application as of 1 January 2021 and is presented for a Union of 27 Member States, in line with the notification by the United Kingdom of its intention to withdraw from the European Union and </w:t>
      </w:r>
      <w:r>
        <w:rPr>
          <w:noProof/>
        </w:rPr>
        <w:t>Euratom based on Article 50 of the Treaty on European Union received by the European Council on 29 March 2017.</w:t>
      </w:r>
      <w:r>
        <w:rPr>
          <w:noProof/>
          <w:szCs w:val="24"/>
        </w:rPr>
        <w:t xml:space="preserve">The following section details the specific points in this proposal. </w:t>
      </w:r>
    </w:p>
    <w:p w:rsidR="00211384" w:rsidRDefault="004D1F15">
      <w:pPr>
        <w:pStyle w:val="ManualHeading1"/>
        <w:rPr>
          <w:noProof/>
        </w:rPr>
      </w:pPr>
      <w:r>
        <w:rPr>
          <w:noProof/>
        </w:rPr>
        <w:t>2.</w:t>
      </w:r>
      <w:r>
        <w:rPr>
          <w:noProof/>
        </w:rPr>
        <w:tab/>
        <w:t>OTHER ELEMENTS</w:t>
      </w:r>
    </w:p>
    <w:p w:rsidR="00211384" w:rsidRDefault="00211384">
      <w:pPr>
        <w:pStyle w:val="Text1"/>
        <w:spacing w:after="0"/>
        <w:ind w:left="851"/>
        <w:rPr>
          <w:noProof/>
        </w:rPr>
      </w:pPr>
    </w:p>
    <w:p w:rsidR="00211384" w:rsidRDefault="004D1F15">
      <w:pPr>
        <w:pStyle w:val="ManualHeading2"/>
        <w:spacing w:before="0"/>
        <w:ind w:left="851" w:hanging="851"/>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t>Detailed explanation of the specific provisions of the p</w:t>
      </w:r>
      <w:r>
        <w:rPr>
          <w:rFonts w:eastAsia="Arial Unicode MS"/>
          <w:noProof/>
          <w:color w:val="000000"/>
          <w:u w:color="000000"/>
          <w:bdr w:val="nil"/>
          <w:lang w:val="en-US" w:eastAsia="en-GB"/>
        </w:rPr>
        <w:t>roposal</w:t>
      </w:r>
    </w:p>
    <w:p w:rsidR="00211384" w:rsidRDefault="004D1F15">
      <w:pPr>
        <w:rPr>
          <w:noProof/>
        </w:rPr>
      </w:pPr>
      <w:r>
        <w:rPr>
          <w:noProof/>
        </w:rPr>
        <w:t>The proposal for the Framework Programme (a Framework Programme for Research and Innovation entitled ‘Horizon Europe’, including laying down its rules for participation and dissemination), sets out the general and specific objective of Horizon Euro</w:t>
      </w:r>
      <w:r>
        <w:rPr>
          <w:noProof/>
        </w:rPr>
        <w:t xml:space="preserve">pe, the structure and the broad lines activities to be carried out, while this Decision should define the operational objectives and the activities which are specific to parts of Horizon Europe. </w:t>
      </w:r>
    </w:p>
    <w:p w:rsidR="00211384" w:rsidRDefault="004D1F15">
      <w:pPr>
        <w:pBdr>
          <w:top w:val="nil"/>
          <w:left w:val="nil"/>
          <w:bottom w:val="nil"/>
          <w:right w:val="nil"/>
          <w:between w:val="nil"/>
          <w:bar w:val="nil"/>
        </w:pBdr>
        <w:spacing w:after="240"/>
        <w:rPr>
          <w:rFonts w:eastAsia="Arial Unicode MS"/>
          <w:noProof/>
        </w:rPr>
      </w:pPr>
      <w:r>
        <w:rPr>
          <w:rFonts w:eastAsia="Arial Unicode MS"/>
          <w:noProof/>
        </w:rPr>
        <w:t xml:space="preserve">This legal act sets out specific implementation and </w:t>
      </w:r>
      <w:r>
        <w:rPr>
          <w:rFonts w:eastAsia="Arial Unicode MS"/>
          <w:noProof/>
        </w:rPr>
        <w:t>programming provisions for the framework programme, especially for</w:t>
      </w:r>
    </w:p>
    <w:p w:rsidR="00211384" w:rsidRDefault="004D1F15">
      <w:pPr>
        <w:pStyle w:val="Bullet0"/>
        <w:numPr>
          <w:ilvl w:val="0"/>
          <w:numId w:val="15"/>
        </w:numPr>
        <w:rPr>
          <w:noProof/>
        </w:rPr>
      </w:pPr>
      <w:r>
        <w:rPr>
          <w:noProof/>
        </w:rPr>
        <w:t xml:space="preserve">Missions (under the Global Challenges and Industrial Competitiveness pillar); </w:t>
      </w:r>
    </w:p>
    <w:p w:rsidR="00211384" w:rsidRDefault="004D1F15">
      <w:pPr>
        <w:pStyle w:val="Bullet0"/>
        <w:rPr>
          <w:noProof/>
        </w:rPr>
      </w:pPr>
      <w:r>
        <w:rPr>
          <w:noProof/>
        </w:rPr>
        <w:t>the European Research Council (ERC);</w:t>
      </w:r>
    </w:p>
    <w:p w:rsidR="00211384" w:rsidRDefault="004D1F15">
      <w:pPr>
        <w:pStyle w:val="Bullet0"/>
        <w:rPr>
          <w:noProof/>
        </w:rPr>
      </w:pPr>
      <w:r>
        <w:rPr>
          <w:noProof/>
        </w:rPr>
        <w:lastRenderedPageBreak/>
        <w:t>the European Innovation Council (EIC);</w:t>
      </w:r>
    </w:p>
    <w:p w:rsidR="00211384" w:rsidRDefault="004D1F15">
      <w:pPr>
        <w:pStyle w:val="Bullet0"/>
        <w:rPr>
          <w:noProof/>
        </w:rPr>
      </w:pPr>
      <w:r>
        <w:rPr>
          <w:noProof/>
        </w:rPr>
        <w:t>work programmes;</w:t>
      </w:r>
    </w:p>
    <w:p w:rsidR="00211384" w:rsidRDefault="004D1F15">
      <w:pPr>
        <w:pStyle w:val="Bullet0"/>
        <w:rPr>
          <w:noProof/>
        </w:rPr>
      </w:pPr>
      <w:r>
        <w:rPr>
          <w:noProof/>
        </w:rPr>
        <w:t xml:space="preserve">committee </w:t>
      </w:r>
      <w:r>
        <w:rPr>
          <w:noProof/>
        </w:rPr>
        <w:t>procedure.</w:t>
      </w:r>
    </w:p>
    <w:p w:rsidR="00211384" w:rsidRDefault="004D1F15">
      <w:pPr>
        <w:keepNext/>
        <w:pBdr>
          <w:top w:val="nil"/>
          <w:left w:val="nil"/>
          <w:bottom w:val="nil"/>
          <w:right w:val="nil"/>
          <w:between w:val="nil"/>
          <w:bar w:val="nil"/>
        </w:pBdr>
        <w:spacing w:before="360"/>
        <w:rPr>
          <w:b/>
          <w:i/>
          <w:noProof/>
          <w:szCs w:val="24"/>
        </w:rPr>
      </w:pPr>
      <w:r>
        <w:rPr>
          <w:b/>
          <w:i/>
          <w:noProof/>
          <w:szCs w:val="24"/>
        </w:rPr>
        <w:t>Strategic planning</w:t>
      </w:r>
    </w:p>
    <w:p w:rsidR="00211384" w:rsidRDefault="004D1F15">
      <w:pPr>
        <w:pBdr>
          <w:top w:val="nil"/>
          <w:left w:val="nil"/>
          <w:bottom w:val="nil"/>
          <w:right w:val="nil"/>
          <w:between w:val="nil"/>
          <w:bar w:val="nil"/>
        </w:pBdr>
        <w:spacing w:after="240"/>
        <w:rPr>
          <w:noProof/>
          <w:szCs w:val="24"/>
        </w:rPr>
      </w:pPr>
      <w:r>
        <w:rPr>
          <w:noProof/>
          <w:szCs w:val="24"/>
        </w:rPr>
        <w:t xml:space="preserve">The implementation of Horizon Europe will be steered by an inclusive and transparent </w:t>
      </w:r>
      <w:r>
        <w:rPr>
          <w:b/>
          <w:noProof/>
          <w:szCs w:val="24"/>
        </w:rPr>
        <w:t>strategic planning</w:t>
      </w:r>
      <w:r>
        <w:rPr>
          <w:noProof/>
          <w:szCs w:val="24"/>
        </w:rPr>
        <w:t xml:space="preserve"> process of the research and innovation activities the programme will fund. This will follow extensive consultations and ex</w:t>
      </w:r>
      <w:r>
        <w:rPr>
          <w:noProof/>
          <w:szCs w:val="24"/>
        </w:rPr>
        <w:t>changes with Member States, the European Parliament as appropriate, and with various stakeholders, including civil society organisations, about priorities (including missions, under the Global Challenges and Industrial Competitiveness pillar), and the suit</w:t>
      </w:r>
      <w:r>
        <w:rPr>
          <w:noProof/>
          <w:szCs w:val="24"/>
        </w:rPr>
        <w:t xml:space="preserve">able types of action and forms of implementation, in particular European partnerships. </w:t>
      </w:r>
    </w:p>
    <w:p w:rsidR="00211384" w:rsidRDefault="004D1F15">
      <w:pPr>
        <w:pBdr>
          <w:top w:val="nil"/>
          <w:left w:val="nil"/>
          <w:bottom w:val="nil"/>
          <w:right w:val="nil"/>
          <w:between w:val="nil"/>
          <w:bar w:val="nil"/>
        </w:pBdr>
        <w:spacing w:after="240"/>
        <w:rPr>
          <w:noProof/>
          <w:szCs w:val="24"/>
        </w:rPr>
      </w:pPr>
      <w:r>
        <w:rPr>
          <w:noProof/>
          <w:szCs w:val="24"/>
        </w:rPr>
        <w:t xml:space="preserve">The </w:t>
      </w:r>
      <w:r>
        <w:rPr>
          <w:b/>
          <w:noProof/>
          <w:szCs w:val="24"/>
        </w:rPr>
        <w:t xml:space="preserve">strategic planning </w:t>
      </w:r>
      <w:r>
        <w:rPr>
          <w:noProof/>
          <w:szCs w:val="24"/>
        </w:rPr>
        <w:t xml:space="preserve">exercise will lay out a multiannual strategy for the development of </w:t>
      </w:r>
      <w:r>
        <w:rPr>
          <w:b/>
          <w:noProof/>
          <w:szCs w:val="24"/>
        </w:rPr>
        <w:t xml:space="preserve">work programme </w:t>
      </w:r>
      <w:r>
        <w:rPr>
          <w:noProof/>
          <w:szCs w:val="24"/>
        </w:rPr>
        <w:t>content (</w:t>
      </w:r>
      <w:r>
        <w:rPr>
          <w:noProof/>
        </w:rPr>
        <w:t>as set out in Article 11</w:t>
      </w:r>
      <w:r>
        <w:rPr>
          <w:noProof/>
          <w:szCs w:val="24"/>
        </w:rPr>
        <w:t>), though it will remain suff</w:t>
      </w:r>
      <w:r>
        <w:rPr>
          <w:noProof/>
          <w:szCs w:val="24"/>
        </w:rPr>
        <w:t>iciently flexible to respond rapidly to unexpected needs and crises, as well as the policy priorities set out in the Commission’s Work Programme cycle. It will take the second pillar – Global Challenges and Industrial Competitiveness - as the centre of gra</w:t>
      </w:r>
      <w:r>
        <w:rPr>
          <w:noProof/>
          <w:szCs w:val="24"/>
        </w:rPr>
        <w:t>vity for this planning.</w:t>
      </w:r>
    </w:p>
    <w:p w:rsidR="00211384" w:rsidRDefault="004D1F15">
      <w:pPr>
        <w:pBdr>
          <w:top w:val="nil"/>
          <w:left w:val="nil"/>
          <w:bottom w:val="nil"/>
          <w:right w:val="nil"/>
          <w:between w:val="nil"/>
          <w:bar w:val="nil"/>
        </w:pBdr>
        <w:spacing w:after="240"/>
        <w:rPr>
          <w:noProof/>
          <w:szCs w:val="24"/>
        </w:rPr>
      </w:pPr>
      <w:r>
        <w:rPr>
          <w:noProof/>
          <w:szCs w:val="24"/>
        </w:rPr>
        <w:t>The priorities of Horizon Europe will be very closely aligned with the Union’s general strategic priorities and its policies. The strategic planning will be based on foresight activities, studies and other scientific evidence and ta</w:t>
      </w:r>
      <w:r>
        <w:rPr>
          <w:noProof/>
          <w:szCs w:val="24"/>
        </w:rPr>
        <w:t xml:space="preserve">ke account of relevant existing initiatives at Union and national level. It will incorporate inter-disciplinary and cross-sectoral perspectives and ensure that all activities under Horizon Europe are coordinated in an effective manner. </w:t>
      </w:r>
    </w:p>
    <w:p w:rsidR="00211384" w:rsidRDefault="004D1F15">
      <w:pPr>
        <w:pBdr>
          <w:top w:val="nil"/>
          <w:left w:val="nil"/>
          <w:bottom w:val="nil"/>
          <w:right w:val="nil"/>
          <w:between w:val="nil"/>
          <w:bar w:val="nil"/>
        </w:pBdr>
        <w:spacing w:after="240"/>
        <w:rPr>
          <w:rFonts w:eastAsia="Arial Unicode MS"/>
          <w:noProof/>
        </w:rPr>
      </w:pPr>
      <w:r>
        <w:rPr>
          <w:noProof/>
          <w:szCs w:val="24"/>
        </w:rPr>
        <w:t>It will also be ali</w:t>
      </w:r>
      <w:r>
        <w:rPr>
          <w:noProof/>
          <w:szCs w:val="24"/>
        </w:rPr>
        <w:t xml:space="preserve">gned tightly with other Union programmes, not least to promote faster dissemination and uptake of results from investments in research and innovation.  </w:t>
      </w:r>
    </w:p>
    <w:p w:rsidR="00211384" w:rsidRDefault="004D1F15">
      <w:pPr>
        <w:spacing w:after="240"/>
        <w:rPr>
          <w:noProof/>
        </w:rPr>
      </w:pPr>
      <w:r>
        <w:rPr>
          <w:noProof/>
        </w:rPr>
        <w:t>The Commission proposal for the 2021-2027 Multiannual Financial Framework set a more ambitious goal for</w:t>
      </w:r>
      <w:r>
        <w:rPr>
          <w:noProof/>
        </w:rPr>
        <w:t xml:space="preserve"> climate mainstreaming across all EU programmes, with an overall target of 25% of EU expenditure contributing to climate objectives. The contribution of this programme to the achievement of this overall target will be tracked through an EU climate marker s</w:t>
      </w:r>
      <w:r>
        <w:rPr>
          <w:noProof/>
        </w:rPr>
        <w:t xml:space="preserve">ystem at an appropriate level of disaggregation, including the use of more precise methodologies where these are available. The Commission will continue to present the information annually in terms of commitment appropriations in the context of the annual </w:t>
      </w:r>
      <w:r>
        <w:rPr>
          <w:noProof/>
        </w:rPr>
        <w:t xml:space="preserve">draft budget. </w:t>
      </w:r>
    </w:p>
    <w:p w:rsidR="00211384" w:rsidRDefault="004D1F15">
      <w:pPr>
        <w:spacing w:after="240"/>
        <w:rPr>
          <w:noProof/>
        </w:rPr>
      </w:pPr>
      <w:r>
        <w:rPr>
          <w:noProof/>
        </w:rPr>
        <w:t>To support the full utilisation of the potential of the programme to contribute to climate objectives, the Commission will seek to identify relevant actions throughout the programme preparation, implementation, review and evaluation processe</w:t>
      </w:r>
      <w:r>
        <w:rPr>
          <w:noProof/>
        </w:rPr>
        <w:t xml:space="preserve">s. </w:t>
      </w:r>
    </w:p>
    <w:p w:rsidR="00211384" w:rsidRDefault="004D1F15">
      <w:pPr>
        <w:keepNext/>
        <w:spacing w:before="360"/>
        <w:rPr>
          <w:b/>
          <w:i/>
          <w:noProof/>
        </w:rPr>
      </w:pPr>
      <w:r>
        <w:rPr>
          <w:b/>
          <w:i/>
          <w:noProof/>
        </w:rPr>
        <w:t>Pillars</w:t>
      </w:r>
    </w:p>
    <w:p w:rsidR="00211384" w:rsidRDefault="004D1F15">
      <w:pPr>
        <w:rPr>
          <w:noProof/>
        </w:rPr>
      </w:pPr>
      <w:r>
        <w:rPr>
          <w:noProof/>
        </w:rPr>
        <w:t>Horizon Europe</w:t>
      </w:r>
      <w:r>
        <w:rPr>
          <w:i/>
          <w:noProof/>
        </w:rPr>
        <w:t xml:space="preserve"> </w:t>
      </w:r>
      <w:r>
        <w:rPr>
          <w:noProof/>
        </w:rPr>
        <w:t xml:space="preserve">will consist of 3 strands, or </w:t>
      </w:r>
      <w:r>
        <w:rPr>
          <w:noProof/>
          <w:szCs w:val="24"/>
        </w:rPr>
        <w:t>‘</w:t>
      </w:r>
      <w:r>
        <w:rPr>
          <w:noProof/>
        </w:rPr>
        <w:t>pillars</w:t>
      </w:r>
      <w:r>
        <w:rPr>
          <w:noProof/>
          <w:szCs w:val="24"/>
        </w:rPr>
        <w:t>’</w:t>
      </w:r>
      <w:r>
        <w:rPr>
          <w:noProof/>
        </w:rPr>
        <w:t>:</w:t>
      </w:r>
    </w:p>
    <w:p w:rsidR="00211384" w:rsidRDefault="004D1F15">
      <w:pPr>
        <w:pStyle w:val="Point0"/>
        <w:rPr>
          <w:noProof/>
        </w:rPr>
      </w:pPr>
      <w:r>
        <w:rPr>
          <w:noProof/>
        </w:rPr>
        <w:t>I.</w:t>
      </w:r>
      <w:r>
        <w:rPr>
          <w:noProof/>
        </w:rPr>
        <w:tab/>
        <w:t>‘Open Science’;</w:t>
      </w:r>
    </w:p>
    <w:p w:rsidR="00211384" w:rsidRDefault="004D1F15">
      <w:pPr>
        <w:pStyle w:val="Point0"/>
        <w:rPr>
          <w:noProof/>
        </w:rPr>
      </w:pPr>
      <w:r>
        <w:rPr>
          <w:noProof/>
        </w:rPr>
        <w:t>II.</w:t>
      </w:r>
      <w:r>
        <w:rPr>
          <w:noProof/>
        </w:rPr>
        <w:tab/>
        <w:t>‘Global Challenges and Industrial Competiveness’;</w:t>
      </w:r>
    </w:p>
    <w:p w:rsidR="00211384" w:rsidRDefault="004D1F15">
      <w:pPr>
        <w:pStyle w:val="Point0"/>
        <w:rPr>
          <w:noProof/>
        </w:rPr>
      </w:pPr>
      <w:r>
        <w:rPr>
          <w:noProof/>
        </w:rPr>
        <w:t>III.</w:t>
      </w:r>
      <w:r>
        <w:rPr>
          <w:noProof/>
        </w:rPr>
        <w:tab/>
        <w:t>‘Open Innovation’.</w:t>
      </w:r>
    </w:p>
    <w:p w:rsidR="00211384" w:rsidRDefault="004D1F15">
      <w:pPr>
        <w:keepNext/>
        <w:spacing w:before="360"/>
        <w:rPr>
          <w:noProof/>
        </w:rPr>
      </w:pPr>
      <w:r>
        <w:rPr>
          <w:b/>
          <w:noProof/>
        </w:rPr>
        <w:lastRenderedPageBreak/>
        <w:t xml:space="preserve">Pillar I – </w:t>
      </w:r>
      <w:r>
        <w:rPr>
          <w:noProof/>
          <w:szCs w:val="24"/>
        </w:rPr>
        <w:t>‘</w:t>
      </w:r>
      <w:r>
        <w:rPr>
          <w:b/>
          <w:noProof/>
        </w:rPr>
        <w:t>Open Science</w:t>
      </w:r>
      <w:r>
        <w:rPr>
          <w:noProof/>
          <w:szCs w:val="24"/>
        </w:rPr>
        <w:t>’</w:t>
      </w:r>
      <w:r>
        <w:rPr>
          <w:noProof/>
        </w:rPr>
        <w:t xml:space="preserve"> </w:t>
      </w:r>
    </w:p>
    <w:p w:rsidR="00211384" w:rsidRDefault="004D1F15">
      <w:pPr>
        <w:rPr>
          <w:noProof/>
        </w:rPr>
      </w:pPr>
      <w:r>
        <w:rPr>
          <w:noProof/>
        </w:rPr>
        <w:t xml:space="preserve">This pillar builds on the success of the European Research </w:t>
      </w:r>
      <w:r>
        <w:rPr>
          <w:noProof/>
        </w:rPr>
        <w:t>Council, the Marie Skłodowska-Curie Actions and the Research Infrastructures component in the current framework programme. For the specific rules on the European Research Council see Articles 6 to 8.</w:t>
      </w:r>
    </w:p>
    <w:p w:rsidR="00211384" w:rsidRDefault="00211384">
      <w:pPr>
        <w:autoSpaceDE w:val="0"/>
        <w:autoSpaceDN w:val="0"/>
        <w:adjustRightInd w:val="0"/>
        <w:rPr>
          <w:b/>
          <w:noProof/>
          <w:szCs w:val="24"/>
        </w:rPr>
      </w:pPr>
    </w:p>
    <w:p w:rsidR="00211384" w:rsidRDefault="004D1F15">
      <w:pPr>
        <w:keepNext/>
        <w:autoSpaceDE w:val="0"/>
        <w:autoSpaceDN w:val="0"/>
        <w:adjustRightInd w:val="0"/>
        <w:rPr>
          <w:noProof/>
          <w:szCs w:val="24"/>
        </w:rPr>
      </w:pPr>
      <w:r>
        <w:rPr>
          <w:b/>
          <w:noProof/>
          <w:szCs w:val="24"/>
        </w:rPr>
        <w:t xml:space="preserve">Pillar II – </w:t>
      </w:r>
      <w:r>
        <w:rPr>
          <w:noProof/>
          <w:szCs w:val="24"/>
        </w:rPr>
        <w:t>‘</w:t>
      </w:r>
      <w:r>
        <w:rPr>
          <w:b/>
          <w:noProof/>
          <w:szCs w:val="24"/>
        </w:rPr>
        <w:t xml:space="preserve">Global Challenges and Industrial </w:t>
      </w:r>
      <w:r>
        <w:rPr>
          <w:b/>
          <w:noProof/>
          <w:szCs w:val="24"/>
        </w:rPr>
        <w:t>Competiveness</w:t>
      </w:r>
      <w:r>
        <w:rPr>
          <w:noProof/>
          <w:szCs w:val="24"/>
        </w:rPr>
        <w:t xml:space="preserve">’ </w:t>
      </w:r>
    </w:p>
    <w:p w:rsidR="00211384" w:rsidRDefault="004D1F15">
      <w:pPr>
        <w:autoSpaceDE w:val="0"/>
        <w:autoSpaceDN w:val="0"/>
        <w:adjustRightInd w:val="0"/>
        <w:rPr>
          <w:noProof/>
          <w:szCs w:val="24"/>
        </w:rPr>
      </w:pPr>
      <w:r>
        <w:rPr>
          <w:noProof/>
          <w:szCs w:val="24"/>
        </w:rPr>
        <w:t xml:space="preserve">This pillar includes five thematic clusters that address the </w:t>
      </w:r>
      <w:r>
        <w:rPr>
          <w:noProof/>
        </w:rPr>
        <w:t>full spectrum of global challenges through top-down collaborative R&amp;I activities.</w:t>
      </w:r>
    </w:p>
    <w:p w:rsidR="00211384" w:rsidRDefault="004D1F15">
      <w:pPr>
        <w:pStyle w:val="Bullet0"/>
        <w:rPr>
          <w:noProof/>
        </w:rPr>
      </w:pPr>
      <w:r>
        <w:rPr>
          <w:noProof/>
        </w:rPr>
        <w:t>‘ Health’;</w:t>
      </w:r>
    </w:p>
    <w:p w:rsidR="00211384" w:rsidRDefault="004D1F15">
      <w:pPr>
        <w:pStyle w:val="Bullet0"/>
        <w:rPr>
          <w:noProof/>
        </w:rPr>
      </w:pPr>
      <w:r>
        <w:rPr>
          <w:noProof/>
        </w:rPr>
        <w:t xml:space="preserve">‘Inclusive and Secure Society’; </w:t>
      </w:r>
    </w:p>
    <w:p w:rsidR="00211384" w:rsidRDefault="004D1F15">
      <w:pPr>
        <w:pStyle w:val="Bullet0"/>
        <w:rPr>
          <w:noProof/>
        </w:rPr>
      </w:pPr>
      <w:r>
        <w:rPr>
          <w:noProof/>
        </w:rPr>
        <w:t xml:space="preserve">‘Digital and Industry’; </w:t>
      </w:r>
    </w:p>
    <w:p w:rsidR="00211384" w:rsidRDefault="004D1F15">
      <w:pPr>
        <w:pStyle w:val="Bullet0"/>
        <w:rPr>
          <w:noProof/>
        </w:rPr>
      </w:pPr>
      <w:r>
        <w:rPr>
          <w:noProof/>
        </w:rPr>
        <w:t>‘Climate, Energy and Mobilit</w:t>
      </w:r>
      <w:r>
        <w:rPr>
          <w:noProof/>
        </w:rPr>
        <w:t xml:space="preserve">y’; </w:t>
      </w:r>
    </w:p>
    <w:p w:rsidR="00211384" w:rsidRDefault="004D1F15">
      <w:pPr>
        <w:pStyle w:val="Bullet0"/>
        <w:rPr>
          <w:noProof/>
        </w:rPr>
      </w:pPr>
      <w:r>
        <w:rPr>
          <w:noProof/>
        </w:rPr>
        <w:t xml:space="preserve">‘Food and Natural Resources’.. </w:t>
      </w:r>
    </w:p>
    <w:p w:rsidR="00211384" w:rsidRDefault="004D1F15">
      <w:pPr>
        <w:autoSpaceDE w:val="0"/>
        <w:autoSpaceDN w:val="0"/>
        <w:adjustRightInd w:val="0"/>
        <w:rPr>
          <w:noProof/>
          <w:szCs w:val="24"/>
        </w:rPr>
      </w:pPr>
      <w:r>
        <w:rPr>
          <w:noProof/>
          <w:szCs w:val="24"/>
        </w:rPr>
        <w:t xml:space="preserve">The clusters – supported by areas of intervention – cut across typical boundaries between disciplines, sectors and policy areas and will lead to more collaboration and increased impact in what concerns Union and global </w:t>
      </w:r>
      <w:r>
        <w:rPr>
          <w:noProof/>
          <w:szCs w:val="24"/>
        </w:rPr>
        <w:t>policy priorities.</w:t>
      </w:r>
    </w:p>
    <w:p w:rsidR="00211384" w:rsidRDefault="004D1F15">
      <w:pPr>
        <w:rPr>
          <w:noProof/>
          <w:szCs w:val="24"/>
        </w:rPr>
      </w:pPr>
      <w:r>
        <w:rPr>
          <w:noProof/>
          <w:szCs w:val="24"/>
        </w:rPr>
        <w:t xml:space="preserve">The entire pillar is designed to be more impact-oriented. </w:t>
      </w:r>
    </w:p>
    <w:p w:rsidR="00211384" w:rsidRDefault="004D1F15">
      <w:pPr>
        <w:rPr>
          <w:i/>
          <w:noProof/>
          <w:szCs w:val="24"/>
        </w:rPr>
      </w:pPr>
      <w:r>
        <w:rPr>
          <w:i/>
          <w:noProof/>
          <w:szCs w:val="24"/>
        </w:rPr>
        <w:t>Missions</w:t>
      </w:r>
    </w:p>
    <w:p w:rsidR="00211384" w:rsidRDefault="004D1F15">
      <w:pPr>
        <w:rPr>
          <w:noProof/>
        </w:rPr>
      </w:pPr>
      <w:r>
        <w:rPr>
          <w:noProof/>
          <w:szCs w:val="24"/>
        </w:rPr>
        <w:t xml:space="preserve">A small number of </w:t>
      </w:r>
      <w:r>
        <w:rPr>
          <w:b/>
          <w:noProof/>
        </w:rPr>
        <w:t>missions</w:t>
      </w:r>
      <w:r>
        <w:rPr>
          <w:noProof/>
          <w:szCs w:val="24"/>
        </w:rPr>
        <w:t xml:space="preserve"> with specific goals will be launched from within the pillar, establishing a comprehensive portfolio of projects, but also drawing on relevant </w:t>
      </w:r>
      <w:r>
        <w:rPr>
          <w:noProof/>
          <w:szCs w:val="24"/>
        </w:rPr>
        <w:t xml:space="preserve">activities and outputs from other parts of the programme. The specific provisions on missions are set out in Article 5. </w:t>
      </w:r>
    </w:p>
    <w:p w:rsidR="00211384" w:rsidRDefault="004D1F15">
      <w:pPr>
        <w:spacing w:after="0"/>
        <w:rPr>
          <w:noProof/>
          <w:szCs w:val="24"/>
        </w:rPr>
      </w:pPr>
      <w:r>
        <w:rPr>
          <w:rFonts w:eastAsia="Times New Roman"/>
          <w:noProof/>
          <w:szCs w:val="24"/>
          <w:lang w:eastAsia="en-GB"/>
        </w:rPr>
        <w:t>Missions will be decided and co-designed</w:t>
      </w:r>
      <w:r>
        <w:rPr>
          <w:rFonts w:eastAsia="Times New Roman"/>
          <w:b/>
          <w:noProof/>
          <w:szCs w:val="24"/>
          <w:lang w:eastAsia="en-GB"/>
        </w:rPr>
        <w:t xml:space="preserve"> </w:t>
      </w:r>
      <w:r>
        <w:rPr>
          <w:rFonts w:eastAsia="Times New Roman"/>
          <w:noProof/>
          <w:szCs w:val="24"/>
          <w:lang w:eastAsia="en-GB"/>
        </w:rPr>
        <w:t>as</w:t>
      </w:r>
      <w:r>
        <w:rPr>
          <w:rFonts w:eastAsia="Times New Roman"/>
          <w:b/>
          <w:noProof/>
          <w:szCs w:val="24"/>
          <w:lang w:eastAsia="en-GB"/>
        </w:rPr>
        <w:t xml:space="preserve"> </w:t>
      </w:r>
      <w:r>
        <w:rPr>
          <w:rFonts w:eastAsia="Times New Roman"/>
          <w:noProof/>
          <w:szCs w:val="24"/>
          <w:lang w:eastAsia="en-GB"/>
        </w:rPr>
        <w:t>part of the Horizon Europe strategic planning process, which will include a collaborative e</w:t>
      </w:r>
      <w:r>
        <w:rPr>
          <w:rFonts w:eastAsia="Times New Roman"/>
          <w:noProof/>
          <w:szCs w:val="24"/>
          <w:lang w:eastAsia="en-GB"/>
        </w:rPr>
        <w:t>ffort by relevant Commission departments, Member States, the European Parliament and relevant stakeholders.</w:t>
      </w:r>
    </w:p>
    <w:p w:rsidR="00211384" w:rsidRDefault="004D1F15">
      <w:pPr>
        <w:rPr>
          <w:noProof/>
          <w:szCs w:val="24"/>
        </w:rPr>
      </w:pPr>
      <w:r>
        <w:rPr>
          <w:noProof/>
          <w:szCs w:val="24"/>
        </w:rPr>
        <w:t>There will not be a separate budget for missions, though missions will have a budget assigned through the work programme. Missions are normally expe</w:t>
      </w:r>
      <w:r>
        <w:rPr>
          <w:noProof/>
          <w:szCs w:val="24"/>
        </w:rPr>
        <w:t>cted to be cross-cutting in nature and so receive their budget from more than one cluster.</w:t>
      </w:r>
    </w:p>
    <w:p w:rsidR="00211384" w:rsidRDefault="004D1F15">
      <w:pPr>
        <w:rPr>
          <w:i/>
          <w:iCs/>
          <w:noProof/>
          <w:color w:val="1F497D"/>
        </w:rPr>
      </w:pPr>
      <w:r>
        <w:rPr>
          <w:noProof/>
          <w:szCs w:val="24"/>
        </w:rPr>
        <w:t xml:space="preserve">The first few missions will be introduced in the first strategic planning exercise. Based on the first two years' experience, the number and scale of missions could </w:t>
      </w:r>
      <w:r>
        <w:rPr>
          <w:noProof/>
          <w:szCs w:val="24"/>
        </w:rPr>
        <w:t xml:space="preserve">be increased in subsequent work programmes. </w:t>
      </w:r>
      <w:r>
        <w:rPr>
          <w:noProof/>
        </w:rPr>
        <w:t>Whilst the duration of the Union support to missions would not be expected to exceed 10 years and will be subject to regular review (through the work programme cycle), the timeframe for expected impact of mission</w:t>
      </w:r>
      <w:r>
        <w:rPr>
          <w:noProof/>
        </w:rPr>
        <w:t>s could spread out beyond this timeframe.</w:t>
      </w:r>
    </w:p>
    <w:p w:rsidR="00211384" w:rsidRDefault="004D1F15">
      <w:pPr>
        <w:rPr>
          <w:noProof/>
          <w:color w:val="C00000"/>
        </w:rPr>
      </w:pPr>
      <w:r>
        <w:rPr>
          <w:noProof/>
          <w:szCs w:val="24"/>
        </w:rPr>
        <w:t xml:space="preserve"> </w:t>
      </w:r>
      <w:r>
        <w:rPr>
          <w:rFonts w:eastAsia="Times New Roman"/>
          <w:noProof/>
          <w:szCs w:val="24"/>
          <w:lang w:eastAsia="en-GB"/>
        </w:rPr>
        <w:t xml:space="preserve">For co-designing the missions and steering their implementation, the Commission may set up </w:t>
      </w:r>
      <w:r>
        <w:rPr>
          <w:bCs/>
          <w:i/>
          <w:noProof/>
          <w:szCs w:val="24"/>
        </w:rPr>
        <w:t>mission boards</w:t>
      </w:r>
      <w:r>
        <w:rPr>
          <w:bCs/>
          <w:noProof/>
          <w:szCs w:val="24"/>
        </w:rPr>
        <w:t xml:space="preserve">. They will advise on potential high-impact missions and rely in doing so on a design process that involves </w:t>
      </w:r>
      <w:r>
        <w:rPr>
          <w:bCs/>
          <w:noProof/>
          <w:szCs w:val="24"/>
        </w:rPr>
        <w:t xml:space="preserve">stakeholders and includes public outreach. The mission boards will be </w:t>
      </w:r>
      <w:r>
        <w:rPr>
          <w:noProof/>
          <w:szCs w:val="24"/>
        </w:rPr>
        <w:t xml:space="preserve">composed of stakeholders, including end-users </w:t>
      </w:r>
      <w:r>
        <w:rPr>
          <w:noProof/>
        </w:rPr>
        <w:t>to ensure their engagement, and Commission departments to ensure links to Union policies. The members of the mission boards will normally be</w:t>
      </w:r>
      <w:r>
        <w:rPr>
          <w:noProof/>
        </w:rPr>
        <w:t xml:space="preserve"> appointed by the Commission, following an open call for expression of interests, and taking into account the need for balance in expertise, gender, age and geographical distribution. However, if appropriate, existing governance structures could also be us</w:t>
      </w:r>
      <w:r>
        <w:rPr>
          <w:noProof/>
        </w:rPr>
        <w:t>ed as mission boards.</w:t>
      </w:r>
    </w:p>
    <w:p w:rsidR="00211384" w:rsidRDefault="004D1F15">
      <w:pPr>
        <w:spacing w:after="0"/>
        <w:rPr>
          <w:bCs/>
          <w:noProof/>
          <w:szCs w:val="24"/>
        </w:rPr>
      </w:pPr>
      <w:r>
        <w:rPr>
          <w:bCs/>
          <w:i/>
          <w:noProof/>
          <w:szCs w:val="24"/>
        </w:rPr>
        <w:t>Mission managers</w:t>
      </w:r>
      <w:r>
        <w:rPr>
          <w:bCs/>
          <w:noProof/>
          <w:szCs w:val="24"/>
        </w:rPr>
        <w:t xml:space="preserve"> may be recruited by the Commission to ensure that the best available expertise is used to implement and achieve the stated objectives.</w:t>
      </w:r>
    </w:p>
    <w:p w:rsidR="00211384" w:rsidRDefault="004D1F15">
      <w:pPr>
        <w:spacing w:after="0"/>
        <w:rPr>
          <w:noProof/>
          <w:szCs w:val="24"/>
        </w:rPr>
      </w:pPr>
      <w:r>
        <w:rPr>
          <w:noProof/>
          <w:szCs w:val="24"/>
        </w:rPr>
        <w:t>The implementation provisions will allow a ‘portfolio approach’, whereby proposals</w:t>
      </w:r>
      <w:r>
        <w:rPr>
          <w:noProof/>
          <w:szCs w:val="24"/>
        </w:rPr>
        <w:t xml:space="preserve"> will be evaluated and selected, and projects managed within a portfolio of actions, rather than individually.</w:t>
      </w:r>
    </w:p>
    <w:p w:rsidR="00211384" w:rsidRDefault="004D1F15">
      <w:pPr>
        <w:spacing w:after="0"/>
        <w:rPr>
          <w:noProof/>
          <w:szCs w:val="24"/>
        </w:rPr>
      </w:pPr>
      <w:r>
        <w:rPr>
          <w:noProof/>
          <w:szCs w:val="24"/>
        </w:rPr>
        <w:t>The evaluation of proposals will be done with the help of independent evaluators who will be responsible for proposing a portfolio of projects th</w:t>
      </w:r>
      <w:r>
        <w:rPr>
          <w:noProof/>
          <w:szCs w:val="24"/>
        </w:rPr>
        <w:t>at collectively address a given mission.</w:t>
      </w:r>
    </w:p>
    <w:p w:rsidR="00211384" w:rsidRDefault="004D1F15">
      <w:pPr>
        <w:spacing w:after="0"/>
        <w:rPr>
          <w:noProof/>
          <w:szCs w:val="24"/>
        </w:rPr>
      </w:pPr>
      <w:r>
        <w:rPr>
          <w:noProof/>
          <w:szCs w:val="24"/>
        </w:rPr>
        <w:t>The applicable evaluation and selection criteria, along with the evaluation method for missions (e.g. ensuring a portfolio approach), will be set out in the work programme. The aim is will be to assess excellence an</w:t>
      </w:r>
      <w:r>
        <w:rPr>
          <w:noProof/>
          <w:szCs w:val="24"/>
        </w:rPr>
        <w:t xml:space="preserve">d impact at the collective level. </w:t>
      </w:r>
    </w:p>
    <w:p w:rsidR="00211384" w:rsidRDefault="004D1F15">
      <w:pPr>
        <w:spacing w:after="0"/>
        <w:rPr>
          <w:noProof/>
          <w:szCs w:val="24"/>
        </w:rPr>
      </w:pPr>
      <w:r>
        <w:rPr>
          <w:noProof/>
          <w:szCs w:val="24"/>
        </w:rPr>
        <w:t>Other relevant projects which may contribute to the success of the missions may be incorporated in the portfolio approach, and a broad range of actors, such as foundations, may also be able to contribute.</w:t>
      </w:r>
    </w:p>
    <w:p w:rsidR="00211384" w:rsidRDefault="004D1F15">
      <w:pPr>
        <w:spacing w:after="0"/>
        <w:rPr>
          <w:noProof/>
          <w:szCs w:val="24"/>
        </w:rPr>
      </w:pPr>
      <w:r>
        <w:rPr>
          <w:noProof/>
          <w:szCs w:val="24"/>
        </w:rPr>
        <w:t>The Future and E</w:t>
      </w:r>
      <w:r>
        <w:rPr>
          <w:noProof/>
          <w:szCs w:val="24"/>
        </w:rPr>
        <w:t xml:space="preserve">merging Technologies (FET) flagships of Horizon 2020 have similar features to the mission's concept. For this reason, and also to simplify the funding landscape, any FET flagships planned under Horizon Europe will be set up as missions, in accordance with </w:t>
      </w:r>
      <w:r>
        <w:rPr>
          <w:noProof/>
          <w:szCs w:val="24"/>
        </w:rPr>
        <w:t xml:space="preserve">the mission criteria and implemented using the same modalities. </w:t>
      </w:r>
    </w:p>
    <w:p w:rsidR="00211384" w:rsidRDefault="004D1F15">
      <w:pPr>
        <w:keepNext/>
        <w:spacing w:before="360"/>
        <w:rPr>
          <w:b/>
          <w:noProof/>
          <w:szCs w:val="24"/>
        </w:rPr>
      </w:pPr>
      <w:r>
        <w:rPr>
          <w:b/>
          <w:noProof/>
          <w:szCs w:val="24"/>
        </w:rPr>
        <w:t xml:space="preserve">Pillar III – </w:t>
      </w:r>
      <w:r>
        <w:rPr>
          <w:noProof/>
          <w:szCs w:val="24"/>
        </w:rPr>
        <w:t>‘</w:t>
      </w:r>
      <w:r>
        <w:rPr>
          <w:b/>
          <w:noProof/>
          <w:szCs w:val="24"/>
        </w:rPr>
        <w:t>Open Innovation</w:t>
      </w:r>
      <w:r>
        <w:rPr>
          <w:noProof/>
          <w:szCs w:val="24"/>
        </w:rPr>
        <w:t>’</w:t>
      </w:r>
      <w:r>
        <w:rPr>
          <w:b/>
          <w:noProof/>
          <w:szCs w:val="24"/>
        </w:rPr>
        <w:t xml:space="preserve"> </w:t>
      </w:r>
    </w:p>
    <w:p w:rsidR="00211384" w:rsidRDefault="004D1F15">
      <w:pPr>
        <w:rPr>
          <w:noProof/>
          <w:szCs w:val="24"/>
        </w:rPr>
      </w:pPr>
      <w:r>
        <w:rPr>
          <w:b/>
          <w:noProof/>
          <w:szCs w:val="24"/>
        </w:rPr>
        <w:t xml:space="preserve">This </w:t>
      </w:r>
      <w:r>
        <w:rPr>
          <w:noProof/>
          <w:szCs w:val="24"/>
        </w:rPr>
        <w:t xml:space="preserve">pillar will essentially focus on: </w:t>
      </w:r>
    </w:p>
    <w:p w:rsidR="00211384" w:rsidRDefault="004D1F15">
      <w:pPr>
        <w:pStyle w:val="Tiret0"/>
        <w:numPr>
          <w:ilvl w:val="0"/>
          <w:numId w:val="35"/>
        </w:numPr>
        <w:rPr>
          <w:noProof/>
          <w:szCs w:val="24"/>
        </w:rPr>
      </w:pPr>
      <w:r>
        <w:rPr>
          <w:noProof/>
          <w:szCs w:val="24"/>
        </w:rPr>
        <w:t xml:space="preserve">scaling up breakthrough and market-creating innovation through a new </w:t>
      </w:r>
      <w:r>
        <w:rPr>
          <w:b/>
          <w:noProof/>
          <w:szCs w:val="24"/>
        </w:rPr>
        <w:t>European Innovation Council</w:t>
      </w:r>
      <w:r>
        <w:rPr>
          <w:noProof/>
          <w:szCs w:val="24"/>
        </w:rPr>
        <w:t xml:space="preserve"> (EIC – see </w:t>
      </w:r>
      <w:r>
        <w:rPr>
          <w:noProof/>
        </w:rPr>
        <w:t xml:space="preserve">articles 9 </w:t>
      </w:r>
      <w:r>
        <w:rPr>
          <w:noProof/>
        </w:rPr>
        <w:t>to 10</w:t>
      </w:r>
      <w:r>
        <w:rPr>
          <w:noProof/>
          <w:szCs w:val="24"/>
        </w:rPr>
        <w:t xml:space="preserve">); and </w:t>
      </w:r>
    </w:p>
    <w:p w:rsidR="00211384" w:rsidRDefault="004D1F15">
      <w:pPr>
        <w:pStyle w:val="Tiret0"/>
        <w:rPr>
          <w:noProof/>
          <w:szCs w:val="24"/>
        </w:rPr>
      </w:pPr>
      <w:r>
        <w:rPr>
          <w:noProof/>
          <w:color w:val="000000"/>
        </w:rPr>
        <w:t xml:space="preserve">activities aiming at enhancing and developing the overall European innovation landscape, including support to the </w:t>
      </w:r>
      <w:r>
        <w:rPr>
          <w:b/>
          <w:noProof/>
          <w:color w:val="000000"/>
        </w:rPr>
        <w:t>European Institute of Innovation and Technology</w:t>
      </w:r>
      <w:r>
        <w:rPr>
          <w:noProof/>
          <w:color w:val="000000"/>
        </w:rPr>
        <w:t xml:space="preserve"> (EIT)</w:t>
      </w:r>
      <w:r>
        <w:rPr>
          <w:noProof/>
          <w:szCs w:val="24"/>
        </w:rPr>
        <w:t>.</w:t>
      </w:r>
    </w:p>
    <w:p w:rsidR="00211384" w:rsidRDefault="004D1F15">
      <w:pPr>
        <w:rPr>
          <w:noProof/>
        </w:rPr>
      </w:pPr>
      <w:r>
        <w:rPr>
          <w:noProof/>
        </w:rPr>
        <w:t>To implement the EIC, the Commission will establish a high level board (th</w:t>
      </w:r>
      <w:r>
        <w:rPr>
          <w:noProof/>
        </w:rPr>
        <w:t>e EIC Board) that will advise, inter alia, on the overall strategy, objectives, activities, evaluation criteria and selection of experts. The work programme for the implementation of the EIC actions will be prepared by the Commission on the basis of the ad</w:t>
      </w:r>
      <w:r>
        <w:rPr>
          <w:noProof/>
        </w:rPr>
        <w:t>vice of the EIC Board.</w:t>
      </w:r>
    </w:p>
    <w:p w:rsidR="00211384" w:rsidRDefault="004D1F15">
      <w:pPr>
        <w:rPr>
          <w:noProof/>
        </w:rPr>
      </w:pPr>
      <w:r>
        <w:rPr>
          <w:noProof/>
        </w:rPr>
        <w:t>The European Innovation Council will be the sole channel for the Union support to breakthrough market-creating innovation. It will govern relevant activities previously carried out in Horizon 2020, such as Innovation in SMEs and Futu</w:t>
      </w:r>
      <w:r>
        <w:rPr>
          <w:noProof/>
        </w:rPr>
        <w:t xml:space="preserve">re and Emerging Technologies (FET Open and FET Proactive), and Access to Risk Finance (now aligned with the InvestEU Fund Regulation). </w:t>
      </w:r>
    </w:p>
    <w:p w:rsidR="00211384" w:rsidRDefault="004D1F15">
      <w:pPr>
        <w:rPr>
          <w:noProof/>
        </w:rPr>
      </w:pPr>
      <w:r>
        <w:rPr>
          <w:noProof/>
        </w:rPr>
        <w:t>The Commission may recruit programme managers, following an open and transparent selection procedure, for the implementa</w:t>
      </w:r>
      <w:r>
        <w:rPr>
          <w:noProof/>
        </w:rPr>
        <w:t xml:space="preserve">tion of the EIC. </w:t>
      </w:r>
    </w:p>
    <w:p w:rsidR="00211384" w:rsidRDefault="004D1F15">
      <w:pPr>
        <w:rPr>
          <w:noProof/>
        </w:rPr>
      </w:pPr>
      <w:r>
        <w:rPr>
          <w:noProof/>
        </w:rPr>
        <w:t xml:space="preserve">The EIC will provide direct tailor-made support to innovators through two main funding instruments – the </w:t>
      </w:r>
      <w:r>
        <w:rPr>
          <w:i/>
          <w:noProof/>
        </w:rPr>
        <w:t>Pathfinder</w:t>
      </w:r>
      <w:r>
        <w:rPr>
          <w:noProof/>
        </w:rPr>
        <w:t xml:space="preserve"> and the </w:t>
      </w:r>
      <w:r>
        <w:rPr>
          <w:i/>
          <w:noProof/>
        </w:rPr>
        <w:t xml:space="preserve">Accelerator – </w:t>
      </w:r>
      <w:r>
        <w:rPr>
          <w:noProof/>
        </w:rPr>
        <w:t xml:space="preserve">which will both focus through a mainly bottom-up, high-risk approach on breakthrough innovation; on </w:t>
      </w:r>
      <w:r>
        <w:rPr>
          <w:noProof/>
        </w:rPr>
        <w:t xml:space="preserve">innovator needs and be pro-actively managed. </w:t>
      </w:r>
    </w:p>
    <w:p w:rsidR="00211384" w:rsidRDefault="004D1F15">
      <w:pPr>
        <w:rPr>
          <w:noProof/>
          <w:szCs w:val="20"/>
        </w:rPr>
      </w:pPr>
      <w:r>
        <w:rPr>
          <w:noProof/>
          <w:szCs w:val="20"/>
        </w:rPr>
        <w:t xml:space="preserve">The </w:t>
      </w:r>
      <w:r>
        <w:rPr>
          <w:i/>
          <w:noProof/>
          <w:szCs w:val="20"/>
        </w:rPr>
        <w:t>Pathfinder for Advanced Research</w:t>
      </w:r>
      <w:r>
        <w:rPr>
          <w:noProof/>
          <w:szCs w:val="20"/>
        </w:rPr>
        <w:t xml:space="preserve"> will provide grants from the early technology stage (including proof-of-concept, technology validation) to the early commercial stage (early demonstration, developing a busi</w:t>
      </w:r>
      <w:r>
        <w:rPr>
          <w:noProof/>
          <w:szCs w:val="20"/>
        </w:rPr>
        <w:t xml:space="preserve">ness case and strategy). </w:t>
      </w:r>
    </w:p>
    <w:p w:rsidR="00211384" w:rsidRDefault="004D1F15">
      <w:pPr>
        <w:rPr>
          <w:noProof/>
          <w:szCs w:val="20"/>
        </w:rPr>
      </w:pPr>
      <w:r>
        <w:rPr>
          <w:noProof/>
          <w:szCs w:val="20"/>
        </w:rPr>
        <w:t xml:space="preserve">The </w:t>
      </w:r>
      <w:r>
        <w:rPr>
          <w:i/>
          <w:noProof/>
          <w:szCs w:val="20"/>
        </w:rPr>
        <w:t>Accelerator</w:t>
      </w:r>
      <w:r>
        <w:rPr>
          <w:noProof/>
          <w:szCs w:val="20"/>
        </w:rPr>
        <w:t xml:space="preserve"> will support the further development and market deployment of breakthrough and market-creating innovations, to a stage where it can be financed under normal commercial terms by investors (e.g. from demonstration, u</w:t>
      </w:r>
      <w:r>
        <w:rPr>
          <w:noProof/>
          <w:szCs w:val="20"/>
        </w:rPr>
        <w:t xml:space="preserve">ser testing, pre-commercial production, including scale-up). It will provide EIC blended finance (i.e. grants combining direct equity and access to financial guarantees). </w:t>
      </w:r>
    </w:p>
    <w:p w:rsidR="00211384" w:rsidRDefault="004D1F15">
      <w:pPr>
        <w:rPr>
          <w:noProof/>
          <w:szCs w:val="20"/>
        </w:rPr>
      </w:pPr>
      <w:r>
        <w:rPr>
          <w:noProof/>
          <w:szCs w:val="20"/>
        </w:rPr>
        <w:t xml:space="preserve">The Accelerator will place a particular emphasis on innovation generated within the </w:t>
      </w:r>
      <w:r>
        <w:rPr>
          <w:noProof/>
          <w:szCs w:val="20"/>
        </w:rPr>
        <w:t xml:space="preserve">Pathfinder, though it will also fund projects from other parts of Horizon Europe such as the European Research Council or the European Institute of Innovation and Technology's </w:t>
      </w:r>
      <w:r>
        <w:rPr>
          <w:i/>
          <w:noProof/>
          <w:szCs w:val="20"/>
        </w:rPr>
        <w:t>Knowledge and Innovation Communities</w:t>
      </w:r>
      <w:r>
        <w:rPr>
          <w:noProof/>
          <w:szCs w:val="20"/>
        </w:rPr>
        <w:t xml:space="preserve">. </w:t>
      </w:r>
    </w:p>
    <w:p w:rsidR="00211384" w:rsidRDefault="004D1F15">
      <w:pPr>
        <w:rPr>
          <w:noProof/>
        </w:rPr>
      </w:pPr>
      <w:r>
        <w:rPr>
          <w:noProof/>
        </w:rPr>
        <w:t>Another feature of the Open Innovation pillar is an increased cooperation with innovation ecosystems aimed at improving the environment within which innovation can flourish, in particular but not exclusively via the EIT, which will promote sustainable inno</w:t>
      </w:r>
      <w:r>
        <w:rPr>
          <w:noProof/>
        </w:rPr>
        <w:t xml:space="preserve">vation ecosystems and develop entrepreneurial and innovation skills in priority areas through its Knowledge and Innovation Communities. </w:t>
      </w:r>
    </w:p>
    <w:p w:rsidR="00211384" w:rsidRDefault="004D1F15">
      <w:pPr>
        <w:keepNext/>
        <w:spacing w:before="360"/>
        <w:rPr>
          <w:b/>
          <w:noProof/>
        </w:rPr>
      </w:pPr>
      <w:r>
        <w:rPr>
          <w:b/>
          <w:noProof/>
        </w:rPr>
        <w:t xml:space="preserve">Part </w:t>
      </w:r>
      <w:r>
        <w:rPr>
          <w:noProof/>
          <w:szCs w:val="24"/>
        </w:rPr>
        <w:t>‘</w:t>
      </w:r>
      <w:r>
        <w:rPr>
          <w:b/>
          <w:noProof/>
        </w:rPr>
        <w:t>Strengthening the European Research Area</w:t>
      </w:r>
      <w:r>
        <w:rPr>
          <w:noProof/>
          <w:szCs w:val="24"/>
        </w:rPr>
        <w:t>’</w:t>
      </w:r>
    </w:p>
    <w:p w:rsidR="00211384" w:rsidRDefault="004D1F15">
      <w:pPr>
        <w:rPr>
          <w:noProof/>
          <w:szCs w:val="24"/>
        </w:rPr>
      </w:pPr>
      <w:r>
        <w:rPr>
          <w:noProof/>
        </w:rPr>
        <w:t xml:space="preserve">The main components of this particular part are: </w:t>
      </w:r>
      <w:r>
        <w:rPr>
          <w:noProof/>
          <w:szCs w:val="24"/>
        </w:rPr>
        <w:t xml:space="preserve">‘sharing excellence’; </w:t>
      </w:r>
      <w:r>
        <w:rPr>
          <w:noProof/>
          <w:szCs w:val="24"/>
        </w:rPr>
        <w:t>and ‘reforming and enhancing the European R&amp;I system’, covering the next generation Policy Support Facility.</w:t>
      </w:r>
    </w:p>
    <w:p w:rsidR="00211384" w:rsidRDefault="004D1F15">
      <w:pPr>
        <w:rPr>
          <w:noProof/>
          <w:szCs w:val="24"/>
        </w:rPr>
      </w:pPr>
      <w:r>
        <w:rPr>
          <w:noProof/>
          <w:szCs w:val="24"/>
        </w:rPr>
        <w:t xml:space="preserve">This part will also include </w:t>
      </w:r>
      <w:r>
        <w:rPr>
          <w:noProof/>
        </w:rPr>
        <w:t xml:space="preserve">activities on: </w:t>
      </w:r>
      <w:r>
        <w:rPr>
          <w:noProof/>
          <w:szCs w:val="24"/>
        </w:rPr>
        <w:t>foresight activities; monitoring and evaluating the Framework Programme and disseminating and exploiting</w:t>
      </w:r>
      <w:r>
        <w:rPr>
          <w:noProof/>
          <w:szCs w:val="24"/>
        </w:rPr>
        <w:t xml:space="preserve"> results; modernising European universities; supporting enhanced international cooperation; and science, society and citizens.</w:t>
      </w:r>
    </w:p>
    <w:p w:rsidR="00211384" w:rsidRDefault="004D1F15">
      <w:pPr>
        <w:keepNext/>
        <w:spacing w:before="360"/>
        <w:rPr>
          <w:b/>
          <w:noProof/>
        </w:rPr>
      </w:pPr>
      <w:r>
        <w:rPr>
          <w:b/>
          <w:noProof/>
        </w:rPr>
        <w:t>Implementation</w:t>
      </w:r>
    </w:p>
    <w:p w:rsidR="00211384" w:rsidRDefault="004D1F15">
      <w:pPr>
        <w:rPr>
          <w:noProof/>
        </w:rPr>
      </w:pPr>
      <w:r>
        <w:rPr>
          <w:noProof/>
        </w:rPr>
        <w:t xml:space="preserve">In implementing Horizon Europe, the Commission will be assisted by a </w:t>
      </w:r>
      <w:r>
        <w:rPr>
          <w:b/>
          <w:noProof/>
        </w:rPr>
        <w:t xml:space="preserve">Committee </w:t>
      </w:r>
      <w:r>
        <w:rPr>
          <w:noProof/>
        </w:rPr>
        <w:t>(see Article 12)</w:t>
      </w:r>
      <w:r>
        <w:rPr>
          <w:b/>
          <w:noProof/>
        </w:rPr>
        <w:t xml:space="preserve"> </w:t>
      </w:r>
      <w:r>
        <w:rPr>
          <w:noProof/>
        </w:rPr>
        <w:t>within the meaning</w:t>
      </w:r>
      <w:r>
        <w:rPr>
          <w:noProof/>
        </w:rPr>
        <w:t xml:space="preserve"> of Regulation (EU) No 182/2011. It would meet in different configurations (see Annex II of this Decision), depending on the subject matter to be discussed. </w:t>
      </w:r>
    </w:p>
    <w:p w:rsidR="00211384" w:rsidRDefault="004D1F15">
      <w:pPr>
        <w:keepNext/>
        <w:spacing w:before="360"/>
        <w:rPr>
          <w:b/>
          <w:noProof/>
        </w:rPr>
      </w:pPr>
      <w:r>
        <w:rPr>
          <w:b/>
          <w:noProof/>
        </w:rPr>
        <w:t>Programme Activities</w:t>
      </w:r>
    </w:p>
    <w:p w:rsidR="00211384" w:rsidRDefault="004D1F15">
      <w:pPr>
        <w:rPr>
          <w:noProof/>
        </w:rPr>
      </w:pPr>
      <w:r>
        <w:rPr>
          <w:noProof/>
        </w:rPr>
        <w:t>See Annex I of this proposal for more detail on the areas funded under each o</w:t>
      </w:r>
      <w:r>
        <w:rPr>
          <w:noProof/>
        </w:rPr>
        <w:t>f the pillars and on programme activities. This includes implementation arrangements and general principles with a specific focus on strategic planning, dissemination and communication, exploitation and market uptake, support for policy-making and internat</w:t>
      </w:r>
      <w:r>
        <w:rPr>
          <w:noProof/>
        </w:rPr>
        <w:t>ional cooperation.</w:t>
      </w:r>
      <w:r>
        <w:rPr>
          <w:noProof/>
        </w:rPr>
        <w:tab/>
      </w:r>
    </w:p>
    <w:p w:rsidR="00211384" w:rsidRDefault="00211384">
      <w:pPr>
        <w:rPr>
          <w:noProof/>
        </w:rPr>
      </w:pPr>
    </w:p>
    <w:p w:rsidR="00211384" w:rsidRDefault="00211384">
      <w:pPr>
        <w:rPr>
          <w:noProof/>
        </w:rPr>
        <w:sectPr w:rsidR="00211384" w:rsidSect="004D1F15">
          <w:footerReference w:type="default" r:id="rId19"/>
          <w:footerReference w:type="first" r:id="rId20"/>
          <w:pgSz w:w="11907" w:h="16839"/>
          <w:pgMar w:top="1134" w:right="1417" w:bottom="1134" w:left="1417" w:header="709" w:footer="709" w:gutter="0"/>
          <w:cols w:space="708"/>
          <w:docGrid w:linePitch="360"/>
        </w:sectPr>
      </w:pPr>
    </w:p>
    <w:p w:rsidR="00211384" w:rsidRDefault="004D1F15" w:rsidP="004D1F15">
      <w:pPr>
        <w:pStyle w:val="Rfrenceinterinstitutionnelle"/>
        <w:rPr>
          <w:noProof/>
        </w:rPr>
      </w:pPr>
      <w:r w:rsidRPr="004D1F15">
        <w:t>2018/0225 (COD)</w:t>
      </w:r>
    </w:p>
    <w:p w:rsidR="00211384" w:rsidRDefault="004D1F15" w:rsidP="004D1F15">
      <w:pPr>
        <w:pStyle w:val="Statut"/>
        <w:rPr>
          <w:noProof/>
        </w:rPr>
      </w:pPr>
      <w:r w:rsidRPr="004D1F15">
        <w:t>Proposal for a</w:t>
      </w:r>
    </w:p>
    <w:p w:rsidR="00211384" w:rsidRDefault="004D1F15" w:rsidP="004D1F15">
      <w:pPr>
        <w:pStyle w:val="Typedudocument"/>
        <w:rPr>
          <w:noProof/>
        </w:rPr>
      </w:pPr>
      <w:r w:rsidRPr="004D1F15">
        <w:t>DECISION OF THE EUROPEAN PARLIAMENT AND OF THE COUNCIL</w:t>
      </w:r>
    </w:p>
    <w:p w:rsidR="00211384" w:rsidRDefault="004D1F15" w:rsidP="004D1F15">
      <w:pPr>
        <w:pStyle w:val="Titreobjet"/>
        <w:rPr>
          <w:noProof/>
        </w:rPr>
      </w:pPr>
      <w:proofErr w:type="gramStart"/>
      <w:r w:rsidRPr="004D1F15">
        <w:t>on</w:t>
      </w:r>
      <w:proofErr w:type="gramEnd"/>
      <w:r w:rsidRPr="004D1F15">
        <w:t xml:space="preserve"> establishing the specific programme implementing Horizon Europe – the Framework Programme for Research and Innovation</w:t>
      </w:r>
    </w:p>
    <w:p w:rsidR="00211384" w:rsidRDefault="004D1F15" w:rsidP="004D1F15">
      <w:pPr>
        <w:pStyle w:val="IntrtEEE"/>
        <w:rPr>
          <w:noProof/>
        </w:rPr>
      </w:pPr>
      <w:r w:rsidRPr="004D1F15">
        <w:t>(Text with EEA relevance)</w:t>
      </w:r>
    </w:p>
    <w:p w:rsidR="00211384" w:rsidRDefault="004D1F15">
      <w:pPr>
        <w:pStyle w:val="Institutionquiagit"/>
        <w:rPr>
          <w:noProof/>
        </w:rPr>
      </w:pPr>
      <w:r>
        <w:rPr>
          <w:noProof/>
        </w:rPr>
        <w:t xml:space="preserve">THE EUROPEAN PARLIAMENT AND THE COUNCIL OF THE EUROPEAN </w:t>
      </w:r>
      <w:smartTag w:uri="urn:schemas-microsoft-com:office:smarttags" w:element="place">
        <w:r>
          <w:rPr>
            <w:noProof/>
          </w:rPr>
          <w:t>UNION</w:t>
        </w:r>
      </w:smartTag>
      <w:r>
        <w:rPr>
          <w:noProof/>
        </w:rPr>
        <w:t>,</w:t>
      </w:r>
    </w:p>
    <w:p w:rsidR="00211384" w:rsidRDefault="004D1F15">
      <w:pPr>
        <w:rPr>
          <w:noProof/>
        </w:rPr>
      </w:pPr>
      <w:r>
        <w:rPr>
          <w:noProof/>
        </w:rPr>
        <w:t>Having regard to the Treaty on the Functioning of the European Union, and in particular Articles 173(3) and 182(4) thereof,</w:t>
      </w:r>
    </w:p>
    <w:p w:rsidR="00211384" w:rsidRDefault="004D1F15">
      <w:pPr>
        <w:rPr>
          <w:noProof/>
        </w:rPr>
      </w:pPr>
      <w:r>
        <w:rPr>
          <w:noProof/>
        </w:rPr>
        <w:t xml:space="preserve">Having regard to </w:t>
      </w:r>
      <w:r>
        <w:rPr>
          <w:noProof/>
        </w:rPr>
        <w:t>the proposal from the European Commission,</w:t>
      </w:r>
    </w:p>
    <w:p w:rsidR="00211384" w:rsidRDefault="004D1F15">
      <w:pPr>
        <w:rPr>
          <w:noProof/>
        </w:rPr>
      </w:pPr>
      <w:r>
        <w:rPr>
          <w:noProof/>
        </w:rPr>
        <w:t>After transmission of the draft legislative act to the national parliaments,</w:t>
      </w:r>
    </w:p>
    <w:p w:rsidR="00211384" w:rsidRDefault="004D1F15">
      <w:pPr>
        <w:rPr>
          <w:noProof/>
        </w:rPr>
      </w:pPr>
      <w:r>
        <w:rPr>
          <w:noProof/>
        </w:rPr>
        <w:t>Having regard to the opinion of the European Economic and Social Committee</w:t>
      </w:r>
      <w:r>
        <w:rPr>
          <w:rStyle w:val="FootnoteReference"/>
          <w:noProof/>
        </w:rPr>
        <w:footnoteReference w:id="2"/>
      </w:r>
      <w:r>
        <w:rPr>
          <w:noProof/>
        </w:rPr>
        <w:t xml:space="preserve">, </w:t>
      </w:r>
    </w:p>
    <w:p w:rsidR="00211384" w:rsidRDefault="004D1F15">
      <w:pPr>
        <w:rPr>
          <w:noProof/>
        </w:rPr>
      </w:pPr>
      <w:r>
        <w:rPr>
          <w:noProof/>
        </w:rPr>
        <w:t>Having regard to the opinion of the Committee of the Regio</w:t>
      </w:r>
      <w:r>
        <w:rPr>
          <w:noProof/>
        </w:rPr>
        <w:t>ns</w:t>
      </w:r>
      <w:r>
        <w:rPr>
          <w:rStyle w:val="FootnoteReference"/>
          <w:noProof/>
        </w:rPr>
        <w:footnoteReference w:id="3"/>
      </w:r>
      <w:r>
        <w:rPr>
          <w:noProof/>
        </w:rPr>
        <w:t xml:space="preserve">, </w:t>
      </w:r>
    </w:p>
    <w:p w:rsidR="00211384" w:rsidRDefault="004D1F15">
      <w:pPr>
        <w:rPr>
          <w:noProof/>
        </w:rPr>
      </w:pPr>
      <w:r>
        <w:rPr>
          <w:noProof/>
        </w:rPr>
        <w:t>Acting in accordance with the ordinary legislative procedure</w:t>
      </w:r>
    </w:p>
    <w:p w:rsidR="00211384" w:rsidRDefault="004D1F15">
      <w:pPr>
        <w:rPr>
          <w:noProof/>
        </w:rPr>
      </w:pPr>
      <w:r>
        <w:rPr>
          <w:noProof/>
        </w:rPr>
        <w:t>Whereas:</w:t>
      </w:r>
    </w:p>
    <w:p w:rsidR="00211384" w:rsidRDefault="004D1F15">
      <w:pPr>
        <w:pStyle w:val="ManualConsidrant"/>
        <w:rPr>
          <w:noProof/>
        </w:rPr>
      </w:pPr>
      <w:r>
        <w:t>(1)</w:t>
      </w:r>
      <w:r>
        <w:tab/>
      </w:r>
      <w:r>
        <w:rPr>
          <w:noProof/>
        </w:rPr>
        <w:t xml:space="preserve">In accordance with Article 182(3) of the Treaty on the Functioning of the European Union (TFEU), the Horizon Europe - Framework Programme for Research and Innovation ("Horizon </w:t>
      </w:r>
      <w:r>
        <w:rPr>
          <w:noProof/>
        </w:rPr>
        <w:t xml:space="preserve">Europe"), established by </w:t>
      </w:r>
      <w:r>
        <w:rPr>
          <w:i/>
          <w:noProof/>
        </w:rPr>
        <w:t>FP/RfP</w:t>
      </w:r>
      <w:r>
        <w:rPr>
          <w:noProof/>
        </w:rPr>
        <w:t xml:space="preserve"> Regulation (EU) No … of the European Parliament and of the Council of…</w:t>
      </w:r>
      <w:r>
        <w:rPr>
          <w:rStyle w:val="FootnoteReference"/>
          <w:noProof/>
        </w:rPr>
        <w:footnoteReference w:id="4"/>
      </w:r>
      <w:r>
        <w:rPr>
          <w:noProof/>
        </w:rPr>
        <w:t xml:space="preserve"> , is to be implemented through specific programmes, which define the detailed rules for their implementation, fix their duration and provide for the means deemed necessary.</w:t>
      </w:r>
    </w:p>
    <w:p w:rsidR="00211384" w:rsidRDefault="004D1F15">
      <w:pPr>
        <w:pStyle w:val="ManualConsidrant"/>
        <w:rPr>
          <w:noProof/>
        </w:rPr>
      </w:pPr>
      <w:r>
        <w:t>(2)</w:t>
      </w:r>
      <w:r>
        <w:tab/>
      </w:r>
      <w:r>
        <w:rPr>
          <w:i/>
          <w:noProof/>
        </w:rPr>
        <w:t>FP/RfP</w:t>
      </w:r>
      <w:r>
        <w:rPr>
          <w:noProof/>
        </w:rPr>
        <w:t xml:space="preserve"> Regulation (EU) No … sets out the general and specific objectives of Ho</w:t>
      </w:r>
      <w:r>
        <w:rPr>
          <w:noProof/>
        </w:rPr>
        <w:t>rizon Europe, the structure and the broad lines of activities to be carried out, while this specific programme implementing Horizon Europe - the Framework Programme for Research and Innovation (the 'Specific Programme') should define the operational object</w:t>
      </w:r>
      <w:r>
        <w:rPr>
          <w:noProof/>
        </w:rPr>
        <w:t xml:space="preserve">ives and the activities which are specific to parts of Horizon Europe. The provisions on implementation set out in </w:t>
      </w:r>
      <w:r>
        <w:rPr>
          <w:i/>
          <w:noProof/>
        </w:rPr>
        <w:t>FP/RfP Regulation</w:t>
      </w:r>
      <w:r>
        <w:rPr>
          <w:noProof/>
        </w:rPr>
        <w:t xml:space="preserve"> (EU) No … apply fully to the Specific Programme, including those relating to ethical principles.</w:t>
      </w:r>
    </w:p>
    <w:p w:rsidR="00211384" w:rsidRDefault="004D1F15">
      <w:pPr>
        <w:pStyle w:val="ManualConsidrant"/>
        <w:rPr>
          <w:noProof/>
        </w:rPr>
      </w:pPr>
      <w:r>
        <w:t>(3)</w:t>
      </w:r>
      <w:r>
        <w:tab/>
      </w:r>
      <w:r>
        <w:rPr>
          <w:noProof/>
        </w:rPr>
        <w:t>In order to ensure uni</w:t>
      </w:r>
      <w:r>
        <w:rPr>
          <w:noProof/>
        </w:rPr>
        <w:t>form conditions for the implementation of the Specific Programme, implementing powers should be conferred on the Commission to adopt work programmes for the implementation of the Specific Programme. Those powers should be exercised in accordance with Regul</w:t>
      </w:r>
      <w:r>
        <w:rPr>
          <w:noProof/>
        </w:rPr>
        <w:t>ation (EU) No 182/2011 of the European Parliament and of the Council</w:t>
      </w:r>
      <w:r>
        <w:rPr>
          <w:rStyle w:val="FootnoteReference"/>
          <w:noProof/>
        </w:rPr>
        <w:footnoteReference w:id="5"/>
      </w:r>
      <w:r>
        <w:rPr>
          <w:noProof/>
        </w:rPr>
        <w:t>.</w:t>
      </w:r>
    </w:p>
    <w:p w:rsidR="00211384" w:rsidRDefault="004D1F15">
      <w:pPr>
        <w:pStyle w:val="ManualConsidrant"/>
        <w:rPr>
          <w:noProof/>
        </w:rPr>
      </w:pPr>
      <w:r>
        <w:t>(4)</w:t>
      </w:r>
      <w:r>
        <w:tab/>
      </w:r>
      <w:r>
        <w:rPr>
          <w:noProof/>
        </w:rPr>
        <w:t>The Board of Governors of the Joint Research Centre (JRC), set up by Commission Decision 96/282/Euratom</w:t>
      </w:r>
      <w:r>
        <w:rPr>
          <w:rStyle w:val="FootnoteReference"/>
          <w:noProof/>
        </w:rPr>
        <w:footnoteReference w:id="6"/>
      </w:r>
      <w:r>
        <w:rPr>
          <w:noProof/>
        </w:rPr>
        <w:t xml:space="preserve"> has been consulted on the scientific and technological content of the Specif</w:t>
      </w:r>
      <w:r>
        <w:rPr>
          <w:noProof/>
        </w:rPr>
        <w:t>ic Programme on the non-nuclear direct actions of the JRC;</w:t>
      </w:r>
    </w:p>
    <w:p w:rsidR="00211384" w:rsidRDefault="004D1F15">
      <w:pPr>
        <w:pStyle w:val="ManualConsidrant"/>
        <w:rPr>
          <w:noProof/>
        </w:rPr>
      </w:pPr>
      <w:r>
        <w:t>(5)</w:t>
      </w:r>
      <w:r>
        <w:tab/>
      </w:r>
      <w:r>
        <w:rPr>
          <w:noProof/>
        </w:rPr>
        <w:t>Reflecting the importance of tackling climate change in line with the Union's commitments to implement the Paris Agreement and the United Nations Sustainable Development Goals, this Specific Pr</w:t>
      </w:r>
      <w:r>
        <w:rPr>
          <w:noProof/>
        </w:rPr>
        <w:t>ogramme will contribute to mainstream climate actions and to the achievement of an overall target of 25 % of the EU budget expenditures supporting climate objectives. Actions under this Specific Programme are expected to contribute 35% of the overall finan</w:t>
      </w:r>
      <w:r>
        <w:rPr>
          <w:noProof/>
        </w:rPr>
        <w:t>cial envelope of the Specific Programme to climate objectives. Relevant actions will be identified during the Specific Programme's preparation and implementation, and reassessed in the context of the relevant evaluations and review processes.</w:t>
      </w:r>
    </w:p>
    <w:p w:rsidR="00211384" w:rsidRDefault="004D1F15">
      <w:pPr>
        <w:pStyle w:val="ManualConsidrant"/>
        <w:rPr>
          <w:noProof/>
        </w:rPr>
      </w:pPr>
      <w:r>
        <w:t>(6)</w:t>
      </w:r>
      <w:r>
        <w:tab/>
      </w:r>
      <w:r>
        <w:rPr>
          <w:noProof/>
        </w:rPr>
        <w:t>The Speci</w:t>
      </w:r>
      <w:r>
        <w:rPr>
          <w:noProof/>
        </w:rPr>
        <w:t>fic Programme's actions should be used to address market failures or sub-optimal investment situations, in a proportionate manner, without duplicating or crowding out private financing and have a clear European added value.</w:t>
      </w:r>
    </w:p>
    <w:p w:rsidR="00211384" w:rsidRDefault="004D1F15">
      <w:pPr>
        <w:pStyle w:val="ManualConsidrant"/>
        <w:rPr>
          <w:noProof/>
        </w:rPr>
      </w:pPr>
      <w:r>
        <w:t>(7)</w:t>
      </w:r>
      <w:r>
        <w:tab/>
      </w:r>
      <w:r>
        <w:rPr>
          <w:noProof/>
        </w:rPr>
        <w:t>Reflecting the important con</w:t>
      </w:r>
      <w:r>
        <w:rPr>
          <w:noProof/>
        </w:rPr>
        <w:t>tribution that research and innovation should make to address challenges in food, agriculture, rural development and the bioeconomy, and to seize the corresponding research and innovation opportunities in close synergy with Common Agricultural Policy, rele</w:t>
      </w:r>
      <w:r>
        <w:rPr>
          <w:noProof/>
        </w:rPr>
        <w:t>vant actions under the Specific Programme will be supported with EUR 10 billion for the cluster 'Food and Natural Resources' for the period 2021-2027.</w:t>
      </w:r>
    </w:p>
    <w:p w:rsidR="00211384" w:rsidRDefault="004D1F15">
      <w:pPr>
        <w:pStyle w:val="ManualConsidrant"/>
        <w:rPr>
          <w:noProof/>
        </w:rPr>
      </w:pPr>
      <w:r>
        <w:t>(8)</w:t>
      </w:r>
      <w:r>
        <w:tab/>
      </w:r>
      <w:r>
        <w:rPr>
          <w:noProof/>
        </w:rPr>
        <w:t>The completion of the Digital Single Market and the growing opportunities from the convergence of dig</w:t>
      </w:r>
      <w:r>
        <w:rPr>
          <w:noProof/>
        </w:rPr>
        <w:t>ital and physical technologies requires a stepping up of investments. Horizon Europe will contribute to these efforts with a substantial increase of spending in main digital research and innovation activities compared to the Research and Innovation Framewo</w:t>
      </w:r>
      <w:r>
        <w:rPr>
          <w:noProof/>
        </w:rPr>
        <w:t>rk Programme Horizon 2020</w:t>
      </w:r>
      <w:r>
        <w:rPr>
          <w:rStyle w:val="FootnoteReference"/>
          <w:noProof/>
        </w:rPr>
        <w:footnoteReference w:id="7"/>
      </w:r>
      <w:r>
        <w:rPr>
          <w:noProof/>
        </w:rPr>
        <w:t>. This should ensure that Europe remains at the forefront of global research and innovation in the digital field.</w:t>
      </w:r>
    </w:p>
    <w:p w:rsidR="00211384" w:rsidRDefault="004D1F15">
      <w:pPr>
        <w:pStyle w:val="ManualConsidrant"/>
        <w:rPr>
          <w:noProof/>
        </w:rPr>
      </w:pPr>
      <w:r>
        <w:t>(9)</w:t>
      </w:r>
      <w:r>
        <w:tab/>
      </w:r>
      <w:r>
        <w:rPr>
          <w:noProof/>
        </w:rPr>
        <w:t>The types of financing and the methods of implementation under this Decision shall be chosen on the basis of the</w:t>
      </w:r>
      <w:r>
        <w:rPr>
          <w:noProof/>
        </w:rPr>
        <w:t>ir ability to achieve the specific objectives of the actions and to deliver results, taking into account, in particular, the costs of controls, the administrative burden, and the expected risk of non-compliance. For grants, this shall include consideration</w:t>
      </w:r>
      <w:r>
        <w:rPr>
          <w:noProof/>
        </w:rPr>
        <w:t xml:space="preserve"> of the use of lump sums, flat rates and scales of unit costs.</w:t>
      </w:r>
    </w:p>
    <w:p w:rsidR="00211384" w:rsidRDefault="00211384">
      <w:pPr>
        <w:rPr>
          <w:noProof/>
        </w:rPr>
      </w:pPr>
    </w:p>
    <w:p w:rsidR="00211384" w:rsidRDefault="004D1F15">
      <w:pPr>
        <w:pStyle w:val="Formuledadoption"/>
        <w:rPr>
          <w:noProof/>
        </w:rPr>
      </w:pPr>
      <w:r>
        <w:rPr>
          <w:noProof/>
        </w:rPr>
        <w:t>HAVE ADOPTED THIS DECISION:</w:t>
      </w:r>
    </w:p>
    <w:p w:rsidR="00211384" w:rsidRDefault="004D1F15">
      <w:pPr>
        <w:keepNext/>
        <w:jc w:val="center"/>
        <w:rPr>
          <w:noProof/>
        </w:rPr>
      </w:pPr>
      <w:r>
        <w:rPr>
          <w:noProof/>
        </w:rPr>
        <w:t>CHAPTER I</w:t>
      </w:r>
    </w:p>
    <w:p w:rsidR="00211384" w:rsidRDefault="004D1F15">
      <w:pPr>
        <w:keepNext/>
        <w:jc w:val="center"/>
        <w:rPr>
          <w:b/>
          <w:noProof/>
        </w:rPr>
      </w:pPr>
      <w:r>
        <w:rPr>
          <w:b/>
          <w:noProof/>
        </w:rPr>
        <w:t>GENERAL PROVISIONS</w:t>
      </w:r>
    </w:p>
    <w:p w:rsidR="00211384" w:rsidRDefault="004D1F15">
      <w:pPr>
        <w:pStyle w:val="Titrearticle"/>
        <w:rPr>
          <w:noProof/>
        </w:rPr>
      </w:pPr>
      <w:r>
        <w:rPr>
          <w:noProof/>
        </w:rPr>
        <w:t xml:space="preserve">Article </w:t>
      </w:r>
      <w:r>
        <w:rPr>
          <w:noProof/>
          <w:szCs w:val="24"/>
        </w:rPr>
        <w:t>1</w:t>
      </w:r>
    </w:p>
    <w:p w:rsidR="00211384" w:rsidRDefault="004D1F15">
      <w:pPr>
        <w:keepNext/>
        <w:jc w:val="center"/>
        <w:rPr>
          <w:b/>
          <w:noProof/>
        </w:rPr>
      </w:pPr>
      <w:r>
        <w:rPr>
          <w:b/>
          <w:noProof/>
        </w:rPr>
        <w:t>Subject matter</w:t>
      </w:r>
    </w:p>
    <w:p w:rsidR="00211384" w:rsidRDefault="004D1F15">
      <w:pPr>
        <w:rPr>
          <w:noProof/>
        </w:rPr>
      </w:pPr>
      <w:r>
        <w:rPr>
          <w:noProof/>
        </w:rPr>
        <w:t>This Decision establishes the specific programme implementing Horizon Europe - the Framework Programme for Res</w:t>
      </w:r>
      <w:r>
        <w:rPr>
          <w:noProof/>
        </w:rPr>
        <w:t xml:space="preserve">earch and Innovation (the ‘Specific Programme’), as set out in Article 1(3)(a) of the </w:t>
      </w:r>
      <w:r>
        <w:rPr>
          <w:i/>
          <w:noProof/>
        </w:rPr>
        <w:t>FP/RfP</w:t>
      </w:r>
      <w:r>
        <w:rPr>
          <w:noProof/>
        </w:rPr>
        <w:t xml:space="preserve"> Regulation…/…/EU. </w:t>
      </w:r>
    </w:p>
    <w:p w:rsidR="00211384" w:rsidRDefault="004D1F15">
      <w:pPr>
        <w:rPr>
          <w:noProof/>
        </w:rPr>
      </w:pPr>
      <w:r>
        <w:rPr>
          <w:noProof/>
        </w:rPr>
        <w:t>It lays down the operational objectives of the Specific Programme, the budget for the period 2021 – 2027, the rules for implementation of the Sp</w:t>
      </w:r>
      <w:r>
        <w:rPr>
          <w:noProof/>
        </w:rPr>
        <w:t xml:space="preserve">ecific Programme and activities to be carried out under the Specific Programme .  </w:t>
      </w:r>
    </w:p>
    <w:p w:rsidR="00211384" w:rsidRDefault="00211384">
      <w:pPr>
        <w:rPr>
          <w:noProof/>
        </w:rPr>
      </w:pPr>
    </w:p>
    <w:p w:rsidR="00211384" w:rsidRDefault="004D1F15">
      <w:pPr>
        <w:pStyle w:val="Titrearticle"/>
        <w:rPr>
          <w:noProof/>
        </w:rPr>
      </w:pPr>
      <w:r>
        <w:rPr>
          <w:noProof/>
        </w:rPr>
        <w:t xml:space="preserve">Article </w:t>
      </w:r>
      <w:r>
        <w:rPr>
          <w:noProof/>
          <w:szCs w:val="24"/>
        </w:rPr>
        <w:t>2</w:t>
      </w:r>
    </w:p>
    <w:p w:rsidR="00211384" w:rsidRDefault="004D1F15">
      <w:pPr>
        <w:keepNext/>
        <w:jc w:val="center"/>
        <w:rPr>
          <w:b/>
          <w:noProof/>
        </w:rPr>
      </w:pPr>
      <w:r>
        <w:rPr>
          <w:b/>
          <w:noProof/>
        </w:rPr>
        <w:t xml:space="preserve">Operational objectives </w:t>
      </w:r>
    </w:p>
    <w:p w:rsidR="00211384" w:rsidRDefault="004D1F15">
      <w:pPr>
        <w:pStyle w:val="ManualNumPar1"/>
        <w:rPr>
          <w:noProof/>
        </w:rPr>
      </w:pPr>
      <w:r>
        <w:rPr>
          <w:noProof/>
        </w:rPr>
        <w:t>1.</w:t>
      </w:r>
      <w:r>
        <w:rPr>
          <w:noProof/>
        </w:rPr>
        <w:tab/>
        <w:t xml:space="preserve">The Specific Programme shall contribute to the general and specific objectives set out in Article 3 of Regulation … </w:t>
      </w:r>
      <w:r>
        <w:rPr>
          <w:i/>
          <w:noProof/>
        </w:rPr>
        <w:t>FP/RfP Regulation</w:t>
      </w:r>
    </w:p>
    <w:p w:rsidR="00211384" w:rsidRDefault="004D1F15">
      <w:pPr>
        <w:pStyle w:val="ManualNumPar1"/>
        <w:rPr>
          <w:noProof/>
        </w:rPr>
      </w:pPr>
      <w:r>
        <w:rPr>
          <w:noProof/>
        </w:rPr>
        <w:t>2.</w:t>
      </w:r>
      <w:r>
        <w:rPr>
          <w:noProof/>
        </w:rPr>
        <w:tab/>
        <w:t>The Specific Programme has the following operational objectives:</w:t>
      </w:r>
    </w:p>
    <w:p w:rsidR="00211384" w:rsidRDefault="004D1F15">
      <w:pPr>
        <w:pStyle w:val="Point1letter"/>
        <w:numPr>
          <w:ilvl w:val="3"/>
          <w:numId w:val="16"/>
        </w:numPr>
        <w:rPr>
          <w:noProof/>
        </w:rPr>
      </w:pPr>
      <w:r>
        <w:rPr>
          <w:noProof/>
        </w:rPr>
        <w:t>reinforcing and spreading excellence;</w:t>
      </w:r>
    </w:p>
    <w:p w:rsidR="00211384" w:rsidRDefault="004D1F15">
      <w:pPr>
        <w:pStyle w:val="Point1letter"/>
        <w:rPr>
          <w:noProof/>
        </w:rPr>
      </w:pPr>
      <w:r>
        <w:rPr>
          <w:noProof/>
        </w:rPr>
        <w:t>increasing collaboration across sectors and disciplines;</w:t>
      </w:r>
    </w:p>
    <w:p w:rsidR="00211384" w:rsidRDefault="004D1F15">
      <w:pPr>
        <w:pStyle w:val="Point1letter"/>
        <w:rPr>
          <w:noProof/>
        </w:rPr>
      </w:pPr>
      <w:r>
        <w:rPr>
          <w:noProof/>
        </w:rPr>
        <w:t>connecting and developing research infrastructures across the European research area;</w:t>
      </w:r>
    </w:p>
    <w:p w:rsidR="00211384" w:rsidRDefault="004D1F15">
      <w:pPr>
        <w:pStyle w:val="Point1letter"/>
        <w:rPr>
          <w:noProof/>
        </w:rPr>
      </w:pPr>
      <w:r>
        <w:rPr>
          <w:noProof/>
        </w:rPr>
        <w:t>strengt</w:t>
      </w:r>
      <w:r>
        <w:rPr>
          <w:noProof/>
        </w:rPr>
        <w:t xml:space="preserve">hening international cooperation; </w:t>
      </w:r>
    </w:p>
    <w:p w:rsidR="00211384" w:rsidRDefault="004D1F15">
      <w:pPr>
        <w:pStyle w:val="Point1letter"/>
        <w:rPr>
          <w:noProof/>
        </w:rPr>
      </w:pPr>
      <w:r>
        <w:rPr>
          <w:noProof/>
        </w:rPr>
        <w:t>attracting, training and retaining researchers and innovators in the European Research Area, including through mobility of researchers;</w:t>
      </w:r>
    </w:p>
    <w:p w:rsidR="00211384" w:rsidRDefault="004D1F15">
      <w:pPr>
        <w:pStyle w:val="Point1letter"/>
        <w:rPr>
          <w:noProof/>
        </w:rPr>
      </w:pPr>
      <w:r>
        <w:rPr>
          <w:noProof/>
        </w:rPr>
        <w:t>fostering open science and ensuring visibility to the public and open access to resul</w:t>
      </w:r>
      <w:r>
        <w:rPr>
          <w:noProof/>
        </w:rPr>
        <w:t>ts;</w:t>
      </w:r>
    </w:p>
    <w:p w:rsidR="00211384" w:rsidRDefault="004D1F15">
      <w:pPr>
        <w:pStyle w:val="Point1letter"/>
        <w:rPr>
          <w:noProof/>
        </w:rPr>
      </w:pPr>
      <w:r>
        <w:rPr>
          <w:noProof/>
        </w:rPr>
        <w:t xml:space="preserve">actively disseminating and exploiting results, in particular for policy development; </w:t>
      </w:r>
    </w:p>
    <w:p w:rsidR="00211384" w:rsidRDefault="004D1F15">
      <w:pPr>
        <w:pStyle w:val="Point1letter"/>
        <w:rPr>
          <w:noProof/>
        </w:rPr>
      </w:pPr>
      <w:r>
        <w:rPr>
          <w:noProof/>
        </w:rPr>
        <w:t>supporting the implementation of Union policy priorities;</w:t>
      </w:r>
    </w:p>
    <w:p w:rsidR="00211384" w:rsidRDefault="004D1F15">
      <w:pPr>
        <w:pStyle w:val="Point1letter"/>
        <w:rPr>
          <w:noProof/>
        </w:rPr>
      </w:pPr>
      <w:r>
        <w:rPr>
          <w:noProof/>
        </w:rPr>
        <w:t>reinforcing the link between research and innovation and other policies, including Sustainable Development G</w:t>
      </w:r>
      <w:r>
        <w:rPr>
          <w:noProof/>
        </w:rPr>
        <w:t>oals;</w:t>
      </w:r>
    </w:p>
    <w:p w:rsidR="00211384" w:rsidRDefault="004D1F15">
      <w:pPr>
        <w:pStyle w:val="Point1letter"/>
        <w:rPr>
          <w:noProof/>
        </w:rPr>
      </w:pPr>
      <w:r>
        <w:rPr>
          <w:noProof/>
        </w:rPr>
        <w:t>delivering, through R&amp;I missions, on ambitious goals within a set timeframe;</w:t>
      </w:r>
    </w:p>
    <w:p w:rsidR="00211384" w:rsidRDefault="004D1F15">
      <w:pPr>
        <w:pStyle w:val="Point1letter"/>
        <w:rPr>
          <w:noProof/>
        </w:rPr>
      </w:pPr>
      <w:r>
        <w:rPr>
          <w:noProof/>
        </w:rPr>
        <w:t>involving citizens and end-users in co-design and co-creation processes;</w:t>
      </w:r>
    </w:p>
    <w:p w:rsidR="00211384" w:rsidRDefault="004D1F15">
      <w:pPr>
        <w:pStyle w:val="Point1letter"/>
        <w:rPr>
          <w:noProof/>
        </w:rPr>
      </w:pPr>
      <w:r>
        <w:rPr>
          <w:noProof/>
        </w:rPr>
        <w:t>improving science communication.</w:t>
      </w:r>
    </w:p>
    <w:p w:rsidR="00211384" w:rsidRDefault="004D1F15">
      <w:pPr>
        <w:pStyle w:val="Point1letter"/>
        <w:rPr>
          <w:noProof/>
        </w:rPr>
      </w:pPr>
      <w:r>
        <w:rPr>
          <w:noProof/>
        </w:rPr>
        <w:t>accelerating industrial transformation;</w:t>
      </w:r>
    </w:p>
    <w:p w:rsidR="00211384" w:rsidRDefault="004D1F15">
      <w:pPr>
        <w:pStyle w:val="Point1letter"/>
        <w:rPr>
          <w:noProof/>
        </w:rPr>
      </w:pPr>
      <w:r>
        <w:rPr>
          <w:noProof/>
        </w:rPr>
        <w:t xml:space="preserve">improving skills for innovation; </w:t>
      </w:r>
    </w:p>
    <w:p w:rsidR="00211384" w:rsidRDefault="004D1F15">
      <w:pPr>
        <w:pStyle w:val="Point1letter"/>
        <w:rPr>
          <w:noProof/>
        </w:rPr>
      </w:pPr>
      <w:r>
        <w:rPr>
          <w:noProof/>
        </w:rPr>
        <w:t>stimulating the creation and scale-up of innovative companies, in particular SMEs;</w:t>
      </w:r>
    </w:p>
    <w:p w:rsidR="00211384" w:rsidRDefault="004D1F15">
      <w:pPr>
        <w:pStyle w:val="Point1letter"/>
        <w:rPr>
          <w:noProof/>
        </w:rPr>
      </w:pPr>
      <w:r>
        <w:rPr>
          <w:noProof/>
        </w:rPr>
        <w:t xml:space="preserve">improving access to risk finance, in particular where the market does not provide viable financing. </w:t>
      </w:r>
    </w:p>
    <w:p w:rsidR="00211384" w:rsidRDefault="004D1F15">
      <w:pPr>
        <w:pStyle w:val="ManualNumPar1"/>
        <w:rPr>
          <w:noProof/>
        </w:rPr>
      </w:pPr>
      <w:r>
        <w:rPr>
          <w:noProof/>
        </w:rPr>
        <w:t>3.</w:t>
      </w:r>
      <w:r>
        <w:rPr>
          <w:noProof/>
        </w:rPr>
        <w:tab/>
        <w:t>Within the objectives referred to i</w:t>
      </w:r>
      <w:r>
        <w:rPr>
          <w:noProof/>
        </w:rPr>
        <w:t xml:space="preserve">n paragraph 2, account may be taken of new and unforeseen needs that arise during the period of implementation of the Specific Programme. That may, if duly justified, include responses to emerging opportunities, crises and threats, as well as responses to </w:t>
      </w:r>
      <w:r>
        <w:rPr>
          <w:noProof/>
        </w:rPr>
        <w:t>needs relating to the development of new Union policies.</w:t>
      </w:r>
    </w:p>
    <w:p w:rsidR="00211384" w:rsidRDefault="00211384">
      <w:pPr>
        <w:pStyle w:val="Text1"/>
        <w:rPr>
          <w:noProof/>
        </w:rPr>
      </w:pPr>
    </w:p>
    <w:p w:rsidR="00211384" w:rsidRDefault="004D1F15">
      <w:pPr>
        <w:keepNext/>
        <w:jc w:val="center"/>
        <w:rPr>
          <w:i/>
          <w:noProof/>
        </w:rPr>
      </w:pPr>
      <w:r>
        <w:rPr>
          <w:i/>
          <w:noProof/>
        </w:rPr>
        <w:t>Article 3</w:t>
      </w:r>
    </w:p>
    <w:p w:rsidR="00211384" w:rsidRDefault="004D1F15">
      <w:pPr>
        <w:keepNext/>
        <w:spacing w:after="0"/>
        <w:jc w:val="center"/>
        <w:rPr>
          <w:b/>
          <w:noProof/>
          <w:szCs w:val="24"/>
        </w:rPr>
      </w:pPr>
      <w:r>
        <w:rPr>
          <w:b/>
          <w:noProof/>
          <w:szCs w:val="24"/>
        </w:rPr>
        <w:t>Structure</w:t>
      </w:r>
    </w:p>
    <w:p w:rsidR="00211384" w:rsidRDefault="004D1F15">
      <w:pPr>
        <w:pStyle w:val="ManualNumPar1"/>
        <w:rPr>
          <w:noProof/>
        </w:rPr>
      </w:pPr>
      <w:r>
        <w:rPr>
          <w:noProof/>
        </w:rPr>
        <w:t>1.</w:t>
      </w:r>
      <w:r>
        <w:rPr>
          <w:noProof/>
        </w:rPr>
        <w:tab/>
        <w:t xml:space="preserve">In accordance with Article 4(1) of Regulation … </w:t>
      </w:r>
      <w:r>
        <w:rPr>
          <w:i/>
          <w:noProof/>
        </w:rPr>
        <w:t>FP/RfP Regulation</w:t>
      </w:r>
      <w:r>
        <w:rPr>
          <w:noProof/>
        </w:rPr>
        <w:t>, the Specific Programme shall consist of the following parts:</w:t>
      </w:r>
    </w:p>
    <w:p w:rsidR="00211384" w:rsidRDefault="004D1F15">
      <w:pPr>
        <w:pStyle w:val="Point1number"/>
        <w:numPr>
          <w:ilvl w:val="2"/>
          <w:numId w:val="18"/>
        </w:numPr>
        <w:rPr>
          <w:noProof/>
        </w:rPr>
      </w:pPr>
      <w:r>
        <w:rPr>
          <w:noProof/>
        </w:rPr>
        <w:t>Pillar I 'Open Science' with the following comp</w:t>
      </w:r>
      <w:r>
        <w:rPr>
          <w:noProof/>
        </w:rPr>
        <w:t>onents:</w:t>
      </w:r>
    </w:p>
    <w:p w:rsidR="00211384" w:rsidRDefault="004D1F15">
      <w:pPr>
        <w:pStyle w:val="Point2letter"/>
        <w:rPr>
          <w:noProof/>
        </w:rPr>
      </w:pPr>
      <w:r>
        <w:rPr>
          <w:noProof/>
        </w:rPr>
        <w:t xml:space="preserve">the European Research Council (ERC), as described in Annex I, Pillar I, section 1; </w:t>
      </w:r>
    </w:p>
    <w:p w:rsidR="00211384" w:rsidRDefault="004D1F15">
      <w:pPr>
        <w:pStyle w:val="Point2letter"/>
        <w:rPr>
          <w:noProof/>
        </w:rPr>
      </w:pPr>
      <w:r>
        <w:rPr>
          <w:noProof/>
        </w:rPr>
        <w:t>Marie Skłodowska-Curie actions (MSCA), as described in Annex I, Pillar I, section 2;</w:t>
      </w:r>
    </w:p>
    <w:p w:rsidR="00211384" w:rsidRDefault="004D1F15">
      <w:pPr>
        <w:pStyle w:val="Point2letter"/>
        <w:rPr>
          <w:noProof/>
        </w:rPr>
      </w:pPr>
      <w:r>
        <w:rPr>
          <w:noProof/>
        </w:rPr>
        <w:t>research infrastructures, as described in Annex I, Pillar I, section 3;</w:t>
      </w:r>
    </w:p>
    <w:p w:rsidR="00211384" w:rsidRDefault="004D1F15">
      <w:pPr>
        <w:pStyle w:val="Point1number"/>
        <w:rPr>
          <w:noProof/>
        </w:rPr>
      </w:pPr>
      <w:r>
        <w:rPr>
          <w:noProof/>
        </w:rPr>
        <w:t xml:space="preserve">Pillar </w:t>
      </w:r>
      <w:r>
        <w:rPr>
          <w:noProof/>
        </w:rPr>
        <w:t>II 'Global Challenges and Industrial Competitiveness' with the following components:</w:t>
      </w:r>
    </w:p>
    <w:p w:rsidR="00211384" w:rsidRDefault="004D1F15">
      <w:pPr>
        <w:pStyle w:val="Point2letter"/>
        <w:rPr>
          <w:noProof/>
        </w:rPr>
      </w:pPr>
      <w:r>
        <w:rPr>
          <w:noProof/>
        </w:rPr>
        <w:t>cluster 'Health', as described in Annex I, Pillar II, section 1;</w:t>
      </w:r>
    </w:p>
    <w:p w:rsidR="00211384" w:rsidRDefault="004D1F15">
      <w:pPr>
        <w:pStyle w:val="Point2letter"/>
        <w:rPr>
          <w:noProof/>
        </w:rPr>
      </w:pPr>
      <w:r>
        <w:rPr>
          <w:noProof/>
        </w:rPr>
        <w:t>cluster 'Inclusive and Secure Society', as described in Annex I, Pillar II, section 2;</w:t>
      </w:r>
    </w:p>
    <w:p w:rsidR="00211384" w:rsidRDefault="004D1F15">
      <w:pPr>
        <w:pStyle w:val="Point2letter"/>
        <w:rPr>
          <w:noProof/>
        </w:rPr>
      </w:pPr>
      <w:r>
        <w:rPr>
          <w:noProof/>
        </w:rPr>
        <w:t>cluster 'Digital an</w:t>
      </w:r>
      <w:r>
        <w:rPr>
          <w:noProof/>
        </w:rPr>
        <w:t>d Industry', as described in Annex I, Pillar II, section 3;</w:t>
      </w:r>
    </w:p>
    <w:p w:rsidR="00211384" w:rsidRDefault="004D1F15">
      <w:pPr>
        <w:pStyle w:val="Point2letter"/>
        <w:rPr>
          <w:noProof/>
        </w:rPr>
      </w:pPr>
      <w:r>
        <w:rPr>
          <w:noProof/>
        </w:rPr>
        <w:t>cluster 'Climate, Energy and Mobility', as described in Annex I, Pillar II, section 4;</w:t>
      </w:r>
    </w:p>
    <w:p w:rsidR="00211384" w:rsidRDefault="004D1F15">
      <w:pPr>
        <w:pStyle w:val="Point2letter"/>
        <w:rPr>
          <w:noProof/>
        </w:rPr>
      </w:pPr>
      <w:r>
        <w:rPr>
          <w:noProof/>
        </w:rPr>
        <w:t>cluster Food and Natural Resources', as described in Annex I, Pillar II, section 5;</w:t>
      </w:r>
    </w:p>
    <w:p w:rsidR="00211384" w:rsidRDefault="004D1F15">
      <w:pPr>
        <w:pStyle w:val="Point2letter"/>
        <w:rPr>
          <w:noProof/>
        </w:rPr>
      </w:pPr>
      <w:r>
        <w:rPr>
          <w:noProof/>
        </w:rPr>
        <w:t>non-nuclear direct action</w:t>
      </w:r>
      <w:r>
        <w:rPr>
          <w:noProof/>
        </w:rPr>
        <w:t>s of the Joint Research Centre (JRC), as described in Annex I, Pillar II, section 6;</w:t>
      </w:r>
    </w:p>
    <w:p w:rsidR="00211384" w:rsidRDefault="004D1F15">
      <w:pPr>
        <w:pStyle w:val="Point1number"/>
        <w:keepNext/>
        <w:rPr>
          <w:noProof/>
        </w:rPr>
      </w:pPr>
      <w:r>
        <w:rPr>
          <w:noProof/>
        </w:rPr>
        <w:t>Pillar III 'Open Innovation' with the following components:</w:t>
      </w:r>
    </w:p>
    <w:p w:rsidR="00211384" w:rsidRDefault="004D1F15">
      <w:pPr>
        <w:pStyle w:val="Point2letter"/>
        <w:rPr>
          <w:noProof/>
        </w:rPr>
      </w:pPr>
      <w:r>
        <w:rPr>
          <w:noProof/>
        </w:rPr>
        <w:t>the European Innovation Council (EIC), as described in Annex I, Pillar III, section 1;</w:t>
      </w:r>
    </w:p>
    <w:p w:rsidR="00211384" w:rsidRDefault="004D1F15">
      <w:pPr>
        <w:pStyle w:val="Point2letter"/>
        <w:rPr>
          <w:noProof/>
        </w:rPr>
      </w:pPr>
      <w:r>
        <w:rPr>
          <w:noProof/>
        </w:rPr>
        <w:t>European innovation ecos</w:t>
      </w:r>
      <w:r>
        <w:rPr>
          <w:noProof/>
        </w:rPr>
        <w:t xml:space="preserve">ystems, as described in Annex I, Pillar III, section 2; </w:t>
      </w:r>
    </w:p>
    <w:p w:rsidR="00211384" w:rsidRDefault="004D1F15">
      <w:pPr>
        <w:pStyle w:val="Point2letter"/>
        <w:rPr>
          <w:noProof/>
        </w:rPr>
      </w:pPr>
      <w:r>
        <w:rPr>
          <w:noProof/>
        </w:rPr>
        <w:t>the European Institute of Innovation and Technology (EIT), as described in Annex I, Pillar III, section 3.</w:t>
      </w:r>
    </w:p>
    <w:p w:rsidR="00211384" w:rsidRDefault="004D1F15">
      <w:pPr>
        <w:pStyle w:val="Point1number"/>
        <w:rPr>
          <w:noProof/>
        </w:rPr>
      </w:pPr>
      <w:r>
        <w:rPr>
          <w:noProof/>
        </w:rPr>
        <w:t>Part 'Strengthening the European Research Area' with the following components:</w:t>
      </w:r>
    </w:p>
    <w:p w:rsidR="00211384" w:rsidRDefault="004D1F15">
      <w:pPr>
        <w:pStyle w:val="Point2letter"/>
        <w:rPr>
          <w:noProof/>
        </w:rPr>
      </w:pPr>
      <w:r>
        <w:rPr>
          <w:noProof/>
        </w:rPr>
        <w:t>sharing excel</w:t>
      </w:r>
      <w:r>
        <w:rPr>
          <w:noProof/>
        </w:rPr>
        <w:t>lence, as described in Annex I, Part 'Strengthening the European Research Area', section 1;</w:t>
      </w:r>
    </w:p>
    <w:p w:rsidR="00211384" w:rsidRDefault="004D1F15">
      <w:pPr>
        <w:pStyle w:val="Point2letter"/>
        <w:rPr>
          <w:noProof/>
        </w:rPr>
      </w:pPr>
      <w:r>
        <w:rPr>
          <w:noProof/>
        </w:rPr>
        <w:t>reforming and enhancing the European R&amp;I system, as described in Annex I, Part 'Strengthening the European Research Area', section 2.</w:t>
      </w:r>
    </w:p>
    <w:p w:rsidR="00211384" w:rsidRDefault="004D1F15">
      <w:pPr>
        <w:pStyle w:val="ManualNumPar1"/>
        <w:rPr>
          <w:noProof/>
        </w:rPr>
      </w:pPr>
      <w:r>
        <w:rPr>
          <w:noProof/>
        </w:rPr>
        <w:t>2.</w:t>
      </w:r>
      <w:r>
        <w:rPr>
          <w:noProof/>
        </w:rPr>
        <w:tab/>
        <w:t>The activities to be carrie</w:t>
      </w:r>
      <w:r>
        <w:rPr>
          <w:noProof/>
        </w:rPr>
        <w:t>d out under the parts referred to in paragraph 1 are set out in Annex I.</w:t>
      </w:r>
    </w:p>
    <w:p w:rsidR="00211384" w:rsidRDefault="00211384">
      <w:pPr>
        <w:spacing w:after="0"/>
        <w:jc w:val="center"/>
        <w:rPr>
          <w:i/>
          <w:noProof/>
          <w:szCs w:val="24"/>
        </w:rPr>
      </w:pPr>
    </w:p>
    <w:p w:rsidR="00211384" w:rsidRDefault="004D1F15">
      <w:pPr>
        <w:keepNext/>
        <w:spacing w:after="0"/>
        <w:jc w:val="center"/>
        <w:rPr>
          <w:noProof/>
          <w:szCs w:val="24"/>
        </w:rPr>
      </w:pPr>
      <w:r>
        <w:rPr>
          <w:i/>
          <w:noProof/>
          <w:szCs w:val="24"/>
        </w:rPr>
        <w:t>Article 4</w:t>
      </w:r>
    </w:p>
    <w:p w:rsidR="00211384" w:rsidRDefault="004D1F15">
      <w:pPr>
        <w:keepNext/>
        <w:spacing w:after="0"/>
        <w:jc w:val="center"/>
        <w:rPr>
          <w:b/>
          <w:noProof/>
          <w:szCs w:val="24"/>
        </w:rPr>
      </w:pPr>
      <w:r>
        <w:rPr>
          <w:b/>
          <w:noProof/>
          <w:szCs w:val="24"/>
        </w:rPr>
        <w:t>Budget</w:t>
      </w:r>
    </w:p>
    <w:p w:rsidR="00211384" w:rsidRDefault="004D1F15">
      <w:pPr>
        <w:pStyle w:val="ManualNumPar1"/>
        <w:rPr>
          <w:noProof/>
        </w:rPr>
      </w:pPr>
      <w:r>
        <w:rPr>
          <w:noProof/>
        </w:rPr>
        <w:t>1.</w:t>
      </w:r>
      <w:r>
        <w:rPr>
          <w:noProof/>
        </w:rPr>
        <w:tab/>
        <w:t xml:space="preserve">In accordance with Article 9(1)of Regulation … </w:t>
      </w:r>
      <w:r>
        <w:rPr>
          <w:i/>
          <w:noProof/>
        </w:rPr>
        <w:t>FP/RfP Regulation</w:t>
      </w:r>
      <w:r>
        <w:rPr>
          <w:noProof/>
        </w:rPr>
        <w:t>, the financial envelope for the implementation of the Specific Programme for the period 2021 to 2</w:t>
      </w:r>
      <w:r>
        <w:rPr>
          <w:noProof/>
        </w:rPr>
        <w:t xml:space="preserve">027 shall be EUR 94 100 000 000 in current prices. </w:t>
      </w:r>
    </w:p>
    <w:p w:rsidR="00211384" w:rsidRDefault="00211384">
      <w:pPr>
        <w:rPr>
          <w:noProof/>
        </w:rPr>
      </w:pPr>
    </w:p>
    <w:p w:rsidR="00211384" w:rsidRDefault="004D1F15">
      <w:pPr>
        <w:pStyle w:val="ManualNumPar1"/>
        <w:rPr>
          <w:noProof/>
        </w:rPr>
      </w:pPr>
      <w:r>
        <w:rPr>
          <w:noProof/>
        </w:rPr>
        <w:t>2.</w:t>
      </w:r>
      <w:r>
        <w:rPr>
          <w:noProof/>
        </w:rPr>
        <w:tab/>
        <w:t xml:space="preserve">The amount referred to in paragraph 1 of this Article shall be distributed among the components set out in Article 3(1) of this Decision in accordance with Article 9(2) of Regulation … </w:t>
      </w:r>
      <w:r>
        <w:rPr>
          <w:i/>
          <w:noProof/>
        </w:rPr>
        <w:t>FP/RfP Regulati</w:t>
      </w:r>
      <w:r>
        <w:rPr>
          <w:i/>
          <w:noProof/>
        </w:rPr>
        <w:t>on</w:t>
      </w:r>
      <w:r>
        <w:rPr>
          <w:noProof/>
        </w:rPr>
        <w:t>. The arrangements of Article 9(3) to (8) of Regulation … FP/RfP Regulation shall apply.</w:t>
      </w:r>
    </w:p>
    <w:p w:rsidR="00211384" w:rsidRDefault="00211384">
      <w:pPr>
        <w:pStyle w:val="Text1"/>
        <w:rPr>
          <w:noProof/>
        </w:rPr>
      </w:pPr>
    </w:p>
    <w:p w:rsidR="00211384" w:rsidRDefault="004D1F15">
      <w:pPr>
        <w:keepNext/>
        <w:jc w:val="center"/>
        <w:rPr>
          <w:noProof/>
        </w:rPr>
      </w:pPr>
      <w:r>
        <w:rPr>
          <w:noProof/>
        </w:rPr>
        <w:t>CHAPTER II</w:t>
      </w:r>
    </w:p>
    <w:p w:rsidR="00211384" w:rsidRDefault="004D1F15">
      <w:pPr>
        <w:keepNext/>
        <w:jc w:val="center"/>
        <w:rPr>
          <w:b/>
          <w:noProof/>
        </w:rPr>
      </w:pPr>
      <w:r>
        <w:rPr>
          <w:b/>
          <w:noProof/>
        </w:rPr>
        <w:t xml:space="preserve">IMPLEMENTATION AND PROGRAMMING </w:t>
      </w:r>
    </w:p>
    <w:p w:rsidR="00211384" w:rsidRDefault="004D1F15">
      <w:pPr>
        <w:pStyle w:val="Titrearticle"/>
        <w:rPr>
          <w:noProof/>
        </w:rPr>
      </w:pPr>
      <w:r>
        <w:rPr>
          <w:noProof/>
        </w:rPr>
        <w:t>Article 5</w:t>
      </w:r>
    </w:p>
    <w:p w:rsidR="00211384" w:rsidRDefault="004D1F15">
      <w:pPr>
        <w:keepNext/>
        <w:spacing w:after="0"/>
        <w:jc w:val="center"/>
        <w:rPr>
          <w:b/>
          <w:noProof/>
          <w:szCs w:val="24"/>
        </w:rPr>
      </w:pPr>
      <w:r>
        <w:rPr>
          <w:b/>
          <w:noProof/>
          <w:szCs w:val="24"/>
        </w:rPr>
        <w:t>Missions</w:t>
      </w:r>
    </w:p>
    <w:p w:rsidR="00211384" w:rsidRDefault="00211384">
      <w:pPr>
        <w:rPr>
          <w:noProof/>
        </w:rPr>
      </w:pPr>
    </w:p>
    <w:p w:rsidR="00211384" w:rsidRDefault="004D1F15">
      <w:pPr>
        <w:pStyle w:val="ManualNumPar1"/>
        <w:rPr>
          <w:noProof/>
        </w:rPr>
      </w:pPr>
      <w:r>
        <w:rPr>
          <w:noProof/>
        </w:rPr>
        <w:t>1.</w:t>
      </w:r>
      <w:r>
        <w:rPr>
          <w:noProof/>
        </w:rPr>
        <w:tab/>
        <w:t>For each mission, a mission board may be established. It shall be composed of around 15 high level</w:t>
      </w:r>
      <w:r>
        <w:rPr>
          <w:noProof/>
        </w:rPr>
        <w:t xml:space="preserve"> individuals including relevant end-users' representatives. The mission board shall advise upon the following:</w:t>
      </w:r>
    </w:p>
    <w:p w:rsidR="00211384" w:rsidRDefault="004D1F15">
      <w:pPr>
        <w:pStyle w:val="Point1letter"/>
        <w:numPr>
          <w:ilvl w:val="3"/>
          <w:numId w:val="12"/>
        </w:numPr>
        <w:rPr>
          <w:noProof/>
        </w:rPr>
      </w:pPr>
      <w:r>
        <w:rPr>
          <w:noProof/>
        </w:rPr>
        <w:t>content of work programmes and their revision as needed for achieving the mission objectives, in co-design with stakeholders and the public where</w:t>
      </w:r>
      <w:r>
        <w:rPr>
          <w:noProof/>
        </w:rPr>
        <w:t xml:space="preserve"> relevant;</w:t>
      </w:r>
    </w:p>
    <w:p w:rsidR="00211384" w:rsidRDefault="004D1F15">
      <w:pPr>
        <w:pStyle w:val="Point1letter"/>
        <w:numPr>
          <w:ilvl w:val="3"/>
          <w:numId w:val="12"/>
        </w:numPr>
        <w:rPr>
          <w:noProof/>
        </w:rPr>
      </w:pPr>
      <w:r>
        <w:rPr>
          <w:noProof/>
        </w:rPr>
        <w:t>adjustment actions, or termination if appropriate, based on implementation assessments of the mission;</w:t>
      </w:r>
    </w:p>
    <w:p w:rsidR="00211384" w:rsidRDefault="004D1F15">
      <w:pPr>
        <w:pStyle w:val="Point1letter"/>
        <w:numPr>
          <w:ilvl w:val="3"/>
          <w:numId w:val="12"/>
        </w:numPr>
        <w:rPr>
          <w:noProof/>
        </w:rPr>
      </w:pPr>
      <w:r>
        <w:rPr>
          <w:noProof/>
        </w:rPr>
        <w:t>selection of expert evaluators, briefing of expert evaluators and evaluation criteria and their weighting;</w:t>
      </w:r>
    </w:p>
    <w:p w:rsidR="00211384" w:rsidRDefault="004D1F15">
      <w:pPr>
        <w:pStyle w:val="Point1letter"/>
        <w:numPr>
          <w:ilvl w:val="3"/>
          <w:numId w:val="12"/>
        </w:numPr>
        <w:rPr>
          <w:noProof/>
        </w:rPr>
      </w:pPr>
      <w:r>
        <w:rPr>
          <w:noProof/>
        </w:rPr>
        <w:t>framework conditions which help ach</w:t>
      </w:r>
      <w:r>
        <w:rPr>
          <w:noProof/>
        </w:rPr>
        <w:t>ieve the objectives of the mission;</w:t>
      </w:r>
    </w:p>
    <w:p w:rsidR="00211384" w:rsidRDefault="004D1F15">
      <w:pPr>
        <w:pStyle w:val="Point1letter"/>
        <w:numPr>
          <w:ilvl w:val="3"/>
          <w:numId w:val="12"/>
        </w:numPr>
        <w:rPr>
          <w:noProof/>
        </w:rPr>
      </w:pPr>
      <w:r>
        <w:rPr>
          <w:noProof/>
        </w:rPr>
        <w:t>communication.</w:t>
      </w:r>
    </w:p>
    <w:p w:rsidR="00211384" w:rsidRDefault="004D1F15">
      <w:pPr>
        <w:pStyle w:val="ManualNumPar1"/>
        <w:rPr>
          <w:noProof/>
        </w:rPr>
      </w:pPr>
      <w:r>
        <w:rPr>
          <w:noProof/>
        </w:rPr>
        <w:t>2.</w:t>
      </w:r>
      <w:r>
        <w:rPr>
          <w:noProof/>
        </w:rPr>
        <w:tab/>
        <w:t>Specific provisions to enable an efficient and flexible portfolio approach may be set out in the work programme provided for in Article 11.</w:t>
      </w:r>
    </w:p>
    <w:p w:rsidR="00211384" w:rsidRDefault="00211384">
      <w:pPr>
        <w:rPr>
          <w:noProof/>
        </w:rPr>
      </w:pPr>
    </w:p>
    <w:p w:rsidR="00211384" w:rsidRDefault="004D1F15">
      <w:pPr>
        <w:pStyle w:val="Titrearticle"/>
        <w:rPr>
          <w:noProof/>
        </w:rPr>
      </w:pPr>
      <w:r>
        <w:rPr>
          <w:noProof/>
        </w:rPr>
        <w:t>Article 6</w:t>
      </w:r>
    </w:p>
    <w:p w:rsidR="00211384" w:rsidRDefault="004D1F15">
      <w:pPr>
        <w:keepNext/>
        <w:jc w:val="center"/>
        <w:rPr>
          <w:b/>
          <w:noProof/>
        </w:rPr>
      </w:pPr>
      <w:r>
        <w:rPr>
          <w:b/>
          <w:noProof/>
        </w:rPr>
        <w:t>European Research Council</w:t>
      </w:r>
    </w:p>
    <w:p w:rsidR="00211384" w:rsidRDefault="004D1F15">
      <w:pPr>
        <w:pStyle w:val="ManualNumPar1"/>
        <w:rPr>
          <w:noProof/>
        </w:rPr>
      </w:pPr>
      <w:r>
        <w:rPr>
          <w:noProof/>
        </w:rPr>
        <w:t>1.</w:t>
      </w:r>
      <w:r>
        <w:rPr>
          <w:noProof/>
        </w:rPr>
        <w:tab/>
        <w:t>The Commission shall e</w:t>
      </w:r>
      <w:r>
        <w:rPr>
          <w:noProof/>
        </w:rPr>
        <w:t>stablish a European Research Council ("ERC"), for implementing the actions under Pillar I 'Open Science' which relate to the ERC. The ERC shall succeed the ERC set up by Decision C(2013) 1895</w:t>
      </w:r>
      <w:r>
        <w:rPr>
          <w:rStyle w:val="FootnoteReference"/>
          <w:noProof/>
        </w:rPr>
        <w:footnoteReference w:id="8"/>
      </w:r>
      <w:r>
        <w:rPr>
          <w:noProof/>
        </w:rPr>
        <w:t>.</w:t>
      </w:r>
    </w:p>
    <w:p w:rsidR="00211384" w:rsidRDefault="004D1F15">
      <w:pPr>
        <w:pStyle w:val="ManualNumPar1"/>
        <w:rPr>
          <w:noProof/>
        </w:rPr>
      </w:pPr>
      <w:r>
        <w:rPr>
          <w:noProof/>
        </w:rPr>
        <w:t>2.</w:t>
      </w:r>
      <w:r>
        <w:rPr>
          <w:noProof/>
        </w:rPr>
        <w:tab/>
        <w:t>The ERC shall be composed of the independent Scientific Cou</w:t>
      </w:r>
      <w:r>
        <w:rPr>
          <w:noProof/>
        </w:rPr>
        <w:t xml:space="preserve">ncil provided for in Article 7 and the dedicated implementation structure provided for in Article 8. </w:t>
      </w:r>
    </w:p>
    <w:p w:rsidR="00211384" w:rsidRDefault="004D1F15">
      <w:pPr>
        <w:pStyle w:val="ManualNumPar1"/>
        <w:rPr>
          <w:noProof/>
        </w:rPr>
      </w:pPr>
      <w:r>
        <w:rPr>
          <w:noProof/>
        </w:rPr>
        <w:t>3.</w:t>
      </w:r>
      <w:r>
        <w:rPr>
          <w:noProof/>
        </w:rPr>
        <w:tab/>
        <w:t xml:space="preserve">The ERC shall have a President who shall be chosen from among senior and internationally respected scientists. </w:t>
      </w:r>
    </w:p>
    <w:p w:rsidR="00211384" w:rsidRDefault="004D1F15">
      <w:pPr>
        <w:pStyle w:val="Text1"/>
        <w:rPr>
          <w:noProof/>
        </w:rPr>
      </w:pPr>
      <w:r>
        <w:rPr>
          <w:noProof/>
        </w:rPr>
        <w:t>The President shall be appointed by the</w:t>
      </w:r>
      <w:r>
        <w:rPr>
          <w:noProof/>
        </w:rPr>
        <w:t xml:space="preserve"> Commission following a transparent recruitment process involving an independent dedicated search committee, for a term of office limited to four years, renewable once. The recruitment process and the candidate selected shall have the approval of the Scien</w:t>
      </w:r>
      <w:r>
        <w:rPr>
          <w:noProof/>
        </w:rPr>
        <w:t xml:space="preserve">tific Council. </w:t>
      </w:r>
    </w:p>
    <w:p w:rsidR="00211384" w:rsidRDefault="004D1F15">
      <w:pPr>
        <w:pStyle w:val="Text1"/>
        <w:rPr>
          <w:noProof/>
        </w:rPr>
      </w:pPr>
      <w:r>
        <w:rPr>
          <w:noProof/>
        </w:rPr>
        <w:t xml:space="preserve">The President shall chair the Scientific Council and shall ensure its leadership and liaison with the dedicated implementation structure, and represent it in the world of science. </w:t>
      </w:r>
    </w:p>
    <w:p w:rsidR="00211384" w:rsidRDefault="004D1F15">
      <w:pPr>
        <w:pStyle w:val="ManualNumPar1"/>
        <w:rPr>
          <w:noProof/>
        </w:rPr>
      </w:pPr>
      <w:r>
        <w:rPr>
          <w:noProof/>
        </w:rPr>
        <w:t>4.</w:t>
      </w:r>
      <w:r>
        <w:rPr>
          <w:noProof/>
        </w:rPr>
        <w:tab/>
        <w:t>The ERC shall operate according to the principles of sci</w:t>
      </w:r>
      <w:r>
        <w:rPr>
          <w:noProof/>
        </w:rPr>
        <w:t xml:space="preserve">entific excellence, autonomy, efficiency, effectiveness, transparency and accountability. It shall ensure continuity with ERC actions conducted under Decision …/EC. </w:t>
      </w:r>
    </w:p>
    <w:p w:rsidR="00211384" w:rsidRDefault="004D1F15">
      <w:pPr>
        <w:pStyle w:val="ManualNumPar1"/>
        <w:rPr>
          <w:noProof/>
        </w:rPr>
      </w:pPr>
      <w:r>
        <w:rPr>
          <w:noProof/>
        </w:rPr>
        <w:t>5.</w:t>
      </w:r>
      <w:r>
        <w:rPr>
          <w:noProof/>
        </w:rPr>
        <w:tab/>
        <w:t>The activities of the ERC shall support research carried out across all fields by indiv</w:t>
      </w:r>
      <w:r>
        <w:rPr>
          <w:noProof/>
        </w:rPr>
        <w:t>idual and transnational teams in competition at the European</w:t>
      </w:r>
      <w:r>
        <w:rPr>
          <w:i/>
          <w:noProof/>
        </w:rPr>
        <w:t xml:space="preserve"> </w:t>
      </w:r>
      <w:r>
        <w:rPr>
          <w:noProof/>
        </w:rPr>
        <w:t xml:space="preserve">level. </w:t>
      </w:r>
    </w:p>
    <w:p w:rsidR="00211384" w:rsidRDefault="004D1F15">
      <w:pPr>
        <w:pStyle w:val="ManualNumPar1"/>
        <w:rPr>
          <w:noProof/>
        </w:rPr>
      </w:pPr>
      <w:r>
        <w:rPr>
          <w:noProof/>
        </w:rPr>
        <w:t>6.</w:t>
      </w:r>
      <w:r>
        <w:rPr>
          <w:noProof/>
        </w:rPr>
        <w:tab/>
        <w:t xml:space="preserve">The Commission shall act as the guarantor of the autonomy and integrity of the ERC and shall ensure the proper execution of the tasks entrusted to it. </w:t>
      </w:r>
    </w:p>
    <w:p w:rsidR="00211384" w:rsidRDefault="004D1F15">
      <w:pPr>
        <w:pStyle w:val="Text1"/>
        <w:rPr>
          <w:noProof/>
        </w:rPr>
      </w:pPr>
      <w:r>
        <w:rPr>
          <w:noProof/>
        </w:rPr>
        <w:t>The Commission shall ensure that</w:t>
      </w:r>
      <w:r>
        <w:rPr>
          <w:noProof/>
        </w:rPr>
        <w:t xml:space="preserve"> the implementation of the ERC actions is in accordance with the principles set out in paragraph 4 of this Article as well as with the overall strategy for the ERC, referred to in point (a) of Article 7(2), established by the Scientific Council. </w:t>
      </w:r>
    </w:p>
    <w:p w:rsidR="00211384" w:rsidRDefault="004D1F15">
      <w:pPr>
        <w:pStyle w:val="Titrearticle"/>
        <w:rPr>
          <w:noProof/>
          <w:color w:val="0000FF"/>
          <w:szCs w:val="24"/>
        </w:rPr>
      </w:pPr>
      <w:r>
        <w:rPr>
          <w:noProof/>
        </w:rPr>
        <w:t xml:space="preserve">Article </w:t>
      </w:r>
      <w:r>
        <w:rPr>
          <w:noProof/>
          <w:szCs w:val="24"/>
        </w:rPr>
        <w:t>7</w:t>
      </w:r>
    </w:p>
    <w:p w:rsidR="00211384" w:rsidRDefault="004D1F15">
      <w:pPr>
        <w:keepNext/>
        <w:jc w:val="center"/>
        <w:rPr>
          <w:b/>
          <w:noProof/>
        </w:rPr>
      </w:pPr>
      <w:r>
        <w:rPr>
          <w:b/>
          <w:noProof/>
        </w:rPr>
        <w:t>ERC Scientific Council</w:t>
      </w:r>
    </w:p>
    <w:p w:rsidR="00211384" w:rsidRDefault="004D1F15">
      <w:pPr>
        <w:pStyle w:val="ManualNumPar1"/>
        <w:rPr>
          <w:noProof/>
        </w:rPr>
      </w:pPr>
      <w:r>
        <w:rPr>
          <w:noProof/>
        </w:rPr>
        <w:t>1.</w:t>
      </w:r>
      <w:r>
        <w:rPr>
          <w:noProof/>
        </w:rPr>
        <w:tab/>
      </w:r>
      <w:r>
        <w:rPr>
          <w:noProof/>
        </w:rPr>
        <w:t>The Scientific Council shall be composed of scientists, engineers and scholars of the highest repute and appropriate expertise, of both women and men in different age groups, ensuring a diversity of research areas and acting in their personal capacity, ind</w:t>
      </w:r>
      <w:r>
        <w:rPr>
          <w:noProof/>
        </w:rPr>
        <w:t xml:space="preserve">ependent of extraneous interests. </w:t>
      </w:r>
    </w:p>
    <w:p w:rsidR="00211384" w:rsidRDefault="004D1F15">
      <w:pPr>
        <w:pStyle w:val="Text1"/>
        <w:rPr>
          <w:noProof/>
        </w:rPr>
      </w:pPr>
      <w:r>
        <w:rPr>
          <w:noProof/>
        </w:rPr>
        <w:t>The members of the Scientific Council shall be appointed by the Commission, following an independent and transparent procedure for their identification agreed with the Scientific Council, including a consultation of the s</w:t>
      </w:r>
      <w:r>
        <w:rPr>
          <w:noProof/>
        </w:rPr>
        <w:t xml:space="preserve">cientific community and a report to the European Parliament and the Council. </w:t>
      </w:r>
    </w:p>
    <w:p w:rsidR="00211384" w:rsidRDefault="004D1F15">
      <w:pPr>
        <w:pStyle w:val="Text1"/>
        <w:rPr>
          <w:noProof/>
        </w:rPr>
      </w:pPr>
      <w:r>
        <w:rPr>
          <w:noProof/>
        </w:rPr>
        <w:t xml:space="preserve">Their term of office shall be limited to four years, renewable once, on the basis of a rotating system which shall ensure the continuity of the work of the Scientific Council. </w:t>
      </w:r>
    </w:p>
    <w:p w:rsidR="00211384" w:rsidRDefault="004D1F15">
      <w:pPr>
        <w:pStyle w:val="ManualNumPar1"/>
        <w:rPr>
          <w:noProof/>
        </w:rPr>
      </w:pPr>
      <w:r>
        <w:rPr>
          <w:noProof/>
        </w:rPr>
        <w:t>2</w:t>
      </w:r>
      <w:r>
        <w:rPr>
          <w:noProof/>
        </w:rPr>
        <w:t>.</w:t>
      </w:r>
      <w:r>
        <w:rPr>
          <w:noProof/>
        </w:rPr>
        <w:tab/>
        <w:t xml:space="preserve">The Scientific Council shall establish: </w:t>
      </w:r>
    </w:p>
    <w:p w:rsidR="00211384" w:rsidRDefault="004D1F15">
      <w:pPr>
        <w:pStyle w:val="Point1"/>
        <w:rPr>
          <w:noProof/>
        </w:rPr>
      </w:pPr>
      <w:r>
        <w:rPr>
          <w:noProof/>
        </w:rPr>
        <w:t>(a)</w:t>
      </w:r>
      <w:r>
        <w:rPr>
          <w:noProof/>
        </w:rPr>
        <w:tab/>
        <w:t xml:space="preserve">the overall strategy for the ERC; </w:t>
      </w:r>
    </w:p>
    <w:p w:rsidR="00211384" w:rsidRDefault="004D1F15">
      <w:pPr>
        <w:pStyle w:val="Point1"/>
        <w:rPr>
          <w:noProof/>
        </w:rPr>
      </w:pPr>
      <w:r>
        <w:rPr>
          <w:noProof/>
        </w:rPr>
        <w:t>(b)</w:t>
      </w:r>
      <w:r>
        <w:rPr>
          <w:noProof/>
        </w:rPr>
        <w:tab/>
        <w:t xml:space="preserve">the work programme for the implementation of the ERC activities; </w:t>
      </w:r>
    </w:p>
    <w:p w:rsidR="00211384" w:rsidRDefault="004D1F15">
      <w:pPr>
        <w:pStyle w:val="Point1"/>
        <w:rPr>
          <w:noProof/>
        </w:rPr>
      </w:pPr>
      <w:r>
        <w:rPr>
          <w:noProof/>
        </w:rPr>
        <w:t>(c)</w:t>
      </w:r>
      <w:r>
        <w:rPr>
          <w:noProof/>
        </w:rPr>
        <w:tab/>
        <w:t>the methods and procedures for peer review and proposal evaluation on the basis of which the proposa</w:t>
      </w:r>
      <w:r>
        <w:rPr>
          <w:noProof/>
        </w:rPr>
        <w:t xml:space="preserve">ls to be funded are determined; </w:t>
      </w:r>
    </w:p>
    <w:p w:rsidR="00211384" w:rsidRDefault="004D1F15">
      <w:pPr>
        <w:pStyle w:val="Point1"/>
        <w:rPr>
          <w:noProof/>
        </w:rPr>
      </w:pPr>
      <w:r>
        <w:rPr>
          <w:noProof/>
        </w:rPr>
        <w:t>(d)</w:t>
      </w:r>
      <w:r>
        <w:rPr>
          <w:noProof/>
        </w:rPr>
        <w:tab/>
        <w:t xml:space="preserve">its position on any matter which from a scientific perspective may enhance achievements and impact of the ERC and the quality of the research carried out; </w:t>
      </w:r>
    </w:p>
    <w:p w:rsidR="00211384" w:rsidRDefault="004D1F15">
      <w:pPr>
        <w:pStyle w:val="Point1"/>
        <w:rPr>
          <w:noProof/>
        </w:rPr>
      </w:pPr>
      <w:r>
        <w:rPr>
          <w:noProof/>
        </w:rPr>
        <w:t>(e)</w:t>
      </w:r>
      <w:r>
        <w:rPr>
          <w:noProof/>
        </w:rPr>
        <w:tab/>
        <w:t xml:space="preserve">a code of conduct addressing, inter alia, the avoidance of </w:t>
      </w:r>
      <w:r>
        <w:rPr>
          <w:noProof/>
        </w:rPr>
        <w:t>conflict of interests.</w:t>
      </w:r>
    </w:p>
    <w:p w:rsidR="00211384" w:rsidRDefault="004D1F15">
      <w:pPr>
        <w:pStyle w:val="Text1"/>
        <w:rPr>
          <w:noProof/>
        </w:rPr>
      </w:pPr>
      <w:r>
        <w:rPr>
          <w:noProof/>
        </w:rPr>
        <w:t>The Commission shall depart from the positions established by the Scientific Council in accordance with points (a), (c), (d), and (e) of the first subparagraph only when it considers that the provisions of this Decision have not been</w:t>
      </w:r>
      <w:r>
        <w:rPr>
          <w:noProof/>
        </w:rPr>
        <w:t xml:space="preserve"> respected. In that case, the Commission shall adopt measures to maintain continuity in the implementation of the specific programme and the achievements of its objectives, setting out the points of departure from the Scientific Council positions and duly </w:t>
      </w:r>
      <w:r>
        <w:rPr>
          <w:noProof/>
        </w:rPr>
        <w:t xml:space="preserve">motivating them. </w:t>
      </w:r>
    </w:p>
    <w:p w:rsidR="00211384" w:rsidRDefault="004D1F15">
      <w:pPr>
        <w:pStyle w:val="ManualNumPar1"/>
        <w:rPr>
          <w:noProof/>
        </w:rPr>
      </w:pPr>
      <w:r>
        <w:rPr>
          <w:noProof/>
        </w:rPr>
        <w:t>3.</w:t>
      </w:r>
      <w:r>
        <w:rPr>
          <w:noProof/>
        </w:rPr>
        <w:tab/>
        <w:t xml:space="preserve">The Scientific Council shall act in accordance with the mandate set out in Pillar I of Annex I, section 1. </w:t>
      </w:r>
    </w:p>
    <w:p w:rsidR="00211384" w:rsidRDefault="004D1F15">
      <w:pPr>
        <w:pStyle w:val="ManualNumPar1"/>
        <w:rPr>
          <w:noProof/>
        </w:rPr>
      </w:pPr>
      <w:r>
        <w:rPr>
          <w:noProof/>
        </w:rPr>
        <w:t>4.</w:t>
      </w:r>
      <w:r>
        <w:rPr>
          <w:noProof/>
        </w:rPr>
        <w:tab/>
        <w:t>The Scientific Council shall act exclusively in the interest of achieving the ERC, according to the principles set out in Ar</w:t>
      </w:r>
      <w:r>
        <w:rPr>
          <w:noProof/>
        </w:rPr>
        <w:t xml:space="preserve">ticle 6. It shall act with integrity and probity and carry out its work efficiently and with the greatest possible transparency. </w:t>
      </w:r>
    </w:p>
    <w:p w:rsidR="00211384" w:rsidRDefault="004D1F15">
      <w:pPr>
        <w:pStyle w:val="Titrearticle"/>
        <w:rPr>
          <w:noProof/>
          <w:color w:val="0000FF"/>
          <w:szCs w:val="24"/>
        </w:rPr>
      </w:pPr>
      <w:r>
        <w:rPr>
          <w:noProof/>
        </w:rPr>
        <w:t xml:space="preserve">Article </w:t>
      </w:r>
      <w:r>
        <w:rPr>
          <w:noProof/>
          <w:szCs w:val="24"/>
        </w:rPr>
        <w:t>8</w:t>
      </w:r>
    </w:p>
    <w:p w:rsidR="00211384" w:rsidRDefault="004D1F15">
      <w:pPr>
        <w:keepNext/>
        <w:jc w:val="center"/>
        <w:rPr>
          <w:b/>
          <w:noProof/>
        </w:rPr>
      </w:pPr>
      <w:r>
        <w:rPr>
          <w:b/>
          <w:noProof/>
        </w:rPr>
        <w:t xml:space="preserve">Dedicated ERC implementation structure </w:t>
      </w:r>
    </w:p>
    <w:p w:rsidR="00211384" w:rsidRDefault="004D1F15">
      <w:pPr>
        <w:pStyle w:val="ManualNumPar1"/>
        <w:rPr>
          <w:noProof/>
        </w:rPr>
      </w:pPr>
      <w:r>
        <w:rPr>
          <w:noProof/>
        </w:rPr>
        <w:t>1.</w:t>
      </w:r>
      <w:r>
        <w:rPr>
          <w:noProof/>
        </w:rPr>
        <w:tab/>
        <w:t>The dedicated implementation structure shall be responsible for the admin</w:t>
      </w:r>
      <w:r>
        <w:rPr>
          <w:noProof/>
        </w:rPr>
        <w:t xml:space="preserve">istrative implementation and programme execution, as described in Pillar I of Annex I, section 1. It shall support the Scientific Council in the conduct of all of its tasks. </w:t>
      </w:r>
    </w:p>
    <w:p w:rsidR="00211384" w:rsidRDefault="004D1F15">
      <w:pPr>
        <w:pStyle w:val="ManualNumPar1"/>
        <w:rPr>
          <w:noProof/>
        </w:rPr>
      </w:pPr>
      <w:r>
        <w:rPr>
          <w:noProof/>
        </w:rPr>
        <w:t>2.</w:t>
      </w:r>
      <w:r>
        <w:rPr>
          <w:noProof/>
        </w:rPr>
        <w:tab/>
        <w:t>The Commission shall ensure that the dedicated implementation structure follow</w:t>
      </w:r>
      <w:r>
        <w:rPr>
          <w:noProof/>
        </w:rPr>
        <w:t>s strictly, efficiently and with the necessary flexibility the objectives and requirements of the ERC alone.</w:t>
      </w:r>
    </w:p>
    <w:p w:rsidR="00211384" w:rsidRDefault="004D1F15">
      <w:pPr>
        <w:pStyle w:val="Titrearticle"/>
        <w:rPr>
          <w:noProof/>
        </w:rPr>
      </w:pPr>
      <w:r>
        <w:rPr>
          <w:noProof/>
        </w:rPr>
        <w:t xml:space="preserve">Article 9 </w:t>
      </w:r>
    </w:p>
    <w:p w:rsidR="00211384" w:rsidRDefault="004D1F15">
      <w:pPr>
        <w:keepNext/>
        <w:jc w:val="center"/>
        <w:rPr>
          <w:b/>
          <w:noProof/>
        </w:rPr>
      </w:pPr>
      <w:r>
        <w:rPr>
          <w:b/>
          <w:noProof/>
        </w:rPr>
        <w:t>The European Innovation Council</w:t>
      </w:r>
    </w:p>
    <w:p w:rsidR="00211384" w:rsidRDefault="004D1F15">
      <w:pPr>
        <w:pStyle w:val="ManualNumPar1"/>
        <w:rPr>
          <w:noProof/>
        </w:rPr>
      </w:pPr>
      <w:r>
        <w:rPr>
          <w:noProof/>
        </w:rPr>
        <w:t>1.</w:t>
      </w:r>
      <w:r>
        <w:rPr>
          <w:noProof/>
        </w:rPr>
        <w:tab/>
        <w:t>The Commission shall establish a European Innovation Council (EIC) for implementing actions under Pil</w:t>
      </w:r>
      <w:r>
        <w:rPr>
          <w:noProof/>
        </w:rPr>
        <w:t xml:space="preserve">lar III 'Open Innovation' which relate to the EIC. The EIC shall operate according to the following principles: focus on breakthrough and disruptive innovation, autonomy, ability to take risk, efficiency, effectiveness, transparency and accountability. </w:t>
      </w:r>
    </w:p>
    <w:p w:rsidR="00211384" w:rsidRDefault="004D1F15">
      <w:pPr>
        <w:pStyle w:val="ManualNumPar1"/>
        <w:rPr>
          <w:noProof/>
        </w:rPr>
      </w:pPr>
      <w:r>
        <w:rPr>
          <w:noProof/>
        </w:rPr>
        <w:t>2.</w:t>
      </w:r>
      <w:r>
        <w:rPr>
          <w:noProof/>
        </w:rPr>
        <w:tab/>
        <w:t xml:space="preserve">The EIC shall include the High Level Board ("EIC Board") provided for in Article 10. . </w:t>
      </w:r>
    </w:p>
    <w:p w:rsidR="00211384" w:rsidRDefault="004D1F15">
      <w:pPr>
        <w:pStyle w:val="ManualNumPar1"/>
        <w:rPr>
          <w:noProof/>
        </w:rPr>
      </w:pPr>
      <w:r>
        <w:rPr>
          <w:noProof/>
        </w:rPr>
        <w:t>3.</w:t>
      </w:r>
      <w:r>
        <w:rPr>
          <w:noProof/>
        </w:rPr>
        <w:tab/>
        <w:t>The Commission shall ensure that the implementation of the EIC is:</w:t>
      </w:r>
    </w:p>
    <w:p w:rsidR="00211384" w:rsidRDefault="004D1F15">
      <w:pPr>
        <w:pStyle w:val="Point1letter"/>
        <w:numPr>
          <w:ilvl w:val="3"/>
          <w:numId w:val="19"/>
        </w:numPr>
        <w:rPr>
          <w:noProof/>
        </w:rPr>
      </w:pPr>
      <w:r>
        <w:rPr>
          <w:noProof/>
        </w:rPr>
        <w:t>in accordance with the principles set out in paragraph 1 of this Article, taking due account of t</w:t>
      </w:r>
      <w:r>
        <w:rPr>
          <w:noProof/>
        </w:rPr>
        <w:t>he opinion of the EIC Board on the overall strategy for the EIC, referred to Article 10(1)(a); and</w:t>
      </w:r>
    </w:p>
    <w:p w:rsidR="00211384" w:rsidRDefault="004D1F15">
      <w:pPr>
        <w:pStyle w:val="Point1letter"/>
        <w:rPr>
          <w:noProof/>
        </w:rPr>
      </w:pPr>
      <w:r>
        <w:rPr>
          <w:noProof/>
        </w:rPr>
        <w:t xml:space="preserve">does not lead to distortions of competition contrary to the common interest. </w:t>
      </w:r>
    </w:p>
    <w:p w:rsidR="00211384" w:rsidRDefault="004D1F15">
      <w:pPr>
        <w:pStyle w:val="ManualNumPar1"/>
        <w:rPr>
          <w:noProof/>
        </w:rPr>
      </w:pPr>
      <w:r>
        <w:rPr>
          <w:noProof/>
        </w:rPr>
        <w:t>4.</w:t>
      </w:r>
      <w:r>
        <w:rPr>
          <w:noProof/>
        </w:rPr>
        <w:tab/>
        <w:t>For the purpose of managing EIC blended finance, the Commission shall make u</w:t>
      </w:r>
      <w:r>
        <w:rPr>
          <w:noProof/>
        </w:rPr>
        <w:t>se of indirect management, or where this is not possible, may establish a special purpose vehicle. The Commission shall seek to ensure the participation of other public and private investors. Where this is not possible at the initial set up, the special pu</w:t>
      </w:r>
      <w:r>
        <w:rPr>
          <w:noProof/>
        </w:rPr>
        <w:t>rpose vehicle will be structured in such a way that it can attract other public or private investors in order to increase the leverage effect of the Union contribution.</w:t>
      </w:r>
    </w:p>
    <w:p w:rsidR="00211384" w:rsidRDefault="00211384">
      <w:pPr>
        <w:pStyle w:val="Text1"/>
        <w:rPr>
          <w:noProof/>
        </w:rPr>
      </w:pPr>
    </w:p>
    <w:p w:rsidR="00211384" w:rsidRDefault="004D1F15">
      <w:pPr>
        <w:pStyle w:val="Titrearticle"/>
        <w:rPr>
          <w:noProof/>
        </w:rPr>
      </w:pPr>
      <w:r>
        <w:rPr>
          <w:noProof/>
        </w:rPr>
        <w:t>Article 10</w:t>
      </w:r>
    </w:p>
    <w:p w:rsidR="00211384" w:rsidRDefault="004D1F15">
      <w:pPr>
        <w:keepNext/>
        <w:jc w:val="center"/>
        <w:rPr>
          <w:b/>
          <w:noProof/>
        </w:rPr>
      </w:pPr>
      <w:r>
        <w:rPr>
          <w:b/>
          <w:noProof/>
        </w:rPr>
        <w:t>The EIC Board</w:t>
      </w:r>
    </w:p>
    <w:p w:rsidR="00211384" w:rsidRDefault="004D1F15">
      <w:pPr>
        <w:pStyle w:val="ManualNumPar1"/>
        <w:rPr>
          <w:noProof/>
        </w:rPr>
      </w:pPr>
      <w:r>
        <w:rPr>
          <w:noProof/>
        </w:rPr>
        <w:t>1.</w:t>
      </w:r>
      <w:r>
        <w:rPr>
          <w:noProof/>
        </w:rPr>
        <w:tab/>
        <w:t>The EIC Board shall advise the Commission upon:</w:t>
      </w:r>
    </w:p>
    <w:p w:rsidR="00211384" w:rsidRDefault="004D1F15">
      <w:pPr>
        <w:pStyle w:val="Point1"/>
        <w:rPr>
          <w:noProof/>
        </w:rPr>
      </w:pPr>
      <w:r>
        <w:rPr>
          <w:noProof/>
        </w:rPr>
        <w:t>(a)</w:t>
      </w:r>
      <w:r>
        <w:rPr>
          <w:noProof/>
        </w:rPr>
        <w:tab/>
        <w:t xml:space="preserve">the </w:t>
      </w:r>
      <w:r>
        <w:rPr>
          <w:noProof/>
        </w:rPr>
        <w:t>overall strategy for the EIC component under Pillar III 'Open Innovation';</w:t>
      </w:r>
    </w:p>
    <w:p w:rsidR="00211384" w:rsidRDefault="004D1F15">
      <w:pPr>
        <w:pStyle w:val="Point1"/>
        <w:rPr>
          <w:noProof/>
        </w:rPr>
      </w:pPr>
      <w:r>
        <w:rPr>
          <w:noProof/>
        </w:rPr>
        <w:t>(b)</w:t>
      </w:r>
      <w:r>
        <w:rPr>
          <w:noProof/>
        </w:rPr>
        <w:tab/>
        <w:t>the work programme for the implementation of the EIC actions;</w:t>
      </w:r>
    </w:p>
    <w:p w:rsidR="00211384" w:rsidRDefault="004D1F15">
      <w:pPr>
        <w:pStyle w:val="Point1"/>
        <w:rPr>
          <w:noProof/>
        </w:rPr>
      </w:pPr>
      <w:r>
        <w:rPr>
          <w:noProof/>
        </w:rPr>
        <w:t>(c)</w:t>
      </w:r>
      <w:r>
        <w:rPr>
          <w:noProof/>
        </w:rPr>
        <w:tab/>
        <w:t>the criteria for assessment of the innovativeness and risk profile of the proposals and the appropriate balance</w:t>
      </w:r>
      <w:r>
        <w:rPr>
          <w:noProof/>
        </w:rPr>
        <w:t xml:space="preserve"> of grants, equity and other forms of financing for the EIC accelerator;</w:t>
      </w:r>
    </w:p>
    <w:p w:rsidR="00211384" w:rsidRDefault="004D1F15">
      <w:pPr>
        <w:pStyle w:val="Point1"/>
        <w:rPr>
          <w:noProof/>
        </w:rPr>
      </w:pPr>
      <w:r>
        <w:rPr>
          <w:noProof/>
        </w:rPr>
        <w:t>(d)</w:t>
      </w:r>
      <w:r>
        <w:rPr>
          <w:noProof/>
        </w:rPr>
        <w:tab/>
        <w:t>the identification of strategic portfolio of projects;</w:t>
      </w:r>
    </w:p>
    <w:p w:rsidR="00211384" w:rsidRDefault="004D1F15">
      <w:pPr>
        <w:pStyle w:val="Point1"/>
        <w:rPr>
          <w:noProof/>
        </w:rPr>
      </w:pPr>
      <w:r>
        <w:rPr>
          <w:noProof/>
        </w:rPr>
        <w:t>(e)</w:t>
      </w:r>
      <w:r>
        <w:rPr>
          <w:noProof/>
        </w:rPr>
        <w:tab/>
        <w:t>the profile of programme managers.</w:t>
      </w:r>
    </w:p>
    <w:p w:rsidR="00211384" w:rsidRDefault="004D1F15">
      <w:pPr>
        <w:pStyle w:val="ManualNumPar1"/>
        <w:rPr>
          <w:noProof/>
        </w:rPr>
      </w:pPr>
      <w:r>
        <w:rPr>
          <w:noProof/>
        </w:rPr>
        <w:t>2.</w:t>
      </w:r>
      <w:r>
        <w:rPr>
          <w:noProof/>
        </w:rPr>
        <w:tab/>
        <w:t>The EIC Board may upon request address recommendations to the Commission on:</w:t>
      </w:r>
    </w:p>
    <w:p w:rsidR="00211384" w:rsidRDefault="004D1F15">
      <w:pPr>
        <w:pStyle w:val="Point1"/>
        <w:rPr>
          <w:noProof/>
        </w:rPr>
      </w:pPr>
      <w:r>
        <w:rPr>
          <w:noProof/>
        </w:rPr>
        <w:t>(a)</w:t>
      </w:r>
      <w:r>
        <w:rPr>
          <w:noProof/>
        </w:rPr>
        <w:tab/>
        <w:t>a</w:t>
      </w:r>
      <w:r>
        <w:rPr>
          <w:noProof/>
        </w:rPr>
        <w:t>ny matter which from an innovation perspective may enhance and foster innovation eco-systems across Europe, the achievements and impact of the objectives of the EIC component and the capacity of innovative firms to roll out their solutions;</w:t>
      </w:r>
    </w:p>
    <w:p w:rsidR="00211384" w:rsidRDefault="004D1F15">
      <w:pPr>
        <w:pStyle w:val="Point1"/>
        <w:rPr>
          <w:noProof/>
        </w:rPr>
      </w:pPr>
      <w:r>
        <w:rPr>
          <w:noProof/>
        </w:rPr>
        <w:t>(b)</w:t>
      </w:r>
      <w:r>
        <w:rPr>
          <w:noProof/>
        </w:rPr>
        <w:tab/>
        <w:t>identify in</w:t>
      </w:r>
      <w:r>
        <w:rPr>
          <w:noProof/>
        </w:rPr>
        <w:t xml:space="preserve"> cooperation with relevant Commission services possible regulatory barriers faced by entrepreneurs, in particular those awarded support under the EIC component;</w:t>
      </w:r>
    </w:p>
    <w:p w:rsidR="00211384" w:rsidRDefault="004D1F15">
      <w:pPr>
        <w:pStyle w:val="Point1"/>
        <w:rPr>
          <w:noProof/>
        </w:rPr>
      </w:pPr>
      <w:r>
        <w:rPr>
          <w:noProof/>
        </w:rPr>
        <w:t>(c)</w:t>
      </w:r>
      <w:r>
        <w:rPr>
          <w:noProof/>
        </w:rPr>
        <w:tab/>
        <w:t>emerging technology trends from EIC's portfolio, to inform the programming in other parts o</w:t>
      </w:r>
      <w:r>
        <w:rPr>
          <w:noProof/>
        </w:rPr>
        <w:t>f the Specific Programme;</w:t>
      </w:r>
    </w:p>
    <w:p w:rsidR="00211384" w:rsidRDefault="004D1F15">
      <w:pPr>
        <w:pStyle w:val="Point1"/>
        <w:rPr>
          <w:noProof/>
        </w:rPr>
      </w:pPr>
      <w:r>
        <w:rPr>
          <w:noProof/>
        </w:rPr>
        <w:t>(d) identifying specific issues where advice from the EIC Board is needed.</w:t>
      </w:r>
    </w:p>
    <w:p w:rsidR="00211384" w:rsidRDefault="00211384">
      <w:pPr>
        <w:pStyle w:val="Point1"/>
        <w:rPr>
          <w:noProof/>
        </w:rPr>
      </w:pPr>
    </w:p>
    <w:p w:rsidR="00211384" w:rsidRDefault="004D1F15">
      <w:pPr>
        <w:pStyle w:val="Text1"/>
        <w:rPr>
          <w:noProof/>
        </w:rPr>
      </w:pPr>
      <w:r>
        <w:rPr>
          <w:noProof/>
        </w:rPr>
        <w:t>The EIC Board shall act in the interest of achieving the objectives of the EIC component. It shall act with integrity and probity and carry out its work e</w:t>
      </w:r>
      <w:r>
        <w:rPr>
          <w:noProof/>
        </w:rPr>
        <w:t xml:space="preserve">fficiently and with transparency. </w:t>
      </w:r>
    </w:p>
    <w:p w:rsidR="00211384" w:rsidRDefault="004D1F15">
      <w:pPr>
        <w:pStyle w:val="Text1"/>
        <w:rPr>
          <w:noProof/>
        </w:rPr>
      </w:pPr>
      <w:r>
        <w:rPr>
          <w:noProof/>
        </w:rPr>
        <w:t>The EIC Board shall act in accordance with its mandate set out in Pillar III of Annex I, section 1.</w:t>
      </w:r>
    </w:p>
    <w:p w:rsidR="00211384" w:rsidRDefault="004D1F15">
      <w:pPr>
        <w:pStyle w:val="ManualNumPar1"/>
        <w:rPr>
          <w:noProof/>
        </w:rPr>
      </w:pPr>
      <w:r>
        <w:rPr>
          <w:noProof/>
        </w:rPr>
        <w:t>3.</w:t>
      </w:r>
      <w:r>
        <w:rPr>
          <w:noProof/>
        </w:rPr>
        <w:tab/>
        <w:t>The EIC Board shall be composed of 15 to 20 high level individuals drawn from various parts of Europe's innovation eco</w:t>
      </w:r>
      <w:r>
        <w:rPr>
          <w:noProof/>
        </w:rPr>
        <w:t>system, including entrepreneurs, corporate leaders, investors and researchers. It shall contribute to outreach actions, with EIC Board members striving to enhance the prestige of the EIC brand.</w:t>
      </w:r>
    </w:p>
    <w:p w:rsidR="00211384" w:rsidRDefault="004D1F15">
      <w:pPr>
        <w:pStyle w:val="Text1"/>
        <w:rPr>
          <w:noProof/>
        </w:rPr>
      </w:pPr>
      <w:r>
        <w:rPr>
          <w:noProof/>
        </w:rPr>
        <w:t>The members of the EIC Board shall be appointed by the Commiss</w:t>
      </w:r>
      <w:r>
        <w:rPr>
          <w:noProof/>
        </w:rPr>
        <w:t>ion, following an open call for nominations or for expression of interests or both, whichever the Commission will find more appropriate,, and taking into account the need for balance in expertise, gender, age and geographical distribution.</w:t>
      </w:r>
    </w:p>
    <w:p w:rsidR="00211384" w:rsidRDefault="004D1F15">
      <w:pPr>
        <w:pStyle w:val="Text1"/>
        <w:rPr>
          <w:noProof/>
        </w:rPr>
      </w:pPr>
      <w:r>
        <w:rPr>
          <w:noProof/>
        </w:rPr>
        <w:t>Their term of of</w:t>
      </w:r>
      <w:r>
        <w:rPr>
          <w:noProof/>
        </w:rPr>
        <w:t xml:space="preserve">fice shall be limited to two years, renewable twice, with a rolling appointments system (members appointed every two years). </w:t>
      </w:r>
    </w:p>
    <w:p w:rsidR="00211384" w:rsidRDefault="004D1F15">
      <w:pPr>
        <w:pStyle w:val="ManualNumPar1"/>
        <w:rPr>
          <w:noProof/>
        </w:rPr>
      </w:pPr>
      <w:r>
        <w:rPr>
          <w:noProof/>
        </w:rPr>
        <w:t>4.</w:t>
      </w:r>
      <w:r>
        <w:rPr>
          <w:noProof/>
        </w:rPr>
        <w:tab/>
        <w:t xml:space="preserve">The EIC Board shall have a President who shall be appointed by the Commission following a transparent recruitment process. The </w:t>
      </w:r>
      <w:r>
        <w:rPr>
          <w:noProof/>
        </w:rPr>
        <w:t>President shall be a high profile public figure linked to the innovation world.</w:t>
      </w:r>
    </w:p>
    <w:p w:rsidR="00211384" w:rsidRDefault="004D1F15">
      <w:pPr>
        <w:pStyle w:val="Text1"/>
        <w:rPr>
          <w:noProof/>
        </w:rPr>
      </w:pPr>
      <w:r>
        <w:rPr>
          <w:noProof/>
        </w:rPr>
        <w:t xml:space="preserve">The President shall be appointed for a term of office limited to four years, renewable once. </w:t>
      </w:r>
    </w:p>
    <w:p w:rsidR="00211384" w:rsidRDefault="004D1F15">
      <w:pPr>
        <w:pStyle w:val="Text1"/>
        <w:rPr>
          <w:noProof/>
        </w:rPr>
      </w:pPr>
      <w:r>
        <w:rPr>
          <w:noProof/>
        </w:rPr>
        <w:t>The President shall chair the EIC Board, prepare its meetings, assign tasks to mem</w:t>
      </w:r>
      <w:r>
        <w:rPr>
          <w:noProof/>
        </w:rPr>
        <w:t>bers, and may establish dedicated sub-groups, in particular to identify emerging technology trends from EIC's portfolio. He or she shall promote the EIC, act as interlocutor with the Commission and represent the EIC in the world of innovation. The Commissi</w:t>
      </w:r>
      <w:r>
        <w:rPr>
          <w:noProof/>
        </w:rPr>
        <w:t>on may provide for administrative support for the President to undertake his or her duties.</w:t>
      </w:r>
    </w:p>
    <w:p w:rsidR="00211384" w:rsidRDefault="004D1F15">
      <w:pPr>
        <w:pStyle w:val="ManualNumPar1"/>
        <w:rPr>
          <w:noProof/>
        </w:rPr>
      </w:pPr>
      <w:r>
        <w:rPr>
          <w:noProof/>
        </w:rPr>
        <w:t>5.</w:t>
      </w:r>
      <w:r>
        <w:rPr>
          <w:noProof/>
        </w:rPr>
        <w:tab/>
        <w:t>A code of conduct addressing, inter alia, the avoidance of conflict of interests shall be established by the Commission. Members of the EIC Board are expected to</w:t>
      </w:r>
      <w:r>
        <w:rPr>
          <w:noProof/>
        </w:rPr>
        <w:t xml:space="preserve"> accept the code of conduct upon assuming office.</w:t>
      </w:r>
    </w:p>
    <w:p w:rsidR="00211384" w:rsidRDefault="00211384">
      <w:pPr>
        <w:pStyle w:val="Text1"/>
        <w:rPr>
          <w:noProof/>
        </w:rPr>
      </w:pPr>
    </w:p>
    <w:p w:rsidR="00211384" w:rsidRDefault="004D1F15">
      <w:pPr>
        <w:keepNext/>
        <w:jc w:val="center"/>
        <w:rPr>
          <w:i/>
          <w:noProof/>
        </w:rPr>
      </w:pPr>
      <w:r>
        <w:rPr>
          <w:i/>
          <w:noProof/>
        </w:rPr>
        <w:t>Article 11</w:t>
      </w:r>
    </w:p>
    <w:p w:rsidR="00211384" w:rsidRDefault="004D1F15">
      <w:pPr>
        <w:keepNext/>
        <w:jc w:val="center"/>
        <w:rPr>
          <w:b/>
          <w:noProof/>
        </w:rPr>
      </w:pPr>
      <w:r>
        <w:rPr>
          <w:b/>
          <w:noProof/>
        </w:rPr>
        <w:t>Work programmes</w:t>
      </w:r>
    </w:p>
    <w:p w:rsidR="00211384" w:rsidRDefault="004D1F15">
      <w:pPr>
        <w:pStyle w:val="ManualNumPar1"/>
        <w:rPr>
          <w:noProof/>
        </w:rPr>
      </w:pPr>
      <w:r>
        <w:rPr>
          <w:noProof/>
        </w:rPr>
        <w:t>1.</w:t>
      </w:r>
      <w:r>
        <w:rPr>
          <w:noProof/>
        </w:rPr>
        <w:tab/>
        <w:t xml:space="preserve">The Programme shall be implemented by work programmes referred to in Article 110 of Financial Regulation. They shall be prepared following a strategic planning process as </w:t>
      </w:r>
      <w:r>
        <w:rPr>
          <w:noProof/>
        </w:rPr>
        <w:t>described in Annex I to this Decision.</w:t>
      </w:r>
    </w:p>
    <w:p w:rsidR="00211384" w:rsidRDefault="004D1F15">
      <w:pPr>
        <w:pStyle w:val="Text1"/>
        <w:rPr>
          <w:noProof/>
        </w:rPr>
      </w:pPr>
      <w:r>
        <w:rPr>
          <w:noProof/>
        </w:rPr>
        <w:t>Work programmes shall set out, where applicable, the overall amount reserved for blending operations.</w:t>
      </w:r>
    </w:p>
    <w:p w:rsidR="00211384" w:rsidRDefault="004D1F15">
      <w:pPr>
        <w:pStyle w:val="ManualNumPar1"/>
        <w:rPr>
          <w:noProof/>
        </w:rPr>
      </w:pPr>
      <w:r>
        <w:rPr>
          <w:noProof/>
        </w:rPr>
        <w:t>2.</w:t>
      </w:r>
      <w:r>
        <w:rPr>
          <w:noProof/>
        </w:rPr>
        <w:tab/>
        <w:t>The Commission shall adopt separate work programmes, by means of implementing acts, for the implementation of ac</w:t>
      </w:r>
      <w:r>
        <w:rPr>
          <w:noProof/>
        </w:rPr>
        <w:t>tions under the following components, as set out in Article 3(1) of this Decision :</w:t>
      </w:r>
    </w:p>
    <w:p w:rsidR="00211384" w:rsidRDefault="004D1F15">
      <w:pPr>
        <w:pStyle w:val="Point1"/>
        <w:rPr>
          <w:noProof/>
        </w:rPr>
      </w:pPr>
      <w:r>
        <w:rPr>
          <w:noProof/>
        </w:rPr>
        <w:t>(a)</w:t>
      </w:r>
      <w:r>
        <w:rPr>
          <w:noProof/>
        </w:rPr>
        <w:tab/>
        <w:t xml:space="preserve">the ERC, where the work programme shall be established by the Scientific Council under point (b) of Article 7(2), in accordance with the advisory procedure referred to </w:t>
      </w:r>
      <w:r>
        <w:rPr>
          <w:noProof/>
        </w:rPr>
        <w:t>in Article 12(3). The Commission shall depart from the work programme established by the Scientific Council only when it considers that it is not in accordance with the provisions of this Decision. In that case, the Commission shall adopt the work programm</w:t>
      </w:r>
      <w:r>
        <w:rPr>
          <w:noProof/>
        </w:rPr>
        <w:t xml:space="preserve">e by means of an implementing act in in accordance with the examination procedure referred to in Article 12(4). The Commission shall duly motivate this measure; </w:t>
      </w:r>
    </w:p>
    <w:p w:rsidR="00211384" w:rsidRDefault="004D1F15">
      <w:pPr>
        <w:pStyle w:val="Point1"/>
        <w:rPr>
          <w:noProof/>
        </w:rPr>
      </w:pPr>
      <w:r>
        <w:rPr>
          <w:noProof/>
        </w:rPr>
        <w:t>(b)</w:t>
      </w:r>
      <w:r>
        <w:rPr>
          <w:noProof/>
        </w:rPr>
        <w:tab/>
      </w:r>
      <w:r>
        <w:rPr>
          <w:noProof/>
        </w:rPr>
        <w:t xml:space="preserve">all clusters under the pillar 'Global Challenges and Industrial Competitiveness',  MSCA, research infrastructures, support to innovation ecosystems, sharing excellence and reforming and enhancing the European R&amp;I System, in accordance with the examination </w:t>
      </w:r>
      <w:r>
        <w:rPr>
          <w:noProof/>
        </w:rPr>
        <w:t xml:space="preserve">procedure referred to in Article 12(4); </w:t>
      </w:r>
    </w:p>
    <w:p w:rsidR="00211384" w:rsidRDefault="004D1F15">
      <w:pPr>
        <w:pStyle w:val="Point1"/>
        <w:rPr>
          <w:noProof/>
        </w:rPr>
      </w:pPr>
      <w:r>
        <w:rPr>
          <w:noProof/>
        </w:rPr>
        <w:t>(c)</w:t>
      </w:r>
      <w:r>
        <w:rPr>
          <w:noProof/>
        </w:rPr>
        <w:tab/>
        <w:t>the EIC, where the work programme shall be prepared following the advice of the EIC Board under point (b) of Article 10(1), in accordance with the examination procedure referred to in Article 12(4);</w:t>
      </w:r>
    </w:p>
    <w:p w:rsidR="00211384" w:rsidRDefault="004D1F15">
      <w:pPr>
        <w:pStyle w:val="Point1"/>
        <w:rPr>
          <w:noProof/>
        </w:rPr>
      </w:pPr>
      <w:r>
        <w:rPr>
          <w:noProof/>
        </w:rPr>
        <w:t>(d)</w:t>
      </w:r>
      <w:r>
        <w:rPr>
          <w:noProof/>
        </w:rPr>
        <w:tab/>
        <w:t>the JRC,</w:t>
      </w:r>
      <w:r>
        <w:rPr>
          <w:noProof/>
        </w:rPr>
        <w:t xml:space="preserve"> where the multi-annual work programme shall take into account the opinion provided by the Board of Governors of the JRC referred to in Decision 96/282/Euratom.</w:t>
      </w:r>
    </w:p>
    <w:p w:rsidR="00211384" w:rsidRDefault="004D1F15">
      <w:pPr>
        <w:pStyle w:val="ManualNumPar1"/>
        <w:rPr>
          <w:noProof/>
        </w:rPr>
      </w:pPr>
      <w:r>
        <w:rPr>
          <w:noProof/>
        </w:rPr>
        <w:t>3.</w:t>
      </w:r>
      <w:r>
        <w:rPr>
          <w:noProof/>
        </w:rPr>
        <w:tab/>
        <w:t>In addition to requirement in Article 110 of the Financial Regulation, the work programmes r</w:t>
      </w:r>
      <w:r>
        <w:rPr>
          <w:noProof/>
        </w:rPr>
        <w:t>eferred to in paragraph 2 of this Article shall, as appropriate, contain:</w:t>
      </w:r>
    </w:p>
    <w:p w:rsidR="00211384" w:rsidRDefault="004D1F15">
      <w:pPr>
        <w:pStyle w:val="Point1"/>
        <w:rPr>
          <w:noProof/>
        </w:rPr>
      </w:pPr>
      <w:r>
        <w:rPr>
          <w:noProof/>
        </w:rPr>
        <w:t>(a)</w:t>
      </w:r>
      <w:r>
        <w:rPr>
          <w:noProof/>
        </w:rPr>
        <w:tab/>
        <w:t>an indication of the amount allocated to each action and mission and an indicative implementation timetable;</w:t>
      </w:r>
    </w:p>
    <w:p w:rsidR="00211384" w:rsidRDefault="004D1F15">
      <w:pPr>
        <w:pStyle w:val="Point1"/>
        <w:rPr>
          <w:noProof/>
        </w:rPr>
      </w:pPr>
      <w:r>
        <w:rPr>
          <w:noProof/>
        </w:rPr>
        <w:t>(b)</w:t>
      </w:r>
      <w:r>
        <w:rPr>
          <w:noProof/>
        </w:rPr>
        <w:tab/>
        <w:t>for grants the priorities, the selection and award criteria and t</w:t>
      </w:r>
      <w:r>
        <w:rPr>
          <w:noProof/>
        </w:rPr>
        <w:t xml:space="preserve">he relative weight of the different award criteria and the maximum rate of funding of the total eligible costs; </w:t>
      </w:r>
    </w:p>
    <w:p w:rsidR="00211384" w:rsidRDefault="004D1F15">
      <w:pPr>
        <w:pStyle w:val="Point1"/>
        <w:rPr>
          <w:noProof/>
        </w:rPr>
      </w:pPr>
      <w:r>
        <w:rPr>
          <w:noProof/>
        </w:rPr>
        <w:t xml:space="preserve">(c)  the amount allocated to blended finance in accordance with Articles 41 to 43 of Regulation … </w:t>
      </w:r>
      <w:r>
        <w:rPr>
          <w:i/>
          <w:noProof/>
        </w:rPr>
        <w:t>FP/RfP Regulation</w:t>
      </w:r>
      <w:r>
        <w:rPr>
          <w:noProof/>
        </w:rPr>
        <w:t>:</w:t>
      </w:r>
    </w:p>
    <w:p w:rsidR="00211384" w:rsidRDefault="004D1F15">
      <w:pPr>
        <w:pStyle w:val="Point1"/>
        <w:rPr>
          <w:noProof/>
        </w:rPr>
      </w:pPr>
      <w:r>
        <w:rPr>
          <w:noProof/>
        </w:rPr>
        <w:t>(d)</w:t>
      </w:r>
      <w:r>
        <w:rPr>
          <w:noProof/>
        </w:rPr>
        <w:tab/>
        <w:t>any additional obligat</w:t>
      </w:r>
      <w:r>
        <w:rPr>
          <w:noProof/>
        </w:rPr>
        <w:t>ions for beneficiaries, in accordance with Articles 35 and 37 of</w:t>
      </w:r>
      <w:r>
        <w:rPr>
          <w:i/>
          <w:noProof/>
        </w:rPr>
        <w:t xml:space="preserve"> </w:t>
      </w:r>
      <w:r>
        <w:rPr>
          <w:noProof/>
        </w:rPr>
        <w:t>the</w:t>
      </w:r>
      <w:r>
        <w:rPr>
          <w:i/>
          <w:noProof/>
        </w:rPr>
        <w:t xml:space="preserve"> FP/RfP Regulation</w:t>
      </w:r>
      <w:r>
        <w:rPr>
          <w:noProof/>
        </w:rPr>
        <w:t>.</w:t>
      </w:r>
    </w:p>
    <w:p w:rsidR="00211384" w:rsidRDefault="004D1F15">
      <w:pPr>
        <w:pStyle w:val="Titrearticle"/>
        <w:rPr>
          <w:noProof/>
        </w:rPr>
      </w:pPr>
      <w:r>
        <w:rPr>
          <w:noProof/>
        </w:rPr>
        <w:t xml:space="preserve">Article </w:t>
      </w:r>
      <w:r>
        <w:rPr>
          <w:noProof/>
          <w:szCs w:val="24"/>
        </w:rPr>
        <w:t>12</w:t>
      </w:r>
    </w:p>
    <w:p w:rsidR="00211384" w:rsidRDefault="004D1F15">
      <w:pPr>
        <w:keepNext/>
        <w:contextualSpacing/>
        <w:jc w:val="center"/>
        <w:rPr>
          <w:b/>
          <w:noProof/>
        </w:rPr>
      </w:pPr>
      <w:r>
        <w:rPr>
          <w:b/>
          <w:noProof/>
        </w:rPr>
        <w:t>Committee procedure</w:t>
      </w:r>
    </w:p>
    <w:p w:rsidR="00211384" w:rsidRDefault="004D1F15">
      <w:pPr>
        <w:pStyle w:val="ManualNumPar1"/>
        <w:rPr>
          <w:noProof/>
        </w:rPr>
      </w:pPr>
      <w:r>
        <w:rPr>
          <w:noProof/>
        </w:rPr>
        <w:t>1.</w:t>
      </w:r>
      <w:r>
        <w:rPr>
          <w:noProof/>
        </w:rPr>
        <w:tab/>
        <w:t>The Commission shall be assisted by a committee</w:t>
      </w:r>
      <w:r>
        <w:rPr>
          <w:rStyle w:val="FootnoteReference"/>
          <w:noProof/>
        </w:rPr>
        <w:footnoteReference w:id="9"/>
      </w:r>
      <w:r>
        <w:rPr>
          <w:noProof/>
        </w:rPr>
        <w:t>. That committee shall be a committee within the meaning of Regulation (EU) No 182/201</w:t>
      </w:r>
      <w:r>
        <w:rPr>
          <w:noProof/>
        </w:rPr>
        <w:t>1.</w:t>
      </w:r>
    </w:p>
    <w:p w:rsidR="00211384" w:rsidRDefault="004D1F15">
      <w:pPr>
        <w:pStyle w:val="ManualNumPar1"/>
        <w:rPr>
          <w:noProof/>
        </w:rPr>
      </w:pPr>
      <w:r>
        <w:rPr>
          <w:noProof/>
        </w:rPr>
        <w:t>2.</w:t>
      </w:r>
      <w:r>
        <w:rPr>
          <w:noProof/>
        </w:rPr>
        <w:tab/>
        <w:t>The committee shall meet in different configurations as set out in Annex II, having regard to the subject matter to be discussed.</w:t>
      </w:r>
    </w:p>
    <w:p w:rsidR="00211384" w:rsidRDefault="004D1F15">
      <w:pPr>
        <w:pStyle w:val="ManualNumPar1"/>
        <w:rPr>
          <w:noProof/>
        </w:rPr>
      </w:pPr>
      <w:r>
        <w:rPr>
          <w:noProof/>
        </w:rPr>
        <w:t>3.</w:t>
      </w:r>
      <w:r>
        <w:rPr>
          <w:noProof/>
        </w:rPr>
        <w:tab/>
        <w:t>Where reference is made to this paragraph, Article 4 of Regulation (EU) No 182/2011 shall apply.</w:t>
      </w:r>
    </w:p>
    <w:p w:rsidR="00211384" w:rsidRDefault="004D1F15">
      <w:pPr>
        <w:pStyle w:val="ManualNumPar1"/>
        <w:rPr>
          <w:noProof/>
        </w:rPr>
      </w:pPr>
      <w:r>
        <w:rPr>
          <w:noProof/>
        </w:rPr>
        <w:t>4.</w:t>
      </w:r>
      <w:r>
        <w:rPr>
          <w:noProof/>
        </w:rPr>
        <w:tab/>
        <w:t>Where reference i</w:t>
      </w:r>
      <w:r>
        <w:rPr>
          <w:noProof/>
        </w:rPr>
        <w:t>s made to this paragraph, Article 5 of Regulation (EU) No 182/2011 shall apply.</w:t>
      </w:r>
    </w:p>
    <w:p w:rsidR="00211384" w:rsidRDefault="004D1F15">
      <w:pPr>
        <w:pStyle w:val="ManualNumPar1"/>
        <w:rPr>
          <w:noProof/>
        </w:rPr>
      </w:pPr>
      <w:r>
        <w:rPr>
          <w:noProof/>
        </w:rPr>
        <w:t>5.</w:t>
      </w:r>
      <w:r>
        <w:rPr>
          <w:noProof/>
        </w:rPr>
        <w:tab/>
        <w:t xml:space="preserve">Where the opinion of the committee is to be obtained by written procedure, that procedure shall be terminated without result when, within the time-limit for delivery of the </w:t>
      </w:r>
      <w:r>
        <w:rPr>
          <w:noProof/>
        </w:rPr>
        <w:t xml:space="preserve">opinion, the chair of the committee so decides or a simple majority of committee members so request. </w:t>
      </w:r>
    </w:p>
    <w:p w:rsidR="00211384" w:rsidRDefault="004D1F15">
      <w:pPr>
        <w:pStyle w:val="ManualNumPar1"/>
        <w:rPr>
          <w:noProof/>
        </w:rPr>
      </w:pPr>
      <w:r>
        <w:rPr>
          <w:noProof/>
        </w:rPr>
        <w:t>6.</w:t>
      </w:r>
      <w:r>
        <w:rPr>
          <w:noProof/>
        </w:rPr>
        <w:tab/>
        <w:t>The Commission shall regularly inform the Committee of the overall progress of the implementation of the specific programme and shall provide it with t</w:t>
      </w:r>
      <w:r>
        <w:rPr>
          <w:noProof/>
        </w:rPr>
        <w:t>imely information on all actions proposed or funded under Horizon Europe, as specified in Annex III.</w:t>
      </w:r>
    </w:p>
    <w:p w:rsidR="00211384" w:rsidRDefault="00211384">
      <w:pPr>
        <w:pStyle w:val="Text1"/>
        <w:rPr>
          <w:noProof/>
        </w:rPr>
      </w:pPr>
    </w:p>
    <w:p w:rsidR="00211384" w:rsidRDefault="004D1F15">
      <w:pPr>
        <w:keepNext/>
        <w:jc w:val="center"/>
        <w:rPr>
          <w:noProof/>
        </w:rPr>
      </w:pPr>
      <w:r>
        <w:rPr>
          <w:noProof/>
        </w:rPr>
        <w:t>CHAPTER III</w:t>
      </w:r>
    </w:p>
    <w:p w:rsidR="00211384" w:rsidRDefault="004D1F15">
      <w:pPr>
        <w:jc w:val="center"/>
        <w:rPr>
          <w:b/>
          <w:noProof/>
        </w:rPr>
      </w:pPr>
      <w:r>
        <w:rPr>
          <w:b/>
          <w:noProof/>
        </w:rPr>
        <w:t>TRANSITIONAL AND FINAL PROVISIONS</w:t>
      </w:r>
    </w:p>
    <w:p w:rsidR="00211384" w:rsidRDefault="004D1F15">
      <w:pPr>
        <w:pStyle w:val="Titrearticle"/>
        <w:rPr>
          <w:noProof/>
        </w:rPr>
      </w:pPr>
      <w:r>
        <w:rPr>
          <w:noProof/>
        </w:rPr>
        <w:t>Article 13</w:t>
      </w:r>
    </w:p>
    <w:p w:rsidR="00211384" w:rsidRDefault="004D1F15">
      <w:pPr>
        <w:keepNext/>
        <w:jc w:val="center"/>
        <w:rPr>
          <w:b/>
          <w:noProof/>
        </w:rPr>
      </w:pPr>
      <w:r>
        <w:rPr>
          <w:b/>
          <w:noProof/>
        </w:rPr>
        <w:t>Repeal</w:t>
      </w:r>
    </w:p>
    <w:p w:rsidR="00211384" w:rsidRDefault="004D1F15">
      <w:pPr>
        <w:snapToGrid w:val="0"/>
        <w:rPr>
          <w:noProof/>
        </w:rPr>
      </w:pPr>
      <w:r>
        <w:rPr>
          <w:noProof/>
        </w:rPr>
        <w:t>Decision 2013/743/EU is repealed with effect from 1 January 2021.</w:t>
      </w:r>
    </w:p>
    <w:p w:rsidR="00211384" w:rsidRDefault="004D1F15">
      <w:pPr>
        <w:pStyle w:val="Titrearticle"/>
        <w:rPr>
          <w:noProof/>
        </w:rPr>
      </w:pPr>
      <w:r>
        <w:rPr>
          <w:noProof/>
        </w:rPr>
        <w:t>Article 14</w:t>
      </w:r>
    </w:p>
    <w:p w:rsidR="00211384" w:rsidRDefault="004D1F15">
      <w:pPr>
        <w:keepNext/>
        <w:jc w:val="center"/>
        <w:rPr>
          <w:b/>
          <w:noProof/>
        </w:rPr>
      </w:pPr>
      <w:r>
        <w:rPr>
          <w:b/>
          <w:noProof/>
        </w:rPr>
        <w:t xml:space="preserve">Transitional </w:t>
      </w:r>
      <w:r>
        <w:rPr>
          <w:b/>
          <w:noProof/>
        </w:rPr>
        <w:t>provisions</w:t>
      </w:r>
    </w:p>
    <w:p w:rsidR="00211384" w:rsidRDefault="004D1F15">
      <w:pPr>
        <w:pStyle w:val="ManualNumPar1"/>
        <w:rPr>
          <w:noProof/>
        </w:rPr>
      </w:pPr>
      <w:r>
        <w:rPr>
          <w:noProof/>
        </w:rPr>
        <w:t>1.</w:t>
      </w:r>
      <w:r>
        <w:rPr>
          <w:noProof/>
        </w:rPr>
        <w:tab/>
        <w:t>This Decision shall not affect the continuation or modification of the actions concerned, until their closure, under</w:t>
      </w:r>
      <w:r>
        <w:rPr>
          <w:noProof/>
        </w:rPr>
        <w:tab/>
        <w:t xml:space="preserve"> Decision 2013/743/EU, which shall continue to apply to the actions concerned until their closure. </w:t>
      </w:r>
    </w:p>
    <w:p w:rsidR="00211384" w:rsidRDefault="004D1F15">
      <w:pPr>
        <w:pStyle w:val="Text1"/>
        <w:rPr>
          <w:noProof/>
        </w:rPr>
      </w:pPr>
      <w:r>
        <w:rPr>
          <w:noProof/>
        </w:rPr>
        <w:t>Where necessary, any rema</w:t>
      </w:r>
      <w:r>
        <w:rPr>
          <w:noProof/>
        </w:rPr>
        <w:t>ining tasks of the Committee established by Decision 2013/743/EU shall be undertaken by the Committee referred to in Article 12 of this Decision.</w:t>
      </w:r>
    </w:p>
    <w:p w:rsidR="00211384" w:rsidRDefault="004D1F15">
      <w:pPr>
        <w:pStyle w:val="ManualNumPar1"/>
        <w:rPr>
          <w:rFonts w:cs="EUAlbertina"/>
          <w:noProof/>
          <w:szCs w:val="24"/>
        </w:rPr>
      </w:pPr>
      <w:r>
        <w:rPr>
          <w:noProof/>
        </w:rPr>
        <w:t>2.</w:t>
      </w:r>
      <w:r>
        <w:rPr>
          <w:noProof/>
        </w:rPr>
        <w:tab/>
      </w:r>
      <w:r>
        <w:rPr>
          <w:noProof/>
          <w:szCs w:val="24"/>
        </w:rPr>
        <w:t>The financial envelope for</w:t>
      </w:r>
      <w:r>
        <w:rPr>
          <w:noProof/>
        </w:rPr>
        <w:t xml:space="preserve"> the Specific </w:t>
      </w:r>
      <w:r>
        <w:rPr>
          <w:noProof/>
          <w:szCs w:val="24"/>
        </w:rPr>
        <w:t>Programme</w:t>
      </w:r>
      <w:r>
        <w:rPr>
          <w:noProof/>
        </w:rPr>
        <w:t xml:space="preserve"> may also cover technical and administrative assistance expenses necessary to ensure the transition between the Specific Programme and the measures adopted under its predecessor </w:t>
      </w:r>
      <w:r>
        <w:rPr>
          <w:rFonts w:cs="EUAlbertina"/>
          <w:noProof/>
          <w:szCs w:val="24"/>
        </w:rPr>
        <w:t xml:space="preserve">Decision 2013/743/EU. </w:t>
      </w:r>
    </w:p>
    <w:p w:rsidR="00211384" w:rsidRDefault="00211384">
      <w:pPr>
        <w:pStyle w:val="Text1"/>
        <w:rPr>
          <w:noProof/>
        </w:rPr>
      </w:pPr>
    </w:p>
    <w:p w:rsidR="00211384" w:rsidRDefault="004D1F15">
      <w:pPr>
        <w:keepNext/>
        <w:jc w:val="center"/>
        <w:rPr>
          <w:i/>
          <w:noProof/>
        </w:rPr>
      </w:pPr>
      <w:r>
        <w:rPr>
          <w:i/>
          <w:noProof/>
        </w:rPr>
        <w:t>Article 15</w:t>
      </w:r>
    </w:p>
    <w:p w:rsidR="00211384" w:rsidRDefault="004D1F15">
      <w:pPr>
        <w:keepNext/>
        <w:jc w:val="center"/>
        <w:rPr>
          <w:b/>
          <w:noProof/>
        </w:rPr>
      </w:pPr>
      <w:r>
        <w:rPr>
          <w:b/>
          <w:noProof/>
        </w:rPr>
        <w:t>Entry into force</w:t>
      </w:r>
    </w:p>
    <w:p w:rsidR="00211384" w:rsidRDefault="004D1F15">
      <w:pPr>
        <w:rPr>
          <w:noProof/>
        </w:rPr>
      </w:pPr>
      <w:r>
        <w:rPr>
          <w:noProof/>
        </w:rPr>
        <w:t xml:space="preserve">This Decision shall enter into force on the twentieth day following that of its publication in the </w:t>
      </w:r>
      <w:r>
        <w:rPr>
          <w:i/>
          <w:noProof/>
        </w:rPr>
        <w:t>Official Journal of the European Union</w:t>
      </w:r>
      <w:r>
        <w:rPr>
          <w:noProof/>
        </w:rPr>
        <w:t>.</w:t>
      </w:r>
    </w:p>
    <w:p w:rsidR="00211384" w:rsidRDefault="004D1F15">
      <w:pPr>
        <w:rPr>
          <w:noProof/>
        </w:rPr>
      </w:pPr>
      <w:r>
        <w:rPr>
          <w:noProof/>
        </w:rPr>
        <w:t xml:space="preserve">This Decision is addressed to the Member States. </w:t>
      </w:r>
    </w:p>
    <w:p w:rsidR="00211384" w:rsidRDefault="004D1F15" w:rsidP="004D1F15">
      <w:pPr>
        <w:pStyle w:val="Fait"/>
        <w:rPr>
          <w:noProof/>
        </w:rPr>
      </w:pPr>
      <w:r w:rsidRPr="004D1F15">
        <w:t>Done at Brussels,</w:t>
      </w:r>
    </w:p>
    <w:p w:rsidR="00211384" w:rsidRDefault="004D1F15">
      <w:pPr>
        <w:pStyle w:val="Institutionquisigne"/>
        <w:rPr>
          <w:noProof/>
        </w:rPr>
      </w:pPr>
      <w:r>
        <w:rPr>
          <w:noProof/>
        </w:rPr>
        <w:t>For the European Parliament</w:t>
      </w:r>
      <w:r>
        <w:rPr>
          <w:noProof/>
        </w:rPr>
        <w:tab/>
        <w:t>For the Council</w:t>
      </w:r>
    </w:p>
    <w:p w:rsidR="00211384" w:rsidRDefault="004D1F15">
      <w:pPr>
        <w:pStyle w:val="Personnequisigne"/>
        <w:rPr>
          <w:noProof/>
        </w:rPr>
      </w:pPr>
      <w:r>
        <w:rPr>
          <w:noProof/>
        </w:rPr>
        <w:t>The P</w:t>
      </w:r>
      <w:r>
        <w:rPr>
          <w:noProof/>
        </w:rPr>
        <w:t>resident</w:t>
      </w:r>
      <w:r>
        <w:rPr>
          <w:noProof/>
        </w:rPr>
        <w:tab/>
        <w:t>The President</w:t>
      </w:r>
    </w:p>
    <w:p w:rsidR="00211384" w:rsidRDefault="00211384">
      <w:pPr>
        <w:pStyle w:val="Institutionquisigne"/>
        <w:rPr>
          <w:noProof/>
        </w:rPr>
        <w:sectPr w:rsidR="00211384" w:rsidSect="004D1F15">
          <w:headerReference w:type="default" r:id="rId21"/>
          <w:footerReference w:type="default" r:id="rId22"/>
          <w:headerReference w:type="first" r:id="rId23"/>
          <w:footerReference w:type="first" r:id="rId24"/>
          <w:pgSz w:w="11907" w:h="16840" w:code="9"/>
          <w:pgMar w:top="709" w:right="992" w:bottom="851" w:left="993" w:header="709" w:footer="709" w:gutter="0"/>
          <w:cols w:space="720"/>
          <w:docGrid w:linePitch="360"/>
        </w:sectPr>
      </w:pPr>
    </w:p>
    <w:p w:rsidR="00211384" w:rsidRDefault="004D1F15">
      <w:pPr>
        <w:pStyle w:val="Fichefinanciretitre"/>
        <w:rPr>
          <w:noProof/>
        </w:rPr>
      </w:pPr>
      <w:r>
        <w:rPr>
          <w:noProof/>
        </w:rPr>
        <w:t>Working document for the preparation of the post 2020 basic acts</w:t>
      </w:r>
    </w:p>
    <w:p w:rsidR="00211384" w:rsidRDefault="004D1F15">
      <w:pPr>
        <w:pStyle w:val="NormalCentered"/>
        <w:rPr>
          <w:b/>
          <w:i/>
          <w:noProof/>
        </w:rPr>
      </w:pPr>
      <w:r>
        <w:rPr>
          <w:b/>
          <w:i/>
          <w:noProof/>
        </w:rPr>
        <w:t xml:space="preserve">Legislative financial statement </w:t>
      </w:r>
    </w:p>
    <w:p w:rsidR="00211384" w:rsidRDefault="004D1F15">
      <w:pPr>
        <w:pStyle w:val="NormalCentered"/>
        <w:rPr>
          <w:b/>
          <w:i/>
          <w:noProof/>
        </w:rPr>
      </w:pPr>
      <w:r>
        <w:rPr>
          <w:b/>
          <w:i/>
          <w:noProof/>
        </w:rPr>
        <w:t>annexed to the</w:t>
      </w:r>
      <w:r>
        <w:rPr>
          <w:noProof/>
        </w:rPr>
        <w:t xml:space="preserve"> </w:t>
      </w:r>
      <w:r>
        <w:rPr>
          <w:b/>
          <w:i/>
          <w:noProof/>
        </w:rPr>
        <w:t>Specific programme implementing Horizon Europe</w:t>
      </w:r>
    </w:p>
    <w:p w:rsidR="00211384" w:rsidRDefault="00211384">
      <w:pPr>
        <w:spacing w:before="0" w:after="0"/>
        <w:jc w:val="left"/>
        <w:rPr>
          <w:noProof/>
        </w:rPr>
      </w:pPr>
    </w:p>
    <w:p w:rsidR="00211384" w:rsidRDefault="00211384">
      <w:pPr>
        <w:spacing w:before="0" w:after="0"/>
        <w:jc w:val="left"/>
        <w:rPr>
          <w:noProof/>
        </w:rPr>
      </w:pPr>
    </w:p>
    <w:p w:rsidR="00211384" w:rsidRDefault="004D1F15">
      <w:pPr>
        <w:pStyle w:val="ManualHeading1"/>
        <w:rPr>
          <w:noProof/>
        </w:rPr>
      </w:pPr>
      <w:r>
        <w:rPr>
          <w:noProof/>
        </w:rPr>
        <w:t>1.</w:t>
      </w:r>
      <w:r>
        <w:rPr>
          <w:noProof/>
        </w:rPr>
        <w:tab/>
        <w:t>FRAMEWOR</w:t>
      </w:r>
      <w:r>
        <w:rPr>
          <w:noProof/>
        </w:rPr>
        <w:t xml:space="preserve">K OF THE PROPOSAL/INITIATIVE </w:t>
      </w:r>
    </w:p>
    <w:p w:rsidR="00211384" w:rsidRDefault="004D1F15">
      <w:pPr>
        <w:pStyle w:val="ManualHeading2"/>
        <w:rPr>
          <w:b w:val="0"/>
          <w:noProof/>
        </w:rPr>
      </w:pPr>
      <w:r>
        <w:rPr>
          <w:noProof/>
        </w:rPr>
        <w:tab/>
      </w:r>
      <w:r>
        <w:rPr>
          <w:b w:val="0"/>
          <w:noProof/>
        </w:rPr>
        <w:t>1.1.</w:t>
      </w:r>
      <w:r>
        <w:rPr>
          <w:b w:val="0"/>
          <w:noProof/>
        </w:rPr>
        <w:tab/>
        <w:t xml:space="preserve">Title of the proposal/initiative </w:t>
      </w:r>
    </w:p>
    <w:p w:rsidR="00211384" w:rsidRDefault="004D1F15">
      <w:pPr>
        <w:pStyle w:val="ManualHeading2"/>
        <w:rPr>
          <w:b w:val="0"/>
          <w:noProof/>
        </w:rPr>
      </w:pPr>
      <w:r>
        <w:rPr>
          <w:b w:val="0"/>
          <w:noProof/>
        </w:rPr>
        <w:tab/>
        <w:t>1.2.</w:t>
      </w:r>
      <w:r>
        <w:rPr>
          <w:b w:val="0"/>
          <w:noProof/>
        </w:rPr>
        <w:tab/>
        <w:t xml:space="preserve">Policy area(s) concerned </w:t>
      </w:r>
      <w:r>
        <w:rPr>
          <w:b w:val="0"/>
          <w:i/>
          <w:noProof/>
        </w:rPr>
        <w:t>(programme cluster)</w:t>
      </w:r>
    </w:p>
    <w:p w:rsidR="00211384" w:rsidRDefault="004D1F15">
      <w:pPr>
        <w:pStyle w:val="ManualHeading2"/>
        <w:rPr>
          <w:b w:val="0"/>
          <w:noProof/>
        </w:rPr>
      </w:pPr>
      <w:r>
        <w:rPr>
          <w:b w:val="0"/>
          <w:noProof/>
        </w:rPr>
        <w:tab/>
        <w:t>1.3.</w:t>
      </w:r>
      <w:r>
        <w:rPr>
          <w:b w:val="0"/>
          <w:noProof/>
        </w:rPr>
        <w:tab/>
        <w:t xml:space="preserve">Nature of the proposal/initiative </w:t>
      </w:r>
    </w:p>
    <w:p w:rsidR="00211384" w:rsidRDefault="004D1F15">
      <w:pPr>
        <w:pStyle w:val="ManualHeading2"/>
        <w:rPr>
          <w:b w:val="0"/>
          <w:noProof/>
        </w:rPr>
      </w:pPr>
      <w:r>
        <w:rPr>
          <w:b w:val="0"/>
          <w:noProof/>
        </w:rPr>
        <w:tab/>
        <w:t>1.4.</w:t>
      </w:r>
      <w:r>
        <w:rPr>
          <w:b w:val="0"/>
          <w:noProof/>
        </w:rPr>
        <w:tab/>
        <w:t xml:space="preserve">Grounds for the proposal/initiative </w:t>
      </w:r>
    </w:p>
    <w:p w:rsidR="00211384" w:rsidRDefault="004D1F15">
      <w:pPr>
        <w:pStyle w:val="ManualHeading2"/>
        <w:rPr>
          <w:b w:val="0"/>
          <w:noProof/>
        </w:rPr>
      </w:pPr>
      <w:r>
        <w:rPr>
          <w:b w:val="0"/>
          <w:noProof/>
        </w:rPr>
        <w:tab/>
        <w:t>1.5.</w:t>
      </w:r>
      <w:r>
        <w:rPr>
          <w:b w:val="0"/>
          <w:noProof/>
        </w:rPr>
        <w:tab/>
        <w:t xml:space="preserve">Duration and financial impact </w:t>
      </w:r>
    </w:p>
    <w:p w:rsidR="00211384" w:rsidRDefault="004D1F15">
      <w:pPr>
        <w:pStyle w:val="ManualHeading2"/>
        <w:rPr>
          <w:b w:val="0"/>
          <w:noProof/>
        </w:rPr>
      </w:pPr>
      <w:r>
        <w:rPr>
          <w:b w:val="0"/>
          <w:noProof/>
        </w:rPr>
        <w:tab/>
        <w:t>1.6.</w:t>
      </w:r>
      <w:r>
        <w:rPr>
          <w:b w:val="0"/>
          <w:noProof/>
        </w:rPr>
        <w:tab/>
      </w:r>
      <w:r>
        <w:rPr>
          <w:b w:val="0"/>
          <w:noProof/>
        </w:rPr>
        <w:t xml:space="preserve">Management mode(s) planned </w:t>
      </w:r>
    </w:p>
    <w:p w:rsidR="00211384" w:rsidRDefault="004D1F15">
      <w:pPr>
        <w:pStyle w:val="ManualHeading1"/>
        <w:rPr>
          <w:noProof/>
        </w:rPr>
      </w:pPr>
      <w:r>
        <w:rPr>
          <w:noProof/>
        </w:rPr>
        <w:t>2.</w:t>
      </w:r>
      <w:r>
        <w:rPr>
          <w:noProof/>
        </w:rPr>
        <w:tab/>
        <w:t xml:space="preserve">MANAGEMENT MEASURES </w:t>
      </w:r>
    </w:p>
    <w:p w:rsidR="00211384" w:rsidRDefault="004D1F15">
      <w:pPr>
        <w:pStyle w:val="ManualHeading2"/>
        <w:rPr>
          <w:b w:val="0"/>
          <w:noProof/>
        </w:rPr>
      </w:pPr>
      <w:r>
        <w:rPr>
          <w:b w:val="0"/>
          <w:noProof/>
        </w:rPr>
        <w:tab/>
        <w:t>2.1.</w:t>
      </w:r>
      <w:r>
        <w:rPr>
          <w:b w:val="0"/>
          <w:noProof/>
        </w:rPr>
        <w:tab/>
        <w:t xml:space="preserve">Monitoring and reporting rules </w:t>
      </w:r>
    </w:p>
    <w:p w:rsidR="00211384" w:rsidRDefault="004D1F15">
      <w:pPr>
        <w:pStyle w:val="ManualHeading2"/>
        <w:rPr>
          <w:b w:val="0"/>
          <w:noProof/>
        </w:rPr>
      </w:pPr>
      <w:r>
        <w:rPr>
          <w:b w:val="0"/>
          <w:noProof/>
        </w:rPr>
        <w:tab/>
        <w:t>2.2.</w:t>
      </w:r>
      <w:r>
        <w:rPr>
          <w:b w:val="0"/>
          <w:noProof/>
        </w:rPr>
        <w:tab/>
        <w:t xml:space="preserve">Management and control system </w:t>
      </w:r>
    </w:p>
    <w:p w:rsidR="00211384" w:rsidRDefault="004D1F15">
      <w:pPr>
        <w:pStyle w:val="ManualHeading2"/>
        <w:rPr>
          <w:b w:val="0"/>
          <w:noProof/>
        </w:rPr>
      </w:pPr>
      <w:r>
        <w:rPr>
          <w:b w:val="0"/>
          <w:noProof/>
        </w:rPr>
        <w:tab/>
        <w:t>2.3.</w:t>
      </w:r>
      <w:r>
        <w:rPr>
          <w:b w:val="0"/>
          <w:noProof/>
        </w:rPr>
        <w:tab/>
        <w:t xml:space="preserve">Measures to prevent fraud and irregularities </w:t>
      </w:r>
    </w:p>
    <w:p w:rsidR="00211384" w:rsidRDefault="004D1F15">
      <w:pPr>
        <w:pStyle w:val="ManualHeading1"/>
        <w:rPr>
          <w:noProof/>
        </w:rPr>
      </w:pPr>
      <w:r>
        <w:rPr>
          <w:noProof/>
        </w:rPr>
        <w:t>3.</w:t>
      </w:r>
      <w:r>
        <w:rPr>
          <w:noProof/>
        </w:rPr>
        <w:tab/>
        <w:t xml:space="preserve">ESTIMATED FINANCIAL IMPACT OF THE PROPOSAL/INITIATIVE </w:t>
      </w:r>
    </w:p>
    <w:p w:rsidR="00211384" w:rsidRDefault="004D1F15">
      <w:pPr>
        <w:pStyle w:val="ManualHeading2"/>
        <w:rPr>
          <w:b w:val="0"/>
          <w:noProof/>
        </w:rPr>
      </w:pPr>
      <w:r>
        <w:rPr>
          <w:b w:val="0"/>
          <w:noProof/>
        </w:rPr>
        <w:tab/>
        <w:t>3.1.</w:t>
      </w:r>
      <w:r>
        <w:rPr>
          <w:b w:val="0"/>
          <w:noProof/>
        </w:rPr>
        <w:tab/>
      </w:r>
      <w:r>
        <w:rPr>
          <w:b w:val="0"/>
          <w:noProof/>
        </w:rPr>
        <w:t xml:space="preserve">Heading(s) of the multiannual financial framework and expenditure budget line(s) affected </w:t>
      </w:r>
    </w:p>
    <w:p w:rsidR="00211384" w:rsidRDefault="004D1F15">
      <w:pPr>
        <w:pStyle w:val="ManualHeading2"/>
        <w:rPr>
          <w:noProof/>
        </w:rPr>
      </w:pPr>
      <w:r>
        <w:rPr>
          <w:b w:val="0"/>
          <w:noProof/>
        </w:rPr>
        <w:tab/>
        <w:t>3.2.</w:t>
      </w:r>
      <w:r>
        <w:rPr>
          <w:b w:val="0"/>
          <w:noProof/>
        </w:rPr>
        <w:tab/>
        <w:t>Estimated impact on expenditure</w:t>
      </w:r>
      <w:r>
        <w:rPr>
          <w:noProof/>
        </w:rPr>
        <w:t xml:space="preserve"> </w:t>
      </w:r>
    </w:p>
    <w:p w:rsidR="00211384" w:rsidRDefault="004D1F15">
      <w:pPr>
        <w:pStyle w:val="ManualHeading3"/>
        <w:rPr>
          <w:noProof/>
        </w:rPr>
      </w:pPr>
      <w:r>
        <w:rPr>
          <w:noProof/>
        </w:rPr>
        <w:tab/>
        <w:t>3.2.1.</w:t>
      </w:r>
      <w:r>
        <w:rPr>
          <w:noProof/>
        </w:rPr>
        <w:tab/>
        <w:t xml:space="preserve">Summary of estimated impact on expenditure </w:t>
      </w:r>
    </w:p>
    <w:p w:rsidR="00211384" w:rsidRDefault="004D1F15">
      <w:pPr>
        <w:pStyle w:val="ManualHeading3"/>
        <w:rPr>
          <w:noProof/>
        </w:rPr>
      </w:pPr>
      <w:r>
        <w:rPr>
          <w:noProof/>
        </w:rPr>
        <w:tab/>
        <w:t>3.2.2.</w:t>
      </w:r>
      <w:r>
        <w:rPr>
          <w:noProof/>
        </w:rPr>
        <w:tab/>
        <w:t>Estimated impact on appropriations of an administrative nature</w:t>
      </w:r>
    </w:p>
    <w:p w:rsidR="00211384" w:rsidRDefault="004D1F15">
      <w:pPr>
        <w:pStyle w:val="ManualHeading3"/>
        <w:rPr>
          <w:noProof/>
        </w:rPr>
      </w:pPr>
      <w:r>
        <w:rPr>
          <w:noProof/>
        </w:rPr>
        <w:tab/>
        <w:t>3.</w:t>
      </w:r>
      <w:r>
        <w:rPr>
          <w:noProof/>
        </w:rPr>
        <w:t>2.3.</w:t>
      </w:r>
      <w:r>
        <w:rPr>
          <w:noProof/>
        </w:rPr>
        <w:tab/>
        <w:t xml:space="preserve">Third-party contributions </w:t>
      </w:r>
    </w:p>
    <w:p w:rsidR="00211384" w:rsidRDefault="004D1F15">
      <w:pPr>
        <w:pStyle w:val="ManualHeading2"/>
        <w:jc w:val="left"/>
        <w:rPr>
          <w:b w:val="0"/>
          <w:noProof/>
        </w:rPr>
        <w:sectPr w:rsidR="00211384" w:rsidSect="004D1F15">
          <w:pgSz w:w="11907" w:h="16840" w:code="9"/>
          <w:pgMar w:top="709" w:right="992" w:bottom="851" w:left="993" w:header="709" w:footer="709" w:gutter="0"/>
          <w:cols w:space="720"/>
          <w:docGrid w:linePitch="360"/>
        </w:sectPr>
      </w:pPr>
      <w:r>
        <w:rPr>
          <w:b w:val="0"/>
          <w:noProof/>
        </w:rPr>
        <w:tab/>
        <w:t>3.3.</w:t>
      </w:r>
      <w:r>
        <w:rPr>
          <w:b w:val="0"/>
          <w:noProof/>
        </w:rPr>
        <w:tab/>
        <w:t>Estimated impact on revenue</w:t>
      </w:r>
    </w:p>
    <w:p w:rsidR="00211384" w:rsidRDefault="00211384">
      <w:pPr>
        <w:jc w:val="center"/>
        <w:rPr>
          <w:b/>
          <w:noProof/>
          <w:u w:val="single"/>
        </w:rPr>
      </w:pPr>
    </w:p>
    <w:p w:rsidR="00211384" w:rsidRDefault="004D1F15">
      <w:pPr>
        <w:jc w:val="center"/>
        <w:rPr>
          <w:b/>
          <w:noProof/>
          <w:u w:val="single"/>
        </w:rPr>
      </w:pPr>
      <w:r>
        <w:rPr>
          <w:b/>
          <w:noProof/>
          <w:u w:val="single"/>
        </w:rPr>
        <w:t>LEGISLATIVE FINANCIAL STATEMENT</w:t>
      </w:r>
    </w:p>
    <w:p w:rsidR="00211384" w:rsidRDefault="004D1F15">
      <w:pPr>
        <w:pStyle w:val="ManualHeading1"/>
        <w:rPr>
          <w:noProof/>
        </w:rPr>
      </w:pPr>
      <w:r>
        <w:rPr>
          <w:noProof/>
        </w:rPr>
        <w:t>1.</w:t>
      </w:r>
      <w:r>
        <w:rPr>
          <w:noProof/>
        </w:rPr>
        <w:tab/>
        <w:t xml:space="preserve">FRAMEWORK OF THE PROPOSAL/INITIATIVE </w:t>
      </w:r>
    </w:p>
    <w:p w:rsidR="00211384" w:rsidRDefault="004D1F15">
      <w:pPr>
        <w:pStyle w:val="ManualHeading2"/>
        <w:rPr>
          <w:noProof/>
        </w:rPr>
      </w:pPr>
      <w:r>
        <w:rPr>
          <w:noProof/>
        </w:rPr>
        <w:t>1.1.</w:t>
      </w:r>
      <w:r>
        <w:rPr>
          <w:noProof/>
        </w:rPr>
        <w:tab/>
        <w:t xml:space="preserve">Title of the proposal/initiative </w:t>
      </w:r>
    </w:p>
    <w:p w:rsidR="00211384" w:rsidRDefault="004D1F15">
      <w:pPr>
        <w:pStyle w:val="Text1"/>
        <w:pBdr>
          <w:top w:val="single" w:sz="4" w:space="1" w:color="auto"/>
          <w:left w:val="single" w:sz="4" w:space="4" w:color="auto"/>
          <w:bottom w:val="single" w:sz="4" w:space="1" w:color="auto"/>
          <w:right w:val="single" w:sz="4" w:space="4" w:color="auto"/>
        </w:pBdr>
        <w:rPr>
          <w:noProof/>
        </w:rPr>
      </w:pPr>
      <w:r>
        <w:rPr>
          <w:noProof/>
        </w:rPr>
        <w:t>Specific programme implementing Horizon Europe</w:t>
      </w:r>
    </w:p>
    <w:p w:rsidR="00211384" w:rsidRDefault="004D1F15">
      <w:pPr>
        <w:pStyle w:val="ManualHeading2"/>
        <w:rPr>
          <w:noProof/>
          <w:szCs w:val="24"/>
        </w:rPr>
      </w:pPr>
      <w:r>
        <w:rPr>
          <w:noProof/>
        </w:rPr>
        <w:t>1.2.</w:t>
      </w:r>
      <w:r>
        <w:rPr>
          <w:noProof/>
        </w:rPr>
        <w:tab/>
        <w:t>Poli</w:t>
      </w:r>
      <w:r>
        <w:rPr>
          <w:noProof/>
        </w:rPr>
        <w:t>cy area(s) concerned</w:t>
      </w:r>
      <w:r>
        <w:rPr>
          <w:i/>
          <w:noProof/>
        </w:rPr>
        <w:t xml:space="preserve"> (Programme cluster)</w:t>
      </w:r>
      <w:r>
        <w:rPr>
          <w:noProof/>
        </w:rPr>
        <w:t xml:space="preserve"> </w:t>
      </w:r>
    </w:p>
    <w:p w:rsidR="00211384" w:rsidRDefault="004D1F15">
      <w:pPr>
        <w:pStyle w:val="Text1"/>
        <w:pBdr>
          <w:top w:val="single" w:sz="4" w:space="1" w:color="auto"/>
          <w:left w:val="single" w:sz="4" w:space="4" w:color="auto"/>
          <w:bottom w:val="single" w:sz="4" w:space="1" w:color="auto"/>
          <w:right w:val="single" w:sz="4" w:space="4" w:color="auto"/>
        </w:pBdr>
        <w:rPr>
          <w:noProof/>
        </w:rPr>
      </w:pPr>
      <w:r>
        <w:rPr>
          <w:noProof/>
        </w:rPr>
        <w:t>01 – Research and Innovation</w:t>
      </w:r>
    </w:p>
    <w:p w:rsidR="00211384" w:rsidRDefault="004D1F15">
      <w:pPr>
        <w:pStyle w:val="ManualHeading2"/>
        <w:rPr>
          <w:bCs/>
          <w:noProof/>
          <w:szCs w:val="24"/>
        </w:rPr>
      </w:pPr>
      <w:r>
        <w:rPr>
          <w:noProof/>
        </w:rPr>
        <w:t>1.3.</w:t>
      </w:r>
      <w:r>
        <w:rPr>
          <w:noProof/>
        </w:rPr>
        <w:tab/>
        <w:t xml:space="preserve">The proposal/initiative relates to: </w:t>
      </w:r>
    </w:p>
    <w:p w:rsidR="00211384" w:rsidRDefault="004D1F15">
      <w:pPr>
        <w:pStyle w:val="Text1"/>
        <w:rPr>
          <w:b/>
          <w:noProof/>
          <w:sz w:val="22"/>
        </w:rPr>
      </w:pPr>
      <w:r>
        <w:rPr>
          <w:noProof/>
          <w:sz w:val="22"/>
        </w:rPr>
        <w:sym w:font="Wingdings" w:char="F0FE"/>
      </w:r>
      <w:r>
        <w:rPr>
          <w:b/>
          <w:i/>
          <w:noProof/>
          <w:sz w:val="22"/>
        </w:rPr>
        <w:t xml:space="preserve"> </w:t>
      </w:r>
      <w:r>
        <w:rPr>
          <w:b/>
          <w:noProof/>
        </w:rPr>
        <w:t>a new action</w:t>
      </w:r>
      <w:r>
        <w:rPr>
          <w:b/>
          <w:noProof/>
          <w:sz w:val="22"/>
        </w:rPr>
        <w:t xml:space="preserve"> </w:t>
      </w:r>
    </w:p>
    <w:p w:rsidR="00211384" w:rsidRDefault="004D1F15">
      <w:pPr>
        <w:pStyle w:val="Text1"/>
        <w:rPr>
          <w:noProof/>
          <w:sz w:val="22"/>
        </w:rPr>
      </w:pPr>
      <w:r>
        <w:rPr>
          <w:noProof/>
          <w:sz w:val="22"/>
        </w:rPr>
        <w:sym w:font="Wingdings" w:char="F0A8"/>
      </w:r>
      <w:r>
        <w:rPr>
          <w:i/>
          <w:noProof/>
          <w:sz w:val="22"/>
        </w:rPr>
        <w:t xml:space="preserve"> </w:t>
      </w:r>
      <w:r>
        <w:rPr>
          <w:b/>
          <w:noProof/>
        </w:rPr>
        <w:t>a new action following a pilot project/preparatory action</w:t>
      </w:r>
      <w:r>
        <w:rPr>
          <w:rStyle w:val="FootnoteReference"/>
          <w:noProof/>
        </w:rPr>
        <w:footnoteReference w:id="10"/>
      </w:r>
      <w:r>
        <w:rPr>
          <w:noProof/>
          <w:sz w:val="22"/>
        </w:rPr>
        <w:t xml:space="preserve"> </w:t>
      </w:r>
    </w:p>
    <w:p w:rsidR="00211384" w:rsidRDefault="004D1F15">
      <w:pPr>
        <w:pStyle w:val="Text1"/>
        <w:rPr>
          <w:noProof/>
          <w:sz w:val="22"/>
        </w:rPr>
      </w:pPr>
      <w:r>
        <w:rPr>
          <w:noProof/>
          <w:sz w:val="22"/>
        </w:rPr>
        <w:sym w:font="Wingdings" w:char="F0A8"/>
      </w:r>
      <w:r>
        <w:rPr>
          <w:i/>
          <w:noProof/>
          <w:sz w:val="22"/>
        </w:rPr>
        <w:t xml:space="preserve"> </w:t>
      </w:r>
      <w:r>
        <w:rPr>
          <w:b/>
          <w:noProof/>
        </w:rPr>
        <w:t>the extension of an existing action</w:t>
      </w:r>
      <w:r>
        <w:rPr>
          <w:noProof/>
          <w:sz w:val="22"/>
        </w:rPr>
        <w:t xml:space="preserve"> </w:t>
      </w:r>
    </w:p>
    <w:p w:rsidR="00211384" w:rsidRDefault="004D1F15">
      <w:pPr>
        <w:pStyle w:val="Text1"/>
        <w:rPr>
          <w:noProof/>
        </w:rPr>
      </w:pPr>
      <w:r>
        <w:rPr>
          <w:noProof/>
          <w:sz w:val="22"/>
        </w:rPr>
        <w:sym w:font="Wingdings" w:char="F0A8"/>
      </w:r>
      <w:r>
        <w:rPr>
          <w:i/>
          <w:noProof/>
          <w:sz w:val="22"/>
        </w:rPr>
        <w:t xml:space="preserve"> </w:t>
      </w:r>
      <w:r>
        <w:rPr>
          <w:b/>
          <w:noProof/>
        </w:rPr>
        <w:t xml:space="preserve">a merger or redirection </w:t>
      </w:r>
      <w:r>
        <w:rPr>
          <w:b/>
          <w:noProof/>
        </w:rPr>
        <w:t>of one or more actions towards another/a new action</w:t>
      </w:r>
      <w:r>
        <w:rPr>
          <w:noProof/>
        </w:rPr>
        <w:t xml:space="preserve"> </w:t>
      </w:r>
    </w:p>
    <w:p w:rsidR="00211384" w:rsidRDefault="004D1F15">
      <w:pPr>
        <w:pStyle w:val="ManualHeading2"/>
        <w:rPr>
          <w:bCs/>
          <w:noProof/>
          <w:szCs w:val="24"/>
        </w:rPr>
      </w:pPr>
      <w:r>
        <w:rPr>
          <w:noProof/>
        </w:rPr>
        <w:t>1.4.</w:t>
      </w:r>
      <w:r>
        <w:rPr>
          <w:noProof/>
        </w:rPr>
        <w:tab/>
        <w:t xml:space="preserve">Grounds for the proposal/initiative </w:t>
      </w:r>
    </w:p>
    <w:p w:rsidR="00211384" w:rsidRDefault="004D1F15">
      <w:pPr>
        <w:pStyle w:val="ManualHeading3"/>
        <w:rPr>
          <w:noProof/>
        </w:rPr>
      </w:pPr>
      <w:r>
        <w:rPr>
          <w:noProof/>
        </w:rPr>
        <w:t>1.4.1.</w:t>
      </w:r>
      <w:r>
        <w:rPr>
          <w:noProof/>
        </w:rPr>
        <w:tab/>
        <w:t xml:space="preserve">Requirement(s) to be met in the short or long term including a detailed timeline for roll-out of the implementation of the initiative </w:t>
      </w:r>
    </w:p>
    <w:p w:rsidR="00211384" w:rsidRDefault="004D1F15">
      <w:pPr>
        <w:pStyle w:val="Tiret1"/>
        <w:numPr>
          <w:ilvl w:val="0"/>
          <w:numId w:val="17"/>
        </w:numPr>
        <w:pBdr>
          <w:top w:val="single" w:sz="4" w:space="1" w:color="auto"/>
          <w:left w:val="single" w:sz="4" w:space="4" w:color="auto"/>
          <w:bottom w:val="single" w:sz="4" w:space="1" w:color="auto"/>
          <w:right w:val="single" w:sz="4" w:space="4" w:color="auto"/>
        </w:pBdr>
        <w:rPr>
          <w:noProof/>
        </w:rPr>
      </w:pPr>
      <w:r>
        <w:rPr>
          <w:noProof/>
        </w:rPr>
        <w:t>support the creatio</w:t>
      </w:r>
      <w:r>
        <w:rPr>
          <w:noProof/>
        </w:rPr>
        <w:t>n and diffusion of high-quality new knowledge, technologies and solutions to global challenges;</w:t>
      </w:r>
    </w:p>
    <w:p w:rsidR="00211384" w:rsidRDefault="004D1F15">
      <w:pPr>
        <w:pStyle w:val="Tiret1"/>
        <w:pBdr>
          <w:top w:val="single" w:sz="4" w:space="1" w:color="auto"/>
          <w:left w:val="single" w:sz="4" w:space="4" w:color="auto"/>
          <w:bottom w:val="single" w:sz="4" w:space="1" w:color="auto"/>
          <w:right w:val="single" w:sz="4" w:space="4" w:color="auto"/>
        </w:pBdr>
        <w:rPr>
          <w:noProof/>
        </w:rPr>
      </w:pPr>
      <w:r>
        <w:rPr>
          <w:noProof/>
        </w:rPr>
        <w:t xml:space="preserve">strengthen the impact of research and innovation in developing, supporting and implementing EU policies, and the uptake of innovative solutions in industry and </w:t>
      </w:r>
      <w:r>
        <w:rPr>
          <w:noProof/>
        </w:rPr>
        <w:t>society to address global challenges;</w:t>
      </w:r>
    </w:p>
    <w:p w:rsidR="00211384" w:rsidRDefault="004D1F15">
      <w:pPr>
        <w:pStyle w:val="Tiret1"/>
        <w:pBdr>
          <w:top w:val="single" w:sz="4" w:space="1" w:color="auto"/>
          <w:left w:val="single" w:sz="4" w:space="4" w:color="auto"/>
          <w:bottom w:val="single" w:sz="4" w:space="1" w:color="auto"/>
          <w:right w:val="single" w:sz="4" w:space="4" w:color="auto"/>
        </w:pBdr>
        <w:rPr>
          <w:noProof/>
        </w:rPr>
      </w:pPr>
      <w:r>
        <w:rPr>
          <w:noProof/>
        </w:rPr>
        <w:t>foster all forms of innovation, including breakthrough innovation, and strengthen market deployment of innovative solutions;</w:t>
      </w:r>
    </w:p>
    <w:p w:rsidR="00211384" w:rsidRDefault="004D1F15">
      <w:pPr>
        <w:pStyle w:val="Tiret1"/>
        <w:pBdr>
          <w:top w:val="single" w:sz="4" w:space="1" w:color="auto"/>
          <w:left w:val="single" w:sz="4" w:space="4" w:color="auto"/>
          <w:bottom w:val="single" w:sz="4" w:space="1" w:color="auto"/>
          <w:right w:val="single" w:sz="4" w:space="4" w:color="auto"/>
        </w:pBdr>
        <w:rPr>
          <w:noProof/>
        </w:rPr>
      </w:pPr>
      <w:r>
        <w:rPr>
          <w:noProof/>
        </w:rPr>
        <w:t>optimise the Programme's delivery for impact.</w:t>
      </w:r>
    </w:p>
    <w:p w:rsidR="00211384" w:rsidRDefault="004D1F15">
      <w:pPr>
        <w:pStyle w:val="ManualHeading3"/>
        <w:rPr>
          <w:bCs/>
          <w:noProof/>
          <w:szCs w:val="24"/>
        </w:rPr>
      </w:pPr>
      <w:r>
        <w:rPr>
          <w:noProof/>
        </w:rPr>
        <w:t>1.4.2.</w:t>
      </w:r>
      <w:r>
        <w:rPr>
          <w:noProof/>
        </w:rPr>
        <w:tab/>
        <w:t>Added value of Union involvement (it may</w:t>
      </w:r>
      <w:r>
        <w:rPr>
          <w:noProof/>
        </w:rPr>
        <w:t xml:space="preserve"> result from different factors, e.g. coordination gains, legal certainty, greater effectiveness or complementarities). For the purposes of this point 'added value of Union involvement' is the value resulting from Union intervention which is additional to t</w:t>
      </w:r>
      <w:r>
        <w:rPr>
          <w:noProof/>
        </w:rPr>
        <w:t xml:space="preserve">he value that would have been otherwise created by Member States alone. </w:t>
      </w:r>
    </w:p>
    <w:p w:rsidR="00211384" w:rsidRDefault="004D1F15">
      <w:pPr>
        <w:pStyle w:val="Text1"/>
        <w:pBdr>
          <w:top w:val="single" w:sz="4" w:space="1" w:color="auto"/>
          <w:left w:val="single" w:sz="4" w:space="4" w:color="auto"/>
          <w:bottom w:val="single" w:sz="4" w:space="1" w:color="auto"/>
          <w:right w:val="single" w:sz="4" w:space="4" w:color="auto"/>
        </w:pBdr>
        <w:rPr>
          <w:noProof/>
        </w:rPr>
      </w:pPr>
      <w:r>
        <w:rPr>
          <w:noProof/>
        </w:rPr>
        <w:t>Research &amp; Innovation (R&amp;I) is a crucial part of the knowledge-based society and one where a strong European dimension leverage additional funds at national level, without evidence of</w:t>
      </w:r>
      <w:r>
        <w:rPr>
          <w:noProof/>
        </w:rPr>
        <w:t xml:space="preserve"> substitution. Typically, R&amp;I projects chosen for EU funding harness a higher level of EU or international cooperation and have a scale, scope and level of sophistication that would prevent them from going ahead with national funding alone (83 % of EU R&amp;I </w:t>
      </w:r>
      <w:r>
        <w:rPr>
          <w:noProof/>
        </w:rPr>
        <w:t>projects would not have gone ahead without the EU-support). In a world of heightened technological competition, not investing in R&amp;I on an EU scale would result in a decline of the EU's global competitiveness with foreseeable economic social and environmen</w:t>
      </w:r>
      <w:r>
        <w:rPr>
          <w:noProof/>
        </w:rPr>
        <w:t>tal impacts.</w:t>
      </w:r>
    </w:p>
    <w:tbl>
      <w:tblPr>
        <w:tblStyle w:val="TableGrid"/>
        <w:tblW w:w="0" w:type="auto"/>
        <w:tblInd w:w="850" w:type="dxa"/>
        <w:tblBorders>
          <w:insideH w:val="none" w:sz="0" w:space="0" w:color="auto"/>
          <w:insideV w:val="none" w:sz="0" w:space="0" w:color="auto"/>
        </w:tblBorders>
        <w:tblLook w:val="04A0" w:firstRow="1" w:lastRow="0" w:firstColumn="1" w:lastColumn="0" w:noHBand="0" w:noVBand="1"/>
      </w:tblPr>
      <w:tblGrid>
        <w:gridCol w:w="8437"/>
      </w:tblGrid>
      <w:tr w:rsidR="00211384">
        <w:tc>
          <w:tcPr>
            <w:tcW w:w="9287" w:type="dxa"/>
          </w:tcPr>
          <w:p w:rsidR="00211384" w:rsidRDefault="004D1F15">
            <w:pPr>
              <w:pStyle w:val="Text1"/>
              <w:ind w:left="0"/>
              <w:rPr>
                <w:noProof/>
              </w:rPr>
            </w:pPr>
            <w:r>
              <w:rPr>
                <w:noProof/>
              </w:rPr>
              <w:t xml:space="preserve">The specific benefits of EU investments in the area of R&amp;I are: </w:t>
            </w:r>
          </w:p>
          <w:p w:rsidR="00211384" w:rsidRDefault="004D1F15">
            <w:pPr>
              <w:pStyle w:val="Bullet0"/>
              <w:rPr>
                <w:noProof/>
              </w:rPr>
            </w:pPr>
            <w:r>
              <w:rPr>
                <w:noProof/>
              </w:rPr>
              <w:t xml:space="preserve">boosting EU competitiveness through the creation of trans-national and multidisciplinary networks and new markets, with positive knowledge dissemination and technology transfers </w:t>
            </w:r>
            <w:r>
              <w:rPr>
                <w:noProof/>
              </w:rPr>
              <w:t>across the Union to prepare deployment of new products and services (EU-funded R&amp;I teams are 40 % more likely than non-EU funded teams to be granted patents, which are also of higher quality and commercial value);</w:t>
            </w:r>
          </w:p>
          <w:p w:rsidR="00211384" w:rsidRDefault="004D1F15">
            <w:pPr>
              <w:pStyle w:val="Bullet0"/>
              <w:rPr>
                <w:noProof/>
              </w:rPr>
            </w:pPr>
            <w:r>
              <w:rPr>
                <w:noProof/>
              </w:rPr>
              <w:t>pooling public and private resources and k</w:t>
            </w:r>
            <w:r>
              <w:rPr>
                <w:noProof/>
              </w:rPr>
              <w:t>nowledge to achieve critical mass for tackling global challenges and for taking leadership in EU and global markets (e.g. only EU-level action can overcome the thin distribution of patients affected by rare disease and the lack of standardisation and data)</w:t>
            </w:r>
            <w:r>
              <w:rPr>
                <w:noProof/>
              </w:rPr>
              <w:t>;</w:t>
            </w:r>
          </w:p>
          <w:p w:rsidR="00211384" w:rsidRDefault="004D1F15">
            <w:pPr>
              <w:pStyle w:val="Bullet0"/>
              <w:rPr>
                <w:noProof/>
              </w:rPr>
            </w:pPr>
            <w:r>
              <w:rPr>
                <w:noProof/>
              </w:rPr>
              <w:t xml:space="preserve">strengthening scientific excellence through EU-wide competition and cooperation (EU-funded peer-reviewed publications are cited more than twice the world average); </w:t>
            </w:r>
          </w:p>
          <w:p w:rsidR="00211384" w:rsidRDefault="004D1F15">
            <w:pPr>
              <w:pStyle w:val="Bullet0"/>
              <w:rPr>
                <w:noProof/>
              </w:rPr>
            </w:pPr>
            <w:r>
              <w:rPr>
                <w:noProof/>
              </w:rPr>
              <w:t xml:space="preserve">strengthening support for the emergence and scale-up of breakthrough market creating innovations (SMEs supported through EU R&amp;I funding grow faster than comparable non-EU funded SMEs); </w:t>
            </w:r>
          </w:p>
          <w:p w:rsidR="00211384" w:rsidRDefault="004D1F15">
            <w:pPr>
              <w:pStyle w:val="Bullet0"/>
              <w:rPr>
                <w:noProof/>
              </w:rPr>
            </w:pPr>
            <w:r>
              <w:rPr>
                <w:noProof/>
              </w:rPr>
              <w:t>increasing the EU's attractiveness as a place for education, research,</w:t>
            </w:r>
            <w:r>
              <w:rPr>
                <w:noProof/>
              </w:rPr>
              <w:t xml:space="preserve"> innovation and business (EU-funded teams grow faster and attract twice as many collaborations from outside the EU); </w:t>
            </w:r>
          </w:p>
          <w:p w:rsidR="00211384" w:rsidRDefault="004D1F15">
            <w:pPr>
              <w:pStyle w:val="Bullet0"/>
              <w:rPr>
                <w:noProof/>
              </w:rPr>
            </w:pPr>
            <w:r>
              <w:rPr>
                <w:noProof/>
              </w:rPr>
              <w:t>having a positive structuring effect on national R&amp;I ecosystems (the European Research Council has become a global beacon of excellence, i</w:t>
            </w:r>
            <w:r>
              <w:rPr>
                <w:noProof/>
              </w:rPr>
              <w:t xml:space="preserve">nducing national and institutional changes to support and attract its grantees); </w:t>
            </w:r>
          </w:p>
          <w:p w:rsidR="00211384" w:rsidRDefault="004D1F15">
            <w:pPr>
              <w:pStyle w:val="Bullet0"/>
              <w:rPr>
                <w:noProof/>
              </w:rPr>
            </w:pPr>
            <w:r>
              <w:rPr>
                <w:noProof/>
              </w:rPr>
              <w:t>providing a sound knowledge base for policy-making (e.g. the work of the UN’s IPCC on climate change relied extensively on EU-funded research).</w:t>
            </w:r>
          </w:p>
        </w:tc>
      </w:tr>
    </w:tbl>
    <w:p w:rsidR="00211384" w:rsidRDefault="004D1F15">
      <w:pPr>
        <w:pStyle w:val="ManualHeading3"/>
        <w:rPr>
          <w:noProof/>
        </w:rPr>
      </w:pPr>
      <w:r>
        <w:rPr>
          <w:noProof/>
        </w:rPr>
        <w:t>1.4.3.</w:t>
      </w:r>
      <w:r>
        <w:rPr>
          <w:noProof/>
        </w:rPr>
        <w:tab/>
        <w:t>Lessons learned from s</w:t>
      </w:r>
      <w:r>
        <w:rPr>
          <w:noProof/>
        </w:rPr>
        <w:t xml:space="preserve">imilar experiences in the past </w:t>
      </w:r>
    </w:p>
    <w:p w:rsidR="00211384" w:rsidRDefault="004D1F15">
      <w:pPr>
        <w:pStyle w:val="Text1"/>
        <w:pBdr>
          <w:top w:val="single" w:sz="4" w:space="1" w:color="auto"/>
          <w:left w:val="single" w:sz="4" w:space="4" w:color="auto"/>
          <w:bottom w:val="single" w:sz="4" w:space="1" w:color="auto"/>
          <w:right w:val="single" w:sz="4" w:space="4" w:color="auto"/>
        </w:pBdr>
        <w:rPr>
          <w:noProof/>
        </w:rPr>
      </w:pPr>
      <w:r>
        <w:rPr>
          <w:noProof/>
        </w:rPr>
        <w:t xml:space="preserve">EU Framework Programmes have generated significant and long-lasting impacts , as shown by successive evaluations since the EU started investing in R&amp;I in 1984. </w:t>
      </w:r>
      <w:r>
        <w:rPr>
          <w:noProof/>
          <w:szCs w:val="24"/>
        </w:rPr>
        <w:t>While European research and innovation programmes have been succ</w:t>
      </w:r>
      <w:r>
        <w:rPr>
          <w:noProof/>
          <w:szCs w:val="24"/>
        </w:rPr>
        <w:t>essful, there are important lessons to be learned from the past, from stakeholder feedback, and from analytical studies. Research, innovation and education should be addressed in a more coordinated manner and coherent with other policies and research resul</w:t>
      </w:r>
      <w:r>
        <w:rPr>
          <w:noProof/>
          <w:szCs w:val="24"/>
        </w:rPr>
        <w:t>ts better disseminated and valorised into new products, processes and services. The intervention logic of EU support programmes should be developed in a more focused, concrete, detailed, inclusive and transparent manner. Programme access should be improved</w:t>
      </w:r>
      <w:r>
        <w:rPr>
          <w:noProof/>
          <w:szCs w:val="24"/>
        </w:rPr>
        <w:t xml:space="preserve"> and start-up, SME, industrial, EU13 and extra-EU participation increased. Monitoring and evaluation need to be strengthened.</w:t>
      </w:r>
      <w:r>
        <w:rPr>
          <w:noProof/>
        </w:rPr>
        <w:t xml:space="preserve"> </w:t>
      </w:r>
    </w:p>
    <w:p w:rsidR="00211384" w:rsidRDefault="004D1F15">
      <w:pPr>
        <w:pStyle w:val="Text1"/>
        <w:pBdr>
          <w:top w:val="single" w:sz="4" w:space="1" w:color="auto"/>
          <w:left w:val="single" w:sz="4" w:space="4" w:color="auto"/>
          <w:bottom w:val="single" w:sz="4" w:space="1" w:color="auto"/>
          <w:right w:val="single" w:sz="4" w:space="4" w:color="auto"/>
        </w:pBdr>
        <w:rPr>
          <w:noProof/>
        </w:rPr>
      </w:pPr>
      <w:r>
        <w:rPr>
          <w:noProof/>
        </w:rPr>
        <w:t>The Communication on the interim evaluation of Horizon 2020  identified several areas for improvement. Findings of the interim ev</w:t>
      </w:r>
      <w:r>
        <w:rPr>
          <w:noProof/>
        </w:rPr>
        <w:t>aluation of Horizon 2020 were based on extensive stakeholder feedback  and the strategic recommendations of the independent High Level Group on maximising the impact of EU R&amp;I Programmes (Lamy High Level Group).</w:t>
      </w:r>
    </w:p>
    <w:p w:rsidR="00211384" w:rsidRDefault="004D1F15">
      <w:pPr>
        <w:pStyle w:val="Text1"/>
        <w:keepNext/>
        <w:pBdr>
          <w:top w:val="single" w:sz="4" w:space="1" w:color="auto"/>
          <w:left w:val="single" w:sz="4" w:space="4" w:color="auto"/>
          <w:bottom w:val="single" w:sz="4" w:space="1" w:color="auto"/>
          <w:right w:val="single" w:sz="4" w:space="4" w:color="auto"/>
        </w:pBdr>
        <w:rPr>
          <w:noProof/>
        </w:rPr>
      </w:pPr>
      <w:r>
        <w:rPr>
          <w:noProof/>
        </w:rPr>
        <w:t xml:space="preserve">They could be summarised as follows: </w:t>
      </w:r>
    </w:p>
    <w:p w:rsidR="00211384" w:rsidRDefault="004D1F15">
      <w:pPr>
        <w:pStyle w:val="Text1"/>
        <w:pBdr>
          <w:top w:val="single" w:sz="4" w:space="1" w:color="auto"/>
          <w:left w:val="single" w:sz="4" w:space="4" w:color="auto"/>
          <w:bottom w:val="single" w:sz="4" w:space="1" w:color="auto"/>
          <w:right w:val="single" w:sz="4" w:space="4" w:color="auto"/>
        </w:pBdr>
        <w:rPr>
          <w:noProof/>
        </w:rPr>
      </w:pPr>
      <w:r>
        <w:rPr>
          <w:noProof/>
        </w:rPr>
        <w:t>a.</w:t>
      </w:r>
      <w:r>
        <w:rPr>
          <w:noProof/>
        </w:rPr>
        <w:tab/>
        <w:t>Con</w:t>
      </w:r>
      <w:r>
        <w:rPr>
          <w:noProof/>
        </w:rPr>
        <w:t>tinue simplification.</w:t>
      </w:r>
    </w:p>
    <w:p w:rsidR="00211384" w:rsidRDefault="004D1F15">
      <w:pPr>
        <w:pStyle w:val="Text1"/>
        <w:pBdr>
          <w:top w:val="single" w:sz="4" w:space="1" w:color="auto"/>
          <w:left w:val="single" w:sz="4" w:space="4" w:color="auto"/>
          <w:bottom w:val="single" w:sz="4" w:space="1" w:color="auto"/>
          <w:right w:val="single" w:sz="4" w:space="4" w:color="auto"/>
        </w:pBdr>
        <w:rPr>
          <w:noProof/>
        </w:rPr>
      </w:pPr>
      <w:r>
        <w:rPr>
          <w:noProof/>
        </w:rPr>
        <w:t>b.</w:t>
      </w:r>
      <w:r>
        <w:rPr>
          <w:noProof/>
        </w:rPr>
        <w:tab/>
        <w:t xml:space="preserve">Support breakthrough innovation. </w:t>
      </w:r>
    </w:p>
    <w:p w:rsidR="00211384" w:rsidRDefault="004D1F15">
      <w:pPr>
        <w:pStyle w:val="Text1"/>
        <w:pBdr>
          <w:top w:val="single" w:sz="4" w:space="1" w:color="auto"/>
          <w:left w:val="single" w:sz="4" w:space="4" w:color="auto"/>
          <w:bottom w:val="single" w:sz="4" w:space="1" w:color="auto"/>
          <w:right w:val="single" w:sz="4" w:space="4" w:color="auto"/>
        </w:pBdr>
        <w:rPr>
          <w:noProof/>
        </w:rPr>
      </w:pPr>
      <w:r>
        <w:rPr>
          <w:noProof/>
        </w:rPr>
        <w:t>c.</w:t>
      </w:r>
      <w:r>
        <w:rPr>
          <w:noProof/>
        </w:rPr>
        <w:tab/>
        <w:t>Create more impact through mission-orientation and citizen involvement.</w:t>
      </w:r>
    </w:p>
    <w:p w:rsidR="00211384" w:rsidRDefault="004D1F15">
      <w:pPr>
        <w:pStyle w:val="Text1"/>
        <w:pBdr>
          <w:top w:val="single" w:sz="4" w:space="1" w:color="auto"/>
          <w:left w:val="single" w:sz="4" w:space="4" w:color="auto"/>
          <w:bottom w:val="single" w:sz="4" w:space="1" w:color="auto"/>
          <w:right w:val="single" w:sz="4" w:space="4" w:color="auto"/>
        </w:pBdr>
        <w:rPr>
          <w:noProof/>
        </w:rPr>
      </w:pPr>
      <w:r>
        <w:rPr>
          <w:noProof/>
        </w:rPr>
        <w:t>d.</w:t>
      </w:r>
      <w:r>
        <w:rPr>
          <w:noProof/>
        </w:rPr>
        <w:tab/>
        <w:t xml:space="preserve">Increase synergies with other EU funding programmes and EU Policies. </w:t>
      </w:r>
    </w:p>
    <w:p w:rsidR="00211384" w:rsidRDefault="004D1F15">
      <w:pPr>
        <w:pStyle w:val="Text1"/>
        <w:pBdr>
          <w:top w:val="single" w:sz="4" w:space="1" w:color="auto"/>
          <w:left w:val="single" w:sz="4" w:space="4" w:color="auto"/>
          <w:bottom w:val="single" w:sz="4" w:space="1" w:color="auto"/>
          <w:right w:val="single" w:sz="4" w:space="4" w:color="auto"/>
        </w:pBdr>
        <w:rPr>
          <w:noProof/>
        </w:rPr>
      </w:pPr>
      <w:r>
        <w:rPr>
          <w:noProof/>
        </w:rPr>
        <w:t>e.</w:t>
      </w:r>
      <w:r>
        <w:rPr>
          <w:noProof/>
        </w:rPr>
        <w:tab/>
        <w:t xml:space="preserve">Strengthen international cooperation. </w:t>
      </w:r>
    </w:p>
    <w:p w:rsidR="00211384" w:rsidRDefault="004D1F15">
      <w:pPr>
        <w:pStyle w:val="Text1"/>
        <w:pBdr>
          <w:top w:val="single" w:sz="4" w:space="1" w:color="auto"/>
          <w:left w:val="single" w:sz="4" w:space="4" w:color="auto"/>
          <w:bottom w:val="single" w:sz="4" w:space="1" w:color="auto"/>
          <w:right w:val="single" w:sz="4" w:space="4" w:color="auto"/>
        </w:pBdr>
        <w:rPr>
          <w:noProof/>
        </w:rPr>
      </w:pPr>
      <w:r>
        <w:rPr>
          <w:noProof/>
        </w:rPr>
        <w:t>f.</w:t>
      </w:r>
      <w:r>
        <w:rPr>
          <w:noProof/>
        </w:rPr>
        <w:tab/>
      </w:r>
      <w:r>
        <w:rPr>
          <w:noProof/>
        </w:rPr>
        <w:t xml:space="preserve">Reinforce openness. </w:t>
      </w:r>
    </w:p>
    <w:p w:rsidR="00211384" w:rsidRDefault="004D1F15">
      <w:pPr>
        <w:pStyle w:val="Text1"/>
        <w:pBdr>
          <w:top w:val="single" w:sz="4" w:space="1" w:color="auto"/>
          <w:left w:val="single" w:sz="4" w:space="4" w:color="auto"/>
          <w:bottom w:val="single" w:sz="4" w:space="1" w:color="auto"/>
          <w:right w:val="single" w:sz="4" w:space="4" w:color="auto"/>
        </w:pBdr>
        <w:rPr>
          <w:noProof/>
        </w:rPr>
      </w:pPr>
      <w:r>
        <w:rPr>
          <w:noProof/>
        </w:rPr>
        <w:t>g.</w:t>
      </w:r>
      <w:r>
        <w:rPr>
          <w:noProof/>
        </w:rPr>
        <w:tab/>
        <w:t>Rationalise the funding landscape.</w:t>
      </w:r>
    </w:p>
    <w:p w:rsidR="00211384" w:rsidRDefault="004D1F15">
      <w:pPr>
        <w:pStyle w:val="ManualHeading3"/>
        <w:rPr>
          <w:bCs/>
          <w:noProof/>
          <w:szCs w:val="24"/>
        </w:rPr>
      </w:pPr>
      <w:r>
        <w:rPr>
          <w:noProof/>
        </w:rPr>
        <w:t>1.4.4.</w:t>
      </w:r>
      <w:r>
        <w:rPr>
          <w:noProof/>
        </w:rPr>
        <w:tab/>
        <w:t xml:space="preserve">Compatibility and possible synergy with other appropriate instruments </w:t>
      </w:r>
    </w:p>
    <w:tbl>
      <w:tblPr>
        <w:tblStyle w:val="TableGrid"/>
        <w:tblW w:w="0" w:type="auto"/>
        <w:tblInd w:w="850" w:type="dxa"/>
        <w:tblLook w:val="04A0" w:firstRow="1" w:lastRow="0" w:firstColumn="1" w:lastColumn="0" w:noHBand="0" w:noVBand="1"/>
      </w:tblPr>
      <w:tblGrid>
        <w:gridCol w:w="8437"/>
      </w:tblGrid>
      <w:tr w:rsidR="00211384">
        <w:tc>
          <w:tcPr>
            <w:tcW w:w="9287" w:type="dxa"/>
          </w:tcPr>
          <w:p w:rsidR="00211384" w:rsidRDefault="004D1F15">
            <w:pPr>
              <w:pStyle w:val="Text1"/>
              <w:ind w:left="0"/>
              <w:rPr>
                <w:noProof/>
              </w:rPr>
            </w:pPr>
            <w:r>
              <w:rPr>
                <w:noProof/>
              </w:rPr>
              <w:t>Horizon Europe is designed to be implemented enabling synergies with other Union funding programmes, in particular thro</w:t>
            </w:r>
            <w:r>
              <w:rPr>
                <w:noProof/>
              </w:rPr>
              <w:t>ugh arrangements for complementary funding from EU programmes where management modalities permit; either in sequence, in an alternating way, or through the combination of funds including for the joint funding of actions.</w:t>
            </w:r>
          </w:p>
          <w:p w:rsidR="00211384" w:rsidRDefault="004D1F15">
            <w:pPr>
              <w:pStyle w:val="Text1"/>
              <w:ind w:left="0"/>
              <w:rPr>
                <w:noProof/>
              </w:rPr>
            </w:pPr>
            <w:r>
              <w:rPr>
                <w:noProof/>
              </w:rPr>
              <w:t>A non-exhaustive list of such arran</w:t>
            </w:r>
            <w:r>
              <w:rPr>
                <w:noProof/>
              </w:rPr>
              <w:t>gements and funding programmes include synergies with the following programmes:</w:t>
            </w:r>
          </w:p>
          <w:p w:rsidR="00211384" w:rsidRDefault="004D1F15">
            <w:pPr>
              <w:pStyle w:val="Bullet0"/>
              <w:rPr>
                <w:noProof/>
              </w:rPr>
            </w:pPr>
            <w:r>
              <w:rPr>
                <w:noProof/>
              </w:rPr>
              <w:t>Common Agricultural Policy (CAP)</w:t>
            </w:r>
          </w:p>
          <w:p w:rsidR="00211384" w:rsidRDefault="004D1F15">
            <w:pPr>
              <w:pStyle w:val="Bullet0"/>
              <w:rPr>
                <w:noProof/>
              </w:rPr>
            </w:pPr>
            <w:r>
              <w:rPr>
                <w:noProof/>
              </w:rPr>
              <w:t>European Regional Development Fund (ERDF)</w:t>
            </w:r>
          </w:p>
          <w:p w:rsidR="00211384" w:rsidRDefault="004D1F15">
            <w:pPr>
              <w:pStyle w:val="Bullet0"/>
              <w:rPr>
                <w:noProof/>
              </w:rPr>
            </w:pPr>
            <w:r>
              <w:rPr>
                <w:noProof/>
              </w:rPr>
              <w:t>European Social Fund (ESF)</w:t>
            </w:r>
          </w:p>
          <w:p w:rsidR="00211384" w:rsidRDefault="004D1F15">
            <w:pPr>
              <w:pStyle w:val="Bullet0"/>
              <w:rPr>
                <w:noProof/>
              </w:rPr>
            </w:pPr>
            <w:r>
              <w:rPr>
                <w:noProof/>
              </w:rPr>
              <w:t>Single Market Programme</w:t>
            </w:r>
          </w:p>
          <w:p w:rsidR="00211384" w:rsidRDefault="004D1F15">
            <w:pPr>
              <w:pStyle w:val="Bullet0"/>
              <w:rPr>
                <w:noProof/>
              </w:rPr>
            </w:pPr>
            <w:r>
              <w:rPr>
                <w:noProof/>
              </w:rPr>
              <w:t>European Space Programme</w:t>
            </w:r>
          </w:p>
          <w:p w:rsidR="00211384" w:rsidRDefault="004D1F15">
            <w:pPr>
              <w:pStyle w:val="Bullet0"/>
              <w:rPr>
                <w:noProof/>
              </w:rPr>
            </w:pPr>
            <w:r>
              <w:rPr>
                <w:noProof/>
              </w:rPr>
              <w:t xml:space="preserve">Connecting Europe </w:t>
            </w:r>
            <w:r>
              <w:rPr>
                <w:noProof/>
              </w:rPr>
              <w:t>Facility (CEF)</w:t>
            </w:r>
          </w:p>
          <w:p w:rsidR="00211384" w:rsidRDefault="004D1F15">
            <w:pPr>
              <w:pStyle w:val="Bullet0"/>
              <w:rPr>
                <w:noProof/>
              </w:rPr>
            </w:pPr>
            <w:r>
              <w:rPr>
                <w:noProof/>
              </w:rPr>
              <w:t>Digital Europe Programme (DEP)</w:t>
            </w:r>
          </w:p>
          <w:p w:rsidR="00211384" w:rsidRDefault="004D1F15">
            <w:pPr>
              <w:pStyle w:val="Bullet0"/>
              <w:rPr>
                <w:noProof/>
              </w:rPr>
            </w:pPr>
            <w:r>
              <w:rPr>
                <w:noProof/>
              </w:rPr>
              <w:t>Erasmus Programme</w:t>
            </w:r>
          </w:p>
          <w:p w:rsidR="00211384" w:rsidRDefault="004D1F15">
            <w:pPr>
              <w:pStyle w:val="Bullet0"/>
              <w:rPr>
                <w:noProof/>
              </w:rPr>
            </w:pPr>
            <w:r>
              <w:rPr>
                <w:noProof/>
              </w:rPr>
              <w:t>External Instrument</w:t>
            </w:r>
          </w:p>
          <w:p w:rsidR="00211384" w:rsidRDefault="004D1F15">
            <w:pPr>
              <w:pStyle w:val="Bullet0"/>
              <w:rPr>
                <w:noProof/>
              </w:rPr>
            </w:pPr>
            <w:r>
              <w:rPr>
                <w:noProof/>
              </w:rPr>
              <w:t>InvestEU Fund</w:t>
            </w:r>
          </w:p>
          <w:p w:rsidR="00211384" w:rsidRDefault="004D1F15">
            <w:pPr>
              <w:pStyle w:val="Bullet0"/>
              <w:rPr>
                <w:noProof/>
              </w:rPr>
            </w:pPr>
            <w:r>
              <w:rPr>
                <w:noProof/>
              </w:rPr>
              <w:t>Research and Training Programme of the European Atomic Energy Community</w:t>
            </w:r>
          </w:p>
        </w:tc>
      </w:tr>
    </w:tbl>
    <w:p w:rsidR="00211384" w:rsidRDefault="004D1F15">
      <w:pPr>
        <w:pStyle w:val="ManualHeading2"/>
        <w:rPr>
          <w:bCs/>
          <w:noProof/>
          <w:szCs w:val="24"/>
        </w:rPr>
      </w:pPr>
      <w:r>
        <w:rPr>
          <w:noProof/>
        </w:rPr>
        <w:br w:type="page"/>
        <w:t>1.5.</w:t>
      </w:r>
      <w:r>
        <w:rPr>
          <w:noProof/>
        </w:rPr>
        <w:tab/>
        <w:t xml:space="preserve">Duration and financial impact </w:t>
      </w:r>
    </w:p>
    <w:p w:rsidR="00211384" w:rsidRDefault="004D1F15">
      <w:pPr>
        <w:pStyle w:val="Text1"/>
        <w:rPr>
          <w:noProof/>
        </w:rPr>
      </w:pPr>
      <w:r>
        <w:rPr>
          <w:noProof/>
        </w:rPr>
        <w:sym w:font="Wingdings" w:char="F0FE"/>
      </w:r>
      <w:r>
        <w:rPr>
          <w:b/>
          <w:i/>
          <w:noProof/>
        </w:rPr>
        <w:t xml:space="preserve"> </w:t>
      </w:r>
      <w:r>
        <w:rPr>
          <w:b/>
          <w:noProof/>
        </w:rPr>
        <w:t xml:space="preserve">limited duration </w:t>
      </w:r>
    </w:p>
    <w:p w:rsidR="00211384" w:rsidRDefault="004D1F15">
      <w:pPr>
        <w:pStyle w:val="ListDash2"/>
        <w:rPr>
          <w:noProof/>
        </w:rPr>
      </w:pPr>
      <w:r>
        <w:rPr>
          <w:noProof/>
        </w:rPr>
        <w:sym w:font="Wingdings" w:char="F0FE"/>
      </w:r>
      <w:r>
        <w:rPr>
          <w:noProof/>
        </w:rPr>
        <w:tab/>
      </w:r>
      <w:r>
        <w:rPr>
          <w:noProof/>
        </w:rPr>
        <w:t xml:space="preserve">in effect from 01/01/2021 to 31/12/2027 </w:t>
      </w:r>
    </w:p>
    <w:p w:rsidR="00211384" w:rsidRDefault="004D1F15">
      <w:pPr>
        <w:pStyle w:val="ListDash2"/>
        <w:rPr>
          <w:noProof/>
        </w:rPr>
      </w:pPr>
      <w:r>
        <w:rPr>
          <w:noProof/>
        </w:rPr>
        <w:sym w:font="Wingdings" w:char="F0FE"/>
      </w:r>
      <w:r>
        <w:rPr>
          <w:noProof/>
        </w:rPr>
        <w:tab/>
        <w:t xml:space="preserve">Financial impact from 01/01/2021 to 31/12/2027 for commitment appropriations and from 01/01/2021 to 31/12/2033 for payment appropriations. </w:t>
      </w:r>
    </w:p>
    <w:p w:rsidR="00211384" w:rsidRDefault="004D1F15">
      <w:pPr>
        <w:pStyle w:val="Text1"/>
        <w:rPr>
          <w:noProof/>
        </w:rPr>
      </w:pPr>
      <w:r>
        <w:rPr>
          <w:noProof/>
        </w:rPr>
        <w:sym w:font="Wingdings" w:char="F0A8"/>
      </w:r>
      <w:r>
        <w:rPr>
          <w:b/>
          <w:i/>
          <w:noProof/>
        </w:rPr>
        <w:t xml:space="preserve"> </w:t>
      </w:r>
      <w:r>
        <w:rPr>
          <w:b/>
          <w:noProof/>
        </w:rPr>
        <w:t>unlimited duration</w:t>
      </w:r>
    </w:p>
    <w:p w:rsidR="00211384" w:rsidRDefault="004D1F15">
      <w:pPr>
        <w:pStyle w:val="ListDash1"/>
        <w:rPr>
          <w:noProof/>
        </w:rPr>
      </w:pPr>
      <w:r>
        <w:rPr>
          <w:noProof/>
        </w:rPr>
        <w:t>Implementation with a start-up period from YYYY to Y</w:t>
      </w:r>
      <w:r>
        <w:rPr>
          <w:noProof/>
        </w:rPr>
        <w:t>YYY,</w:t>
      </w:r>
      <w:r>
        <w:rPr>
          <w:noProof/>
        </w:rPr>
        <w:tab/>
      </w:r>
      <w:r>
        <w:rPr>
          <w:noProof/>
        </w:rPr>
        <w:br/>
        <w:t>followed by full-scale operation.</w:t>
      </w:r>
    </w:p>
    <w:p w:rsidR="00211384" w:rsidRDefault="004D1F15">
      <w:pPr>
        <w:pStyle w:val="ManualHeading2"/>
        <w:rPr>
          <w:noProof/>
        </w:rPr>
      </w:pPr>
      <w:r>
        <w:rPr>
          <w:noProof/>
        </w:rPr>
        <w:t>1.6.</w:t>
      </w:r>
      <w:r>
        <w:rPr>
          <w:noProof/>
        </w:rPr>
        <w:tab/>
        <w:t>Management mode(s) planned</w:t>
      </w:r>
      <w:r>
        <w:rPr>
          <w:rStyle w:val="FootnoteReference"/>
          <w:noProof/>
        </w:rPr>
        <w:footnoteReference w:id="11"/>
      </w:r>
      <w:r>
        <w:rPr>
          <w:noProof/>
        </w:rPr>
        <w:t xml:space="preserve"> </w:t>
      </w:r>
    </w:p>
    <w:p w:rsidR="00211384" w:rsidRDefault="004D1F15">
      <w:pPr>
        <w:pStyle w:val="Text1"/>
        <w:rPr>
          <w:noProof/>
        </w:rPr>
      </w:pPr>
      <w:r>
        <w:rPr>
          <w:noProof/>
        </w:rPr>
        <w:sym w:font="Wingdings" w:char="F0FE"/>
      </w:r>
      <w:r>
        <w:rPr>
          <w:i/>
          <w:noProof/>
        </w:rPr>
        <w:t xml:space="preserve"> </w:t>
      </w:r>
      <w:r>
        <w:rPr>
          <w:b/>
          <w:noProof/>
        </w:rPr>
        <w:t>Direct management</w:t>
      </w:r>
      <w:r>
        <w:rPr>
          <w:noProof/>
        </w:rPr>
        <w:t xml:space="preserve"> by the Commission</w:t>
      </w:r>
    </w:p>
    <w:p w:rsidR="00211384" w:rsidRDefault="004D1F15">
      <w:pPr>
        <w:pStyle w:val="ListDash2"/>
        <w:rPr>
          <w:rFonts w:cs="EUAlbertina"/>
          <w:noProof/>
        </w:rPr>
      </w:pPr>
      <w:r>
        <w:rPr>
          <w:noProof/>
        </w:rPr>
        <w:sym w:font="Wingdings" w:char="F0FE"/>
      </w:r>
      <w:r>
        <w:rPr>
          <w:noProof/>
        </w:rPr>
        <w:t xml:space="preserve"> by its departments, including by its staff in the Union delegations; </w:t>
      </w:r>
    </w:p>
    <w:p w:rsidR="00211384" w:rsidRDefault="004D1F15">
      <w:pPr>
        <w:pStyle w:val="ListDash2"/>
        <w:rPr>
          <w:noProof/>
        </w:rPr>
      </w:pPr>
      <w:r>
        <w:rPr>
          <w:noProof/>
        </w:rPr>
        <w:sym w:font="Wingdings" w:char="F0FE"/>
      </w:r>
      <w:r>
        <w:rPr>
          <w:noProof/>
        </w:rPr>
        <w:tab/>
        <w:t xml:space="preserve">by the executive agencies </w:t>
      </w:r>
    </w:p>
    <w:p w:rsidR="00211384" w:rsidRDefault="004D1F15">
      <w:pPr>
        <w:pStyle w:val="Text1"/>
        <w:rPr>
          <w:noProof/>
        </w:rPr>
      </w:pPr>
      <w:r>
        <w:rPr>
          <w:noProof/>
        </w:rPr>
        <w:sym w:font="Wingdings" w:char="F0A8"/>
      </w:r>
      <w:r>
        <w:rPr>
          <w:b/>
          <w:i/>
          <w:noProof/>
        </w:rPr>
        <w:t xml:space="preserve"> </w:t>
      </w:r>
      <w:r>
        <w:rPr>
          <w:b/>
          <w:noProof/>
        </w:rPr>
        <w:t>Shared management</w:t>
      </w:r>
      <w:r>
        <w:rPr>
          <w:noProof/>
        </w:rPr>
        <w:t xml:space="preserve"> with the Member States </w:t>
      </w:r>
    </w:p>
    <w:p w:rsidR="00211384" w:rsidRDefault="004D1F15">
      <w:pPr>
        <w:pStyle w:val="Text1"/>
        <w:rPr>
          <w:noProof/>
        </w:rPr>
      </w:pPr>
      <w:r>
        <w:rPr>
          <w:noProof/>
        </w:rPr>
        <w:sym w:font="Wingdings" w:char="F0FE"/>
      </w:r>
      <w:r>
        <w:rPr>
          <w:i/>
          <w:noProof/>
        </w:rPr>
        <w:t xml:space="preserve"> </w:t>
      </w:r>
      <w:r>
        <w:rPr>
          <w:b/>
          <w:noProof/>
        </w:rPr>
        <w:t>Indirect management</w:t>
      </w:r>
      <w:r>
        <w:rPr>
          <w:noProof/>
        </w:rPr>
        <w:t xml:space="preserve"> by entrusting budget implementation tasks to:</w:t>
      </w:r>
    </w:p>
    <w:p w:rsidR="00211384" w:rsidRDefault="004D1F15">
      <w:pPr>
        <w:pStyle w:val="ListDash2"/>
        <w:rPr>
          <w:noProof/>
        </w:rPr>
      </w:pPr>
      <w:r>
        <w:rPr>
          <w:noProof/>
        </w:rPr>
        <w:sym w:font="Wingdings" w:char="F0A8"/>
      </w:r>
      <w:r>
        <w:rPr>
          <w:noProof/>
        </w:rPr>
        <w:t xml:space="preserve"> third countries or the bodies they have designated;</w:t>
      </w:r>
    </w:p>
    <w:p w:rsidR="00211384" w:rsidRDefault="004D1F15">
      <w:pPr>
        <w:pStyle w:val="ListDash2"/>
        <w:rPr>
          <w:noProof/>
        </w:rPr>
      </w:pPr>
      <w:r>
        <w:rPr>
          <w:noProof/>
        </w:rPr>
        <w:sym w:font="Wingdings" w:char="F0FE"/>
      </w:r>
      <w:r>
        <w:rPr>
          <w:noProof/>
        </w:rPr>
        <w:t xml:space="preserve"> international organisations and their agencies (to be specified);</w:t>
      </w:r>
    </w:p>
    <w:p w:rsidR="00211384" w:rsidRDefault="004D1F15">
      <w:pPr>
        <w:pStyle w:val="ListDash2"/>
        <w:rPr>
          <w:noProof/>
        </w:rPr>
      </w:pPr>
      <w:r>
        <w:rPr>
          <w:noProof/>
        </w:rPr>
        <w:sym w:font="Wingdings" w:char="F0A8"/>
      </w:r>
      <w:r>
        <w:rPr>
          <w:noProof/>
        </w:rPr>
        <w:t>the EIB and the European Investment Fund;</w:t>
      </w:r>
    </w:p>
    <w:p w:rsidR="00211384" w:rsidRDefault="004D1F15">
      <w:pPr>
        <w:pStyle w:val="ListDash2"/>
        <w:rPr>
          <w:noProof/>
        </w:rPr>
      </w:pPr>
      <w:r>
        <w:rPr>
          <w:noProof/>
        </w:rPr>
        <w:sym w:font="Wingdings" w:char="F0FE"/>
      </w:r>
      <w:r>
        <w:rPr>
          <w:noProof/>
        </w:rPr>
        <w:t xml:space="preserve"> bodies referred to i</w:t>
      </w:r>
      <w:r>
        <w:rPr>
          <w:noProof/>
        </w:rPr>
        <w:t>n Articles 70 and 71 of the Financial Regulation;</w:t>
      </w:r>
    </w:p>
    <w:p w:rsidR="00211384" w:rsidRDefault="004D1F15">
      <w:pPr>
        <w:pStyle w:val="ListDash2"/>
        <w:rPr>
          <w:noProof/>
        </w:rPr>
      </w:pPr>
      <w:r>
        <w:rPr>
          <w:noProof/>
        </w:rPr>
        <w:sym w:font="Wingdings" w:char="F0FE"/>
      </w:r>
      <w:r>
        <w:rPr>
          <w:noProof/>
        </w:rPr>
        <w:t xml:space="preserve"> public law bodies;</w:t>
      </w:r>
    </w:p>
    <w:p w:rsidR="00211384" w:rsidRDefault="004D1F15">
      <w:pPr>
        <w:pStyle w:val="ListDash2"/>
        <w:rPr>
          <w:noProof/>
        </w:rPr>
      </w:pPr>
      <w:r>
        <w:rPr>
          <w:noProof/>
        </w:rPr>
        <w:sym w:font="Wingdings" w:char="F0FE"/>
      </w:r>
      <w:r>
        <w:rPr>
          <w:noProof/>
        </w:rPr>
        <w:t xml:space="preserve"> bodies governed by private law with a public service mission to the extent that they provide adequate financial guarantees;</w:t>
      </w:r>
    </w:p>
    <w:p w:rsidR="00211384" w:rsidRDefault="004D1F15">
      <w:pPr>
        <w:pStyle w:val="ListDash2"/>
        <w:rPr>
          <w:noProof/>
        </w:rPr>
      </w:pPr>
      <w:r>
        <w:rPr>
          <w:noProof/>
        </w:rPr>
        <w:sym w:font="Wingdings" w:char="F0FE"/>
      </w:r>
      <w:r>
        <w:rPr>
          <w:noProof/>
        </w:rPr>
        <w:t xml:space="preserve"> bodies governed by the private law of a Member State that are entrusted with the implementation of a European Partnership and that provide adequate financial guarantees;</w:t>
      </w:r>
    </w:p>
    <w:p w:rsidR="00211384" w:rsidRDefault="004D1F15">
      <w:pPr>
        <w:pStyle w:val="ListDash2"/>
        <w:rPr>
          <w:noProof/>
        </w:rPr>
      </w:pPr>
      <w:r>
        <w:rPr>
          <w:noProof/>
        </w:rPr>
        <w:sym w:font="Wingdings" w:char="F0A8"/>
      </w:r>
      <w:r>
        <w:rPr>
          <w:noProof/>
        </w:rPr>
        <w:t xml:space="preserve"> persons entrusted with the implementation of specific actions in the CFSP pursuant </w:t>
      </w:r>
      <w:r>
        <w:rPr>
          <w:noProof/>
        </w:rPr>
        <w:t>to Title V of the TEU, and identified in the relevant basic act.</w:t>
      </w:r>
    </w:p>
    <w:p w:rsidR="00211384" w:rsidRDefault="004D1F15">
      <w:pPr>
        <w:pStyle w:val="ListDash2"/>
        <w:rPr>
          <w:i/>
          <w:noProof/>
          <w:sz w:val="18"/>
          <w:u w:val="single"/>
        </w:rPr>
      </w:pPr>
      <w:r>
        <w:rPr>
          <w:i/>
          <w:noProof/>
          <w:sz w:val="18"/>
        </w:rPr>
        <w:t>If more than one management mode is indicated, please provide details in the ‘Comments’ section.</w:t>
      </w:r>
    </w:p>
    <w:p w:rsidR="00211384" w:rsidRDefault="004D1F15">
      <w:pPr>
        <w:rPr>
          <w:noProof/>
        </w:rPr>
      </w:pPr>
      <w:r>
        <w:rPr>
          <w:noProof/>
        </w:rPr>
        <w:t xml:space="preserve">Comments </w:t>
      </w:r>
    </w:p>
    <w:p w:rsidR="00211384" w:rsidRDefault="004D1F15">
      <w:pPr>
        <w:pBdr>
          <w:top w:val="single" w:sz="4" w:space="1" w:color="auto"/>
          <w:left w:val="single" w:sz="4" w:space="4" w:color="auto"/>
          <w:bottom w:val="single" w:sz="4" w:space="1" w:color="auto"/>
          <w:right w:val="single" w:sz="4" w:space="4" w:color="auto"/>
        </w:pBdr>
        <w:rPr>
          <w:noProof/>
        </w:rPr>
      </w:pPr>
      <w:r>
        <w:rPr>
          <w:noProof/>
        </w:rPr>
        <w:t xml:space="preserve">The implementation of Horizon Europe activities will be following the main </w:t>
      </w:r>
      <w:r>
        <w:rPr>
          <w:noProof/>
        </w:rPr>
        <w:t>principles established for Horizon 2020, with a substantial part of the global Horizon Europe budget expected to be implemented through specially-designed management modes.</w:t>
      </w:r>
    </w:p>
    <w:p w:rsidR="00211384" w:rsidRDefault="004D1F15">
      <w:pPr>
        <w:pBdr>
          <w:top w:val="single" w:sz="4" w:space="1" w:color="auto"/>
          <w:left w:val="single" w:sz="4" w:space="4" w:color="auto"/>
          <w:bottom w:val="single" w:sz="4" w:space="1" w:color="auto"/>
          <w:right w:val="single" w:sz="4" w:space="4" w:color="auto"/>
        </w:pBdr>
        <w:rPr>
          <w:noProof/>
        </w:rPr>
      </w:pPr>
      <w:r>
        <w:rPr>
          <w:noProof/>
        </w:rPr>
        <w:t>It is expected that the Commission will continue channelling most of the funds thro</w:t>
      </w:r>
      <w:r>
        <w:rPr>
          <w:noProof/>
        </w:rPr>
        <w:t>ugh the Executive Agencies, with additional actions delivered by Union bodies or other bodies entrusted with budget implementation under indirect management established under articles 185 and 187 of the TFEU and targeted at specific priorities.</w:t>
      </w:r>
    </w:p>
    <w:p w:rsidR="00211384" w:rsidRDefault="004D1F15">
      <w:pPr>
        <w:pBdr>
          <w:top w:val="single" w:sz="4" w:space="1" w:color="auto"/>
          <w:left w:val="single" w:sz="4" w:space="4" w:color="auto"/>
          <w:bottom w:val="single" w:sz="4" w:space="1" w:color="auto"/>
          <w:right w:val="single" w:sz="4" w:space="4" w:color="auto"/>
        </w:pBdr>
        <w:rPr>
          <w:noProof/>
        </w:rPr>
      </w:pPr>
      <w:r>
        <w:rPr>
          <w:noProof/>
        </w:rPr>
        <w:t>The types o</w:t>
      </w:r>
      <w:r>
        <w:rPr>
          <w:noProof/>
        </w:rPr>
        <w:t xml:space="preserve">f implementing bodies expected to be established/renewed for Horizon Europe are: </w:t>
      </w:r>
    </w:p>
    <w:p w:rsidR="00211384" w:rsidRDefault="004D1F15">
      <w:pPr>
        <w:pBdr>
          <w:top w:val="single" w:sz="4" w:space="1" w:color="auto"/>
          <w:left w:val="single" w:sz="4" w:space="4" w:color="auto"/>
          <w:bottom w:val="single" w:sz="4" w:space="1" w:color="auto"/>
          <w:right w:val="single" w:sz="4" w:space="4" w:color="auto"/>
        </w:pBdr>
        <w:rPr>
          <w:noProof/>
        </w:rPr>
      </w:pPr>
      <w:r>
        <w:rPr>
          <w:noProof/>
        </w:rPr>
        <w:t>•</w:t>
      </w:r>
      <w:r>
        <w:rPr>
          <w:noProof/>
        </w:rPr>
        <w:tab/>
        <w:t>Executive Agencies;</w:t>
      </w:r>
    </w:p>
    <w:p w:rsidR="00211384" w:rsidRDefault="004D1F15">
      <w:pPr>
        <w:pBdr>
          <w:top w:val="single" w:sz="4" w:space="1" w:color="auto"/>
          <w:left w:val="single" w:sz="4" w:space="4" w:color="auto"/>
          <w:bottom w:val="single" w:sz="4" w:space="1" w:color="auto"/>
          <w:right w:val="single" w:sz="4" w:space="4" w:color="auto"/>
        </w:pBdr>
        <w:rPr>
          <w:noProof/>
        </w:rPr>
      </w:pPr>
      <w:r>
        <w:rPr>
          <w:noProof/>
        </w:rPr>
        <w:t>•</w:t>
      </w:r>
      <w:r>
        <w:rPr>
          <w:noProof/>
        </w:rPr>
        <w:tab/>
        <w:t>Joint Undertakings (Art. 187 TFEU);</w:t>
      </w:r>
    </w:p>
    <w:p w:rsidR="00211384" w:rsidRDefault="004D1F15">
      <w:pPr>
        <w:pBdr>
          <w:top w:val="single" w:sz="4" w:space="1" w:color="auto"/>
          <w:left w:val="single" w:sz="4" w:space="4" w:color="auto"/>
          <w:bottom w:val="single" w:sz="4" w:space="1" w:color="auto"/>
          <w:right w:val="single" w:sz="4" w:space="4" w:color="auto"/>
        </w:pBdr>
        <w:rPr>
          <w:noProof/>
        </w:rPr>
      </w:pPr>
      <w:r>
        <w:rPr>
          <w:noProof/>
        </w:rPr>
        <w:t>•</w:t>
      </w:r>
      <w:r>
        <w:rPr>
          <w:noProof/>
        </w:rPr>
        <w:tab/>
        <w:t>Public-public partnerships (Art. 185 TFEU);</w:t>
      </w:r>
    </w:p>
    <w:p w:rsidR="00211384" w:rsidRDefault="004D1F15">
      <w:pPr>
        <w:pBdr>
          <w:top w:val="single" w:sz="4" w:space="1" w:color="auto"/>
          <w:left w:val="single" w:sz="4" w:space="4" w:color="auto"/>
          <w:bottom w:val="single" w:sz="4" w:space="1" w:color="auto"/>
          <w:right w:val="single" w:sz="4" w:space="4" w:color="auto"/>
        </w:pBdr>
        <w:rPr>
          <w:noProof/>
        </w:rPr>
      </w:pPr>
      <w:r>
        <w:rPr>
          <w:noProof/>
        </w:rPr>
        <w:t>•</w:t>
      </w:r>
      <w:r>
        <w:rPr>
          <w:noProof/>
        </w:rPr>
        <w:tab/>
        <w:t>European Institute of Innovation and Technology</w:t>
      </w:r>
    </w:p>
    <w:p w:rsidR="00211384" w:rsidRDefault="004D1F15">
      <w:pPr>
        <w:pBdr>
          <w:top w:val="single" w:sz="4" w:space="1" w:color="auto"/>
          <w:left w:val="single" w:sz="4" w:space="4" w:color="auto"/>
          <w:bottom w:val="single" w:sz="4" w:space="1" w:color="auto"/>
          <w:right w:val="single" w:sz="4" w:space="4" w:color="auto"/>
        </w:pBdr>
        <w:rPr>
          <w:noProof/>
        </w:rPr>
      </w:pPr>
      <w:r>
        <w:rPr>
          <w:noProof/>
        </w:rPr>
        <w:t>Some rationalisati</w:t>
      </w:r>
      <w:r>
        <w:rPr>
          <w:noProof/>
        </w:rPr>
        <w:t>on will be done at the level of the partnerships (which will be presented under a new common term ‘European Partnerships’), with the main focus on streamlining the current structure and number of existing entities and to make the partnership landscape more</w:t>
      </w:r>
      <w:r>
        <w:rPr>
          <w:noProof/>
        </w:rPr>
        <w:t xml:space="preserve"> coherent both internally (within the FP) and externally (better co-ordination with other Union programmes and external partners). However, this rationalisation will not have impact on the actual legal forms used.</w:t>
      </w:r>
    </w:p>
    <w:p w:rsidR="00211384" w:rsidRDefault="00211384">
      <w:pPr>
        <w:rPr>
          <w:noProof/>
        </w:rPr>
        <w:sectPr w:rsidR="00211384" w:rsidSect="004D1F15">
          <w:headerReference w:type="default" r:id="rId25"/>
          <w:footerReference w:type="default" r:id="rId26"/>
          <w:headerReference w:type="first" r:id="rId27"/>
          <w:footerReference w:type="first" r:id="rId28"/>
          <w:pgSz w:w="11907" w:h="16840" w:code="9"/>
          <w:pgMar w:top="1134" w:right="1418" w:bottom="1134" w:left="1418" w:header="709" w:footer="709" w:gutter="0"/>
          <w:cols w:space="708"/>
          <w:docGrid w:linePitch="360"/>
        </w:sectPr>
      </w:pPr>
    </w:p>
    <w:p w:rsidR="00211384" w:rsidRDefault="004D1F15">
      <w:pPr>
        <w:pStyle w:val="ManualHeading1"/>
        <w:rPr>
          <w:bCs/>
          <w:noProof/>
          <w:szCs w:val="24"/>
        </w:rPr>
      </w:pPr>
      <w:r>
        <w:rPr>
          <w:noProof/>
        </w:rPr>
        <w:t>2.</w:t>
      </w:r>
      <w:r>
        <w:rPr>
          <w:noProof/>
        </w:rPr>
        <w:tab/>
        <w:t xml:space="preserve">MANAGEMENT MEASURES </w:t>
      </w:r>
    </w:p>
    <w:p w:rsidR="00211384" w:rsidRDefault="004D1F15">
      <w:pPr>
        <w:pStyle w:val="ManualHeading2"/>
        <w:rPr>
          <w:noProof/>
        </w:rPr>
      </w:pPr>
      <w:r>
        <w:rPr>
          <w:noProof/>
        </w:rPr>
        <w:t>2.1.</w:t>
      </w:r>
      <w:r>
        <w:rPr>
          <w:noProof/>
        </w:rPr>
        <w:tab/>
        <w:t xml:space="preserve">Monitoring and reporting rules </w:t>
      </w:r>
    </w:p>
    <w:p w:rsidR="00211384" w:rsidRDefault="004D1F15">
      <w:pPr>
        <w:pStyle w:val="Text1"/>
        <w:rPr>
          <w:i/>
          <w:noProof/>
          <w:sz w:val="20"/>
          <w:u w:val="single"/>
        </w:rPr>
      </w:pPr>
      <w:r>
        <w:rPr>
          <w:i/>
          <w:noProof/>
          <w:sz w:val="20"/>
        </w:rPr>
        <w:t>Specify frequency and conditions.</w:t>
      </w:r>
    </w:p>
    <w:p w:rsidR="00211384" w:rsidRDefault="004D1F15">
      <w:pPr>
        <w:pStyle w:val="Text1"/>
        <w:pBdr>
          <w:top w:val="single" w:sz="4" w:space="1" w:color="auto"/>
          <w:left w:val="single" w:sz="4" w:space="4" w:color="auto"/>
          <w:bottom w:val="single" w:sz="4" w:space="1" w:color="auto"/>
          <w:right w:val="single" w:sz="4" w:space="4" w:color="auto"/>
        </w:pBdr>
        <w:rPr>
          <w:noProof/>
        </w:rPr>
      </w:pPr>
      <w:r>
        <w:rPr>
          <w:noProof/>
        </w:rPr>
        <w:t>Short, medium and long term indicators  have been set on the basis of a number of impact pathways. Reporting rules for participants have</w:t>
      </w:r>
      <w:r>
        <w:rPr>
          <w:noProof/>
        </w:rPr>
        <w:t xml:space="preserve"> been designed with these indicators in mind, but also with a conscious intention to limit the administrative burden for participants. Wherever possible data will be collected from open sources.</w:t>
      </w:r>
    </w:p>
    <w:p w:rsidR="00211384" w:rsidRDefault="004D1F15">
      <w:pPr>
        <w:pStyle w:val="Text1"/>
        <w:pBdr>
          <w:top w:val="single" w:sz="4" w:space="1" w:color="auto"/>
          <w:left w:val="single" w:sz="4" w:space="4" w:color="auto"/>
          <w:bottom w:val="single" w:sz="4" w:space="1" w:color="auto"/>
          <w:right w:val="single" w:sz="4" w:space="4" w:color="auto"/>
        </w:pBdr>
        <w:rPr>
          <w:noProof/>
        </w:rPr>
      </w:pPr>
      <w:r>
        <w:rPr>
          <w:noProof/>
        </w:rPr>
        <w:t>All data on the management processes (applications, success r</w:t>
      </w:r>
      <w:r>
        <w:rPr>
          <w:noProof/>
        </w:rPr>
        <w:t>ates, time to grant, type of beneficiaries, etc.) will be collected and stored, and made available in real time via a dedicated data storage.  Today, the reference system (CORDA) works well , and is available for Member States and other interested bodies.</w:t>
      </w:r>
    </w:p>
    <w:p w:rsidR="00211384" w:rsidRDefault="004D1F15">
      <w:pPr>
        <w:pStyle w:val="Text1"/>
        <w:pBdr>
          <w:top w:val="single" w:sz="4" w:space="1" w:color="auto"/>
          <w:left w:val="single" w:sz="4" w:space="4" w:color="auto"/>
          <w:bottom w:val="single" w:sz="4" w:space="1" w:color="auto"/>
          <w:right w:val="single" w:sz="4" w:space="4" w:color="auto"/>
        </w:pBdr>
        <w:rPr>
          <w:noProof/>
        </w:rPr>
      </w:pPr>
      <w:r>
        <w:rPr>
          <w:noProof/>
        </w:rPr>
        <w:t xml:space="preserve">Report will be produced giving information on management processes (from year one) and, progressively, information on outputs and results. An interim evaluation and a final evaluation are planned. </w:t>
      </w:r>
    </w:p>
    <w:p w:rsidR="00211384" w:rsidRDefault="004D1F15">
      <w:pPr>
        <w:pStyle w:val="Text1"/>
        <w:pBdr>
          <w:top w:val="single" w:sz="4" w:space="1" w:color="auto"/>
          <w:left w:val="single" w:sz="4" w:space="4" w:color="auto"/>
          <w:bottom w:val="single" w:sz="4" w:space="1" w:color="auto"/>
          <w:right w:val="single" w:sz="4" w:space="4" w:color="auto"/>
        </w:pBdr>
        <w:rPr>
          <w:noProof/>
        </w:rPr>
      </w:pPr>
      <w:r>
        <w:rPr>
          <w:noProof/>
        </w:rPr>
        <w:t xml:space="preserve">In addition, the JRC's direct actions are assessed </w:t>
      </w:r>
      <w:r>
        <w:rPr>
          <w:noProof/>
        </w:rPr>
        <w:t>internally by means of an annual internal evaluation and externally through peer review by a number of top-level experts selected in consultation with the JRC's Board of Governors.</w:t>
      </w:r>
    </w:p>
    <w:p w:rsidR="00211384" w:rsidRDefault="004D1F15">
      <w:pPr>
        <w:pStyle w:val="ManualHeading2"/>
        <w:rPr>
          <w:bCs/>
          <w:noProof/>
          <w:szCs w:val="24"/>
        </w:rPr>
      </w:pPr>
      <w:r>
        <w:rPr>
          <w:noProof/>
        </w:rPr>
        <w:t>2.2.</w:t>
      </w:r>
      <w:r>
        <w:rPr>
          <w:noProof/>
        </w:rPr>
        <w:tab/>
        <w:t xml:space="preserve">Management and control system(s) </w:t>
      </w:r>
    </w:p>
    <w:p w:rsidR="00211384" w:rsidRDefault="004D1F15">
      <w:pPr>
        <w:pStyle w:val="ManualHeading3"/>
        <w:rPr>
          <w:noProof/>
        </w:rPr>
      </w:pPr>
      <w:r>
        <w:rPr>
          <w:noProof/>
        </w:rPr>
        <w:t>2.2.1.</w:t>
      </w:r>
      <w:r>
        <w:rPr>
          <w:noProof/>
        </w:rPr>
        <w:tab/>
        <w:t>Justification of the manageme</w:t>
      </w:r>
      <w:r>
        <w:rPr>
          <w:noProof/>
        </w:rPr>
        <w:t>nt mode(s), the funding implementation mechanism(s), the payment modalities and the control strategy proposed</w:t>
      </w:r>
    </w:p>
    <w:p w:rsidR="00211384" w:rsidRDefault="004D1F15">
      <w:pPr>
        <w:pStyle w:val="Text1"/>
        <w:pBdr>
          <w:top w:val="single" w:sz="4" w:space="1" w:color="auto"/>
          <w:left w:val="single" w:sz="4" w:space="4" w:color="auto"/>
          <w:bottom w:val="single" w:sz="4" w:space="1" w:color="auto"/>
          <w:right w:val="single" w:sz="4" w:space="4" w:color="auto"/>
        </w:pBdr>
        <w:rPr>
          <w:noProof/>
        </w:rPr>
      </w:pPr>
      <w:r>
        <w:rPr>
          <w:noProof/>
        </w:rPr>
        <w:t>The Framework Progamme for Research &amp; Innovation will be implemented through direct and Indirect Management. There are no fundamental changes from</w:t>
      </w:r>
      <w:r>
        <w:rPr>
          <w:noProof/>
        </w:rPr>
        <w:t xml:space="preserve"> the Horizon 2020 Framework Programme. However, further simplification measures will be implemented whenever it is possible.</w:t>
      </w:r>
    </w:p>
    <w:p w:rsidR="00211384" w:rsidRDefault="004D1F15">
      <w:pPr>
        <w:pStyle w:val="Text1"/>
        <w:pBdr>
          <w:top w:val="single" w:sz="4" w:space="1" w:color="auto"/>
          <w:left w:val="single" w:sz="4" w:space="4" w:color="auto"/>
          <w:bottom w:val="single" w:sz="4" w:space="1" w:color="auto"/>
          <w:right w:val="single" w:sz="4" w:space="4" w:color="auto"/>
        </w:pBdr>
        <w:rPr>
          <w:noProof/>
        </w:rPr>
      </w:pPr>
      <w:r>
        <w:rPr>
          <w:noProof/>
        </w:rPr>
        <w:t xml:space="preserve">Under Horizon 2020, to end February 2018, 154 000 proposals have been received (with 537 000 individual applications), 18 000 </w:t>
      </w:r>
      <w:r>
        <w:rPr>
          <w:noProof/>
        </w:rPr>
        <w:t>contracts signed (with 79 000 individual participations). Despite the dramatic increase in the number of proposals compared to Seventh Framework Programme, 95 % of contracts have been signed within the 8 month limit set by the legislation. The common IT sy</w:t>
      </w:r>
      <w:r>
        <w:rPr>
          <w:noProof/>
        </w:rPr>
        <w:t>stems and business processes have ensured efficiency at all levels. A Common Support Centre provides cost effective services to all Commission services responsible for the implementation of the previous Framework Programmes, with running costs of around 0.</w:t>
      </w:r>
      <w:r>
        <w:rPr>
          <w:noProof/>
        </w:rPr>
        <w:t>7 % of expenditure in 2017. Validation of Legal Entities and organisation of project evaluations has been centralised in the Research Executive Agency, giving economies of scale, and ensuring efficient organisation of evaluations.</w:t>
      </w:r>
    </w:p>
    <w:p w:rsidR="00211384" w:rsidRDefault="004D1F15">
      <w:pPr>
        <w:pStyle w:val="Text1"/>
        <w:pBdr>
          <w:top w:val="single" w:sz="4" w:space="1" w:color="auto"/>
          <w:left w:val="single" w:sz="4" w:space="4" w:color="auto"/>
          <w:bottom w:val="single" w:sz="4" w:space="1" w:color="auto"/>
          <w:right w:val="single" w:sz="4" w:space="4" w:color="auto"/>
        </w:pBdr>
        <w:rPr>
          <w:noProof/>
        </w:rPr>
      </w:pPr>
      <w:r>
        <w:rPr>
          <w:noProof/>
        </w:rPr>
        <w:t xml:space="preserve">The narrower estimate of </w:t>
      </w:r>
      <w:r>
        <w:rPr>
          <w:noProof/>
        </w:rPr>
        <w:t>the costs of the control system (evaluation, selection, project management, ex-ante and ex-post control) are in the range of 3-4 % across the Commission services responsible for the implementation of the previous  Framework Programmes for 2017 (including c</w:t>
      </w:r>
      <w:r>
        <w:rPr>
          <w:noProof/>
        </w:rPr>
        <w:t>osts for the management of Seventh Framework Programme and Horizon 2020). This is considered to be a reasonable cost in the light of the efforts needed to ensure that objectives are achieved and the number of transactions.</w:t>
      </w:r>
    </w:p>
    <w:p w:rsidR="00211384" w:rsidRDefault="004D1F15">
      <w:pPr>
        <w:pStyle w:val="Text1"/>
        <w:pBdr>
          <w:top w:val="single" w:sz="4" w:space="1" w:color="auto"/>
          <w:left w:val="single" w:sz="4" w:space="4" w:color="auto"/>
          <w:bottom w:val="single" w:sz="4" w:space="1" w:color="auto"/>
          <w:right w:val="single" w:sz="4" w:space="4" w:color="auto"/>
        </w:pBdr>
        <w:rPr>
          <w:noProof/>
        </w:rPr>
      </w:pPr>
      <w:r>
        <w:rPr>
          <w:noProof/>
        </w:rPr>
        <w:t>This control strategy is based on</w:t>
      </w:r>
      <w:r>
        <w:rPr>
          <w:noProof/>
        </w:rPr>
        <w:t>:</w:t>
      </w:r>
    </w:p>
    <w:p w:rsidR="00211384" w:rsidRDefault="004D1F15">
      <w:pPr>
        <w:pStyle w:val="Text1"/>
        <w:pBdr>
          <w:top w:val="single" w:sz="4" w:space="1" w:color="auto"/>
          <w:left w:val="single" w:sz="4" w:space="4" w:color="auto"/>
          <w:bottom w:val="single" w:sz="4" w:space="1" w:color="auto"/>
          <w:right w:val="single" w:sz="4" w:space="4" w:color="auto"/>
        </w:pBdr>
        <w:rPr>
          <w:noProof/>
        </w:rPr>
      </w:pPr>
      <w:r>
        <w:rPr>
          <w:noProof/>
        </w:rPr>
        <w:t>-procedures for selecting the best projects and translating them into legal instruments;</w:t>
      </w:r>
    </w:p>
    <w:p w:rsidR="00211384" w:rsidRDefault="004D1F15">
      <w:pPr>
        <w:pStyle w:val="Text1"/>
        <w:pBdr>
          <w:top w:val="single" w:sz="4" w:space="1" w:color="auto"/>
          <w:left w:val="single" w:sz="4" w:space="4" w:color="auto"/>
          <w:bottom w:val="single" w:sz="4" w:space="1" w:color="auto"/>
          <w:right w:val="single" w:sz="4" w:space="4" w:color="auto"/>
        </w:pBdr>
        <w:rPr>
          <w:noProof/>
        </w:rPr>
      </w:pPr>
      <w:r>
        <w:rPr>
          <w:noProof/>
        </w:rPr>
        <w:t>- project and contract management throughout the lifetime of every project;</w:t>
      </w:r>
    </w:p>
    <w:p w:rsidR="00211384" w:rsidRDefault="004D1F15">
      <w:pPr>
        <w:pStyle w:val="Text1"/>
        <w:pBdr>
          <w:top w:val="single" w:sz="4" w:space="1" w:color="auto"/>
          <w:left w:val="single" w:sz="4" w:space="4" w:color="auto"/>
          <w:bottom w:val="single" w:sz="4" w:space="1" w:color="auto"/>
          <w:right w:val="single" w:sz="4" w:space="4" w:color="auto"/>
        </w:pBdr>
        <w:rPr>
          <w:noProof/>
        </w:rPr>
      </w:pPr>
      <w:r>
        <w:rPr>
          <w:noProof/>
        </w:rPr>
        <w:t xml:space="preserve">-ex-ante checks on 100 % of claims, </w:t>
      </w:r>
    </w:p>
    <w:p w:rsidR="00211384" w:rsidRDefault="004D1F15">
      <w:pPr>
        <w:pStyle w:val="Text1"/>
        <w:pBdr>
          <w:top w:val="single" w:sz="4" w:space="1" w:color="auto"/>
          <w:left w:val="single" w:sz="4" w:space="4" w:color="auto"/>
          <w:bottom w:val="single" w:sz="4" w:space="1" w:color="auto"/>
          <w:right w:val="single" w:sz="4" w:space="4" w:color="auto"/>
        </w:pBdr>
        <w:rPr>
          <w:noProof/>
        </w:rPr>
      </w:pPr>
      <w:r>
        <w:rPr>
          <w:noProof/>
        </w:rPr>
        <w:t>- certificates on the financial statements above a c</w:t>
      </w:r>
      <w:r>
        <w:rPr>
          <w:noProof/>
        </w:rPr>
        <w:t xml:space="preserve">ertain threshold, and certification on methodologies to calculate unit costs or ex-ante assessment on Large Research Infrastructure on a voluntary basis; </w:t>
      </w:r>
    </w:p>
    <w:p w:rsidR="00211384" w:rsidRDefault="004D1F15">
      <w:pPr>
        <w:pStyle w:val="Text1"/>
        <w:pBdr>
          <w:top w:val="single" w:sz="4" w:space="1" w:color="auto"/>
          <w:left w:val="single" w:sz="4" w:space="4" w:color="auto"/>
          <w:bottom w:val="single" w:sz="4" w:space="1" w:color="auto"/>
          <w:right w:val="single" w:sz="4" w:space="4" w:color="auto"/>
        </w:pBdr>
        <w:rPr>
          <w:noProof/>
        </w:rPr>
      </w:pPr>
      <w:r>
        <w:rPr>
          <w:noProof/>
        </w:rPr>
        <w:t>- ex post audits (representative and risk-based) on a sample of paid claims;</w:t>
      </w:r>
    </w:p>
    <w:p w:rsidR="00211384" w:rsidRDefault="004D1F15">
      <w:pPr>
        <w:pStyle w:val="Text1"/>
        <w:pBdr>
          <w:top w:val="single" w:sz="4" w:space="1" w:color="auto"/>
          <w:left w:val="single" w:sz="4" w:space="4" w:color="auto"/>
          <w:bottom w:val="single" w:sz="4" w:space="1" w:color="auto"/>
          <w:right w:val="single" w:sz="4" w:space="4" w:color="auto"/>
        </w:pBdr>
        <w:rPr>
          <w:noProof/>
        </w:rPr>
      </w:pPr>
      <w:r>
        <w:rPr>
          <w:noProof/>
        </w:rPr>
        <w:t>- and scientific evaluat</w:t>
      </w:r>
      <w:r>
        <w:rPr>
          <w:noProof/>
        </w:rPr>
        <w:t xml:space="preserve">ion of project results. </w:t>
      </w:r>
    </w:p>
    <w:p w:rsidR="00211384" w:rsidRDefault="004D1F15">
      <w:pPr>
        <w:pStyle w:val="Text1"/>
        <w:pBdr>
          <w:top w:val="single" w:sz="4" w:space="1" w:color="auto"/>
          <w:left w:val="single" w:sz="4" w:space="4" w:color="auto"/>
          <w:bottom w:val="single" w:sz="4" w:space="1" w:color="auto"/>
          <w:right w:val="single" w:sz="4" w:space="4" w:color="auto"/>
        </w:pBdr>
        <w:rPr>
          <w:noProof/>
        </w:rPr>
      </w:pPr>
      <w:r>
        <w:rPr>
          <w:noProof/>
        </w:rPr>
        <w:t>The first indications from Horizon 2020 audits are that error rates have been maintained well within the expected range (see section 2.2.2). This demonstrates that, even if it can still be further developed, simplification measures</w:t>
      </w:r>
      <w:r>
        <w:rPr>
          <w:noProof/>
        </w:rPr>
        <w:t xml:space="preserve"> already introduced have been effective.  </w:t>
      </w:r>
    </w:p>
    <w:p w:rsidR="00211384" w:rsidRDefault="004D1F15">
      <w:pPr>
        <w:pStyle w:val="Text1"/>
        <w:pBdr>
          <w:top w:val="single" w:sz="4" w:space="1" w:color="auto"/>
          <w:left w:val="single" w:sz="4" w:space="4" w:color="auto"/>
          <w:bottom w:val="single" w:sz="4" w:space="1" w:color="auto"/>
          <w:right w:val="single" w:sz="4" w:space="4" w:color="auto"/>
        </w:pBdr>
        <w:rPr>
          <w:noProof/>
        </w:rPr>
      </w:pPr>
      <w:r>
        <w:rPr>
          <w:noProof/>
        </w:rPr>
        <w:t>In indirect management, the Commission will make use of the following bodies to implement the budget where this is appropriate and cost-effective and provides strong leverage effect:</w:t>
      </w:r>
    </w:p>
    <w:p w:rsidR="00211384" w:rsidRDefault="004D1F15">
      <w:pPr>
        <w:pStyle w:val="Text1"/>
        <w:pBdr>
          <w:top w:val="single" w:sz="4" w:space="1" w:color="auto"/>
          <w:left w:val="single" w:sz="4" w:space="4" w:color="auto"/>
          <w:bottom w:val="single" w:sz="4" w:space="1" w:color="auto"/>
          <w:right w:val="single" w:sz="4" w:space="4" w:color="auto"/>
        </w:pBdr>
        <w:rPr>
          <w:noProof/>
        </w:rPr>
      </w:pPr>
      <w:r>
        <w:rPr>
          <w:noProof/>
        </w:rPr>
        <w:t>- Institutionalised European P</w:t>
      </w:r>
      <w:r>
        <w:rPr>
          <w:noProof/>
        </w:rPr>
        <w:t>artnerships (Article 185 or Article 187 TFEU).</w:t>
      </w:r>
    </w:p>
    <w:p w:rsidR="00211384" w:rsidRDefault="004D1F15">
      <w:pPr>
        <w:pStyle w:val="Text1"/>
        <w:pBdr>
          <w:top w:val="single" w:sz="4" w:space="1" w:color="auto"/>
          <w:left w:val="single" w:sz="4" w:space="4" w:color="auto"/>
          <w:bottom w:val="single" w:sz="4" w:space="1" w:color="auto"/>
          <w:right w:val="single" w:sz="4" w:space="4" w:color="auto"/>
        </w:pBdr>
        <w:rPr>
          <w:noProof/>
        </w:rPr>
      </w:pPr>
      <w:r>
        <w:rPr>
          <w:noProof/>
        </w:rPr>
        <w:t>These bodies are subject to regular evaluations to ensure that they remain pertinent to achieving the objectives of the Programme. Control strategies for the supervision of bodies operating under indirect mana</w:t>
      </w:r>
      <w:r>
        <w:rPr>
          <w:noProof/>
        </w:rPr>
        <w:t>gement have been, or will be, developed.</w:t>
      </w:r>
    </w:p>
    <w:p w:rsidR="00211384" w:rsidRDefault="004D1F15">
      <w:pPr>
        <w:pStyle w:val="Text1"/>
        <w:pBdr>
          <w:top w:val="single" w:sz="4" w:space="1" w:color="auto"/>
          <w:left w:val="single" w:sz="4" w:space="4" w:color="auto"/>
          <w:bottom w:val="single" w:sz="4" w:space="1" w:color="auto"/>
          <w:right w:val="single" w:sz="4" w:space="4" w:color="auto"/>
        </w:pBdr>
        <w:rPr>
          <w:noProof/>
        </w:rPr>
      </w:pPr>
      <w:r>
        <w:rPr>
          <w:noProof/>
        </w:rPr>
        <w:t>In direct management, the Commission will continue to rely to a large extent on Executive Agencies, established in accordance with the Council Regulation 58/2003. The delegation of activities to the Executive Agenci</w:t>
      </w:r>
      <w:r>
        <w:rPr>
          <w:noProof/>
        </w:rPr>
        <w:t xml:space="preserve">es is subject to a mandatory independent ex-ante Cost-Benefit Analysis and the Executive Agencies undergo regular evaluations performed by external experts. The above mentioned Cost-Benefit Analysis will also consider the costs of control and supervision. </w:t>
      </w:r>
      <w:r>
        <w:rPr>
          <w:noProof/>
        </w:rPr>
        <w:t>Interim evaluations conducted in 2012 and in 2015 confirm the high efficiency and added value of the Executive Agencies in programme implementation.</w:t>
      </w:r>
    </w:p>
    <w:p w:rsidR="00211384" w:rsidRDefault="004D1F15">
      <w:pPr>
        <w:pStyle w:val="ManualHeading3"/>
        <w:rPr>
          <w:bCs/>
          <w:noProof/>
          <w:szCs w:val="24"/>
        </w:rPr>
      </w:pPr>
      <w:r>
        <w:rPr>
          <w:noProof/>
        </w:rPr>
        <w:t>2.2.2.</w:t>
      </w:r>
      <w:r>
        <w:rPr>
          <w:noProof/>
        </w:rPr>
        <w:tab/>
        <w:t>Information concerning the risks identified and the internal control system(s) set up to mitigate th</w:t>
      </w:r>
      <w:r>
        <w:rPr>
          <w:noProof/>
        </w:rPr>
        <w:t xml:space="preserve">em </w:t>
      </w:r>
    </w:p>
    <w:p w:rsidR="00211384" w:rsidRDefault="004D1F15">
      <w:pPr>
        <w:pStyle w:val="Text1"/>
        <w:pBdr>
          <w:top w:val="single" w:sz="4" w:space="1" w:color="auto"/>
          <w:left w:val="single" w:sz="4" w:space="4" w:color="auto"/>
          <w:bottom w:val="single" w:sz="4" w:space="1" w:color="auto"/>
          <w:right w:val="single" w:sz="4" w:space="4" w:color="auto"/>
        </w:pBdr>
        <w:rPr>
          <w:noProof/>
        </w:rPr>
      </w:pPr>
      <w:r>
        <w:rPr>
          <w:noProof/>
        </w:rPr>
        <w:t>The basic funding model to date has been the reimbursement of eligible costs. As the European Court of Auditors has consistently pointed out, most recently in its 2016 Annual Report, 'the principal risk to the regularity of transactions is that benefic</w:t>
      </w:r>
      <w:r>
        <w:rPr>
          <w:noProof/>
        </w:rPr>
        <w:t>iaries declare ineligible costs which are neither detected nor corrected before [reimbursement]. This risk is particularly high for the Seventh Framework Programme, which has complex eligibility rules that are often misinterpreted by beneficiaries (especia</w:t>
      </w:r>
      <w:r>
        <w:rPr>
          <w:noProof/>
        </w:rPr>
        <w:t>lly those less familiar with the rules, such as SMEs, first-time participants and non-EU entities)'.</w:t>
      </w:r>
    </w:p>
    <w:p w:rsidR="00211384" w:rsidRDefault="004D1F15">
      <w:pPr>
        <w:pStyle w:val="Text1"/>
        <w:pBdr>
          <w:top w:val="single" w:sz="4" w:space="1" w:color="auto"/>
          <w:left w:val="single" w:sz="4" w:space="4" w:color="auto"/>
          <w:bottom w:val="single" w:sz="4" w:space="1" w:color="auto"/>
          <w:right w:val="single" w:sz="4" w:space="4" w:color="auto"/>
        </w:pBdr>
        <w:rPr>
          <w:noProof/>
        </w:rPr>
      </w:pPr>
      <w:r>
        <w:rPr>
          <w:noProof/>
        </w:rPr>
        <w:t>The Court recognised the value of the simplifications introduced in Horizon 2020. It did however recommend, in its 2016 Annual Report, the wider use of Sim</w:t>
      </w:r>
      <w:r>
        <w:rPr>
          <w:noProof/>
        </w:rPr>
        <w:t>plified Cost Options (SCOs). Such SCOs are already in use in parts of the programme, or for specific types of expenditure.</w:t>
      </w:r>
    </w:p>
    <w:p w:rsidR="00211384" w:rsidRDefault="004D1F15">
      <w:pPr>
        <w:pStyle w:val="Text1"/>
        <w:pBdr>
          <w:top w:val="single" w:sz="4" w:space="1" w:color="auto"/>
          <w:left w:val="single" w:sz="4" w:space="4" w:color="auto"/>
          <w:bottom w:val="single" w:sz="4" w:space="1" w:color="auto"/>
          <w:right w:val="single" w:sz="4" w:space="4" w:color="auto"/>
        </w:pBdr>
        <w:rPr>
          <w:noProof/>
        </w:rPr>
      </w:pPr>
      <w:r>
        <w:rPr>
          <w:noProof/>
        </w:rPr>
        <w:t>For grants, the estimated representative rate of error for Seventh Framework Programme was 5 %, with a 'residual' error rate of aroun</w:t>
      </w:r>
      <w:r>
        <w:rPr>
          <w:noProof/>
        </w:rPr>
        <w:t xml:space="preserve">d 3 %, after taking account of all recoveries and corrections that have been or will be implemented. However, the error rates were lower in those parts of the programme where it was possible to use Simplified Cost Options (SCOs) more widely and/or where a </w:t>
      </w:r>
      <w:r>
        <w:rPr>
          <w:noProof/>
        </w:rPr>
        <w:t xml:space="preserve">small and stable group of beneficiaries were involved. This included the European Research Council grants and Marie Curie Actions.  </w:t>
      </w:r>
    </w:p>
    <w:p w:rsidR="00211384" w:rsidRDefault="004D1F15">
      <w:pPr>
        <w:pStyle w:val="Text1"/>
        <w:pBdr>
          <w:top w:val="single" w:sz="4" w:space="1" w:color="auto"/>
          <w:left w:val="single" w:sz="4" w:space="4" w:color="auto"/>
          <w:bottom w:val="single" w:sz="4" w:space="1" w:color="auto"/>
          <w:right w:val="single" w:sz="4" w:space="4" w:color="auto"/>
        </w:pBdr>
        <w:rPr>
          <w:noProof/>
        </w:rPr>
      </w:pPr>
      <w:r>
        <w:rPr>
          <w:noProof/>
        </w:rPr>
        <w:t>The first results of Horizon 2020 suggest a representative error rate of around 3 %, with a residual error rate less than 2</w:t>
      </w:r>
      <w:r>
        <w:rPr>
          <w:noProof/>
        </w:rPr>
        <w:t>.5 %. Note, however, that this is an early estimate which should be used with care, it is likely to rise, perhaps to the 3-4 % level (the level or error anticipated by the Commission for its Horizon 2020 proposal was 3.5 %, although this did not take accou</w:t>
      </w:r>
      <w:r>
        <w:rPr>
          <w:noProof/>
        </w:rPr>
        <w:t>nt of various additional complexities added during the legislative process). The residual error rate should remain some way below 3 %, it is too early to say whether a rate of 2 % will be attained. The Commission still considers that the error rates for Eu</w:t>
      </w:r>
      <w:r>
        <w:rPr>
          <w:noProof/>
        </w:rPr>
        <w:t>ropean Research Council grants and Marie Sklodowska-Curie Actions will remain below 2 %.</w:t>
      </w:r>
    </w:p>
    <w:p w:rsidR="00211384" w:rsidRDefault="004D1F15">
      <w:pPr>
        <w:pStyle w:val="Text1"/>
        <w:pBdr>
          <w:top w:val="single" w:sz="4" w:space="1" w:color="auto"/>
          <w:left w:val="single" w:sz="4" w:space="4" w:color="auto"/>
          <w:bottom w:val="single" w:sz="4" w:space="1" w:color="auto"/>
          <w:right w:val="single" w:sz="4" w:space="4" w:color="auto"/>
        </w:pBdr>
        <w:rPr>
          <w:noProof/>
        </w:rPr>
      </w:pPr>
      <w:r>
        <w:rPr>
          <w:noProof/>
        </w:rPr>
        <w:t>Some errors arise because beneficiaries have not understood the rules. These errors can be addressed by simplification, although some complexity will always remain. Ot</w:t>
      </w:r>
      <w:r>
        <w:rPr>
          <w:noProof/>
        </w:rPr>
        <w:t>her errors arise because beneficiaries have not followed the rules. Although this is a minority of cases, simplification of the current rules will not resolve them.</w:t>
      </w:r>
    </w:p>
    <w:p w:rsidR="00211384" w:rsidRDefault="004D1F15">
      <w:pPr>
        <w:pStyle w:val="Text1"/>
        <w:pBdr>
          <w:top w:val="single" w:sz="4" w:space="1" w:color="auto"/>
          <w:left w:val="single" w:sz="4" w:space="4" w:color="auto"/>
          <w:bottom w:val="single" w:sz="4" w:space="1" w:color="auto"/>
          <w:right w:val="single" w:sz="4" w:space="4" w:color="auto"/>
        </w:pBdr>
        <w:rPr>
          <w:noProof/>
        </w:rPr>
      </w:pPr>
      <w:r>
        <w:rPr>
          <w:noProof/>
        </w:rPr>
        <w:t>An analysis of error rates</w:t>
      </w:r>
      <w:r>
        <w:rPr>
          <w:rStyle w:val="FootnoteReference"/>
          <w:noProof/>
        </w:rPr>
        <w:footnoteReference w:id="12"/>
      </w:r>
      <w:r>
        <w:rPr>
          <w:noProof/>
        </w:rPr>
        <w:t xml:space="preserve"> has been carried out for the Horizon 2020 audits so far perform</w:t>
      </w:r>
      <w:r>
        <w:rPr>
          <w:noProof/>
        </w:rPr>
        <w:t xml:space="preserve">ed shows that: </w:t>
      </w:r>
    </w:p>
    <w:p w:rsidR="00211384" w:rsidRDefault="004D1F15">
      <w:pPr>
        <w:pStyle w:val="Text1"/>
        <w:pBdr>
          <w:top w:val="single" w:sz="4" w:space="1" w:color="auto"/>
          <w:left w:val="single" w:sz="4" w:space="4" w:color="auto"/>
          <w:bottom w:val="single" w:sz="4" w:space="1" w:color="auto"/>
          <w:right w:val="single" w:sz="4" w:space="4" w:color="auto"/>
        </w:pBdr>
        <w:rPr>
          <w:noProof/>
        </w:rPr>
      </w:pPr>
      <w:r>
        <w:rPr>
          <w:noProof/>
        </w:rPr>
        <w:t>-Around 63 % of the error relates to errors in the charging of personnel costs. Regular problems identified are incorrect calculation of productive hours; incorrect rates or incorrect number of hours charged.</w:t>
      </w:r>
    </w:p>
    <w:p w:rsidR="00211384" w:rsidRDefault="004D1F15">
      <w:pPr>
        <w:pStyle w:val="Text1"/>
        <w:pBdr>
          <w:top w:val="single" w:sz="4" w:space="1" w:color="auto"/>
          <w:left w:val="single" w:sz="4" w:space="4" w:color="auto"/>
          <w:bottom w:val="single" w:sz="4" w:space="1" w:color="auto"/>
          <w:right w:val="single" w:sz="4" w:space="4" w:color="auto"/>
        </w:pBdr>
        <w:rPr>
          <w:noProof/>
        </w:rPr>
      </w:pPr>
      <w:r>
        <w:rPr>
          <w:noProof/>
        </w:rPr>
        <w:t xml:space="preserve">-Around 22 % of the error </w:t>
      </w:r>
      <w:r>
        <w:rPr>
          <w:noProof/>
        </w:rPr>
        <w:t>relates to other direct costs (not personnel). The most regular error identified is the lack of direct measurement of costs.</w:t>
      </w:r>
    </w:p>
    <w:p w:rsidR="00211384" w:rsidRDefault="004D1F15">
      <w:pPr>
        <w:pStyle w:val="Text1"/>
        <w:pBdr>
          <w:top w:val="single" w:sz="4" w:space="1" w:color="auto"/>
          <w:left w:val="single" w:sz="4" w:space="4" w:color="auto"/>
          <w:bottom w:val="single" w:sz="4" w:space="1" w:color="auto"/>
          <w:right w:val="single" w:sz="4" w:space="4" w:color="auto"/>
        </w:pBdr>
        <w:rPr>
          <w:noProof/>
        </w:rPr>
      </w:pPr>
      <w:r>
        <w:rPr>
          <w:noProof/>
        </w:rPr>
        <w:t>-Around 6 % of the error relates to sub-contracting costs, 4 % to travel costs and 5 % to other categories. Note that errors relati</w:t>
      </w:r>
      <w:r>
        <w:rPr>
          <w:noProof/>
        </w:rPr>
        <w:t>ng to indirect costs, that constitute 28 % of the error in Seventh Framework Programme, have been reduced to almost zero thanks to the introduction of the flat rate to cover the indirect costs.</w:t>
      </w:r>
    </w:p>
    <w:p w:rsidR="00211384" w:rsidRDefault="004D1F15">
      <w:pPr>
        <w:pStyle w:val="Text1"/>
        <w:pBdr>
          <w:top w:val="single" w:sz="4" w:space="1" w:color="auto"/>
          <w:left w:val="single" w:sz="4" w:space="4" w:color="auto"/>
          <w:bottom w:val="single" w:sz="4" w:space="1" w:color="auto"/>
          <w:right w:val="single" w:sz="4" w:space="4" w:color="auto"/>
        </w:pBdr>
        <w:rPr>
          <w:noProof/>
        </w:rPr>
      </w:pPr>
      <w:r>
        <w:rPr>
          <w:noProof/>
        </w:rPr>
        <w:t xml:space="preserve">The errors identified during audits of Horizon 2020 show that </w:t>
      </w:r>
      <w:r>
        <w:rPr>
          <w:noProof/>
        </w:rPr>
        <w:t>some could be avoided by simplifications and the avoidance of unnecessary formalism in rules. Some changes have already been made in Horizon 2020 (new rules for internal invoicing and additional remuneration for example), and others will be be made where p</w:t>
      </w:r>
      <w:r>
        <w:rPr>
          <w:noProof/>
        </w:rPr>
        <w:t>ossible in Horizon Europe. However, such changes will now be limited in their effect on the error rate, generally only avoiding small errors.</w:t>
      </w:r>
    </w:p>
    <w:p w:rsidR="00211384" w:rsidRDefault="004D1F15">
      <w:pPr>
        <w:pStyle w:val="Text1"/>
        <w:pBdr>
          <w:top w:val="single" w:sz="4" w:space="1" w:color="auto"/>
          <w:left w:val="single" w:sz="4" w:space="4" w:color="auto"/>
          <w:bottom w:val="single" w:sz="4" w:space="1" w:color="auto"/>
          <w:right w:val="single" w:sz="4" w:space="4" w:color="auto"/>
        </w:pBdr>
        <w:rPr>
          <w:noProof/>
        </w:rPr>
      </w:pPr>
      <w:r>
        <w:rPr>
          <w:noProof/>
        </w:rPr>
        <w:t>The wider use of SCOs such as flat rates and unit costs, as well as continuing simplification of the rules, will a</w:t>
      </w:r>
      <w:r>
        <w:rPr>
          <w:noProof/>
        </w:rPr>
        <w:t>ssist in lowering the Horizon 2020 error rate, estimated at 3-4 % on a representative basis in Horizon Europe. However, the underlying problem of errors in a funding method based on the reimbursement of eligible costs remains. In such a system the represen</w:t>
      </w:r>
      <w:r>
        <w:rPr>
          <w:noProof/>
        </w:rPr>
        <w:t>tative error rate might be reduced to 2.5-3.5 %, with the residual error rate, after corrections, expected to be around (but not necessarily below) 2 %.</w:t>
      </w:r>
    </w:p>
    <w:p w:rsidR="00211384" w:rsidRDefault="004D1F15">
      <w:pPr>
        <w:pStyle w:val="Text1"/>
        <w:pBdr>
          <w:top w:val="single" w:sz="4" w:space="1" w:color="auto"/>
          <w:left w:val="single" w:sz="4" w:space="4" w:color="auto"/>
          <w:bottom w:val="single" w:sz="4" w:space="1" w:color="auto"/>
          <w:right w:val="single" w:sz="4" w:space="4" w:color="auto"/>
        </w:pBdr>
        <w:rPr>
          <w:noProof/>
        </w:rPr>
      </w:pPr>
      <w:r>
        <w:rPr>
          <w:noProof/>
        </w:rPr>
        <w:t>Horizon 2020 saw the introduction of lump sum funding for the SME stage 1 scheme (a payment of EUR 50 0</w:t>
      </w:r>
      <w:r>
        <w:rPr>
          <w:noProof/>
        </w:rPr>
        <w:t>00 on delivery of a satisfactory scientific deliverable) and, by EIT KICs, for the funding of institutional costs related to delivery of EIT Labelled masters programmes. No additional justification for these payments, such as invoices, timesheets, proofs o</w:t>
      </w:r>
      <w:r>
        <w:rPr>
          <w:noProof/>
        </w:rPr>
        <w:t xml:space="preserve">f payment, etc, is required. There are no financial errors. </w:t>
      </w:r>
    </w:p>
    <w:p w:rsidR="00211384" w:rsidRDefault="004D1F15">
      <w:pPr>
        <w:pStyle w:val="Text1"/>
        <w:pBdr>
          <w:top w:val="single" w:sz="4" w:space="1" w:color="auto"/>
          <w:left w:val="single" w:sz="4" w:space="4" w:color="auto"/>
          <w:bottom w:val="single" w:sz="4" w:space="1" w:color="auto"/>
          <w:right w:val="single" w:sz="4" w:space="4" w:color="auto"/>
        </w:pBdr>
        <w:rPr>
          <w:noProof/>
        </w:rPr>
      </w:pPr>
      <w:r>
        <w:rPr>
          <w:noProof/>
        </w:rPr>
        <w:t>Lump sum funding was proposed for Horizon 2020 but was considered to be unsuitable or premature. Nevertheless, the Commission is, in the Work Programme 2018, implementing pilot schemes based on l</w:t>
      </w:r>
      <w:r>
        <w:rPr>
          <w:noProof/>
        </w:rPr>
        <w:t>ump sum funding. At the same time it has undertaken a number of communication actions to allay the concerns of stakeholders about this form of funding.</w:t>
      </w:r>
    </w:p>
    <w:p w:rsidR="00211384" w:rsidRDefault="004D1F15">
      <w:pPr>
        <w:pStyle w:val="Text1"/>
        <w:pBdr>
          <w:top w:val="single" w:sz="4" w:space="1" w:color="auto"/>
          <w:left w:val="single" w:sz="4" w:space="4" w:color="auto"/>
          <w:bottom w:val="single" w:sz="4" w:space="1" w:color="auto"/>
          <w:right w:val="single" w:sz="4" w:space="4" w:color="auto"/>
        </w:pBdr>
        <w:rPr>
          <w:noProof/>
        </w:rPr>
      </w:pPr>
      <w:r>
        <w:rPr>
          <w:noProof/>
        </w:rPr>
        <w:t>The pilot scheme has to be evaluated, especially to see if it achieves all the objectives of the Program</w:t>
      </w:r>
      <w:r>
        <w:rPr>
          <w:noProof/>
        </w:rPr>
        <w:t>me (not just lowering the error rate). But, clearly, wider use of flat rate funding would reduce the error rate. However, it would move the risks to other stages of the internal control system – evaluation will become more important, as will the assessment</w:t>
      </w:r>
      <w:r>
        <w:rPr>
          <w:noProof/>
        </w:rPr>
        <w:t xml:space="preserve"> of the deliverable.</w:t>
      </w:r>
    </w:p>
    <w:p w:rsidR="00211384" w:rsidRDefault="004D1F15">
      <w:pPr>
        <w:pStyle w:val="Text1"/>
        <w:pBdr>
          <w:top w:val="single" w:sz="4" w:space="1" w:color="auto"/>
          <w:left w:val="single" w:sz="4" w:space="4" w:color="auto"/>
          <w:bottom w:val="single" w:sz="4" w:space="1" w:color="auto"/>
          <w:right w:val="single" w:sz="4" w:space="4" w:color="auto"/>
        </w:pBdr>
        <w:rPr>
          <w:noProof/>
        </w:rPr>
      </w:pPr>
      <w:r>
        <w:rPr>
          <w:noProof/>
        </w:rPr>
        <w:t>The Horizon Europe proposal allows the Commission to use the lump sum funding model and the Commission intends to use this funding model more widely. However, it is too early to say how widely it can be used. This will depend on the re</w:t>
      </w:r>
      <w:r>
        <w:rPr>
          <w:noProof/>
        </w:rPr>
        <w:t>sults of the pilots currently under way.</w:t>
      </w:r>
    </w:p>
    <w:p w:rsidR="00211384" w:rsidRDefault="004D1F15">
      <w:pPr>
        <w:pStyle w:val="Text1"/>
        <w:pBdr>
          <w:top w:val="single" w:sz="4" w:space="1" w:color="auto"/>
          <w:left w:val="single" w:sz="4" w:space="4" w:color="auto"/>
          <w:bottom w:val="single" w:sz="4" w:space="1" w:color="auto"/>
          <w:right w:val="single" w:sz="4" w:space="4" w:color="auto"/>
        </w:pBdr>
        <w:rPr>
          <w:noProof/>
        </w:rPr>
      </w:pPr>
      <w:r>
        <w:rPr>
          <w:noProof/>
        </w:rPr>
        <w:t>The number of transactions involved means that a high level of systematic ex-ante control would be very expensive. The current control strategy therefore relies on risk-based ex ante controls and ex-post controls to</w:t>
      </w:r>
      <w:r>
        <w:rPr>
          <w:noProof/>
        </w:rPr>
        <w:t xml:space="preserve"> assess the level of error and to detect and recover ineligible amounts. As the error rates have remained within the range established this control strategy is considered to be effective. Further development of some aspects is included, for example the inc</w:t>
      </w:r>
      <w:r>
        <w:rPr>
          <w:noProof/>
        </w:rPr>
        <w:t xml:space="preserve">lusion of systems and processes audit, but radical change is not proposed. </w:t>
      </w:r>
    </w:p>
    <w:p w:rsidR="00211384" w:rsidRDefault="004D1F15">
      <w:pPr>
        <w:pStyle w:val="ManualHeading3"/>
        <w:rPr>
          <w:noProof/>
        </w:rPr>
      </w:pPr>
      <w:r>
        <w:rPr>
          <w:noProof/>
        </w:rPr>
        <w:t>2.2.3.</w:t>
      </w:r>
      <w:r>
        <w:rPr>
          <w:noProof/>
        </w:rPr>
        <w:tab/>
        <w:t>Estimation and justification of the cost-effectiveness of the controls (ratio of "control costs ÷ value of the related funds managed"), and assessment of the expected levels</w:t>
      </w:r>
      <w:r>
        <w:rPr>
          <w:noProof/>
        </w:rPr>
        <w:t xml:space="preserve"> of risk of error (at payment &amp; at closure) </w:t>
      </w:r>
    </w:p>
    <w:p w:rsidR="00211384" w:rsidRDefault="004D1F15">
      <w:pPr>
        <w:pStyle w:val="Text1"/>
        <w:pBdr>
          <w:top w:val="single" w:sz="4" w:space="1" w:color="auto"/>
          <w:left w:val="single" w:sz="4" w:space="4" w:color="auto"/>
          <w:bottom w:val="single" w:sz="4" w:space="1" w:color="auto"/>
          <w:right w:val="single" w:sz="4" w:space="4" w:color="auto"/>
        </w:pBdr>
        <w:rPr>
          <w:noProof/>
        </w:rPr>
      </w:pPr>
      <w:r>
        <w:rPr>
          <w:noProof/>
        </w:rPr>
        <w:t>The narrower estimate of the costs of the control system (evaluation, selection, project management, ex-ante and ex-post control) are in the range of 3-4 % across the Commission services responsible for the impl</w:t>
      </w:r>
      <w:r>
        <w:rPr>
          <w:noProof/>
        </w:rPr>
        <w:t xml:space="preserve">ementation of the previous Framework Programmes  for 2017 (including costs for the management of the Seventh Framework Programme and Horizon 2020). This is considered to be a reasonable cost in the light of the efforts needed to ensure that objectives are </w:t>
      </w:r>
      <w:r>
        <w:rPr>
          <w:noProof/>
        </w:rPr>
        <w:t>achieved and the number of transactions.</w:t>
      </w:r>
    </w:p>
    <w:p w:rsidR="00211384" w:rsidRDefault="004D1F15">
      <w:pPr>
        <w:pStyle w:val="Text1"/>
        <w:pBdr>
          <w:top w:val="single" w:sz="4" w:space="1" w:color="auto"/>
          <w:left w:val="single" w:sz="4" w:space="4" w:color="auto"/>
          <w:bottom w:val="single" w:sz="4" w:space="1" w:color="auto"/>
          <w:right w:val="single" w:sz="4" w:space="4" w:color="auto"/>
        </w:pBdr>
        <w:rPr>
          <w:noProof/>
        </w:rPr>
      </w:pPr>
      <w:r>
        <w:rPr>
          <w:noProof/>
        </w:rPr>
        <w:t>The expected risk of error at payment for grants with a funding model based on the reimbursement of ineligible costs is 2.5-3.5 %. The risk of error at closure (after the effect of controls and corrections) is aroun</w:t>
      </w:r>
      <w:r>
        <w:rPr>
          <w:noProof/>
        </w:rPr>
        <w:t>d (but not necessarily below) 2 %.</w:t>
      </w:r>
    </w:p>
    <w:p w:rsidR="00211384" w:rsidRDefault="004D1F15">
      <w:pPr>
        <w:pStyle w:val="Text1"/>
        <w:pBdr>
          <w:top w:val="single" w:sz="4" w:space="1" w:color="auto"/>
          <w:left w:val="single" w:sz="4" w:space="4" w:color="auto"/>
          <w:bottom w:val="single" w:sz="4" w:space="1" w:color="auto"/>
          <w:right w:val="single" w:sz="4" w:space="4" w:color="auto"/>
        </w:pBdr>
        <w:rPr>
          <w:noProof/>
        </w:rPr>
      </w:pPr>
      <w:r>
        <w:rPr>
          <w:noProof/>
        </w:rPr>
        <w:t>The expected risk of error for grants with a funding model based on lump sum funding is close to 0 % (at payment and at closure).</w:t>
      </w:r>
    </w:p>
    <w:p w:rsidR="00211384" w:rsidRDefault="004D1F15">
      <w:pPr>
        <w:pStyle w:val="Text1"/>
        <w:pBdr>
          <w:top w:val="single" w:sz="4" w:space="1" w:color="auto"/>
          <w:left w:val="single" w:sz="4" w:space="4" w:color="auto"/>
          <w:bottom w:val="single" w:sz="4" w:space="1" w:color="auto"/>
          <w:right w:val="single" w:sz="4" w:space="4" w:color="auto"/>
        </w:pBdr>
        <w:rPr>
          <w:noProof/>
        </w:rPr>
      </w:pPr>
      <w:r>
        <w:rPr>
          <w:noProof/>
        </w:rPr>
        <w:t xml:space="preserve">The overall expectation for error rates will depend on the balance between the two methods </w:t>
      </w:r>
      <w:r>
        <w:rPr>
          <w:noProof/>
        </w:rPr>
        <w:t>of funding (reimbursement of eligible costs and lump sums). The Commission aims to apply the lump sum funding model where appropriate. However, the main driver to adopt lump sum funding will not be reduction of the error rate, but the achievement of all th</w:t>
      </w:r>
      <w:r>
        <w:rPr>
          <w:noProof/>
        </w:rPr>
        <w:t xml:space="preserve">e objectives of the programme.  </w:t>
      </w:r>
    </w:p>
    <w:p w:rsidR="00211384" w:rsidRDefault="004D1F15">
      <w:pPr>
        <w:pStyle w:val="Text1"/>
        <w:pBdr>
          <w:top w:val="single" w:sz="4" w:space="1" w:color="auto"/>
          <w:left w:val="single" w:sz="4" w:space="4" w:color="auto"/>
          <w:bottom w:val="single" w:sz="4" w:space="1" w:color="auto"/>
          <w:right w:val="single" w:sz="4" w:space="4" w:color="auto"/>
        </w:pBdr>
        <w:rPr>
          <w:noProof/>
        </w:rPr>
      </w:pPr>
      <w:r>
        <w:rPr>
          <w:noProof/>
        </w:rPr>
        <w:t>This scenario is based on the assumption that the measures of simplification are not subject to substantial modifications in the decision making process.</w:t>
      </w:r>
    </w:p>
    <w:p w:rsidR="00211384" w:rsidRDefault="004D1F15">
      <w:pPr>
        <w:pStyle w:val="Text1"/>
        <w:pBdr>
          <w:top w:val="single" w:sz="4" w:space="1" w:color="auto"/>
          <w:left w:val="single" w:sz="4" w:space="4" w:color="auto"/>
          <w:bottom w:val="single" w:sz="4" w:space="1" w:color="auto"/>
          <w:right w:val="single" w:sz="4" w:space="4" w:color="auto"/>
        </w:pBdr>
        <w:rPr>
          <w:noProof/>
        </w:rPr>
      </w:pPr>
      <w:r>
        <w:rPr>
          <w:noProof/>
        </w:rPr>
        <w:t xml:space="preserve">Note: this section only concerns the process of grant management (in </w:t>
      </w:r>
      <w:r>
        <w:rPr>
          <w:noProof/>
        </w:rPr>
        <w:t>the different management modes), for administrative and operational expenditure implemented through public procurement processes the risk of error at payment and closure should be below 2 %.</w:t>
      </w:r>
    </w:p>
    <w:p w:rsidR="00211384" w:rsidRDefault="004D1F15">
      <w:pPr>
        <w:pStyle w:val="ManualHeading2"/>
        <w:rPr>
          <w:bCs/>
          <w:noProof/>
          <w:szCs w:val="24"/>
        </w:rPr>
      </w:pPr>
      <w:r>
        <w:rPr>
          <w:noProof/>
        </w:rPr>
        <w:t>2.3.</w:t>
      </w:r>
      <w:r>
        <w:rPr>
          <w:noProof/>
        </w:rPr>
        <w:tab/>
        <w:t xml:space="preserve">Measures to prevent fraud and irregularities </w:t>
      </w:r>
    </w:p>
    <w:p w:rsidR="00211384" w:rsidRDefault="004D1F15">
      <w:pPr>
        <w:pStyle w:val="Text1"/>
        <w:rPr>
          <w:i/>
          <w:noProof/>
          <w:sz w:val="20"/>
        </w:rPr>
      </w:pPr>
      <w:r>
        <w:rPr>
          <w:i/>
          <w:noProof/>
          <w:sz w:val="20"/>
        </w:rPr>
        <w:t>Specify existi</w:t>
      </w:r>
      <w:r>
        <w:rPr>
          <w:i/>
          <w:noProof/>
          <w:sz w:val="20"/>
        </w:rPr>
        <w:t>ng or envisaged prevention and protection measures, e.g. from the Anti-Fraud Strategy.</w:t>
      </w:r>
    </w:p>
    <w:p w:rsidR="00211384" w:rsidRDefault="004D1F15">
      <w:pPr>
        <w:pStyle w:val="Text1"/>
        <w:pBdr>
          <w:top w:val="single" w:sz="4" w:space="1" w:color="auto"/>
          <w:left w:val="single" w:sz="4" w:space="4" w:color="auto"/>
          <w:bottom w:val="single" w:sz="4" w:space="1" w:color="auto"/>
          <w:right w:val="single" w:sz="4" w:space="4" w:color="auto"/>
        </w:pBdr>
        <w:rPr>
          <w:noProof/>
        </w:rPr>
      </w:pPr>
      <w:r>
        <w:rPr>
          <w:noProof/>
        </w:rPr>
        <w:t xml:space="preserve">The services charged with the implementation of the research and innovation budget are determined to fight against fraud at all stages of the grant management process. They have developed, and are implementing, anti-fraud strategies, including an enhanced </w:t>
      </w:r>
      <w:r>
        <w:rPr>
          <w:noProof/>
        </w:rPr>
        <w:t>use of intelligence, especially using advanced IT tools, and training and information for staff. These efforts will continue. Overall the measures proposed should have a positive impact on the fight against fraud, especially the greater emphasis on risk ba</w:t>
      </w:r>
      <w:r>
        <w:rPr>
          <w:noProof/>
        </w:rPr>
        <w:t xml:space="preserve">sed audit and reinforced scientific evaluation and control. </w:t>
      </w:r>
    </w:p>
    <w:p w:rsidR="00211384" w:rsidRDefault="004D1F15">
      <w:pPr>
        <w:pStyle w:val="Text1"/>
        <w:pBdr>
          <w:top w:val="single" w:sz="4" w:space="1" w:color="auto"/>
          <w:left w:val="single" w:sz="4" w:space="4" w:color="auto"/>
          <w:bottom w:val="single" w:sz="4" w:space="1" w:color="auto"/>
          <w:right w:val="single" w:sz="4" w:space="4" w:color="auto"/>
        </w:pBdr>
        <w:rPr>
          <w:noProof/>
        </w:rPr>
      </w:pPr>
      <w:r>
        <w:rPr>
          <w:noProof/>
        </w:rPr>
        <w:t xml:space="preserve">The current Anti-Fraud Strategy of the Commission services responsible for the implementation of the previous Framework Programmes, covering grants, as well as the anti-fraud strategies relating </w:t>
      </w:r>
      <w:r>
        <w:rPr>
          <w:noProof/>
        </w:rPr>
        <w:t>to other expenditure, will be updated after the revision of the Commission's Anti-Fraud Strategy in 2018. This will also cover risks related to lump sum funding, which has different risks that need to be taken into account.</w:t>
      </w:r>
    </w:p>
    <w:p w:rsidR="00211384" w:rsidRDefault="004D1F15">
      <w:pPr>
        <w:pStyle w:val="Text1"/>
        <w:pBdr>
          <w:top w:val="single" w:sz="4" w:space="1" w:color="auto"/>
          <w:left w:val="single" w:sz="4" w:space="4" w:color="auto"/>
          <w:bottom w:val="single" w:sz="4" w:space="1" w:color="auto"/>
          <w:right w:val="single" w:sz="4" w:space="4" w:color="auto"/>
        </w:pBdr>
        <w:rPr>
          <w:noProof/>
        </w:rPr>
      </w:pPr>
      <w:r>
        <w:rPr>
          <w:noProof/>
        </w:rPr>
        <w:t>It should be underlined that det</w:t>
      </w:r>
      <w:r>
        <w:rPr>
          <w:noProof/>
        </w:rPr>
        <w:t xml:space="preserve">ected fraud has been very low in proportion to total expenditure, nevertheless the Directorates General charged with the implementation of the research budget remain committed to combat it. </w:t>
      </w:r>
    </w:p>
    <w:p w:rsidR="00211384" w:rsidRDefault="004D1F15">
      <w:pPr>
        <w:pStyle w:val="Text1"/>
        <w:pBdr>
          <w:top w:val="single" w:sz="4" w:space="1" w:color="auto"/>
          <w:left w:val="single" w:sz="4" w:space="4" w:color="auto"/>
          <w:bottom w:val="single" w:sz="4" w:space="1" w:color="auto"/>
          <w:right w:val="single" w:sz="4" w:space="4" w:color="auto"/>
        </w:pBdr>
        <w:rPr>
          <w:noProof/>
        </w:rPr>
      </w:pPr>
      <w:r>
        <w:rPr>
          <w:noProof/>
        </w:rPr>
        <w:t>The legislation will ensure that audits and on-the-spot checks ca</w:t>
      </w:r>
      <w:r>
        <w:rPr>
          <w:noProof/>
        </w:rPr>
        <w:t>n be carried out by the Commission services, including OLAF, using the standard provisions recommended by OLAF.</w:t>
      </w:r>
    </w:p>
    <w:p w:rsidR="00211384" w:rsidRDefault="00211384">
      <w:pPr>
        <w:rPr>
          <w:noProof/>
        </w:rPr>
        <w:sectPr w:rsidR="00211384" w:rsidSect="004D1F15">
          <w:pgSz w:w="11907" w:h="16840" w:code="9"/>
          <w:pgMar w:top="1134" w:right="1418" w:bottom="1134" w:left="1418" w:header="709" w:footer="709" w:gutter="0"/>
          <w:cols w:space="708"/>
          <w:docGrid w:linePitch="360"/>
        </w:sectPr>
      </w:pPr>
    </w:p>
    <w:p w:rsidR="00211384" w:rsidRDefault="004D1F15">
      <w:pPr>
        <w:pStyle w:val="ManualHeading1"/>
        <w:rPr>
          <w:bCs/>
          <w:noProof/>
          <w:szCs w:val="24"/>
        </w:rPr>
      </w:pPr>
      <w:r>
        <w:rPr>
          <w:noProof/>
        </w:rPr>
        <w:t>3.</w:t>
      </w:r>
      <w:r>
        <w:rPr>
          <w:noProof/>
        </w:rPr>
        <w:tab/>
        <w:t xml:space="preserve">ESTIMATED FINANCIAL IMPACT OF THE PROPOSAL/INITIATIVE </w:t>
      </w:r>
    </w:p>
    <w:p w:rsidR="00211384" w:rsidRDefault="004D1F15">
      <w:pPr>
        <w:pStyle w:val="ManualHeading2"/>
        <w:rPr>
          <w:noProof/>
        </w:rPr>
      </w:pPr>
      <w:r>
        <w:rPr>
          <w:noProof/>
        </w:rPr>
        <w:t>3.1.</w:t>
      </w:r>
      <w:r>
        <w:rPr>
          <w:noProof/>
        </w:rPr>
        <w:tab/>
      </w:r>
      <w:r>
        <w:rPr>
          <w:noProof/>
        </w:rPr>
        <w:t xml:space="preserve">Heading of the multiannual financial framework and new expenditure budget line(s) proposed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211384">
        <w:tc>
          <w:tcPr>
            <w:tcW w:w="1080" w:type="dxa"/>
            <w:vMerge w:val="restart"/>
            <w:vAlign w:val="center"/>
          </w:tcPr>
          <w:p w:rsidR="00211384" w:rsidRDefault="004D1F15">
            <w:pPr>
              <w:spacing w:before="60" w:after="60"/>
              <w:jc w:val="center"/>
              <w:rPr>
                <w:noProof/>
              </w:rPr>
            </w:pPr>
            <w:r>
              <w:rPr>
                <w:noProof/>
                <w:sz w:val="18"/>
              </w:rPr>
              <w:t>Heading of multiannual financial framework</w:t>
            </w:r>
          </w:p>
        </w:tc>
        <w:tc>
          <w:tcPr>
            <w:tcW w:w="3960" w:type="dxa"/>
            <w:vAlign w:val="center"/>
          </w:tcPr>
          <w:p w:rsidR="00211384" w:rsidRDefault="004D1F15">
            <w:pPr>
              <w:spacing w:before="60" w:after="60"/>
              <w:jc w:val="center"/>
              <w:rPr>
                <w:noProof/>
              </w:rPr>
            </w:pPr>
            <w:r>
              <w:rPr>
                <w:noProof/>
                <w:sz w:val="20"/>
              </w:rPr>
              <w:t>Budget line</w:t>
            </w:r>
            <w:r>
              <w:rPr>
                <w:rStyle w:val="FootnoteReference"/>
                <w:noProof/>
              </w:rPr>
              <w:footnoteReference w:id="13"/>
            </w:r>
          </w:p>
        </w:tc>
        <w:tc>
          <w:tcPr>
            <w:tcW w:w="1080" w:type="dxa"/>
            <w:vAlign w:val="center"/>
          </w:tcPr>
          <w:p w:rsidR="00211384" w:rsidRDefault="004D1F15">
            <w:pPr>
              <w:spacing w:before="60" w:after="60"/>
              <w:jc w:val="center"/>
              <w:rPr>
                <w:noProof/>
              </w:rPr>
            </w:pPr>
            <w:r>
              <w:rPr>
                <w:noProof/>
                <w:sz w:val="18"/>
              </w:rPr>
              <w:t xml:space="preserve">Type of </w:t>
            </w:r>
            <w:r>
              <w:rPr>
                <w:noProof/>
                <w:sz w:val="22"/>
              </w:rPr>
              <w:br/>
            </w:r>
            <w:r>
              <w:rPr>
                <w:noProof/>
                <w:sz w:val="18"/>
              </w:rPr>
              <w:t>expenditure</w:t>
            </w:r>
          </w:p>
        </w:tc>
        <w:tc>
          <w:tcPr>
            <w:tcW w:w="4440" w:type="dxa"/>
            <w:gridSpan w:val="4"/>
            <w:vAlign w:val="center"/>
          </w:tcPr>
          <w:p w:rsidR="00211384" w:rsidRDefault="004D1F15">
            <w:pPr>
              <w:spacing w:before="60" w:after="60"/>
              <w:jc w:val="center"/>
              <w:rPr>
                <w:noProof/>
              </w:rPr>
            </w:pPr>
            <w:r>
              <w:rPr>
                <w:noProof/>
                <w:sz w:val="20"/>
              </w:rPr>
              <w:t xml:space="preserve">Contribution </w:t>
            </w:r>
          </w:p>
        </w:tc>
      </w:tr>
      <w:tr w:rsidR="00211384">
        <w:tc>
          <w:tcPr>
            <w:tcW w:w="1080" w:type="dxa"/>
            <w:vMerge/>
            <w:vAlign w:val="center"/>
          </w:tcPr>
          <w:p w:rsidR="00211384" w:rsidRDefault="00211384">
            <w:pPr>
              <w:jc w:val="center"/>
              <w:rPr>
                <w:noProof/>
              </w:rPr>
            </w:pPr>
          </w:p>
        </w:tc>
        <w:tc>
          <w:tcPr>
            <w:tcW w:w="3960" w:type="dxa"/>
            <w:vAlign w:val="center"/>
          </w:tcPr>
          <w:p w:rsidR="00211384" w:rsidRDefault="004D1F15">
            <w:pPr>
              <w:rPr>
                <w:noProof/>
              </w:rPr>
            </w:pPr>
            <w:r>
              <w:rPr>
                <w:noProof/>
              </w:rPr>
              <w:t>Heading 1. Single Market, Innovation and Digital</w:t>
            </w:r>
          </w:p>
        </w:tc>
        <w:tc>
          <w:tcPr>
            <w:tcW w:w="1080" w:type="dxa"/>
            <w:vAlign w:val="center"/>
          </w:tcPr>
          <w:p w:rsidR="00211384" w:rsidRDefault="004D1F15">
            <w:pPr>
              <w:jc w:val="center"/>
              <w:rPr>
                <w:noProof/>
              </w:rPr>
            </w:pPr>
            <w:r>
              <w:rPr>
                <w:noProof/>
                <w:sz w:val="18"/>
              </w:rPr>
              <w:t>Diff./Non-diff.</w:t>
            </w:r>
            <w:r>
              <w:rPr>
                <w:rStyle w:val="FootnoteReference"/>
                <w:noProof/>
              </w:rPr>
              <w:footnoteReference w:id="14"/>
            </w:r>
          </w:p>
        </w:tc>
        <w:tc>
          <w:tcPr>
            <w:tcW w:w="956" w:type="dxa"/>
            <w:vAlign w:val="center"/>
          </w:tcPr>
          <w:p w:rsidR="00211384" w:rsidRDefault="004D1F15">
            <w:pPr>
              <w:jc w:val="center"/>
              <w:rPr>
                <w:noProof/>
              </w:rPr>
            </w:pPr>
            <w:r>
              <w:rPr>
                <w:noProof/>
                <w:sz w:val="18"/>
              </w:rPr>
              <w:t xml:space="preserve">from </w:t>
            </w:r>
            <w:r>
              <w:rPr>
                <w:noProof/>
                <w:sz w:val="18"/>
              </w:rPr>
              <w:t>EFTA countries</w:t>
            </w:r>
            <w:r>
              <w:rPr>
                <w:rStyle w:val="FootnoteReference"/>
                <w:noProof/>
              </w:rPr>
              <w:footnoteReference w:id="15"/>
            </w:r>
          </w:p>
          <w:p w:rsidR="00211384" w:rsidRDefault="00211384">
            <w:pPr>
              <w:spacing w:before="0" w:after="0"/>
              <w:jc w:val="center"/>
              <w:rPr>
                <w:b/>
                <w:noProof/>
                <w:sz w:val="18"/>
              </w:rPr>
            </w:pPr>
          </w:p>
        </w:tc>
        <w:tc>
          <w:tcPr>
            <w:tcW w:w="1080" w:type="dxa"/>
            <w:vAlign w:val="center"/>
          </w:tcPr>
          <w:p w:rsidR="00211384" w:rsidRDefault="004D1F15">
            <w:pPr>
              <w:jc w:val="center"/>
              <w:rPr>
                <w:noProof/>
              </w:rPr>
            </w:pPr>
            <w:r>
              <w:rPr>
                <w:noProof/>
                <w:sz w:val="18"/>
              </w:rPr>
              <w:t>from candidate countries</w:t>
            </w:r>
            <w:r>
              <w:rPr>
                <w:rStyle w:val="FootnoteReference"/>
                <w:noProof/>
              </w:rPr>
              <w:footnoteReference w:id="16"/>
            </w:r>
          </w:p>
          <w:p w:rsidR="00211384" w:rsidRDefault="00211384">
            <w:pPr>
              <w:spacing w:before="0" w:after="0"/>
              <w:jc w:val="center"/>
              <w:rPr>
                <w:noProof/>
                <w:sz w:val="18"/>
              </w:rPr>
            </w:pPr>
          </w:p>
        </w:tc>
        <w:tc>
          <w:tcPr>
            <w:tcW w:w="956" w:type="dxa"/>
            <w:vAlign w:val="center"/>
          </w:tcPr>
          <w:p w:rsidR="00211384" w:rsidRDefault="004D1F15">
            <w:pPr>
              <w:jc w:val="center"/>
              <w:rPr>
                <w:noProof/>
                <w:sz w:val="18"/>
              </w:rPr>
            </w:pPr>
            <w:r>
              <w:rPr>
                <w:noProof/>
                <w:sz w:val="18"/>
              </w:rPr>
              <w:t>from third countries</w:t>
            </w:r>
          </w:p>
        </w:tc>
        <w:tc>
          <w:tcPr>
            <w:tcW w:w="1448" w:type="dxa"/>
            <w:vAlign w:val="center"/>
          </w:tcPr>
          <w:p w:rsidR="00211384" w:rsidRDefault="004D1F15">
            <w:pPr>
              <w:jc w:val="center"/>
              <w:rPr>
                <w:noProof/>
              </w:rPr>
            </w:pPr>
            <w:r>
              <w:rPr>
                <w:noProof/>
                <w:sz w:val="16"/>
              </w:rPr>
              <w:t xml:space="preserve">within the meaning of Article [21(2)(b)] of the Financial Regulation </w:t>
            </w:r>
          </w:p>
        </w:tc>
      </w:tr>
      <w:tr w:rsidR="00211384">
        <w:tc>
          <w:tcPr>
            <w:tcW w:w="1080" w:type="dxa"/>
            <w:vAlign w:val="center"/>
          </w:tcPr>
          <w:p w:rsidR="00211384" w:rsidRDefault="004D1F15">
            <w:pPr>
              <w:jc w:val="center"/>
              <w:rPr>
                <w:noProof/>
                <w:color w:val="0000FF"/>
              </w:rPr>
            </w:pPr>
            <w:r>
              <w:rPr>
                <w:noProof/>
              </w:rPr>
              <w:t>H1</w:t>
            </w:r>
          </w:p>
        </w:tc>
        <w:tc>
          <w:tcPr>
            <w:tcW w:w="3960" w:type="dxa"/>
            <w:vAlign w:val="center"/>
          </w:tcPr>
          <w:p w:rsidR="00211384" w:rsidRDefault="00211384">
            <w:pPr>
              <w:spacing w:before="60"/>
              <w:rPr>
                <w:noProof/>
              </w:rPr>
            </w:pPr>
          </w:p>
          <w:p w:rsidR="00211384" w:rsidRDefault="004D1F15">
            <w:pPr>
              <w:spacing w:before="60"/>
              <w:rPr>
                <w:noProof/>
              </w:rPr>
            </w:pPr>
            <w:r>
              <w:rPr>
                <w:noProof/>
              </w:rPr>
              <w:t xml:space="preserve">01.010101 Expenditure related to officials and temporary staff implementing research and innovation programmes – </w:t>
            </w:r>
            <w:r>
              <w:rPr>
                <w:noProof/>
              </w:rPr>
              <w:t>Horizon Europe</w:t>
            </w:r>
          </w:p>
          <w:p w:rsidR="00211384" w:rsidRDefault="004D1F15">
            <w:pPr>
              <w:spacing w:before="60"/>
              <w:rPr>
                <w:noProof/>
              </w:rPr>
            </w:pPr>
            <w:r>
              <w:rPr>
                <w:noProof/>
              </w:rPr>
              <w:t>01.010102 External personnel implementing research and innovation programmes – Horizon Europe</w:t>
            </w:r>
          </w:p>
          <w:p w:rsidR="00211384" w:rsidRDefault="004D1F15">
            <w:pPr>
              <w:spacing w:before="60"/>
              <w:rPr>
                <w:noProof/>
              </w:rPr>
            </w:pPr>
            <w:r>
              <w:rPr>
                <w:noProof/>
              </w:rPr>
              <w:t>01.010103 Other management expenditure for research and innovation programmes – Horizon Europe</w:t>
            </w:r>
          </w:p>
          <w:p w:rsidR="00211384" w:rsidRDefault="00211384">
            <w:pPr>
              <w:spacing w:before="60"/>
              <w:rPr>
                <w:noProof/>
              </w:rPr>
            </w:pPr>
          </w:p>
          <w:p w:rsidR="00211384" w:rsidRDefault="004D1F15">
            <w:pPr>
              <w:spacing w:before="60"/>
              <w:rPr>
                <w:noProof/>
              </w:rPr>
            </w:pPr>
            <w:r>
              <w:rPr>
                <w:noProof/>
              </w:rPr>
              <w:t>01.0201 Open Science</w:t>
            </w:r>
          </w:p>
          <w:p w:rsidR="00211384" w:rsidRDefault="004D1F15">
            <w:pPr>
              <w:spacing w:before="60"/>
              <w:rPr>
                <w:noProof/>
              </w:rPr>
            </w:pPr>
            <w:r>
              <w:rPr>
                <w:noProof/>
              </w:rPr>
              <w:t xml:space="preserve">01.0202 Global Challenges and </w:t>
            </w:r>
            <w:r>
              <w:rPr>
                <w:noProof/>
              </w:rPr>
              <w:t>Industrial Competitiveness</w:t>
            </w:r>
          </w:p>
          <w:p w:rsidR="00211384" w:rsidRDefault="004D1F15">
            <w:pPr>
              <w:spacing w:before="60"/>
              <w:rPr>
                <w:noProof/>
              </w:rPr>
            </w:pPr>
            <w:r>
              <w:rPr>
                <w:noProof/>
              </w:rPr>
              <w:t>01.0203 Open Innovation</w:t>
            </w:r>
          </w:p>
          <w:p w:rsidR="00211384" w:rsidRDefault="004D1F15">
            <w:pPr>
              <w:spacing w:before="60"/>
              <w:rPr>
                <w:noProof/>
              </w:rPr>
            </w:pPr>
            <w:r>
              <w:rPr>
                <w:noProof/>
              </w:rPr>
              <w:t>01.0204 Strengthening the European Research Area</w:t>
            </w:r>
          </w:p>
          <w:p w:rsidR="00211384" w:rsidRDefault="00211384">
            <w:pPr>
              <w:spacing w:after="60"/>
              <w:rPr>
                <w:noProof/>
              </w:rPr>
            </w:pPr>
          </w:p>
        </w:tc>
        <w:tc>
          <w:tcPr>
            <w:tcW w:w="1080" w:type="dxa"/>
          </w:tcPr>
          <w:p w:rsidR="00211384" w:rsidRDefault="00211384">
            <w:pPr>
              <w:jc w:val="center"/>
              <w:rPr>
                <w:noProof/>
                <w:sz w:val="22"/>
              </w:rPr>
            </w:pPr>
          </w:p>
          <w:p w:rsidR="00211384" w:rsidRDefault="00211384">
            <w:pPr>
              <w:jc w:val="center"/>
              <w:rPr>
                <w:noProof/>
                <w:sz w:val="22"/>
              </w:rPr>
            </w:pPr>
          </w:p>
          <w:p w:rsidR="00211384" w:rsidRDefault="00211384">
            <w:pPr>
              <w:jc w:val="center"/>
              <w:rPr>
                <w:noProof/>
                <w:sz w:val="22"/>
              </w:rPr>
            </w:pPr>
          </w:p>
          <w:p w:rsidR="00211384" w:rsidRDefault="00211384">
            <w:pPr>
              <w:jc w:val="center"/>
              <w:rPr>
                <w:noProof/>
                <w:sz w:val="22"/>
              </w:rPr>
            </w:pPr>
          </w:p>
          <w:p w:rsidR="00211384" w:rsidRDefault="00211384">
            <w:pPr>
              <w:jc w:val="center"/>
              <w:rPr>
                <w:noProof/>
                <w:sz w:val="22"/>
              </w:rPr>
            </w:pPr>
          </w:p>
          <w:p w:rsidR="00211384" w:rsidRDefault="004D1F15">
            <w:pPr>
              <w:jc w:val="center"/>
              <w:rPr>
                <w:noProof/>
                <w:sz w:val="22"/>
              </w:rPr>
            </w:pPr>
            <w:r>
              <w:rPr>
                <w:noProof/>
                <w:sz w:val="22"/>
              </w:rPr>
              <w:t>Non-diff.</w:t>
            </w:r>
          </w:p>
          <w:p w:rsidR="00211384" w:rsidRDefault="00211384">
            <w:pPr>
              <w:jc w:val="center"/>
              <w:rPr>
                <w:noProof/>
                <w:sz w:val="22"/>
              </w:rPr>
            </w:pPr>
          </w:p>
          <w:p w:rsidR="00211384" w:rsidRDefault="00211384">
            <w:pPr>
              <w:jc w:val="center"/>
              <w:rPr>
                <w:noProof/>
                <w:sz w:val="22"/>
              </w:rPr>
            </w:pPr>
          </w:p>
          <w:p w:rsidR="00211384" w:rsidRDefault="00211384">
            <w:pPr>
              <w:jc w:val="center"/>
              <w:rPr>
                <w:noProof/>
                <w:sz w:val="22"/>
              </w:rPr>
            </w:pPr>
          </w:p>
          <w:p w:rsidR="00211384" w:rsidRDefault="00211384">
            <w:pPr>
              <w:jc w:val="center"/>
              <w:rPr>
                <w:noProof/>
                <w:sz w:val="22"/>
              </w:rPr>
            </w:pPr>
          </w:p>
          <w:p w:rsidR="00211384" w:rsidRDefault="00211384">
            <w:pPr>
              <w:jc w:val="center"/>
              <w:rPr>
                <w:noProof/>
                <w:sz w:val="22"/>
              </w:rPr>
            </w:pPr>
          </w:p>
          <w:p w:rsidR="00211384" w:rsidRDefault="00211384">
            <w:pPr>
              <w:jc w:val="center"/>
              <w:rPr>
                <w:noProof/>
                <w:sz w:val="22"/>
              </w:rPr>
            </w:pPr>
          </w:p>
          <w:p w:rsidR="00211384" w:rsidRDefault="00211384">
            <w:pPr>
              <w:jc w:val="center"/>
              <w:rPr>
                <w:noProof/>
                <w:sz w:val="22"/>
              </w:rPr>
            </w:pPr>
          </w:p>
          <w:p w:rsidR="00211384" w:rsidRDefault="004D1F15">
            <w:pPr>
              <w:jc w:val="center"/>
              <w:rPr>
                <w:noProof/>
                <w:color w:val="0000FF"/>
              </w:rPr>
            </w:pPr>
            <w:r>
              <w:rPr>
                <w:noProof/>
                <w:sz w:val="22"/>
              </w:rPr>
              <w:t>Diff.</w:t>
            </w:r>
          </w:p>
        </w:tc>
        <w:tc>
          <w:tcPr>
            <w:tcW w:w="956" w:type="dxa"/>
            <w:vAlign w:val="center"/>
          </w:tcPr>
          <w:p w:rsidR="00211384" w:rsidRDefault="004D1F15">
            <w:pPr>
              <w:jc w:val="center"/>
              <w:rPr>
                <w:noProof/>
              </w:rPr>
            </w:pPr>
            <w:r>
              <w:rPr>
                <w:noProof/>
                <w:sz w:val="22"/>
              </w:rPr>
              <w:t>YES</w:t>
            </w:r>
          </w:p>
        </w:tc>
        <w:tc>
          <w:tcPr>
            <w:tcW w:w="1080" w:type="dxa"/>
            <w:vAlign w:val="center"/>
          </w:tcPr>
          <w:p w:rsidR="00211384" w:rsidRDefault="004D1F15">
            <w:pPr>
              <w:jc w:val="center"/>
              <w:rPr>
                <w:noProof/>
              </w:rPr>
            </w:pPr>
            <w:r>
              <w:rPr>
                <w:noProof/>
                <w:sz w:val="22"/>
              </w:rPr>
              <w:t>YES</w:t>
            </w:r>
          </w:p>
        </w:tc>
        <w:tc>
          <w:tcPr>
            <w:tcW w:w="956" w:type="dxa"/>
            <w:vAlign w:val="center"/>
          </w:tcPr>
          <w:p w:rsidR="00211384" w:rsidRDefault="004D1F15">
            <w:pPr>
              <w:jc w:val="center"/>
              <w:rPr>
                <w:noProof/>
              </w:rPr>
            </w:pPr>
            <w:r>
              <w:rPr>
                <w:noProof/>
                <w:sz w:val="22"/>
              </w:rPr>
              <w:t>YES</w:t>
            </w:r>
          </w:p>
        </w:tc>
        <w:tc>
          <w:tcPr>
            <w:tcW w:w="1448" w:type="dxa"/>
            <w:vAlign w:val="center"/>
          </w:tcPr>
          <w:p w:rsidR="00211384" w:rsidRDefault="004D1F15">
            <w:pPr>
              <w:jc w:val="center"/>
              <w:rPr>
                <w:noProof/>
              </w:rPr>
            </w:pPr>
            <w:r>
              <w:rPr>
                <w:noProof/>
                <w:sz w:val="22"/>
              </w:rPr>
              <w:t>NO</w:t>
            </w:r>
          </w:p>
        </w:tc>
      </w:tr>
    </w:tbl>
    <w:p w:rsidR="00211384" w:rsidRDefault="00211384">
      <w:pPr>
        <w:rPr>
          <w:noProof/>
        </w:rPr>
        <w:sectPr w:rsidR="00211384" w:rsidSect="004D1F15">
          <w:pgSz w:w="11907" w:h="16840" w:code="1"/>
          <w:pgMar w:top="1134" w:right="1418" w:bottom="1134" w:left="1418" w:header="709" w:footer="709" w:gutter="0"/>
          <w:cols w:space="708"/>
          <w:docGrid w:linePitch="360"/>
        </w:sectPr>
      </w:pPr>
    </w:p>
    <w:p w:rsidR="00211384" w:rsidRDefault="004D1F15">
      <w:pPr>
        <w:pStyle w:val="ManualHeading2"/>
        <w:rPr>
          <w:bCs/>
          <w:noProof/>
          <w:szCs w:val="24"/>
        </w:rPr>
      </w:pPr>
      <w:r>
        <w:rPr>
          <w:noProof/>
        </w:rPr>
        <w:t>3.2.</w:t>
      </w:r>
      <w:r>
        <w:rPr>
          <w:noProof/>
        </w:rPr>
        <w:tab/>
        <w:t xml:space="preserve">Estimated impact on expenditure </w:t>
      </w:r>
    </w:p>
    <w:p w:rsidR="00211384" w:rsidRDefault="004D1F15">
      <w:pPr>
        <w:pStyle w:val="ManualHeading3"/>
        <w:rPr>
          <w:noProof/>
          <w:u w:val="single"/>
        </w:rPr>
      </w:pPr>
      <w:r>
        <w:rPr>
          <w:noProof/>
        </w:rPr>
        <w:t>3.2.1.</w:t>
      </w:r>
      <w:r>
        <w:rPr>
          <w:noProof/>
        </w:rPr>
        <w:tab/>
      </w:r>
      <w:r>
        <w:rPr>
          <w:noProof/>
        </w:rPr>
        <w:t xml:space="preserve">Summary of estimated impact on expenditure </w:t>
      </w:r>
    </w:p>
    <w:p w:rsidR="00211384" w:rsidRDefault="004D1F15">
      <w:pPr>
        <w:jc w:val="right"/>
        <w:rPr>
          <w:noProof/>
          <w:sz w:val="20"/>
        </w:rPr>
      </w:pPr>
      <w:r>
        <w:rPr>
          <w:noProof/>
          <w:sz w:val="20"/>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211384">
        <w:trPr>
          <w:jc w:val="center"/>
        </w:trPr>
        <w:tc>
          <w:tcPr>
            <w:tcW w:w="4744" w:type="dxa"/>
            <w:shd w:val="thinDiagStripe" w:color="C0C0C0" w:fill="auto"/>
            <w:vAlign w:val="center"/>
          </w:tcPr>
          <w:p w:rsidR="00211384" w:rsidRDefault="004D1F15">
            <w:pPr>
              <w:spacing w:before="60" w:after="60"/>
              <w:jc w:val="center"/>
              <w:rPr>
                <w:b/>
                <w:noProof/>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rsidR="00211384" w:rsidRDefault="004D1F15">
            <w:pPr>
              <w:spacing w:before="60" w:after="60"/>
              <w:jc w:val="center"/>
              <w:rPr>
                <w:noProof/>
              </w:rPr>
            </w:pPr>
            <w:r>
              <w:rPr>
                <w:b/>
                <w:noProof/>
                <w:sz w:val="22"/>
              </w:rPr>
              <w:t>1</w:t>
            </w:r>
          </w:p>
        </w:tc>
        <w:tc>
          <w:tcPr>
            <w:tcW w:w="7817" w:type="dxa"/>
            <w:vAlign w:val="center"/>
          </w:tcPr>
          <w:p w:rsidR="00211384" w:rsidRDefault="004D1F15">
            <w:pPr>
              <w:spacing w:before="60" w:after="60"/>
              <w:rPr>
                <w:noProof/>
              </w:rPr>
            </w:pPr>
            <w:r>
              <w:rPr>
                <w:noProof/>
              </w:rPr>
              <w:t>Single Market, Innovation and Digital</w:t>
            </w:r>
          </w:p>
        </w:tc>
      </w:tr>
    </w:tbl>
    <w:p w:rsidR="00211384" w:rsidRDefault="00211384">
      <w:pPr>
        <w:rPr>
          <w:noProof/>
          <w:sz w:val="16"/>
        </w:rPr>
      </w:pPr>
    </w:p>
    <w:tbl>
      <w:tblPr>
        <w:tblW w:w="14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6"/>
        <w:gridCol w:w="1295"/>
        <w:gridCol w:w="705"/>
        <w:gridCol w:w="962"/>
        <w:gridCol w:w="848"/>
        <w:gridCol w:w="848"/>
        <w:gridCol w:w="848"/>
        <w:gridCol w:w="848"/>
        <w:gridCol w:w="848"/>
        <w:gridCol w:w="848"/>
        <w:gridCol w:w="1016"/>
        <w:gridCol w:w="1256"/>
        <w:gridCol w:w="356"/>
      </w:tblGrid>
      <w:tr w:rsidR="00211384">
        <w:trPr>
          <w:gridAfter w:val="1"/>
          <w:wAfter w:w="356" w:type="dxa"/>
          <w:jc w:val="center"/>
        </w:trPr>
        <w:tc>
          <w:tcPr>
            <w:tcW w:w="5426" w:type="dxa"/>
            <w:gridSpan w:val="3"/>
            <w:tcBorders>
              <w:top w:val="nil"/>
              <w:left w:val="nil"/>
              <w:bottom w:val="nil"/>
              <w:right w:val="single" w:sz="4" w:space="0" w:color="auto"/>
            </w:tcBorders>
            <w:vAlign w:val="center"/>
          </w:tcPr>
          <w:p w:rsidR="00211384" w:rsidRDefault="00211384">
            <w:pPr>
              <w:jc w:val="center"/>
              <w:rPr>
                <w:b/>
                <w:noProof/>
                <w:sz w:val="14"/>
              </w:rPr>
            </w:pPr>
          </w:p>
        </w:tc>
        <w:tc>
          <w:tcPr>
            <w:tcW w:w="962" w:type="dxa"/>
            <w:tcBorders>
              <w:left w:val="single" w:sz="4" w:space="0" w:color="auto"/>
            </w:tcBorders>
            <w:vAlign w:val="center"/>
          </w:tcPr>
          <w:p w:rsidR="00211384" w:rsidRDefault="004D1F15">
            <w:pPr>
              <w:jc w:val="center"/>
              <w:rPr>
                <w:b/>
                <w:noProof/>
                <w:sz w:val="14"/>
              </w:rPr>
            </w:pPr>
            <w:r>
              <w:rPr>
                <w:b/>
                <w:noProof/>
                <w:sz w:val="14"/>
              </w:rPr>
              <w:t>2021</w:t>
            </w:r>
          </w:p>
        </w:tc>
        <w:tc>
          <w:tcPr>
            <w:tcW w:w="848" w:type="dxa"/>
            <w:vAlign w:val="center"/>
          </w:tcPr>
          <w:p w:rsidR="00211384" w:rsidRDefault="004D1F15">
            <w:pPr>
              <w:jc w:val="center"/>
              <w:rPr>
                <w:b/>
                <w:noProof/>
                <w:sz w:val="14"/>
              </w:rPr>
            </w:pPr>
            <w:r>
              <w:rPr>
                <w:b/>
                <w:noProof/>
                <w:sz w:val="14"/>
              </w:rPr>
              <w:t>2022</w:t>
            </w:r>
          </w:p>
        </w:tc>
        <w:tc>
          <w:tcPr>
            <w:tcW w:w="848" w:type="dxa"/>
            <w:vAlign w:val="center"/>
          </w:tcPr>
          <w:p w:rsidR="00211384" w:rsidRDefault="004D1F15">
            <w:pPr>
              <w:jc w:val="center"/>
              <w:rPr>
                <w:b/>
                <w:noProof/>
                <w:sz w:val="14"/>
              </w:rPr>
            </w:pPr>
            <w:r>
              <w:rPr>
                <w:b/>
                <w:noProof/>
                <w:sz w:val="14"/>
              </w:rPr>
              <w:t>2023</w:t>
            </w:r>
          </w:p>
        </w:tc>
        <w:tc>
          <w:tcPr>
            <w:tcW w:w="848" w:type="dxa"/>
            <w:vAlign w:val="center"/>
          </w:tcPr>
          <w:p w:rsidR="00211384" w:rsidRDefault="004D1F15">
            <w:pPr>
              <w:jc w:val="center"/>
              <w:rPr>
                <w:b/>
                <w:noProof/>
                <w:sz w:val="14"/>
              </w:rPr>
            </w:pPr>
            <w:r>
              <w:rPr>
                <w:b/>
                <w:noProof/>
                <w:sz w:val="14"/>
              </w:rPr>
              <w:t>2024</w:t>
            </w:r>
          </w:p>
        </w:tc>
        <w:tc>
          <w:tcPr>
            <w:tcW w:w="848" w:type="dxa"/>
            <w:vAlign w:val="center"/>
          </w:tcPr>
          <w:p w:rsidR="00211384" w:rsidRDefault="004D1F15">
            <w:pPr>
              <w:jc w:val="center"/>
              <w:rPr>
                <w:b/>
                <w:noProof/>
                <w:sz w:val="14"/>
              </w:rPr>
            </w:pPr>
            <w:r>
              <w:rPr>
                <w:b/>
                <w:noProof/>
                <w:sz w:val="14"/>
              </w:rPr>
              <w:t>2025</w:t>
            </w:r>
          </w:p>
        </w:tc>
        <w:tc>
          <w:tcPr>
            <w:tcW w:w="848" w:type="dxa"/>
            <w:vAlign w:val="center"/>
          </w:tcPr>
          <w:p w:rsidR="00211384" w:rsidRDefault="004D1F15">
            <w:pPr>
              <w:jc w:val="center"/>
              <w:rPr>
                <w:b/>
                <w:noProof/>
                <w:sz w:val="14"/>
              </w:rPr>
            </w:pPr>
            <w:r>
              <w:rPr>
                <w:b/>
                <w:noProof/>
                <w:sz w:val="14"/>
              </w:rPr>
              <w:t>2026</w:t>
            </w:r>
          </w:p>
        </w:tc>
        <w:tc>
          <w:tcPr>
            <w:tcW w:w="848" w:type="dxa"/>
            <w:vAlign w:val="center"/>
          </w:tcPr>
          <w:p w:rsidR="00211384" w:rsidRDefault="004D1F15">
            <w:pPr>
              <w:jc w:val="center"/>
              <w:rPr>
                <w:b/>
                <w:noProof/>
                <w:sz w:val="14"/>
              </w:rPr>
            </w:pPr>
            <w:r>
              <w:rPr>
                <w:b/>
                <w:noProof/>
                <w:sz w:val="14"/>
              </w:rPr>
              <w:t>2027</w:t>
            </w:r>
          </w:p>
        </w:tc>
        <w:tc>
          <w:tcPr>
            <w:tcW w:w="1016" w:type="dxa"/>
          </w:tcPr>
          <w:p w:rsidR="00211384" w:rsidRDefault="004D1F15">
            <w:pPr>
              <w:jc w:val="center"/>
              <w:rPr>
                <w:b/>
                <w:i/>
                <w:noProof/>
                <w:sz w:val="14"/>
              </w:rPr>
            </w:pPr>
            <w:r>
              <w:rPr>
                <w:b/>
                <w:i/>
                <w:noProof/>
                <w:sz w:val="14"/>
              </w:rPr>
              <w:t>Post 2027</w:t>
            </w:r>
          </w:p>
        </w:tc>
        <w:tc>
          <w:tcPr>
            <w:tcW w:w="1256" w:type="dxa"/>
            <w:vAlign w:val="center"/>
          </w:tcPr>
          <w:p w:rsidR="00211384" w:rsidRDefault="004D1F15">
            <w:pPr>
              <w:jc w:val="center"/>
              <w:rPr>
                <w:b/>
                <w:noProof/>
                <w:sz w:val="14"/>
              </w:rPr>
            </w:pPr>
            <w:r>
              <w:rPr>
                <w:b/>
                <w:noProof/>
                <w:sz w:val="14"/>
              </w:rPr>
              <w:t>TOTAL</w:t>
            </w:r>
          </w:p>
        </w:tc>
      </w:tr>
      <w:tr w:rsidR="00211384">
        <w:trPr>
          <w:gridAfter w:val="1"/>
          <w:wAfter w:w="356" w:type="dxa"/>
          <w:trHeight w:val="433"/>
          <w:jc w:val="center"/>
        </w:trPr>
        <w:tc>
          <w:tcPr>
            <w:tcW w:w="3426" w:type="dxa"/>
            <w:vMerge w:val="restart"/>
            <w:vAlign w:val="center"/>
          </w:tcPr>
          <w:p w:rsidR="00211384" w:rsidRDefault="004D1F15">
            <w:pPr>
              <w:rPr>
                <w:noProof/>
                <w:sz w:val="16"/>
              </w:rPr>
            </w:pPr>
            <w:r>
              <w:rPr>
                <w:noProof/>
                <w:sz w:val="16"/>
              </w:rPr>
              <w:t>Operational appropriations</w:t>
            </w:r>
          </w:p>
        </w:tc>
        <w:tc>
          <w:tcPr>
            <w:tcW w:w="1295" w:type="dxa"/>
            <w:vAlign w:val="center"/>
          </w:tcPr>
          <w:p w:rsidR="00211384" w:rsidRDefault="004D1F15">
            <w:pPr>
              <w:spacing w:before="20" w:after="20"/>
              <w:jc w:val="left"/>
              <w:rPr>
                <w:noProof/>
                <w:sz w:val="16"/>
              </w:rPr>
            </w:pPr>
            <w:r>
              <w:rPr>
                <w:noProof/>
                <w:sz w:val="16"/>
              </w:rPr>
              <w:t>Commitments</w:t>
            </w:r>
          </w:p>
        </w:tc>
        <w:tc>
          <w:tcPr>
            <w:tcW w:w="705" w:type="dxa"/>
            <w:vAlign w:val="center"/>
          </w:tcPr>
          <w:p w:rsidR="00211384" w:rsidRDefault="004D1F15">
            <w:pPr>
              <w:spacing w:before="20" w:after="20"/>
              <w:jc w:val="center"/>
              <w:rPr>
                <w:noProof/>
                <w:sz w:val="14"/>
              </w:rPr>
            </w:pPr>
            <w:r>
              <w:rPr>
                <w:noProof/>
                <w:sz w:val="14"/>
              </w:rPr>
              <w:t>(1)</w:t>
            </w:r>
          </w:p>
        </w:tc>
        <w:tc>
          <w:tcPr>
            <w:tcW w:w="962" w:type="dxa"/>
            <w:vAlign w:val="bottom"/>
          </w:tcPr>
          <w:p w:rsidR="00211384" w:rsidRDefault="004D1F15">
            <w:pPr>
              <w:spacing w:before="20" w:after="20"/>
              <w:jc w:val="right"/>
              <w:rPr>
                <w:b/>
                <w:noProof/>
                <w:sz w:val="14"/>
              </w:rPr>
            </w:pPr>
            <w:r>
              <w:rPr>
                <w:b/>
                <w:noProof/>
                <w:color w:val="000000"/>
                <w:sz w:val="14"/>
                <w:szCs w:val="20"/>
              </w:rPr>
              <w:t>11 825.394</w:t>
            </w:r>
          </w:p>
        </w:tc>
        <w:tc>
          <w:tcPr>
            <w:tcW w:w="848" w:type="dxa"/>
            <w:vAlign w:val="bottom"/>
          </w:tcPr>
          <w:p w:rsidR="00211384" w:rsidRDefault="004D1F15">
            <w:pPr>
              <w:spacing w:before="20" w:after="20"/>
              <w:jc w:val="right"/>
              <w:rPr>
                <w:b/>
                <w:noProof/>
                <w:sz w:val="14"/>
              </w:rPr>
            </w:pPr>
            <w:r>
              <w:rPr>
                <w:b/>
                <w:noProof/>
                <w:color w:val="000000"/>
                <w:sz w:val="14"/>
                <w:szCs w:val="20"/>
              </w:rPr>
              <w:t>12 064.784</w:t>
            </w:r>
          </w:p>
        </w:tc>
        <w:tc>
          <w:tcPr>
            <w:tcW w:w="848" w:type="dxa"/>
            <w:vAlign w:val="bottom"/>
          </w:tcPr>
          <w:p w:rsidR="00211384" w:rsidRDefault="004D1F15">
            <w:pPr>
              <w:spacing w:before="20" w:after="20"/>
              <w:jc w:val="right"/>
              <w:rPr>
                <w:b/>
                <w:noProof/>
                <w:sz w:val="14"/>
              </w:rPr>
            </w:pPr>
            <w:r>
              <w:rPr>
                <w:b/>
                <w:noProof/>
                <w:color w:val="000000"/>
                <w:sz w:val="14"/>
                <w:szCs w:val="20"/>
              </w:rPr>
              <w:t>12 307.891</w:t>
            </w:r>
          </w:p>
        </w:tc>
        <w:tc>
          <w:tcPr>
            <w:tcW w:w="848" w:type="dxa"/>
            <w:vAlign w:val="bottom"/>
          </w:tcPr>
          <w:p w:rsidR="00211384" w:rsidRDefault="004D1F15">
            <w:pPr>
              <w:spacing w:before="20" w:after="20"/>
              <w:jc w:val="right"/>
              <w:rPr>
                <w:b/>
                <w:noProof/>
                <w:sz w:val="14"/>
              </w:rPr>
            </w:pPr>
            <w:r>
              <w:rPr>
                <w:b/>
                <w:noProof/>
                <w:color w:val="000000"/>
                <w:sz w:val="14"/>
                <w:szCs w:val="20"/>
              </w:rPr>
              <w:t>12 556.625</w:t>
            </w:r>
          </w:p>
        </w:tc>
        <w:tc>
          <w:tcPr>
            <w:tcW w:w="848" w:type="dxa"/>
            <w:vAlign w:val="bottom"/>
          </w:tcPr>
          <w:p w:rsidR="00211384" w:rsidRDefault="004D1F15">
            <w:pPr>
              <w:spacing w:before="20" w:after="20"/>
              <w:jc w:val="right"/>
              <w:rPr>
                <w:b/>
                <w:noProof/>
                <w:sz w:val="14"/>
              </w:rPr>
            </w:pPr>
            <w:r>
              <w:rPr>
                <w:b/>
                <w:noProof/>
                <w:color w:val="000000"/>
                <w:sz w:val="14"/>
                <w:szCs w:val="20"/>
              </w:rPr>
              <w:t>12 812.890</w:t>
            </w:r>
          </w:p>
        </w:tc>
        <w:tc>
          <w:tcPr>
            <w:tcW w:w="848" w:type="dxa"/>
            <w:vAlign w:val="bottom"/>
          </w:tcPr>
          <w:p w:rsidR="00211384" w:rsidRDefault="004D1F15">
            <w:pPr>
              <w:spacing w:before="20" w:after="20"/>
              <w:jc w:val="right"/>
              <w:rPr>
                <w:b/>
                <w:noProof/>
                <w:sz w:val="14"/>
              </w:rPr>
            </w:pPr>
            <w:r>
              <w:rPr>
                <w:b/>
                <w:noProof/>
                <w:color w:val="000000"/>
                <w:sz w:val="14"/>
                <w:szCs w:val="20"/>
              </w:rPr>
              <w:t>13 070.006</w:t>
            </w:r>
          </w:p>
        </w:tc>
        <w:tc>
          <w:tcPr>
            <w:tcW w:w="848" w:type="dxa"/>
            <w:vAlign w:val="bottom"/>
          </w:tcPr>
          <w:p w:rsidR="00211384" w:rsidRDefault="004D1F15">
            <w:pPr>
              <w:spacing w:before="20" w:after="20"/>
              <w:jc w:val="right"/>
              <w:rPr>
                <w:b/>
                <w:noProof/>
                <w:sz w:val="14"/>
              </w:rPr>
            </w:pPr>
            <w:r>
              <w:rPr>
                <w:b/>
                <w:noProof/>
                <w:color w:val="000000"/>
                <w:sz w:val="14"/>
                <w:szCs w:val="20"/>
              </w:rPr>
              <w:t>13 336.556</w:t>
            </w:r>
          </w:p>
        </w:tc>
        <w:tc>
          <w:tcPr>
            <w:tcW w:w="1016" w:type="dxa"/>
            <w:shd w:val="clear" w:color="auto" w:fill="9D9398" w:themeFill="background1" w:themeFillShade="A6"/>
            <w:vAlign w:val="bottom"/>
          </w:tcPr>
          <w:p w:rsidR="00211384" w:rsidRDefault="00211384">
            <w:pPr>
              <w:spacing w:before="20" w:after="20"/>
              <w:jc w:val="right"/>
              <w:rPr>
                <w:b/>
                <w:noProof/>
                <w:sz w:val="14"/>
              </w:rPr>
            </w:pPr>
          </w:p>
        </w:tc>
        <w:tc>
          <w:tcPr>
            <w:tcW w:w="1256" w:type="dxa"/>
            <w:vAlign w:val="center"/>
          </w:tcPr>
          <w:p w:rsidR="00211384" w:rsidRDefault="004D1F15">
            <w:pPr>
              <w:spacing w:before="20" w:after="20"/>
              <w:jc w:val="right"/>
              <w:rPr>
                <w:b/>
                <w:noProof/>
                <w:sz w:val="14"/>
              </w:rPr>
            </w:pPr>
            <w:r>
              <w:rPr>
                <w:b/>
                <w:bCs/>
                <w:noProof/>
                <w:color w:val="000000"/>
                <w:sz w:val="14"/>
                <w:szCs w:val="20"/>
              </w:rPr>
              <w:t>87 974.145</w:t>
            </w:r>
          </w:p>
        </w:tc>
      </w:tr>
      <w:tr w:rsidR="00211384">
        <w:trPr>
          <w:gridAfter w:val="1"/>
          <w:wAfter w:w="356" w:type="dxa"/>
          <w:trHeight w:val="411"/>
          <w:jc w:val="center"/>
        </w:trPr>
        <w:tc>
          <w:tcPr>
            <w:tcW w:w="3426" w:type="dxa"/>
            <w:vMerge/>
          </w:tcPr>
          <w:p w:rsidR="00211384" w:rsidRDefault="00211384">
            <w:pPr>
              <w:jc w:val="center"/>
              <w:rPr>
                <w:noProof/>
                <w:sz w:val="16"/>
              </w:rPr>
            </w:pPr>
          </w:p>
        </w:tc>
        <w:tc>
          <w:tcPr>
            <w:tcW w:w="1295" w:type="dxa"/>
            <w:vAlign w:val="center"/>
          </w:tcPr>
          <w:p w:rsidR="00211384" w:rsidRDefault="004D1F15">
            <w:pPr>
              <w:spacing w:before="20" w:after="20"/>
              <w:jc w:val="left"/>
              <w:rPr>
                <w:noProof/>
                <w:sz w:val="16"/>
              </w:rPr>
            </w:pPr>
            <w:r>
              <w:rPr>
                <w:noProof/>
                <w:sz w:val="16"/>
              </w:rPr>
              <w:t>Payments</w:t>
            </w:r>
          </w:p>
        </w:tc>
        <w:tc>
          <w:tcPr>
            <w:tcW w:w="705" w:type="dxa"/>
            <w:vAlign w:val="center"/>
          </w:tcPr>
          <w:p w:rsidR="00211384" w:rsidRDefault="004D1F15">
            <w:pPr>
              <w:spacing w:before="20" w:after="20"/>
              <w:jc w:val="center"/>
              <w:rPr>
                <w:noProof/>
                <w:sz w:val="14"/>
              </w:rPr>
            </w:pPr>
            <w:r>
              <w:rPr>
                <w:noProof/>
                <w:sz w:val="14"/>
              </w:rPr>
              <w:t>(2)</w:t>
            </w:r>
          </w:p>
        </w:tc>
        <w:tc>
          <w:tcPr>
            <w:tcW w:w="962" w:type="dxa"/>
            <w:vAlign w:val="bottom"/>
          </w:tcPr>
          <w:p w:rsidR="00211384" w:rsidRDefault="004D1F15">
            <w:pPr>
              <w:spacing w:before="20" w:after="20"/>
              <w:jc w:val="right"/>
              <w:rPr>
                <w:b/>
                <w:noProof/>
                <w:sz w:val="14"/>
              </w:rPr>
            </w:pPr>
            <w:r>
              <w:rPr>
                <w:b/>
                <w:noProof/>
                <w:color w:val="000000"/>
                <w:sz w:val="14"/>
                <w:szCs w:val="20"/>
              </w:rPr>
              <w:t>2 787.096</w:t>
            </w:r>
          </w:p>
        </w:tc>
        <w:tc>
          <w:tcPr>
            <w:tcW w:w="848" w:type="dxa"/>
            <w:vAlign w:val="bottom"/>
          </w:tcPr>
          <w:p w:rsidR="00211384" w:rsidRDefault="004D1F15">
            <w:pPr>
              <w:spacing w:before="20" w:after="20"/>
              <w:jc w:val="right"/>
              <w:rPr>
                <w:b/>
                <w:noProof/>
                <w:sz w:val="14"/>
              </w:rPr>
            </w:pPr>
            <w:r>
              <w:rPr>
                <w:b/>
                <w:noProof/>
                <w:color w:val="000000"/>
                <w:sz w:val="14"/>
                <w:szCs w:val="20"/>
              </w:rPr>
              <w:t>6 858.177</w:t>
            </w:r>
          </w:p>
        </w:tc>
        <w:tc>
          <w:tcPr>
            <w:tcW w:w="848" w:type="dxa"/>
            <w:vAlign w:val="bottom"/>
          </w:tcPr>
          <w:p w:rsidR="00211384" w:rsidRDefault="004D1F15">
            <w:pPr>
              <w:spacing w:before="20" w:after="20"/>
              <w:jc w:val="right"/>
              <w:rPr>
                <w:b/>
                <w:noProof/>
                <w:sz w:val="14"/>
              </w:rPr>
            </w:pPr>
            <w:r>
              <w:rPr>
                <w:b/>
                <w:noProof/>
                <w:color w:val="000000"/>
                <w:sz w:val="14"/>
                <w:szCs w:val="20"/>
              </w:rPr>
              <w:t>8 316.885</w:t>
            </w:r>
          </w:p>
        </w:tc>
        <w:tc>
          <w:tcPr>
            <w:tcW w:w="848" w:type="dxa"/>
            <w:vAlign w:val="bottom"/>
          </w:tcPr>
          <w:p w:rsidR="00211384" w:rsidRDefault="004D1F15">
            <w:pPr>
              <w:spacing w:before="20" w:after="20"/>
              <w:jc w:val="right"/>
              <w:rPr>
                <w:b/>
                <w:noProof/>
                <w:sz w:val="14"/>
              </w:rPr>
            </w:pPr>
            <w:r>
              <w:rPr>
                <w:b/>
                <w:noProof/>
                <w:color w:val="000000"/>
                <w:sz w:val="14"/>
                <w:szCs w:val="20"/>
              </w:rPr>
              <w:t>10 284.251</w:t>
            </w:r>
          </w:p>
        </w:tc>
        <w:tc>
          <w:tcPr>
            <w:tcW w:w="848" w:type="dxa"/>
            <w:vAlign w:val="bottom"/>
          </w:tcPr>
          <w:p w:rsidR="00211384" w:rsidRDefault="004D1F15">
            <w:pPr>
              <w:spacing w:before="20" w:after="20"/>
              <w:jc w:val="right"/>
              <w:rPr>
                <w:b/>
                <w:noProof/>
                <w:sz w:val="14"/>
              </w:rPr>
            </w:pPr>
            <w:r>
              <w:rPr>
                <w:b/>
                <w:noProof/>
                <w:color w:val="000000"/>
                <w:sz w:val="14"/>
                <w:szCs w:val="20"/>
              </w:rPr>
              <w:t>11 653.515</w:t>
            </w:r>
          </w:p>
        </w:tc>
        <w:tc>
          <w:tcPr>
            <w:tcW w:w="848" w:type="dxa"/>
            <w:vAlign w:val="bottom"/>
          </w:tcPr>
          <w:p w:rsidR="00211384" w:rsidRDefault="004D1F15">
            <w:pPr>
              <w:spacing w:before="20" w:after="20"/>
              <w:jc w:val="right"/>
              <w:rPr>
                <w:b/>
                <w:noProof/>
                <w:sz w:val="14"/>
              </w:rPr>
            </w:pPr>
            <w:r>
              <w:rPr>
                <w:b/>
                <w:noProof/>
                <w:color w:val="000000"/>
                <w:sz w:val="14"/>
                <w:szCs w:val="20"/>
              </w:rPr>
              <w:t>12 675.793</w:t>
            </w:r>
          </w:p>
        </w:tc>
        <w:tc>
          <w:tcPr>
            <w:tcW w:w="848" w:type="dxa"/>
            <w:vAlign w:val="bottom"/>
          </w:tcPr>
          <w:p w:rsidR="00211384" w:rsidRDefault="004D1F15">
            <w:pPr>
              <w:spacing w:before="20" w:after="20"/>
              <w:jc w:val="right"/>
              <w:rPr>
                <w:b/>
                <w:noProof/>
                <w:sz w:val="14"/>
              </w:rPr>
            </w:pPr>
            <w:r>
              <w:rPr>
                <w:b/>
                <w:noProof/>
                <w:color w:val="000000"/>
                <w:sz w:val="14"/>
                <w:szCs w:val="20"/>
              </w:rPr>
              <w:t>13 334.400</w:t>
            </w:r>
          </w:p>
        </w:tc>
        <w:tc>
          <w:tcPr>
            <w:tcW w:w="1016" w:type="dxa"/>
            <w:vAlign w:val="bottom"/>
          </w:tcPr>
          <w:p w:rsidR="00211384" w:rsidRDefault="004D1F15">
            <w:pPr>
              <w:spacing w:before="20" w:after="20"/>
              <w:jc w:val="right"/>
              <w:rPr>
                <w:b/>
                <w:noProof/>
                <w:sz w:val="14"/>
              </w:rPr>
            </w:pPr>
            <w:r>
              <w:rPr>
                <w:b/>
                <w:noProof/>
                <w:color w:val="000000"/>
                <w:sz w:val="14"/>
                <w:szCs w:val="20"/>
              </w:rPr>
              <w:t>22 064.028</w:t>
            </w:r>
          </w:p>
        </w:tc>
        <w:tc>
          <w:tcPr>
            <w:tcW w:w="1256" w:type="dxa"/>
            <w:vAlign w:val="center"/>
          </w:tcPr>
          <w:p w:rsidR="00211384" w:rsidRDefault="004D1F15">
            <w:pPr>
              <w:spacing w:before="20" w:after="20"/>
              <w:jc w:val="right"/>
              <w:rPr>
                <w:b/>
                <w:noProof/>
                <w:sz w:val="14"/>
              </w:rPr>
            </w:pPr>
            <w:r>
              <w:rPr>
                <w:b/>
                <w:bCs/>
                <w:noProof/>
                <w:color w:val="000000"/>
                <w:sz w:val="14"/>
                <w:szCs w:val="20"/>
              </w:rPr>
              <w:t>87 974.145</w:t>
            </w:r>
          </w:p>
        </w:tc>
      </w:tr>
      <w:tr w:rsidR="00211384">
        <w:trPr>
          <w:trHeight w:val="411"/>
          <w:jc w:val="center"/>
        </w:trPr>
        <w:tc>
          <w:tcPr>
            <w:tcW w:w="3426" w:type="dxa"/>
            <w:vMerge w:val="restart"/>
            <w:vAlign w:val="center"/>
          </w:tcPr>
          <w:p w:rsidR="00211384" w:rsidRDefault="004D1F15">
            <w:pPr>
              <w:jc w:val="left"/>
              <w:rPr>
                <w:noProof/>
                <w:sz w:val="16"/>
              </w:rPr>
            </w:pPr>
            <w:r>
              <w:rPr>
                <w:noProof/>
                <w:sz w:val="16"/>
              </w:rPr>
              <w:t>01 02 01 Open Science</w:t>
            </w:r>
          </w:p>
        </w:tc>
        <w:tc>
          <w:tcPr>
            <w:tcW w:w="1295" w:type="dxa"/>
            <w:vAlign w:val="center"/>
          </w:tcPr>
          <w:p w:rsidR="00211384" w:rsidRDefault="004D1F15">
            <w:pPr>
              <w:spacing w:before="20" w:after="20"/>
              <w:jc w:val="left"/>
              <w:rPr>
                <w:noProof/>
                <w:sz w:val="16"/>
              </w:rPr>
            </w:pPr>
            <w:r>
              <w:rPr>
                <w:noProof/>
                <w:color w:val="000000"/>
                <w:sz w:val="16"/>
                <w:szCs w:val="20"/>
              </w:rPr>
              <w:t>Commitments</w:t>
            </w:r>
          </w:p>
        </w:tc>
        <w:tc>
          <w:tcPr>
            <w:tcW w:w="705" w:type="dxa"/>
            <w:vAlign w:val="center"/>
          </w:tcPr>
          <w:p w:rsidR="00211384" w:rsidRDefault="004D1F15">
            <w:pPr>
              <w:spacing w:before="20" w:after="20"/>
              <w:jc w:val="center"/>
              <w:rPr>
                <w:noProof/>
                <w:sz w:val="14"/>
              </w:rPr>
            </w:pPr>
            <w:r>
              <w:rPr>
                <w:noProof/>
                <w:color w:val="000000"/>
                <w:sz w:val="14"/>
                <w:szCs w:val="20"/>
              </w:rPr>
              <w:t>(1a)</w:t>
            </w:r>
          </w:p>
        </w:tc>
        <w:tc>
          <w:tcPr>
            <w:tcW w:w="962" w:type="dxa"/>
            <w:vAlign w:val="center"/>
          </w:tcPr>
          <w:p w:rsidR="00211384" w:rsidRDefault="004D1F15">
            <w:pPr>
              <w:spacing w:before="20" w:after="20"/>
              <w:jc w:val="right"/>
              <w:rPr>
                <w:noProof/>
                <w:sz w:val="14"/>
              </w:rPr>
            </w:pPr>
            <w:r>
              <w:rPr>
                <w:noProof/>
                <w:color w:val="000000"/>
                <w:sz w:val="14"/>
                <w:szCs w:val="20"/>
              </w:rPr>
              <w:t>3 308.230</w:t>
            </w:r>
          </w:p>
        </w:tc>
        <w:tc>
          <w:tcPr>
            <w:tcW w:w="848" w:type="dxa"/>
            <w:vAlign w:val="center"/>
          </w:tcPr>
          <w:p w:rsidR="00211384" w:rsidRDefault="004D1F15">
            <w:pPr>
              <w:spacing w:before="20" w:after="20"/>
              <w:jc w:val="right"/>
              <w:rPr>
                <w:noProof/>
                <w:sz w:val="14"/>
              </w:rPr>
            </w:pPr>
            <w:r>
              <w:rPr>
                <w:noProof/>
                <w:color w:val="000000"/>
                <w:sz w:val="14"/>
                <w:szCs w:val="20"/>
              </w:rPr>
              <w:t>3 375.270</w:t>
            </w:r>
          </w:p>
        </w:tc>
        <w:tc>
          <w:tcPr>
            <w:tcW w:w="848" w:type="dxa"/>
            <w:vAlign w:val="center"/>
          </w:tcPr>
          <w:p w:rsidR="00211384" w:rsidRDefault="004D1F15">
            <w:pPr>
              <w:spacing w:before="20" w:after="20"/>
              <w:jc w:val="right"/>
              <w:rPr>
                <w:noProof/>
                <w:sz w:val="14"/>
              </w:rPr>
            </w:pPr>
            <w:r>
              <w:rPr>
                <w:noProof/>
                <w:color w:val="000000"/>
                <w:sz w:val="14"/>
                <w:szCs w:val="20"/>
              </w:rPr>
              <w:t>3 443.480</w:t>
            </w:r>
          </w:p>
        </w:tc>
        <w:tc>
          <w:tcPr>
            <w:tcW w:w="848" w:type="dxa"/>
            <w:vAlign w:val="center"/>
          </w:tcPr>
          <w:p w:rsidR="00211384" w:rsidRDefault="004D1F15">
            <w:pPr>
              <w:spacing w:before="20" w:after="20"/>
              <w:jc w:val="right"/>
              <w:rPr>
                <w:noProof/>
                <w:sz w:val="14"/>
              </w:rPr>
            </w:pPr>
            <w:r>
              <w:rPr>
                <w:noProof/>
                <w:color w:val="000000"/>
                <w:sz w:val="14"/>
                <w:szCs w:val="20"/>
              </w:rPr>
              <w:t>3 513.155</w:t>
            </w:r>
          </w:p>
        </w:tc>
        <w:tc>
          <w:tcPr>
            <w:tcW w:w="848" w:type="dxa"/>
            <w:vAlign w:val="center"/>
          </w:tcPr>
          <w:p w:rsidR="00211384" w:rsidRDefault="004D1F15">
            <w:pPr>
              <w:spacing w:before="20" w:after="20"/>
              <w:jc w:val="right"/>
              <w:rPr>
                <w:noProof/>
                <w:sz w:val="14"/>
              </w:rPr>
            </w:pPr>
            <w:r>
              <w:rPr>
                <w:noProof/>
                <w:color w:val="000000"/>
                <w:sz w:val="14"/>
                <w:szCs w:val="20"/>
              </w:rPr>
              <w:t>3 584.895</w:t>
            </w:r>
          </w:p>
        </w:tc>
        <w:tc>
          <w:tcPr>
            <w:tcW w:w="848" w:type="dxa"/>
            <w:vAlign w:val="center"/>
          </w:tcPr>
          <w:p w:rsidR="00211384" w:rsidRDefault="004D1F15">
            <w:pPr>
              <w:spacing w:before="20" w:after="20"/>
              <w:jc w:val="right"/>
              <w:rPr>
                <w:noProof/>
                <w:sz w:val="14"/>
              </w:rPr>
            </w:pPr>
            <w:r>
              <w:rPr>
                <w:noProof/>
                <w:color w:val="000000"/>
                <w:sz w:val="14"/>
                <w:szCs w:val="20"/>
              </w:rPr>
              <w:t>3 656.900</w:t>
            </w:r>
          </w:p>
        </w:tc>
        <w:tc>
          <w:tcPr>
            <w:tcW w:w="848" w:type="dxa"/>
            <w:vAlign w:val="center"/>
          </w:tcPr>
          <w:p w:rsidR="00211384" w:rsidRDefault="004D1F15">
            <w:pPr>
              <w:spacing w:before="20" w:after="20"/>
              <w:jc w:val="right"/>
              <w:rPr>
                <w:b/>
                <w:noProof/>
                <w:sz w:val="14"/>
              </w:rPr>
            </w:pPr>
            <w:r>
              <w:rPr>
                <w:noProof/>
                <w:color w:val="000000"/>
                <w:sz w:val="14"/>
                <w:szCs w:val="20"/>
              </w:rPr>
              <w:t>3 731.270</w:t>
            </w:r>
          </w:p>
        </w:tc>
        <w:tc>
          <w:tcPr>
            <w:tcW w:w="1016" w:type="dxa"/>
            <w:shd w:val="clear" w:color="auto" w:fill="9D9398" w:themeFill="background1" w:themeFillShade="A6"/>
            <w:vAlign w:val="center"/>
          </w:tcPr>
          <w:p w:rsidR="00211384" w:rsidRDefault="004D1F15">
            <w:pPr>
              <w:spacing w:before="20" w:after="20"/>
              <w:jc w:val="right"/>
              <w:rPr>
                <w:b/>
                <w:noProof/>
                <w:sz w:val="14"/>
              </w:rPr>
            </w:pPr>
            <w:r>
              <w:rPr>
                <w:noProof/>
                <w:color w:val="000000"/>
                <w:sz w:val="14"/>
                <w:szCs w:val="20"/>
              </w:rPr>
              <w:t> </w:t>
            </w:r>
          </w:p>
        </w:tc>
        <w:tc>
          <w:tcPr>
            <w:tcW w:w="1612" w:type="dxa"/>
            <w:gridSpan w:val="2"/>
            <w:vAlign w:val="center"/>
          </w:tcPr>
          <w:p w:rsidR="00211384" w:rsidRDefault="004D1F15">
            <w:pPr>
              <w:spacing w:before="20" w:after="20"/>
              <w:jc w:val="right"/>
              <w:rPr>
                <w:b/>
                <w:noProof/>
                <w:sz w:val="14"/>
              </w:rPr>
            </w:pPr>
            <w:r>
              <w:rPr>
                <w:b/>
                <w:bCs/>
                <w:noProof/>
                <w:color w:val="000000"/>
                <w:sz w:val="14"/>
                <w:szCs w:val="20"/>
              </w:rPr>
              <w:t>24 613.200</w:t>
            </w:r>
          </w:p>
        </w:tc>
      </w:tr>
      <w:tr w:rsidR="00211384">
        <w:trPr>
          <w:trHeight w:val="411"/>
          <w:jc w:val="center"/>
        </w:trPr>
        <w:tc>
          <w:tcPr>
            <w:tcW w:w="3426" w:type="dxa"/>
            <w:vMerge/>
            <w:vAlign w:val="center"/>
          </w:tcPr>
          <w:p w:rsidR="00211384" w:rsidRDefault="00211384">
            <w:pPr>
              <w:jc w:val="left"/>
              <w:rPr>
                <w:noProof/>
                <w:sz w:val="16"/>
              </w:rPr>
            </w:pPr>
          </w:p>
        </w:tc>
        <w:tc>
          <w:tcPr>
            <w:tcW w:w="1295" w:type="dxa"/>
            <w:vAlign w:val="center"/>
          </w:tcPr>
          <w:p w:rsidR="00211384" w:rsidRDefault="004D1F15">
            <w:pPr>
              <w:spacing w:before="20" w:after="20"/>
              <w:jc w:val="left"/>
              <w:rPr>
                <w:noProof/>
                <w:sz w:val="16"/>
              </w:rPr>
            </w:pPr>
            <w:r>
              <w:rPr>
                <w:noProof/>
                <w:color w:val="000000"/>
                <w:sz w:val="16"/>
                <w:szCs w:val="20"/>
              </w:rPr>
              <w:t>Payments</w:t>
            </w:r>
          </w:p>
        </w:tc>
        <w:tc>
          <w:tcPr>
            <w:tcW w:w="705" w:type="dxa"/>
            <w:vAlign w:val="center"/>
          </w:tcPr>
          <w:p w:rsidR="00211384" w:rsidRDefault="004D1F15">
            <w:pPr>
              <w:spacing w:before="20" w:after="20"/>
              <w:jc w:val="center"/>
              <w:rPr>
                <w:noProof/>
                <w:sz w:val="14"/>
              </w:rPr>
            </w:pPr>
            <w:r>
              <w:rPr>
                <w:noProof/>
                <w:color w:val="000000"/>
                <w:sz w:val="14"/>
                <w:szCs w:val="20"/>
              </w:rPr>
              <w:t>(2a)</w:t>
            </w:r>
          </w:p>
        </w:tc>
        <w:tc>
          <w:tcPr>
            <w:tcW w:w="962" w:type="dxa"/>
            <w:vAlign w:val="center"/>
          </w:tcPr>
          <w:p w:rsidR="00211384" w:rsidRDefault="004D1F15">
            <w:pPr>
              <w:spacing w:before="20" w:after="20"/>
              <w:jc w:val="right"/>
              <w:rPr>
                <w:noProof/>
                <w:sz w:val="14"/>
              </w:rPr>
            </w:pPr>
            <w:r>
              <w:rPr>
                <w:noProof/>
                <w:color w:val="000000"/>
                <w:sz w:val="14"/>
                <w:szCs w:val="20"/>
              </w:rPr>
              <w:t>779.708</w:t>
            </w:r>
          </w:p>
        </w:tc>
        <w:tc>
          <w:tcPr>
            <w:tcW w:w="848" w:type="dxa"/>
            <w:vAlign w:val="center"/>
          </w:tcPr>
          <w:p w:rsidR="00211384" w:rsidRDefault="004D1F15">
            <w:pPr>
              <w:spacing w:before="20" w:after="20"/>
              <w:jc w:val="right"/>
              <w:rPr>
                <w:noProof/>
                <w:sz w:val="14"/>
              </w:rPr>
            </w:pPr>
            <w:r>
              <w:rPr>
                <w:noProof/>
                <w:color w:val="000000"/>
                <w:sz w:val="14"/>
                <w:szCs w:val="20"/>
              </w:rPr>
              <w:t>1 918.658</w:t>
            </w:r>
          </w:p>
        </w:tc>
        <w:tc>
          <w:tcPr>
            <w:tcW w:w="848" w:type="dxa"/>
            <w:vAlign w:val="center"/>
          </w:tcPr>
          <w:p w:rsidR="00211384" w:rsidRDefault="004D1F15">
            <w:pPr>
              <w:spacing w:before="20" w:after="20"/>
              <w:jc w:val="right"/>
              <w:rPr>
                <w:noProof/>
                <w:sz w:val="14"/>
              </w:rPr>
            </w:pPr>
            <w:r>
              <w:rPr>
                <w:noProof/>
                <w:color w:val="000000"/>
                <w:sz w:val="14"/>
                <w:szCs w:val="20"/>
              </w:rPr>
              <w:t>2 326.884</w:t>
            </w:r>
          </w:p>
        </w:tc>
        <w:tc>
          <w:tcPr>
            <w:tcW w:w="848" w:type="dxa"/>
            <w:vAlign w:val="center"/>
          </w:tcPr>
          <w:p w:rsidR="00211384" w:rsidRDefault="004D1F15">
            <w:pPr>
              <w:spacing w:before="20" w:after="20"/>
              <w:jc w:val="right"/>
              <w:rPr>
                <w:noProof/>
                <w:sz w:val="14"/>
              </w:rPr>
            </w:pPr>
            <w:r>
              <w:rPr>
                <w:noProof/>
                <w:color w:val="000000"/>
                <w:sz w:val="14"/>
                <w:szCs w:val="20"/>
              </w:rPr>
              <w:t>2 877.379</w:t>
            </w:r>
          </w:p>
        </w:tc>
        <w:tc>
          <w:tcPr>
            <w:tcW w:w="848" w:type="dxa"/>
            <w:vAlign w:val="center"/>
          </w:tcPr>
          <w:p w:rsidR="00211384" w:rsidRDefault="004D1F15">
            <w:pPr>
              <w:spacing w:before="20" w:after="20"/>
              <w:jc w:val="right"/>
              <w:rPr>
                <w:noProof/>
                <w:sz w:val="14"/>
              </w:rPr>
            </w:pPr>
            <w:r>
              <w:rPr>
                <w:noProof/>
                <w:color w:val="000000"/>
                <w:sz w:val="14"/>
                <w:szCs w:val="20"/>
              </w:rPr>
              <w:t>3 260.516</w:t>
            </w:r>
          </w:p>
        </w:tc>
        <w:tc>
          <w:tcPr>
            <w:tcW w:w="848" w:type="dxa"/>
            <w:vAlign w:val="center"/>
          </w:tcPr>
          <w:p w:rsidR="00211384" w:rsidRDefault="004D1F15">
            <w:pPr>
              <w:spacing w:before="20" w:after="20"/>
              <w:jc w:val="right"/>
              <w:rPr>
                <w:noProof/>
                <w:sz w:val="14"/>
              </w:rPr>
            </w:pPr>
            <w:r>
              <w:rPr>
                <w:noProof/>
                <w:color w:val="000000"/>
                <w:sz w:val="14"/>
                <w:szCs w:val="20"/>
              </w:rPr>
              <w:t>3 546.602</w:t>
            </w:r>
          </w:p>
        </w:tc>
        <w:tc>
          <w:tcPr>
            <w:tcW w:w="848" w:type="dxa"/>
            <w:vAlign w:val="center"/>
          </w:tcPr>
          <w:p w:rsidR="00211384" w:rsidRDefault="004D1F15">
            <w:pPr>
              <w:spacing w:before="20" w:after="20"/>
              <w:jc w:val="right"/>
              <w:rPr>
                <w:b/>
                <w:noProof/>
                <w:sz w:val="14"/>
              </w:rPr>
            </w:pPr>
            <w:r>
              <w:rPr>
                <w:noProof/>
                <w:color w:val="000000"/>
                <w:sz w:val="14"/>
                <w:szCs w:val="20"/>
              </w:rPr>
              <w:t>3 730.666</w:t>
            </w:r>
          </w:p>
        </w:tc>
        <w:tc>
          <w:tcPr>
            <w:tcW w:w="1016" w:type="dxa"/>
            <w:vAlign w:val="center"/>
          </w:tcPr>
          <w:p w:rsidR="00211384" w:rsidRDefault="004D1F15">
            <w:pPr>
              <w:spacing w:before="20" w:after="20"/>
              <w:jc w:val="right"/>
              <w:rPr>
                <w:b/>
                <w:noProof/>
                <w:sz w:val="14"/>
              </w:rPr>
            </w:pPr>
            <w:r>
              <w:rPr>
                <w:noProof/>
                <w:color w:val="000000"/>
                <w:sz w:val="14"/>
                <w:szCs w:val="20"/>
              </w:rPr>
              <w:t>6 172.787</w:t>
            </w:r>
          </w:p>
        </w:tc>
        <w:tc>
          <w:tcPr>
            <w:tcW w:w="1612" w:type="dxa"/>
            <w:gridSpan w:val="2"/>
            <w:vAlign w:val="center"/>
          </w:tcPr>
          <w:p w:rsidR="00211384" w:rsidRDefault="004D1F15">
            <w:pPr>
              <w:spacing w:before="20" w:after="20"/>
              <w:jc w:val="right"/>
              <w:rPr>
                <w:b/>
                <w:noProof/>
                <w:sz w:val="14"/>
              </w:rPr>
            </w:pPr>
            <w:r>
              <w:rPr>
                <w:b/>
                <w:bCs/>
                <w:noProof/>
                <w:color w:val="000000"/>
                <w:sz w:val="14"/>
                <w:szCs w:val="20"/>
              </w:rPr>
              <w:t>24 613.200</w:t>
            </w:r>
          </w:p>
        </w:tc>
      </w:tr>
      <w:tr w:rsidR="00211384">
        <w:trPr>
          <w:trHeight w:val="411"/>
          <w:jc w:val="center"/>
        </w:trPr>
        <w:tc>
          <w:tcPr>
            <w:tcW w:w="3426" w:type="dxa"/>
            <w:vMerge w:val="restart"/>
            <w:vAlign w:val="center"/>
          </w:tcPr>
          <w:p w:rsidR="00211384" w:rsidRDefault="004D1F15">
            <w:pPr>
              <w:jc w:val="left"/>
              <w:rPr>
                <w:noProof/>
                <w:sz w:val="16"/>
              </w:rPr>
            </w:pPr>
            <w:r>
              <w:rPr>
                <w:noProof/>
                <w:sz w:val="16"/>
              </w:rPr>
              <w:t>01 02 02 Global Challenges and Industrial Competitivenes</w:t>
            </w:r>
          </w:p>
        </w:tc>
        <w:tc>
          <w:tcPr>
            <w:tcW w:w="1295" w:type="dxa"/>
            <w:vAlign w:val="center"/>
          </w:tcPr>
          <w:p w:rsidR="00211384" w:rsidRDefault="004D1F15">
            <w:pPr>
              <w:spacing w:before="20" w:after="20"/>
              <w:jc w:val="left"/>
              <w:rPr>
                <w:noProof/>
                <w:sz w:val="16"/>
              </w:rPr>
            </w:pPr>
            <w:r>
              <w:rPr>
                <w:noProof/>
                <w:color w:val="000000"/>
                <w:sz w:val="16"/>
                <w:szCs w:val="20"/>
              </w:rPr>
              <w:t>Commitments</w:t>
            </w:r>
          </w:p>
        </w:tc>
        <w:tc>
          <w:tcPr>
            <w:tcW w:w="705" w:type="dxa"/>
            <w:vAlign w:val="center"/>
          </w:tcPr>
          <w:p w:rsidR="00211384" w:rsidRDefault="004D1F15">
            <w:pPr>
              <w:spacing w:before="20" w:after="20"/>
              <w:jc w:val="center"/>
              <w:rPr>
                <w:noProof/>
                <w:sz w:val="14"/>
              </w:rPr>
            </w:pPr>
            <w:r>
              <w:rPr>
                <w:noProof/>
                <w:color w:val="000000"/>
                <w:sz w:val="14"/>
                <w:szCs w:val="20"/>
              </w:rPr>
              <w:t>(1b)</w:t>
            </w:r>
          </w:p>
        </w:tc>
        <w:tc>
          <w:tcPr>
            <w:tcW w:w="962" w:type="dxa"/>
            <w:vAlign w:val="center"/>
          </w:tcPr>
          <w:p w:rsidR="00211384" w:rsidRDefault="004D1F15">
            <w:pPr>
              <w:spacing w:before="20" w:after="20"/>
              <w:jc w:val="right"/>
              <w:rPr>
                <w:noProof/>
                <w:sz w:val="14"/>
              </w:rPr>
            </w:pPr>
            <w:r>
              <w:rPr>
                <w:noProof/>
                <w:color w:val="000000"/>
                <w:sz w:val="14"/>
                <w:szCs w:val="20"/>
              </w:rPr>
              <w:t>6 516.841</w:t>
            </w:r>
          </w:p>
        </w:tc>
        <w:tc>
          <w:tcPr>
            <w:tcW w:w="848" w:type="dxa"/>
            <w:vAlign w:val="center"/>
          </w:tcPr>
          <w:p w:rsidR="00211384" w:rsidRDefault="004D1F15">
            <w:pPr>
              <w:spacing w:before="20" w:after="20"/>
              <w:jc w:val="right"/>
              <w:rPr>
                <w:noProof/>
                <w:sz w:val="14"/>
              </w:rPr>
            </w:pPr>
            <w:r>
              <w:rPr>
                <w:noProof/>
                <w:color w:val="000000"/>
                <w:sz w:val="14"/>
                <w:szCs w:val="20"/>
              </w:rPr>
              <w:t>6 648.652</w:t>
            </w:r>
          </w:p>
        </w:tc>
        <w:tc>
          <w:tcPr>
            <w:tcW w:w="848" w:type="dxa"/>
            <w:vAlign w:val="center"/>
          </w:tcPr>
          <w:p w:rsidR="00211384" w:rsidRDefault="004D1F15">
            <w:pPr>
              <w:spacing w:before="20" w:after="20"/>
              <w:jc w:val="right"/>
              <w:rPr>
                <w:noProof/>
                <w:sz w:val="14"/>
              </w:rPr>
            </w:pPr>
            <w:r>
              <w:rPr>
                <w:noProof/>
                <w:color w:val="000000"/>
                <w:sz w:val="14"/>
                <w:szCs w:val="20"/>
              </w:rPr>
              <w:t>6 782.307</w:t>
            </w:r>
          </w:p>
        </w:tc>
        <w:tc>
          <w:tcPr>
            <w:tcW w:w="848" w:type="dxa"/>
            <w:vAlign w:val="center"/>
          </w:tcPr>
          <w:p w:rsidR="00211384" w:rsidRDefault="004D1F15">
            <w:pPr>
              <w:spacing w:before="20" w:after="20"/>
              <w:jc w:val="right"/>
              <w:rPr>
                <w:noProof/>
                <w:sz w:val="14"/>
              </w:rPr>
            </w:pPr>
            <w:r>
              <w:rPr>
                <w:noProof/>
                <w:color w:val="000000"/>
                <w:sz w:val="14"/>
                <w:szCs w:val="20"/>
              </w:rPr>
              <w:t>6 919.237</w:t>
            </w:r>
          </w:p>
        </w:tc>
        <w:tc>
          <w:tcPr>
            <w:tcW w:w="848" w:type="dxa"/>
            <w:vAlign w:val="center"/>
          </w:tcPr>
          <w:p w:rsidR="00211384" w:rsidRDefault="004D1F15">
            <w:pPr>
              <w:spacing w:before="20" w:after="20"/>
              <w:jc w:val="right"/>
              <w:rPr>
                <w:noProof/>
                <w:sz w:val="14"/>
              </w:rPr>
            </w:pPr>
            <w:r>
              <w:rPr>
                <w:noProof/>
                <w:color w:val="000000"/>
                <w:sz w:val="14"/>
                <w:szCs w:val="20"/>
              </w:rPr>
              <w:t>7 060.382</w:t>
            </w:r>
          </w:p>
        </w:tc>
        <w:tc>
          <w:tcPr>
            <w:tcW w:w="848" w:type="dxa"/>
            <w:vAlign w:val="center"/>
          </w:tcPr>
          <w:p w:rsidR="00211384" w:rsidRDefault="004D1F15">
            <w:pPr>
              <w:spacing w:before="20" w:after="20"/>
              <w:jc w:val="right"/>
              <w:rPr>
                <w:noProof/>
                <w:sz w:val="14"/>
              </w:rPr>
            </w:pPr>
            <w:r>
              <w:rPr>
                <w:noProof/>
                <w:color w:val="000000"/>
                <w:sz w:val="14"/>
                <w:szCs w:val="20"/>
              </w:rPr>
              <w:t>7 201.957</w:t>
            </w:r>
          </w:p>
        </w:tc>
        <w:tc>
          <w:tcPr>
            <w:tcW w:w="848" w:type="dxa"/>
            <w:vAlign w:val="center"/>
          </w:tcPr>
          <w:p w:rsidR="00211384" w:rsidRDefault="004D1F15">
            <w:pPr>
              <w:spacing w:before="20" w:after="20"/>
              <w:jc w:val="right"/>
              <w:rPr>
                <w:b/>
                <w:noProof/>
                <w:sz w:val="14"/>
              </w:rPr>
            </w:pPr>
            <w:r>
              <w:rPr>
                <w:noProof/>
                <w:color w:val="000000"/>
                <w:sz w:val="14"/>
                <w:szCs w:val="20"/>
              </w:rPr>
              <w:t>7 349.169</w:t>
            </w:r>
          </w:p>
        </w:tc>
        <w:tc>
          <w:tcPr>
            <w:tcW w:w="1016" w:type="dxa"/>
            <w:shd w:val="clear" w:color="auto" w:fill="9D9398" w:themeFill="background1" w:themeFillShade="A6"/>
            <w:vAlign w:val="center"/>
          </w:tcPr>
          <w:p w:rsidR="00211384" w:rsidRDefault="004D1F15">
            <w:pPr>
              <w:spacing w:before="20" w:after="20"/>
              <w:jc w:val="right"/>
              <w:rPr>
                <w:b/>
                <w:noProof/>
                <w:sz w:val="14"/>
              </w:rPr>
            </w:pPr>
            <w:r>
              <w:rPr>
                <w:noProof/>
                <w:color w:val="000000"/>
                <w:sz w:val="14"/>
                <w:szCs w:val="20"/>
              </w:rPr>
              <w:t> </w:t>
            </w:r>
          </w:p>
        </w:tc>
        <w:tc>
          <w:tcPr>
            <w:tcW w:w="1612" w:type="dxa"/>
            <w:gridSpan w:val="2"/>
            <w:vAlign w:val="center"/>
          </w:tcPr>
          <w:p w:rsidR="00211384" w:rsidRDefault="004D1F15">
            <w:pPr>
              <w:spacing w:before="20" w:after="20"/>
              <w:jc w:val="right"/>
              <w:rPr>
                <w:b/>
                <w:noProof/>
                <w:sz w:val="14"/>
              </w:rPr>
            </w:pPr>
            <w:r>
              <w:rPr>
                <w:b/>
                <w:bCs/>
                <w:noProof/>
                <w:color w:val="000000"/>
                <w:sz w:val="14"/>
                <w:szCs w:val="20"/>
              </w:rPr>
              <w:t>48 478.545</w:t>
            </w:r>
          </w:p>
        </w:tc>
      </w:tr>
      <w:tr w:rsidR="00211384">
        <w:trPr>
          <w:trHeight w:val="411"/>
          <w:jc w:val="center"/>
        </w:trPr>
        <w:tc>
          <w:tcPr>
            <w:tcW w:w="3426" w:type="dxa"/>
            <w:vMerge/>
            <w:vAlign w:val="center"/>
          </w:tcPr>
          <w:p w:rsidR="00211384" w:rsidRDefault="00211384">
            <w:pPr>
              <w:jc w:val="left"/>
              <w:rPr>
                <w:noProof/>
                <w:sz w:val="16"/>
              </w:rPr>
            </w:pPr>
          </w:p>
        </w:tc>
        <w:tc>
          <w:tcPr>
            <w:tcW w:w="1295" w:type="dxa"/>
            <w:vAlign w:val="center"/>
          </w:tcPr>
          <w:p w:rsidR="00211384" w:rsidRDefault="004D1F15">
            <w:pPr>
              <w:spacing w:before="20" w:after="20"/>
              <w:jc w:val="left"/>
              <w:rPr>
                <w:noProof/>
                <w:sz w:val="16"/>
              </w:rPr>
            </w:pPr>
            <w:r>
              <w:rPr>
                <w:noProof/>
                <w:color w:val="000000"/>
                <w:sz w:val="16"/>
                <w:szCs w:val="20"/>
              </w:rPr>
              <w:t>Payments</w:t>
            </w:r>
          </w:p>
        </w:tc>
        <w:tc>
          <w:tcPr>
            <w:tcW w:w="705" w:type="dxa"/>
            <w:vAlign w:val="center"/>
          </w:tcPr>
          <w:p w:rsidR="00211384" w:rsidRDefault="004D1F15">
            <w:pPr>
              <w:spacing w:before="20" w:after="20"/>
              <w:jc w:val="center"/>
              <w:rPr>
                <w:noProof/>
                <w:sz w:val="14"/>
              </w:rPr>
            </w:pPr>
            <w:r>
              <w:rPr>
                <w:noProof/>
                <w:color w:val="000000"/>
                <w:sz w:val="14"/>
                <w:szCs w:val="20"/>
              </w:rPr>
              <w:t>(2b)</w:t>
            </w:r>
          </w:p>
        </w:tc>
        <w:tc>
          <w:tcPr>
            <w:tcW w:w="962" w:type="dxa"/>
            <w:vAlign w:val="center"/>
          </w:tcPr>
          <w:p w:rsidR="00211384" w:rsidRDefault="004D1F15">
            <w:pPr>
              <w:spacing w:before="20" w:after="20"/>
              <w:jc w:val="right"/>
              <w:rPr>
                <w:noProof/>
                <w:sz w:val="14"/>
              </w:rPr>
            </w:pPr>
            <w:r>
              <w:rPr>
                <w:noProof/>
                <w:color w:val="000000"/>
                <w:sz w:val="14"/>
                <w:szCs w:val="20"/>
              </w:rPr>
              <w:t>1 535.937</w:t>
            </w:r>
          </w:p>
        </w:tc>
        <w:tc>
          <w:tcPr>
            <w:tcW w:w="848" w:type="dxa"/>
            <w:vAlign w:val="center"/>
          </w:tcPr>
          <w:p w:rsidR="00211384" w:rsidRDefault="004D1F15">
            <w:pPr>
              <w:spacing w:before="20" w:after="20"/>
              <w:jc w:val="right"/>
              <w:rPr>
                <w:noProof/>
                <w:sz w:val="14"/>
              </w:rPr>
            </w:pPr>
            <w:r>
              <w:rPr>
                <w:noProof/>
                <w:color w:val="000000"/>
                <w:sz w:val="14"/>
                <w:szCs w:val="20"/>
              </w:rPr>
              <w:t>3 779.399</w:t>
            </w:r>
          </w:p>
        </w:tc>
        <w:tc>
          <w:tcPr>
            <w:tcW w:w="848" w:type="dxa"/>
            <w:vAlign w:val="center"/>
          </w:tcPr>
          <w:p w:rsidR="00211384" w:rsidRDefault="004D1F15">
            <w:pPr>
              <w:spacing w:before="20" w:after="20"/>
              <w:jc w:val="right"/>
              <w:rPr>
                <w:noProof/>
                <w:sz w:val="14"/>
              </w:rPr>
            </w:pPr>
            <w:r>
              <w:rPr>
                <w:noProof/>
                <w:color w:val="000000"/>
                <w:sz w:val="14"/>
                <w:szCs w:val="20"/>
              </w:rPr>
              <w:t>4 583.050</w:t>
            </w:r>
          </w:p>
        </w:tc>
        <w:tc>
          <w:tcPr>
            <w:tcW w:w="848" w:type="dxa"/>
            <w:vAlign w:val="center"/>
          </w:tcPr>
          <w:p w:rsidR="00211384" w:rsidRDefault="004D1F15">
            <w:pPr>
              <w:spacing w:before="20" w:after="20"/>
              <w:jc w:val="right"/>
              <w:rPr>
                <w:noProof/>
                <w:sz w:val="14"/>
              </w:rPr>
            </w:pPr>
            <w:r>
              <w:rPr>
                <w:noProof/>
                <w:color w:val="000000"/>
                <w:sz w:val="14"/>
                <w:szCs w:val="20"/>
              </w:rPr>
              <w:t>5 667.062</w:t>
            </w:r>
          </w:p>
        </w:tc>
        <w:tc>
          <w:tcPr>
            <w:tcW w:w="848" w:type="dxa"/>
            <w:vAlign w:val="center"/>
          </w:tcPr>
          <w:p w:rsidR="00211384" w:rsidRDefault="004D1F15">
            <w:pPr>
              <w:spacing w:before="20" w:after="20"/>
              <w:jc w:val="right"/>
              <w:rPr>
                <w:noProof/>
                <w:sz w:val="14"/>
              </w:rPr>
            </w:pPr>
            <w:r>
              <w:rPr>
                <w:noProof/>
                <w:color w:val="000000"/>
                <w:sz w:val="14"/>
                <w:szCs w:val="20"/>
              </w:rPr>
              <w:t>6 421.523</w:t>
            </w:r>
          </w:p>
        </w:tc>
        <w:tc>
          <w:tcPr>
            <w:tcW w:w="848" w:type="dxa"/>
            <w:vAlign w:val="center"/>
          </w:tcPr>
          <w:p w:rsidR="00211384" w:rsidRDefault="004D1F15">
            <w:pPr>
              <w:spacing w:before="20" w:after="20"/>
              <w:jc w:val="right"/>
              <w:rPr>
                <w:noProof/>
                <w:sz w:val="14"/>
              </w:rPr>
            </w:pPr>
            <w:r>
              <w:rPr>
                <w:noProof/>
                <w:color w:val="000000"/>
                <w:sz w:val="14"/>
                <w:szCs w:val="20"/>
              </w:rPr>
              <w:t>6 984.734</w:t>
            </w:r>
          </w:p>
        </w:tc>
        <w:tc>
          <w:tcPr>
            <w:tcW w:w="848" w:type="dxa"/>
            <w:vAlign w:val="center"/>
          </w:tcPr>
          <w:p w:rsidR="00211384" w:rsidRDefault="004D1F15">
            <w:pPr>
              <w:spacing w:before="20" w:after="20"/>
              <w:jc w:val="right"/>
              <w:rPr>
                <w:b/>
                <w:noProof/>
                <w:sz w:val="14"/>
              </w:rPr>
            </w:pPr>
            <w:r>
              <w:rPr>
                <w:noProof/>
                <w:color w:val="000000"/>
                <w:sz w:val="14"/>
                <w:szCs w:val="20"/>
              </w:rPr>
              <w:t>7 347.981</w:t>
            </w:r>
          </w:p>
        </w:tc>
        <w:tc>
          <w:tcPr>
            <w:tcW w:w="1016" w:type="dxa"/>
            <w:vAlign w:val="center"/>
          </w:tcPr>
          <w:p w:rsidR="00211384" w:rsidRDefault="004D1F15">
            <w:pPr>
              <w:spacing w:before="20" w:after="20"/>
              <w:jc w:val="right"/>
              <w:rPr>
                <w:b/>
                <w:noProof/>
                <w:sz w:val="14"/>
              </w:rPr>
            </w:pPr>
            <w:r>
              <w:rPr>
                <w:noProof/>
                <w:color w:val="000000"/>
                <w:sz w:val="14"/>
                <w:szCs w:val="20"/>
              </w:rPr>
              <w:t>12 158.860</w:t>
            </w:r>
          </w:p>
        </w:tc>
        <w:tc>
          <w:tcPr>
            <w:tcW w:w="1612" w:type="dxa"/>
            <w:gridSpan w:val="2"/>
            <w:vAlign w:val="center"/>
          </w:tcPr>
          <w:p w:rsidR="00211384" w:rsidRDefault="004D1F15">
            <w:pPr>
              <w:spacing w:before="20" w:after="20"/>
              <w:jc w:val="right"/>
              <w:rPr>
                <w:b/>
                <w:noProof/>
                <w:sz w:val="14"/>
              </w:rPr>
            </w:pPr>
            <w:r>
              <w:rPr>
                <w:b/>
                <w:bCs/>
                <w:noProof/>
                <w:color w:val="000000"/>
                <w:sz w:val="14"/>
                <w:szCs w:val="20"/>
              </w:rPr>
              <w:t>48 478.545</w:t>
            </w:r>
          </w:p>
        </w:tc>
      </w:tr>
      <w:tr w:rsidR="00211384">
        <w:trPr>
          <w:trHeight w:val="411"/>
          <w:jc w:val="center"/>
        </w:trPr>
        <w:tc>
          <w:tcPr>
            <w:tcW w:w="3426" w:type="dxa"/>
            <w:vMerge w:val="restart"/>
            <w:vAlign w:val="center"/>
          </w:tcPr>
          <w:p w:rsidR="00211384" w:rsidRDefault="004D1F15">
            <w:pPr>
              <w:jc w:val="left"/>
              <w:rPr>
                <w:noProof/>
                <w:sz w:val="16"/>
              </w:rPr>
            </w:pPr>
            <w:r>
              <w:rPr>
                <w:noProof/>
                <w:sz w:val="16"/>
              </w:rPr>
              <w:t>01 02 03 Open Innovation</w:t>
            </w:r>
          </w:p>
        </w:tc>
        <w:tc>
          <w:tcPr>
            <w:tcW w:w="1295" w:type="dxa"/>
            <w:vAlign w:val="center"/>
          </w:tcPr>
          <w:p w:rsidR="00211384" w:rsidRDefault="004D1F15">
            <w:pPr>
              <w:spacing w:before="20" w:after="20"/>
              <w:jc w:val="left"/>
              <w:rPr>
                <w:noProof/>
                <w:sz w:val="16"/>
              </w:rPr>
            </w:pPr>
            <w:r>
              <w:rPr>
                <w:noProof/>
                <w:color w:val="000000"/>
                <w:sz w:val="16"/>
                <w:szCs w:val="20"/>
              </w:rPr>
              <w:t>Commitments</w:t>
            </w:r>
          </w:p>
        </w:tc>
        <w:tc>
          <w:tcPr>
            <w:tcW w:w="705" w:type="dxa"/>
            <w:vAlign w:val="center"/>
          </w:tcPr>
          <w:p w:rsidR="00211384" w:rsidRDefault="004D1F15">
            <w:pPr>
              <w:spacing w:before="20" w:after="20"/>
              <w:jc w:val="center"/>
              <w:rPr>
                <w:noProof/>
                <w:sz w:val="14"/>
              </w:rPr>
            </w:pPr>
            <w:r>
              <w:rPr>
                <w:noProof/>
                <w:color w:val="000000"/>
                <w:sz w:val="14"/>
                <w:szCs w:val="20"/>
              </w:rPr>
              <w:t>(1c)</w:t>
            </w:r>
          </w:p>
        </w:tc>
        <w:tc>
          <w:tcPr>
            <w:tcW w:w="962" w:type="dxa"/>
            <w:vAlign w:val="center"/>
          </w:tcPr>
          <w:p w:rsidR="00211384" w:rsidRDefault="004D1F15">
            <w:pPr>
              <w:spacing w:before="20" w:after="20"/>
              <w:jc w:val="right"/>
              <w:rPr>
                <w:noProof/>
                <w:sz w:val="14"/>
              </w:rPr>
            </w:pPr>
            <w:r>
              <w:rPr>
                <w:noProof/>
                <w:color w:val="000000"/>
                <w:sz w:val="14"/>
                <w:szCs w:val="20"/>
              </w:rPr>
              <w:t xml:space="preserve">1 </w:t>
            </w:r>
            <w:r>
              <w:rPr>
                <w:noProof/>
                <w:color w:val="000000"/>
                <w:sz w:val="14"/>
                <w:szCs w:val="20"/>
              </w:rPr>
              <w:t>731.049</w:t>
            </w:r>
          </w:p>
        </w:tc>
        <w:tc>
          <w:tcPr>
            <w:tcW w:w="848" w:type="dxa"/>
            <w:vAlign w:val="center"/>
          </w:tcPr>
          <w:p w:rsidR="00211384" w:rsidRDefault="004D1F15">
            <w:pPr>
              <w:spacing w:before="20" w:after="20"/>
              <w:jc w:val="right"/>
              <w:rPr>
                <w:noProof/>
                <w:sz w:val="14"/>
              </w:rPr>
            </w:pPr>
            <w:r>
              <w:rPr>
                <w:noProof/>
                <w:color w:val="000000"/>
                <w:sz w:val="14"/>
                <w:szCs w:val="20"/>
              </w:rPr>
              <w:t>1 766.131</w:t>
            </w:r>
          </w:p>
        </w:tc>
        <w:tc>
          <w:tcPr>
            <w:tcW w:w="848" w:type="dxa"/>
            <w:vAlign w:val="center"/>
          </w:tcPr>
          <w:p w:rsidR="00211384" w:rsidRDefault="004D1F15">
            <w:pPr>
              <w:spacing w:before="20" w:after="20"/>
              <w:jc w:val="right"/>
              <w:rPr>
                <w:noProof/>
                <w:sz w:val="14"/>
              </w:rPr>
            </w:pPr>
            <w:r>
              <w:rPr>
                <w:noProof/>
                <w:color w:val="000000"/>
                <w:sz w:val="14"/>
                <w:szCs w:val="20"/>
              </w:rPr>
              <w:t>1 801.820</w:t>
            </w:r>
          </w:p>
        </w:tc>
        <w:tc>
          <w:tcPr>
            <w:tcW w:w="848" w:type="dxa"/>
            <w:vAlign w:val="center"/>
          </w:tcPr>
          <w:p w:rsidR="00211384" w:rsidRDefault="004D1F15">
            <w:pPr>
              <w:spacing w:before="20" w:after="20"/>
              <w:jc w:val="right"/>
              <w:rPr>
                <w:noProof/>
                <w:sz w:val="14"/>
              </w:rPr>
            </w:pPr>
            <w:r>
              <w:rPr>
                <w:noProof/>
                <w:color w:val="000000"/>
                <w:sz w:val="14"/>
                <w:szCs w:val="20"/>
              </w:rPr>
              <w:t>1 838.279</w:t>
            </w:r>
          </w:p>
        </w:tc>
        <w:tc>
          <w:tcPr>
            <w:tcW w:w="848" w:type="dxa"/>
            <w:vAlign w:val="center"/>
          </w:tcPr>
          <w:p w:rsidR="00211384" w:rsidRDefault="004D1F15">
            <w:pPr>
              <w:spacing w:before="20" w:after="20"/>
              <w:jc w:val="right"/>
              <w:rPr>
                <w:noProof/>
                <w:sz w:val="14"/>
              </w:rPr>
            </w:pPr>
            <w:r>
              <w:rPr>
                <w:noProof/>
                <w:color w:val="000000"/>
                <w:sz w:val="14"/>
                <w:szCs w:val="20"/>
              </w:rPr>
              <w:t>1 875.818</w:t>
            </w:r>
          </w:p>
        </w:tc>
        <w:tc>
          <w:tcPr>
            <w:tcW w:w="848" w:type="dxa"/>
            <w:vAlign w:val="center"/>
          </w:tcPr>
          <w:p w:rsidR="00211384" w:rsidRDefault="004D1F15">
            <w:pPr>
              <w:spacing w:before="20" w:after="20"/>
              <w:jc w:val="right"/>
              <w:rPr>
                <w:noProof/>
                <w:sz w:val="14"/>
              </w:rPr>
            </w:pPr>
            <w:r>
              <w:rPr>
                <w:noProof/>
                <w:color w:val="000000"/>
                <w:sz w:val="14"/>
                <w:szCs w:val="20"/>
              </w:rPr>
              <w:t>1 913.494</w:t>
            </w:r>
          </w:p>
        </w:tc>
        <w:tc>
          <w:tcPr>
            <w:tcW w:w="848" w:type="dxa"/>
            <w:vAlign w:val="center"/>
          </w:tcPr>
          <w:p w:rsidR="00211384" w:rsidRDefault="004D1F15">
            <w:pPr>
              <w:spacing w:before="20" w:after="20"/>
              <w:jc w:val="right"/>
              <w:rPr>
                <w:b/>
                <w:noProof/>
                <w:sz w:val="14"/>
              </w:rPr>
            </w:pPr>
            <w:r>
              <w:rPr>
                <w:noProof/>
                <w:color w:val="000000"/>
                <w:sz w:val="14"/>
                <w:szCs w:val="20"/>
              </w:rPr>
              <w:t>1 952.410</w:t>
            </w:r>
          </w:p>
        </w:tc>
        <w:tc>
          <w:tcPr>
            <w:tcW w:w="1016" w:type="dxa"/>
            <w:shd w:val="clear" w:color="auto" w:fill="9D9398" w:themeFill="background1" w:themeFillShade="A6"/>
            <w:vAlign w:val="center"/>
          </w:tcPr>
          <w:p w:rsidR="00211384" w:rsidRDefault="004D1F15">
            <w:pPr>
              <w:spacing w:before="20" w:after="20"/>
              <w:jc w:val="right"/>
              <w:rPr>
                <w:b/>
                <w:noProof/>
                <w:sz w:val="14"/>
              </w:rPr>
            </w:pPr>
            <w:r>
              <w:rPr>
                <w:noProof/>
                <w:color w:val="000000"/>
                <w:sz w:val="14"/>
                <w:szCs w:val="20"/>
              </w:rPr>
              <w:t> </w:t>
            </w:r>
          </w:p>
        </w:tc>
        <w:tc>
          <w:tcPr>
            <w:tcW w:w="1612" w:type="dxa"/>
            <w:gridSpan w:val="2"/>
            <w:vAlign w:val="center"/>
          </w:tcPr>
          <w:p w:rsidR="00211384" w:rsidRDefault="004D1F15">
            <w:pPr>
              <w:spacing w:before="20" w:after="20"/>
              <w:jc w:val="right"/>
              <w:rPr>
                <w:b/>
                <w:noProof/>
                <w:sz w:val="14"/>
              </w:rPr>
            </w:pPr>
            <w:r>
              <w:rPr>
                <w:b/>
                <w:bCs/>
                <w:noProof/>
                <w:color w:val="000000"/>
                <w:sz w:val="14"/>
                <w:szCs w:val="20"/>
              </w:rPr>
              <w:t>12 879.000</w:t>
            </w:r>
          </w:p>
        </w:tc>
      </w:tr>
      <w:tr w:rsidR="00211384">
        <w:trPr>
          <w:trHeight w:val="411"/>
          <w:jc w:val="center"/>
        </w:trPr>
        <w:tc>
          <w:tcPr>
            <w:tcW w:w="3426" w:type="dxa"/>
            <w:vMerge/>
            <w:vAlign w:val="center"/>
          </w:tcPr>
          <w:p w:rsidR="00211384" w:rsidRDefault="00211384">
            <w:pPr>
              <w:jc w:val="left"/>
              <w:rPr>
                <w:noProof/>
                <w:sz w:val="16"/>
              </w:rPr>
            </w:pPr>
          </w:p>
        </w:tc>
        <w:tc>
          <w:tcPr>
            <w:tcW w:w="1295" w:type="dxa"/>
            <w:vAlign w:val="center"/>
          </w:tcPr>
          <w:p w:rsidR="00211384" w:rsidRDefault="004D1F15">
            <w:pPr>
              <w:spacing w:before="20" w:after="20"/>
              <w:jc w:val="left"/>
              <w:rPr>
                <w:noProof/>
                <w:sz w:val="16"/>
              </w:rPr>
            </w:pPr>
            <w:r>
              <w:rPr>
                <w:noProof/>
                <w:color w:val="000000"/>
                <w:sz w:val="16"/>
                <w:szCs w:val="20"/>
              </w:rPr>
              <w:t>Payments</w:t>
            </w:r>
          </w:p>
        </w:tc>
        <w:tc>
          <w:tcPr>
            <w:tcW w:w="705" w:type="dxa"/>
            <w:vAlign w:val="center"/>
          </w:tcPr>
          <w:p w:rsidR="00211384" w:rsidRDefault="004D1F15">
            <w:pPr>
              <w:spacing w:before="20" w:after="20"/>
              <w:jc w:val="center"/>
              <w:rPr>
                <w:noProof/>
                <w:sz w:val="14"/>
              </w:rPr>
            </w:pPr>
            <w:r>
              <w:rPr>
                <w:noProof/>
                <w:color w:val="000000"/>
                <w:sz w:val="14"/>
                <w:szCs w:val="20"/>
              </w:rPr>
              <w:t>(2c)</w:t>
            </w:r>
          </w:p>
        </w:tc>
        <w:tc>
          <w:tcPr>
            <w:tcW w:w="962" w:type="dxa"/>
            <w:vAlign w:val="center"/>
          </w:tcPr>
          <w:p w:rsidR="00211384" w:rsidRDefault="004D1F15">
            <w:pPr>
              <w:spacing w:before="20" w:after="20"/>
              <w:jc w:val="right"/>
              <w:rPr>
                <w:noProof/>
                <w:sz w:val="14"/>
              </w:rPr>
            </w:pPr>
            <w:r>
              <w:rPr>
                <w:noProof/>
                <w:color w:val="000000"/>
                <w:sz w:val="14"/>
                <w:szCs w:val="20"/>
              </w:rPr>
              <w:t>407.986</w:t>
            </w:r>
          </w:p>
        </w:tc>
        <w:tc>
          <w:tcPr>
            <w:tcW w:w="848" w:type="dxa"/>
            <w:vAlign w:val="center"/>
          </w:tcPr>
          <w:p w:rsidR="00211384" w:rsidRDefault="004D1F15">
            <w:pPr>
              <w:spacing w:before="20" w:after="20"/>
              <w:jc w:val="right"/>
              <w:rPr>
                <w:noProof/>
                <w:sz w:val="14"/>
              </w:rPr>
            </w:pPr>
            <w:r>
              <w:rPr>
                <w:noProof/>
                <w:color w:val="000000"/>
                <w:sz w:val="14"/>
                <w:szCs w:val="20"/>
              </w:rPr>
              <w:t>1 003.950</w:t>
            </w:r>
          </w:p>
        </w:tc>
        <w:tc>
          <w:tcPr>
            <w:tcW w:w="848" w:type="dxa"/>
            <w:vAlign w:val="center"/>
          </w:tcPr>
          <w:p w:rsidR="00211384" w:rsidRDefault="004D1F15">
            <w:pPr>
              <w:spacing w:before="20" w:after="20"/>
              <w:jc w:val="right"/>
              <w:rPr>
                <w:noProof/>
                <w:sz w:val="14"/>
              </w:rPr>
            </w:pPr>
            <w:r>
              <w:rPr>
                <w:noProof/>
                <w:color w:val="000000"/>
                <w:sz w:val="14"/>
                <w:szCs w:val="20"/>
              </w:rPr>
              <w:t>1 217.555</w:t>
            </w:r>
          </w:p>
        </w:tc>
        <w:tc>
          <w:tcPr>
            <w:tcW w:w="848" w:type="dxa"/>
            <w:vAlign w:val="center"/>
          </w:tcPr>
          <w:p w:rsidR="00211384" w:rsidRDefault="004D1F15">
            <w:pPr>
              <w:spacing w:before="20" w:after="20"/>
              <w:jc w:val="right"/>
              <w:rPr>
                <w:noProof/>
                <w:sz w:val="14"/>
              </w:rPr>
            </w:pPr>
            <w:r>
              <w:rPr>
                <w:noProof/>
                <w:color w:val="000000"/>
                <w:sz w:val="14"/>
                <w:szCs w:val="20"/>
              </w:rPr>
              <w:t>1 505.605</w:t>
            </w:r>
          </w:p>
        </w:tc>
        <w:tc>
          <w:tcPr>
            <w:tcW w:w="848" w:type="dxa"/>
            <w:vAlign w:val="center"/>
          </w:tcPr>
          <w:p w:rsidR="00211384" w:rsidRDefault="004D1F15">
            <w:pPr>
              <w:spacing w:before="20" w:after="20"/>
              <w:jc w:val="right"/>
              <w:rPr>
                <w:noProof/>
                <w:sz w:val="14"/>
              </w:rPr>
            </w:pPr>
            <w:r>
              <w:rPr>
                <w:noProof/>
                <w:color w:val="000000"/>
                <w:sz w:val="14"/>
                <w:szCs w:val="20"/>
              </w:rPr>
              <w:t>1 706.084</w:t>
            </w:r>
          </w:p>
        </w:tc>
        <w:tc>
          <w:tcPr>
            <w:tcW w:w="848" w:type="dxa"/>
            <w:vAlign w:val="center"/>
          </w:tcPr>
          <w:p w:rsidR="00211384" w:rsidRDefault="004D1F15">
            <w:pPr>
              <w:spacing w:before="20" w:after="20"/>
              <w:jc w:val="right"/>
              <w:rPr>
                <w:noProof/>
                <w:sz w:val="14"/>
              </w:rPr>
            </w:pPr>
            <w:r>
              <w:rPr>
                <w:noProof/>
                <w:color w:val="000000"/>
                <w:sz w:val="14"/>
                <w:szCs w:val="20"/>
              </w:rPr>
              <w:t>1 855.780</w:t>
            </w:r>
          </w:p>
        </w:tc>
        <w:tc>
          <w:tcPr>
            <w:tcW w:w="848" w:type="dxa"/>
            <w:vAlign w:val="center"/>
          </w:tcPr>
          <w:p w:rsidR="00211384" w:rsidRDefault="004D1F15">
            <w:pPr>
              <w:spacing w:before="20" w:after="20"/>
              <w:jc w:val="right"/>
              <w:rPr>
                <w:b/>
                <w:noProof/>
                <w:sz w:val="14"/>
              </w:rPr>
            </w:pPr>
            <w:r>
              <w:rPr>
                <w:noProof/>
                <w:color w:val="000000"/>
                <w:sz w:val="14"/>
                <w:szCs w:val="20"/>
              </w:rPr>
              <w:t>1 952.094</w:t>
            </w:r>
          </w:p>
        </w:tc>
        <w:tc>
          <w:tcPr>
            <w:tcW w:w="1016" w:type="dxa"/>
            <w:vAlign w:val="center"/>
          </w:tcPr>
          <w:p w:rsidR="00211384" w:rsidRDefault="004D1F15">
            <w:pPr>
              <w:spacing w:before="20" w:after="20"/>
              <w:jc w:val="right"/>
              <w:rPr>
                <w:b/>
                <w:noProof/>
                <w:sz w:val="14"/>
              </w:rPr>
            </w:pPr>
            <w:r>
              <w:rPr>
                <w:noProof/>
                <w:color w:val="000000"/>
                <w:sz w:val="14"/>
                <w:szCs w:val="20"/>
              </w:rPr>
              <w:t>3 229.946</w:t>
            </w:r>
          </w:p>
        </w:tc>
        <w:tc>
          <w:tcPr>
            <w:tcW w:w="1612" w:type="dxa"/>
            <w:gridSpan w:val="2"/>
            <w:vAlign w:val="center"/>
          </w:tcPr>
          <w:p w:rsidR="00211384" w:rsidRDefault="004D1F15">
            <w:pPr>
              <w:spacing w:before="20" w:after="20"/>
              <w:jc w:val="right"/>
              <w:rPr>
                <w:b/>
                <w:noProof/>
                <w:sz w:val="14"/>
              </w:rPr>
            </w:pPr>
            <w:r>
              <w:rPr>
                <w:b/>
                <w:bCs/>
                <w:noProof/>
                <w:color w:val="000000"/>
                <w:sz w:val="14"/>
                <w:szCs w:val="20"/>
              </w:rPr>
              <w:t>12 879.000</w:t>
            </w:r>
          </w:p>
        </w:tc>
      </w:tr>
      <w:tr w:rsidR="00211384">
        <w:trPr>
          <w:trHeight w:val="411"/>
          <w:jc w:val="center"/>
        </w:trPr>
        <w:tc>
          <w:tcPr>
            <w:tcW w:w="3426" w:type="dxa"/>
            <w:vMerge w:val="restart"/>
            <w:vAlign w:val="center"/>
          </w:tcPr>
          <w:p w:rsidR="00211384" w:rsidRDefault="004D1F15">
            <w:pPr>
              <w:jc w:val="left"/>
              <w:rPr>
                <w:noProof/>
                <w:sz w:val="16"/>
              </w:rPr>
            </w:pPr>
            <w:r>
              <w:rPr>
                <w:noProof/>
                <w:sz w:val="16"/>
              </w:rPr>
              <w:t>01 02 04 Strengthening the European Research Area</w:t>
            </w:r>
          </w:p>
        </w:tc>
        <w:tc>
          <w:tcPr>
            <w:tcW w:w="1295" w:type="dxa"/>
            <w:vAlign w:val="center"/>
          </w:tcPr>
          <w:p w:rsidR="00211384" w:rsidRDefault="004D1F15">
            <w:pPr>
              <w:spacing w:before="20" w:after="20"/>
              <w:jc w:val="left"/>
              <w:rPr>
                <w:noProof/>
                <w:sz w:val="16"/>
              </w:rPr>
            </w:pPr>
            <w:r>
              <w:rPr>
                <w:noProof/>
                <w:color w:val="000000"/>
                <w:sz w:val="16"/>
                <w:szCs w:val="20"/>
              </w:rPr>
              <w:t>Commitments</w:t>
            </w:r>
          </w:p>
        </w:tc>
        <w:tc>
          <w:tcPr>
            <w:tcW w:w="705" w:type="dxa"/>
            <w:vAlign w:val="center"/>
          </w:tcPr>
          <w:p w:rsidR="00211384" w:rsidRDefault="004D1F15">
            <w:pPr>
              <w:spacing w:before="20" w:after="20"/>
              <w:jc w:val="center"/>
              <w:rPr>
                <w:noProof/>
                <w:sz w:val="14"/>
              </w:rPr>
            </w:pPr>
            <w:r>
              <w:rPr>
                <w:noProof/>
                <w:color w:val="000000"/>
                <w:sz w:val="14"/>
                <w:szCs w:val="20"/>
              </w:rPr>
              <w:t>(1d)</w:t>
            </w:r>
          </w:p>
        </w:tc>
        <w:tc>
          <w:tcPr>
            <w:tcW w:w="962" w:type="dxa"/>
            <w:vAlign w:val="center"/>
          </w:tcPr>
          <w:p w:rsidR="00211384" w:rsidRDefault="004D1F15">
            <w:pPr>
              <w:spacing w:before="20" w:after="20"/>
              <w:jc w:val="right"/>
              <w:rPr>
                <w:noProof/>
                <w:sz w:val="14"/>
              </w:rPr>
            </w:pPr>
            <w:r>
              <w:rPr>
                <w:noProof/>
                <w:color w:val="000000"/>
                <w:sz w:val="14"/>
                <w:szCs w:val="20"/>
              </w:rPr>
              <w:t>269.274</w:t>
            </w:r>
          </w:p>
        </w:tc>
        <w:tc>
          <w:tcPr>
            <w:tcW w:w="848" w:type="dxa"/>
            <w:vAlign w:val="center"/>
          </w:tcPr>
          <w:p w:rsidR="00211384" w:rsidRDefault="004D1F15">
            <w:pPr>
              <w:spacing w:before="20" w:after="20"/>
              <w:jc w:val="right"/>
              <w:rPr>
                <w:noProof/>
                <w:sz w:val="14"/>
              </w:rPr>
            </w:pPr>
            <w:r>
              <w:rPr>
                <w:noProof/>
                <w:color w:val="000000"/>
                <w:sz w:val="14"/>
                <w:szCs w:val="20"/>
              </w:rPr>
              <w:t>274.731</w:t>
            </w:r>
          </w:p>
        </w:tc>
        <w:tc>
          <w:tcPr>
            <w:tcW w:w="848" w:type="dxa"/>
            <w:vAlign w:val="center"/>
          </w:tcPr>
          <w:p w:rsidR="00211384" w:rsidRDefault="004D1F15">
            <w:pPr>
              <w:spacing w:before="20" w:after="20"/>
              <w:jc w:val="right"/>
              <w:rPr>
                <w:noProof/>
                <w:sz w:val="14"/>
              </w:rPr>
            </w:pPr>
            <w:r>
              <w:rPr>
                <w:noProof/>
                <w:color w:val="000000"/>
                <w:sz w:val="14"/>
                <w:szCs w:val="20"/>
              </w:rPr>
              <w:t>280.283</w:t>
            </w:r>
          </w:p>
        </w:tc>
        <w:tc>
          <w:tcPr>
            <w:tcW w:w="848" w:type="dxa"/>
            <w:vAlign w:val="center"/>
          </w:tcPr>
          <w:p w:rsidR="00211384" w:rsidRDefault="004D1F15">
            <w:pPr>
              <w:spacing w:before="20" w:after="20"/>
              <w:jc w:val="right"/>
              <w:rPr>
                <w:noProof/>
                <w:sz w:val="14"/>
              </w:rPr>
            </w:pPr>
            <w:r>
              <w:rPr>
                <w:noProof/>
                <w:color w:val="000000"/>
                <w:sz w:val="14"/>
                <w:szCs w:val="20"/>
              </w:rPr>
              <w:t>285.955</w:t>
            </w:r>
          </w:p>
        </w:tc>
        <w:tc>
          <w:tcPr>
            <w:tcW w:w="848" w:type="dxa"/>
            <w:vAlign w:val="center"/>
          </w:tcPr>
          <w:p w:rsidR="00211384" w:rsidRDefault="004D1F15">
            <w:pPr>
              <w:spacing w:before="20" w:after="20"/>
              <w:jc w:val="right"/>
              <w:rPr>
                <w:noProof/>
                <w:sz w:val="14"/>
              </w:rPr>
            </w:pPr>
            <w:r>
              <w:rPr>
                <w:noProof/>
                <w:color w:val="000000"/>
                <w:sz w:val="14"/>
                <w:szCs w:val="20"/>
              </w:rPr>
              <w:t>291.794</w:t>
            </w:r>
          </w:p>
        </w:tc>
        <w:tc>
          <w:tcPr>
            <w:tcW w:w="848" w:type="dxa"/>
            <w:vAlign w:val="center"/>
          </w:tcPr>
          <w:p w:rsidR="00211384" w:rsidRDefault="004D1F15">
            <w:pPr>
              <w:spacing w:before="20" w:after="20"/>
              <w:jc w:val="right"/>
              <w:rPr>
                <w:noProof/>
                <w:sz w:val="14"/>
              </w:rPr>
            </w:pPr>
            <w:r>
              <w:rPr>
                <w:noProof/>
                <w:color w:val="000000"/>
                <w:sz w:val="14"/>
                <w:szCs w:val="20"/>
              </w:rPr>
              <w:t>297.655</w:t>
            </w:r>
          </w:p>
        </w:tc>
        <w:tc>
          <w:tcPr>
            <w:tcW w:w="848" w:type="dxa"/>
            <w:vAlign w:val="center"/>
          </w:tcPr>
          <w:p w:rsidR="00211384" w:rsidRDefault="004D1F15">
            <w:pPr>
              <w:spacing w:before="20" w:after="20"/>
              <w:jc w:val="right"/>
              <w:rPr>
                <w:b/>
                <w:noProof/>
                <w:sz w:val="14"/>
              </w:rPr>
            </w:pPr>
            <w:r>
              <w:rPr>
                <w:noProof/>
                <w:color w:val="000000"/>
                <w:sz w:val="14"/>
                <w:szCs w:val="20"/>
              </w:rPr>
              <w:t>303.708</w:t>
            </w:r>
          </w:p>
        </w:tc>
        <w:tc>
          <w:tcPr>
            <w:tcW w:w="1016" w:type="dxa"/>
            <w:shd w:val="clear" w:color="auto" w:fill="9D9398" w:themeFill="background1" w:themeFillShade="A6"/>
            <w:vAlign w:val="center"/>
          </w:tcPr>
          <w:p w:rsidR="00211384" w:rsidRDefault="004D1F15">
            <w:pPr>
              <w:spacing w:before="20" w:after="20"/>
              <w:jc w:val="right"/>
              <w:rPr>
                <w:b/>
                <w:noProof/>
                <w:sz w:val="14"/>
              </w:rPr>
            </w:pPr>
            <w:r>
              <w:rPr>
                <w:noProof/>
                <w:color w:val="000000"/>
                <w:sz w:val="14"/>
                <w:szCs w:val="20"/>
              </w:rPr>
              <w:t> </w:t>
            </w:r>
          </w:p>
        </w:tc>
        <w:tc>
          <w:tcPr>
            <w:tcW w:w="1612" w:type="dxa"/>
            <w:gridSpan w:val="2"/>
            <w:vAlign w:val="center"/>
          </w:tcPr>
          <w:p w:rsidR="00211384" w:rsidRDefault="004D1F15">
            <w:pPr>
              <w:spacing w:before="20" w:after="20"/>
              <w:jc w:val="right"/>
              <w:rPr>
                <w:b/>
                <w:noProof/>
                <w:sz w:val="14"/>
              </w:rPr>
            </w:pPr>
            <w:r>
              <w:rPr>
                <w:b/>
                <w:bCs/>
                <w:noProof/>
                <w:color w:val="000000"/>
                <w:sz w:val="14"/>
                <w:szCs w:val="20"/>
              </w:rPr>
              <w:t>2 003.400</w:t>
            </w:r>
          </w:p>
        </w:tc>
      </w:tr>
      <w:tr w:rsidR="00211384">
        <w:trPr>
          <w:trHeight w:val="411"/>
          <w:jc w:val="center"/>
        </w:trPr>
        <w:tc>
          <w:tcPr>
            <w:tcW w:w="3426" w:type="dxa"/>
            <w:vMerge/>
          </w:tcPr>
          <w:p w:rsidR="00211384" w:rsidRDefault="00211384">
            <w:pPr>
              <w:jc w:val="center"/>
              <w:rPr>
                <w:noProof/>
                <w:sz w:val="16"/>
              </w:rPr>
            </w:pPr>
          </w:p>
        </w:tc>
        <w:tc>
          <w:tcPr>
            <w:tcW w:w="1295" w:type="dxa"/>
            <w:vAlign w:val="center"/>
          </w:tcPr>
          <w:p w:rsidR="00211384" w:rsidRDefault="004D1F15">
            <w:pPr>
              <w:spacing w:before="20" w:after="20"/>
              <w:jc w:val="left"/>
              <w:rPr>
                <w:noProof/>
                <w:sz w:val="16"/>
              </w:rPr>
            </w:pPr>
            <w:r>
              <w:rPr>
                <w:noProof/>
                <w:color w:val="000000"/>
                <w:sz w:val="16"/>
                <w:szCs w:val="20"/>
              </w:rPr>
              <w:t>Payments</w:t>
            </w:r>
          </w:p>
        </w:tc>
        <w:tc>
          <w:tcPr>
            <w:tcW w:w="705" w:type="dxa"/>
            <w:vAlign w:val="center"/>
          </w:tcPr>
          <w:p w:rsidR="00211384" w:rsidRDefault="004D1F15">
            <w:pPr>
              <w:spacing w:before="20" w:after="20"/>
              <w:jc w:val="center"/>
              <w:rPr>
                <w:noProof/>
                <w:sz w:val="14"/>
              </w:rPr>
            </w:pPr>
            <w:r>
              <w:rPr>
                <w:noProof/>
                <w:color w:val="000000"/>
                <w:sz w:val="14"/>
                <w:szCs w:val="20"/>
              </w:rPr>
              <w:t>(2d)</w:t>
            </w:r>
          </w:p>
        </w:tc>
        <w:tc>
          <w:tcPr>
            <w:tcW w:w="962" w:type="dxa"/>
            <w:vAlign w:val="center"/>
          </w:tcPr>
          <w:p w:rsidR="00211384" w:rsidRDefault="004D1F15">
            <w:pPr>
              <w:spacing w:before="20" w:after="20"/>
              <w:jc w:val="right"/>
              <w:rPr>
                <w:noProof/>
                <w:sz w:val="14"/>
              </w:rPr>
            </w:pPr>
            <w:r>
              <w:rPr>
                <w:noProof/>
                <w:color w:val="000000"/>
                <w:sz w:val="14"/>
                <w:szCs w:val="20"/>
              </w:rPr>
              <w:t>63.465</w:t>
            </w:r>
          </w:p>
        </w:tc>
        <w:tc>
          <w:tcPr>
            <w:tcW w:w="848" w:type="dxa"/>
            <w:vAlign w:val="center"/>
          </w:tcPr>
          <w:p w:rsidR="00211384" w:rsidRDefault="004D1F15">
            <w:pPr>
              <w:spacing w:before="20" w:after="20"/>
              <w:jc w:val="right"/>
              <w:rPr>
                <w:noProof/>
                <w:sz w:val="14"/>
              </w:rPr>
            </w:pPr>
            <w:r>
              <w:rPr>
                <w:noProof/>
                <w:color w:val="000000"/>
                <w:sz w:val="14"/>
                <w:szCs w:val="20"/>
              </w:rPr>
              <w:t>156.170</w:t>
            </w:r>
          </w:p>
        </w:tc>
        <w:tc>
          <w:tcPr>
            <w:tcW w:w="848" w:type="dxa"/>
            <w:vAlign w:val="center"/>
          </w:tcPr>
          <w:p w:rsidR="00211384" w:rsidRDefault="004D1F15">
            <w:pPr>
              <w:spacing w:before="20" w:after="20"/>
              <w:jc w:val="right"/>
              <w:rPr>
                <w:noProof/>
                <w:sz w:val="14"/>
              </w:rPr>
            </w:pPr>
            <w:r>
              <w:rPr>
                <w:noProof/>
                <w:color w:val="000000"/>
                <w:sz w:val="14"/>
                <w:szCs w:val="20"/>
              </w:rPr>
              <w:t>189.398</w:t>
            </w:r>
          </w:p>
        </w:tc>
        <w:tc>
          <w:tcPr>
            <w:tcW w:w="848" w:type="dxa"/>
            <w:vAlign w:val="center"/>
          </w:tcPr>
          <w:p w:rsidR="00211384" w:rsidRDefault="004D1F15">
            <w:pPr>
              <w:spacing w:before="20" w:after="20"/>
              <w:jc w:val="right"/>
              <w:rPr>
                <w:noProof/>
                <w:sz w:val="14"/>
              </w:rPr>
            </w:pPr>
            <w:r>
              <w:rPr>
                <w:noProof/>
                <w:color w:val="000000"/>
                <w:sz w:val="14"/>
                <w:szCs w:val="20"/>
              </w:rPr>
              <w:t>234.206</w:t>
            </w:r>
          </w:p>
        </w:tc>
        <w:tc>
          <w:tcPr>
            <w:tcW w:w="848" w:type="dxa"/>
            <w:vAlign w:val="center"/>
          </w:tcPr>
          <w:p w:rsidR="00211384" w:rsidRDefault="004D1F15">
            <w:pPr>
              <w:spacing w:before="20" w:after="20"/>
              <w:jc w:val="right"/>
              <w:rPr>
                <w:noProof/>
                <w:sz w:val="14"/>
              </w:rPr>
            </w:pPr>
            <w:r>
              <w:rPr>
                <w:noProof/>
                <w:color w:val="000000"/>
                <w:sz w:val="14"/>
                <w:szCs w:val="20"/>
              </w:rPr>
              <w:t>265.391</w:t>
            </w:r>
          </w:p>
        </w:tc>
        <w:tc>
          <w:tcPr>
            <w:tcW w:w="848" w:type="dxa"/>
            <w:vAlign w:val="center"/>
          </w:tcPr>
          <w:p w:rsidR="00211384" w:rsidRDefault="004D1F15">
            <w:pPr>
              <w:spacing w:before="20" w:after="20"/>
              <w:jc w:val="right"/>
              <w:rPr>
                <w:noProof/>
                <w:sz w:val="14"/>
              </w:rPr>
            </w:pPr>
            <w:r>
              <w:rPr>
                <w:noProof/>
                <w:color w:val="000000"/>
                <w:sz w:val="14"/>
                <w:szCs w:val="20"/>
              </w:rPr>
              <w:t>288.677</w:t>
            </w:r>
          </w:p>
        </w:tc>
        <w:tc>
          <w:tcPr>
            <w:tcW w:w="848" w:type="dxa"/>
            <w:vAlign w:val="center"/>
          </w:tcPr>
          <w:p w:rsidR="00211384" w:rsidRDefault="004D1F15">
            <w:pPr>
              <w:spacing w:before="20" w:after="20"/>
              <w:jc w:val="right"/>
              <w:rPr>
                <w:b/>
                <w:noProof/>
                <w:sz w:val="14"/>
              </w:rPr>
            </w:pPr>
            <w:r>
              <w:rPr>
                <w:noProof/>
                <w:color w:val="000000"/>
                <w:sz w:val="14"/>
                <w:szCs w:val="20"/>
              </w:rPr>
              <w:t>303.659</w:t>
            </w:r>
          </w:p>
        </w:tc>
        <w:tc>
          <w:tcPr>
            <w:tcW w:w="1016" w:type="dxa"/>
            <w:vAlign w:val="center"/>
          </w:tcPr>
          <w:p w:rsidR="00211384" w:rsidRDefault="004D1F15">
            <w:pPr>
              <w:spacing w:before="20" w:after="20"/>
              <w:jc w:val="right"/>
              <w:rPr>
                <w:b/>
                <w:noProof/>
                <w:sz w:val="14"/>
              </w:rPr>
            </w:pPr>
            <w:r>
              <w:rPr>
                <w:noProof/>
                <w:color w:val="000000"/>
                <w:sz w:val="14"/>
                <w:szCs w:val="20"/>
              </w:rPr>
              <w:t>502.436</w:t>
            </w:r>
          </w:p>
        </w:tc>
        <w:tc>
          <w:tcPr>
            <w:tcW w:w="1612" w:type="dxa"/>
            <w:gridSpan w:val="2"/>
            <w:vAlign w:val="center"/>
          </w:tcPr>
          <w:p w:rsidR="00211384" w:rsidRDefault="004D1F15">
            <w:pPr>
              <w:spacing w:before="20" w:after="20"/>
              <w:jc w:val="right"/>
              <w:rPr>
                <w:b/>
                <w:noProof/>
                <w:sz w:val="14"/>
              </w:rPr>
            </w:pPr>
            <w:r>
              <w:rPr>
                <w:b/>
                <w:bCs/>
                <w:noProof/>
                <w:color w:val="000000"/>
                <w:sz w:val="14"/>
                <w:szCs w:val="20"/>
              </w:rPr>
              <w:t>2 003.400</w:t>
            </w:r>
          </w:p>
        </w:tc>
      </w:tr>
      <w:tr w:rsidR="00211384">
        <w:trPr>
          <w:gridAfter w:val="1"/>
          <w:wAfter w:w="356" w:type="dxa"/>
          <w:trHeight w:val="319"/>
          <w:jc w:val="center"/>
        </w:trPr>
        <w:tc>
          <w:tcPr>
            <w:tcW w:w="3426" w:type="dxa"/>
            <w:vAlign w:val="center"/>
          </w:tcPr>
          <w:p w:rsidR="00211384" w:rsidRDefault="004D1F15">
            <w:pPr>
              <w:spacing w:before="20" w:after="20"/>
              <w:jc w:val="left"/>
              <w:rPr>
                <w:noProof/>
                <w:sz w:val="16"/>
              </w:rPr>
            </w:pPr>
            <w:r>
              <w:rPr>
                <w:noProof/>
                <w:sz w:val="16"/>
              </w:rPr>
              <w:t>Appropriations of an administrative nature financed from the envelope of the programme</w:t>
            </w:r>
            <w:r>
              <w:rPr>
                <w:rStyle w:val="FootnoteReference"/>
                <w:noProof/>
                <w:sz w:val="16"/>
              </w:rPr>
              <w:footnoteReference w:id="17"/>
            </w:r>
            <w:r>
              <w:rPr>
                <w:noProof/>
                <w:sz w:val="16"/>
              </w:rPr>
              <w:t xml:space="preserve"> </w:t>
            </w:r>
          </w:p>
        </w:tc>
        <w:tc>
          <w:tcPr>
            <w:tcW w:w="1295" w:type="dxa"/>
            <w:vAlign w:val="center"/>
          </w:tcPr>
          <w:p w:rsidR="00211384" w:rsidRDefault="004D1F15">
            <w:pPr>
              <w:spacing w:before="40" w:after="40"/>
              <w:jc w:val="left"/>
              <w:rPr>
                <w:noProof/>
                <w:sz w:val="16"/>
              </w:rPr>
            </w:pPr>
            <w:r>
              <w:rPr>
                <w:noProof/>
                <w:sz w:val="16"/>
              </w:rPr>
              <w:t>Commitments = Payments</w:t>
            </w:r>
          </w:p>
        </w:tc>
        <w:tc>
          <w:tcPr>
            <w:tcW w:w="705" w:type="dxa"/>
            <w:vAlign w:val="center"/>
          </w:tcPr>
          <w:p w:rsidR="00211384" w:rsidRDefault="004D1F15">
            <w:pPr>
              <w:spacing w:before="40" w:after="40"/>
              <w:jc w:val="center"/>
              <w:rPr>
                <w:noProof/>
                <w:sz w:val="14"/>
              </w:rPr>
            </w:pPr>
            <w:r>
              <w:rPr>
                <w:noProof/>
                <w:sz w:val="14"/>
              </w:rPr>
              <w:t>(3)</w:t>
            </w:r>
          </w:p>
        </w:tc>
        <w:tc>
          <w:tcPr>
            <w:tcW w:w="962" w:type="dxa"/>
            <w:vAlign w:val="center"/>
          </w:tcPr>
          <w:p w:rsidR="00211384" w:rsidRDefault="004D1F15">
            <w:pPr>
              <w:spacing w:before="40" w:after="40"/>
              <w:jc w:val="right"/>
              <w:rPr>
                <w:b/>
                <w:noProof/>
                <w:sz w:val="14"/>
              </w:rPr>
            </w:pPr>
            <w:r>
              <w:rPr>
                <w:b/>
                <w:noProof/>
                <w:color w:val="000000"/>
                <w:sz w:val="14"/>
                <w:szCs w:val="20"/>
              </w:rPr>
              <w:t>823.606</w:t>
            </w:r>
          </w:p>
        </w:tc>
        <w:tc>
          <w:tcPr>
            <w:tcW w:w="848" w:type="dxa"/>
            <w:vAlign w:val="center"/>
          </w:tcPr>
          <w:p w:rsidR="00211384" w:rsidRDefault="004D1F15">
            <w:pPr>
              <w:spacing w:before="40" w:after="40"/>
              <w:jc w:val="right"/>
              <w:rPr>
                <w:b/>
                <w:noProof/>
                <w:sz w:val="14"/>
              </w:rPr>
            </w:pPr>
            <w:r>
              <w:rPr>
                <w:b/>
                <w:noProof/>
                <w:color w:val="000000"/>
                <w:sz w:val="14"/>
                <w:szCs w:val="20"/>
              </w:rPr>
              <w:t>840.216</w:t>
            </w:r>
          </w:p>
        </w:tc>
        <w:tc>
          <w:tcPr>
            <w:tcW w:w="848" w:type="dxa"/>
            <w:vAlign w:val="center"/>
          </w:tcPr>
          <w:p w:rsidR="00211384" w:rsidRDefault="004D1F15">
            <w:pPr>
              <w:spacing w:before="40" w:after="40"/>
              <w:jc w:val="right"/>
              <w:rPr>
                <w:b/>
                <w:noProof/>
                <w:sz w:val="14"/>
              </w:rPr>
            </w:pPr>
            <w:r>
              <w:rPr>
                <w:b/>
                <w:noProof/>
                <w:color w:val="000000"/>
                <w:sz w:val="14"/>
                <w:szCs w:val="20"/>
              </w:rPr>
              <w:t>857.109</w:t>
            </w:r>
          </w:p>
        </w:tc>
        <w:tc>
          <w:tcPr>
            <w:tcW w:w="848" w:type="dxa"/>
            <w:vAlign w:val="center"/>
          </w:tcPr>
          <w:p w:rsidR="00211384" w:rsidRDefault="004D1F15">
            <w:pPr>
              <w:spacing w:before="40" w:after="40"/>
              <w:jc w:val="right"/>
              <w:rPr>
                <w:b/>
                <w:noProof/>
                <w:sz w:val="14"/>
              </w:rPr>
            </w:pPr>
            <w:r>
              <w:rPr>
                <w:b/>
                <w:noProof/>
                <w:color w:val="000000"/>
                <w:sz w:val="14"/>
                <w:szCs w:val="20"/>
              </w:rPr>
              <w:t>874.375</w:t>
            </w:r>
          </w:p>
        </w:tc>
        <w:tc>
          <w:tcPr>
            <w:tcW w:w="848" w:type="dxa"/>
            <w:vAlign w:val="center"/>
          </w:tcPr>
          <w:p w:rsidR="00211384" w:rsidRDefault="004D1F15">
            <w:pPr>
              <w:spacing w:before="40" w:after="40"/>
              <w:jc w:val="right"/>
              <w:rPr>
                <w:b/>
                <w:noProof/>
                <w:sz w:val="14"/>
              </w:rPr>
            </w:pPr>
            <w:r>
              <w:rPr>
                <w:b/>
                <w:noProof/>
                <w:color w:val="000000"/>
                <w:sz w:val="14"/>
                <w:szCs w:val="20"/>
              </w:rPr>
              <w:t>892.110</w:t>
            </w:r>
          </w:p>
        </w:tc>
        <w:tc>
          <w:tcPr>
            <w:tcW w:w="848" w:type="dxa"/>
            <w:vAlign w:val="center"/>
          </w:tcPr>
          <w:p w:rsidR="00211384" w:rsidRDefault="004D1F15">
            <w:pPr>
              <w:spacing w:before="40" w:after="40"/>
              <w:jc w:val="right"/>
              <w:rPr>
                <w:b/>
                <w:noProof/>
                <w:sz w:val="14"/>
              </w:rPr>
            </w:pPr>
            <w:r>
              <w:rPr>
                <w:b/>
                <w:noProof/>
                <w:color w:val="000000"/>
                <w:sz w:val="14"/>
                <w:szCs w:val="20"/>
              </w:rPr>
              <w:t>909.994</w:t>
            </w:r>
          </w:p>
        </w:tc>
        <w:tc>
          <w:tcPr>
            <w:tcW w:w="848" w:type="dxa"/>
            <w:vAlign w:val="center"/>
          </w:tcPr>
          <w:p w:rsidR="00211384" w:rsidRDefault="004D1F15">
            <w:pPr>
              <w:spacing w:before="40" w:after="40"/>
              <w:jc w:val="right"/>
              <w:rPr>
                <w:b/>
                <w:noProof/>
                <w:sz w:val="14"/>
              </w:rPr>
            </w:pPr>
            <w:r>
              <w:rPr>
                <w:b/>
                <w:noProof/>
                <w:color w:val="000000"/>
                <w:sz w:val="14"/>
                <w:szCs w:val="20"/>
              </w:rPr>
              <w:t>928.444</w:t>
            </w:r>
          </w:p>
        </w:tc>
        <w:tc>
          <w:tcPr>
            <w:tcW w:w="1016" w:type="dxa"/>
            <w:shd w:val="clear" w:color="auto" w:fill="9D9398" w:themeFill="background1" w:themeFillShade="A6"/>
            <w:vAlign w:val="center"/>
          </w:tcPr>
          <w:p w:rsidR="00211384" w:rsidRDefault="00211384">
            <w:pPr>
              <w:spacing w:before="40" w:after="40"/>
              <w:jc w:val="right"/>
              <w:rPr>
                <w:b/>
                <w:noProof/>
                <w:sz w:val="14"/>
              </w:rPr>
            </w:pPr>
          </w:p>
        </w:tc>
        <w:tc>
          <w:tcPr>
            <w:tcW w:w="1256" w:type="dxa"/>
            <w:vAlign w:val="center"/>
          </w:tcPr>
          <w:p w:rsidR="00211384" w:rsidRDefault="004D1F15">
            <w:pPr>
              <w:jc w:val="right"/>
              <w:rPr>
                <w:b/>
                <w:noProof/>
                <w:color w:val="000000"/>
                <w:sz w:val="14"/>
              </w:rPr>
            </w:pPr>
            <w:r>
              <w:rPr>
                <w:b/>
                <w:bCs/>
                <w:noProof/>
                <w:color w:val="000000"/>
                <w:sz w:val="14"/>
                <w:szCs w:val="20"/>
              </w:rPr>
              <w:t>6 125.855</w:t>
            </w:r>
          </w:p>
        </w:tc>
      </w:tr>
      <w:tr w:rsidR="00211384">
        <w:trPr>
          <w:trHeight w:val="319"/>
          <w:jc w:val="center"/>
        </w:trPr>
        <w:tc>
          <w:tcPr>
            <w:tcW w:w="3426" w:type="dxa"/>
            <w:vAlign w:val="center"/>
          </w:tcPr>
          <w:p w:rsidR="00211384" w:rsidRDefault="004D1F15">
            <w:pPr>
              <w:spacing w:before="20" w:after="20"/>
              <w:jc w:val="left"/>
              <w:rPr>
                <w:noProof/>
                <w:sz w:val="16"/>
              </w:rPr>
            </w:pPr>
            <w:r>
              <w:rPr>
                <w:noProof/>
                <w:sz w:val="16"/>
              </w:rPr>
              <w:t>01 01 01 01 Expenditure related to officials and temporary staff implementing research and innovation programmes - Horizon Europe</w:t>
            </w:r>
          </w:p>
        </w:tc>
        <w:tc>
          <w:tcPr>
            <w:tcW w:w="1295" w:type="dxa"/>
            <w:vAlign w:val="center"/>
          </w:tcPr>
          <w:p w:rsidR="00211384" w:rsidRDefault="004D1F15">
            <w:pPr>
              <w:spacing w:before="40" w:after="40"/>
              <w:jc w:val="left"/>
              <w:rPr>
                <w:noProof/>
                <w:sz w:val="16"/>
              </w:rPr>
            </w:pPr>
            <w:r>
              <w:rPr>
                <w:noProof/>
                <w:sz w:val="16"/>
              </w:rPr>
              <w:t>Commitments = Payments</w:t>
            </w:r>
          </w:p>
        </w:tc>
        <w:tc>
          <w:tcPr>
            <w:tcW w:w="705" w:type="dxa"/>
            <w:vAlign w:val="center"/>
          </w:tcPr>
          <w:p w:rsidR="00211384" w:rsidRDefault="004D1F15">
            <w:pPr>
              <w:spacing w:before="40" w:after="40"/>
              <w:jc w:val="center"/>
              <w:rPr>
                <w:noProof/>
                <w:sz w:val="14"/>
              </w:rPr>
            </w:pPr>
            <w:r>
              <w:rPr>
                <w:noProof/>
                <w:sz w:val="14"/>
              </w:rPr>
              <w:t>(3)</w:t>
            </w:r>
          </w:p>
        </w:tc>
        <w:tc>
          <w:tcPr>
            <w:tcW w:w="962" w:type="dxa"/>
            <w:vAlign w:val="center"/>
          </w:tcPr>
          <w:p w:rsidR="00211384" w:rsidRDefault="004D1F15">
            <w:pPr>
              <w:spacing w:before="40" w:after="40"/>
              <w:jc w:val="right"/>
              <w:rPr>
                <w:b/>
                <w:noProof/>
                <w:sz w:val="14"/>
              </w:rPr>
            </w:pPr>
            <w:r>
              <w:rPr>
                <w:noProof/>
                <w:color w:val="000000"/>
                <w:sz w:val="14"/>
                <w:szCs w:val="20"/>
              </w:rPr>
              <w:t>332.455</w:t>
            </w:r>
          </w:p>
        </w:tc>
        <w:tc>
          <w:tcPr>
            <w:tcW w:w="848" w:type="dxa"/>
            <w:vAlign w:val="center"/>
          </w:tcPr>
          <w:p w:rsidR="00211384" w:rsidRDefault="004D1F15">
            <w:pPr>
              <w:spacing w:before="40" w:after="40"/>
              <w:jc w:val="right"/>
              <w:rPr>
                <w:b/>
                <w:noProof/>
                <w:sz w:val="14"/>
              </w:rPr>
            </w:pPr>
            <w:r>
              <w:rPr>
                <w:noProof/>
                <w:color w:val="000000"/>
                <w:sz w:val="14"/>
                <w:szCs w:val="20"/>
              </w:rPr>
              <w:t>341.797</w:t>
            </w:r>
          </w:p>
        </w:tc>
        <w:tc>
          <w:tcPr>
            <w:tcW w:w="848" w:type="dxa"/>
            <w:vAlign w:val="center"/>
          </w:tcPr>
          <w:p w:rsidR="00211384" w:rsidRDefault="004D1F15">
            <w:pPr>
              <w:spacing w:before="40" w:after="40"/>
              <w:jc w:val="right"/>
              <w:rPr>
                <w:b/>
                <w:noProof/>
                <w:sz w:val="14"/>
              </w:rPr>
            </w:pPr>
            <w:r>
              <w:rPr>
                <w:noProof/>
                <w:color w:val="000000"/>
                <w:sz w:val="14"/>
                <w:szCs w:val="20"/>
              </w:rPr>
              <w:t>351.421</w:t>
            </w:r>
          </w:p>
        </w:tc>
        <w:tc>
          <w:tcPr>
            <w:tcW w:w="848" w:type="dxa"/>
            <w:vAlign w:val="center"/>
          </w:tcPr>
          <w:p w:rsidR="00211384" w:rsidRDefault="004D1F15">
            <w:pPr>
              <w:spacing w:before="40" w:after="40"/>
              <w:jc w:val="right"/>
              <w:rPr>
                <w:b/>
                <w:noProof/>
                <w:sz w:val="14"/>
              </w:rPr>
            </w:pPr>
            <w:r>
              <w:rPr>
                <w:noProof/>
                <w:color w:val="000000"/>
                <w:sz w:val="14"/>
                <w:szCs w:val="20"/>
              </w:rPr>
              <w:t>361.335</w:t>
            </w:r>
          </w:p>
        </w:tc>
        <w:tc>
          <w:tcPr>
            <w:tcW w:w="848" w:type="dxa"/>
            <w:vAlign w:val="center"/>
          </w:tcPr>
          <w:p w:rsidR="00211384" w:rsidRDefault="004D1F15">
            <w:pPr>
              <w:spacing w:before="40" w:after="40"/>
              <w:jc w:val="right"/>
              <w:rPr>
                <w:b/>
                <w:noProof/>
                <w:sz w:val="14"/>
              </w:rPr>
            </w:pPr>
            <w:r>
              <w:rPr>
                <w:noProof/>
                <w:color w:val="000000"/>
                <w:sz w:val="14"/>
                <w:szCs w:val="20"/>
              </w:rPr>
              <w:t>371.548</w:t>
            </w:r>
          </w:p>
        </w:tc>
        <w:tc>
          <w:tcPr>
            <w:tcW w:w="848" w:type="dxa"/>
            <w:vAlign w:val="center"/>
          </w:tcPr>
          <w:p w:rsidR="00211384" w:rsidRDefault="004D1F15">
            <w:pPr>
              <w:spacing w:before="40" w:after="40"/>
              <w:jc w:val="right"/>
              <w:rPr>
                <w:b/>
                <w:noProof/>
                <w:sz w:val="14"/>
              </w:rPr>
            </w:pPr>
            <w:r>
              <w:rPr>
                <w:noProof/>
                <w:color w:val="000000"/>
                <w:sz w:val="14"/>
                <w:szCs w:val="20"/>
              </w:rPr>
              <w:t>382.070</w:t>
            </w:r>
          </w:p>
        </w:tc>
        <w:tc>
          <w:tcPr>
            <w:tcW w:w="848" w:type="dxa"/>
            <w:vAlign w:val="center"/>
          </w:tcPr>
          <w:p w:rsidR="00211384" w:rsidRDefault="004D1F15">
            <w:pPr>
              <w:spacing w:before="40" w:after="40"/>
              <w:jc w:val="right"/>
              <w:rPr>
                <w:b/>
                <w:noProof/>
                <w:sz w:val="14"/>
              </w:rPr>
            </w:pPr>
            <w:r>
              <w:rPr>
                <w:noProof/>
                <w:color w:val="000000"/>
                <w:sz w:val="14"/>
                <w:szCs w:val="20"/>
              </w:rPr>
              <w:t>392.912</w:t>
            </w:r>
          </w:p>
        </w:tc>
        <w:tc>
          <w:tcPr>
            <w:tcW w:w="1016" w:type="dxa"/>
            <w:shd w:val="clear" w:color="auto" w:fill="9D9398" w:themeFill="background1" w:themeFillShade="A6"/>
            <w:vAlign w:val="center"/>
          </w:tcPr>
          <w:p w:rsidR="00211384" w:rsidRDefault="00211384">
            <w:pPr>
              <w:spacing w:before="40" w:after="40"/>
              <w:jc w:val="right"/>
              <w:rPr>
                <w:b/>
                <w:noProof/>
                <w:sz w:val="14"/>
              </w:rPr>
            </w:pPr>
          </w:p>
        </w:tc>
        <w:tc>
          <w:tcPr>
            <w:tcW w:w="1612" w:type="dxa"/>
            <w:gridSpan w:val="2"/>
            <w:vAlign w:val="center"/>
          </w:tcPr>
          <w:p w:rsidR="00211384" w:rsidRDefault="004D1F15">
            <w:pPr>
              <w:spacing w:before="40" w:after="40"/>
              <w:jc w:val="right"/>
              <w:rPr>
                <w:b/>
                <w:noProof/>
                <w:sz w:val="14"/>
              </w:rPr>
            </w:pPr>
            <w:r>
              <w:rPr>
                <w:b/>
                <w:bCs/>
                <w:noProof/>
                <w:color w:val="000000"/>
                <w:sz w:val="14"/>
                <w:szCs w:val="20"/>
              </w:rPr>
              <w:t>2 533.539</w:t>
            </w:r>
          </w:p>
        </w:tc>
      </w:tr>
      <w:tr w:rsidR="00211384">
        <w:trPr>
          <w:trHeight w:val="319"/>
          <w:jc w:val="center"/>
        </w:trPr>
        <w:tc>
          <w:tcPr>
            <w:tcW w:w="3426" w:type="dxa"/>
            <w:vAlign w:val="center"/>
          </w:tcPr>
          <w:p w:rsidR="00211384" w:rsidRDefault="004D1F15">
            <w:pPr>
              <w:spacing w:before="20" w:after="20"/>
              <w:jc w:val="left"/>
              <w:rPr>
                <w:noProof/>
                <w:sz w:val="16"/>
              </w:rPr>
            </w:pPr>
            <w:r>
              <w:rPr>
                <w:noProof/>
                <w:sz w:val="16"/>
              </w:rPr>
              <w:t>01 01 01 02 External personnel implementing research and innovation programmes - Horizon Europe</w:t>
            </w:r>
          </w:p>
        </w:tc>
        <w:tc>
          <w:tcPr>
            <w:tcW w:w="1295" w:type="dxa"/>
            <w:vAlign w:val="center"/>
          </w:tcPr>
          <w:p w:rsidR="00211384" w:rsidRDefault="004D1F15">
            <w:pPr>
              <w:spacing w:before="40" w:after="40"/>
              <w:jc w:val="left"/>
              <w:rPr>
                <w:noProof/>
                <w:sz w:val="16"/>
              </w:rPr>
            </w:pPr>
            <w:r>
              <w:rPr>
                <w:noProof/>
                <w:sz w:val="16"/>
              </w:rPr>
              <w:t>Commitments = Payments</w:t>
            </w:r>
          </w:p>
        </w:tc>
        <w:tc>
          <w:tcPr>
            <w:tcW w:w="705" w:type="dxa"/>
            <w:vAlign w:val="center"/>
          </w:tcPr>
          <w:p w:rsidR="00211384" w:rsidRDefault="004D1F15">
            <w:pPr>
              <w:spacing w:before="40" w:after="40"/>
              <w:jc w:val="center"/>
              <w:rPr>
                <w:noProof/>
                <w:sz w:val="14"/>
              </w:rPr>
            </w:pPr>
            <w:r>
              <w:rPr>
                <w:noProof/>
                <w:sz w:val="14"/>
              </w:rPr>
              <w:t>(3)</w:t>
            </w:r>
          </w:p>
        </w:tc>
        <w:tc>
          <w:tcPr>
            <w:tcW w:w="962" w:type="dxa"/>
            <w:vAlign w:val="center"/>
          </w:tcPr>
          <w:p w:rsidR="00211384" w:rsidRDefault="004D1F15">
            <w:pPr>
              <w:spacing w:before="40" w:after="40"/>
              <w:jc w:val="right"/>
              <w:rPr>
                <w:b/>
                <w:noProof/>
                <w:sz w:val="14"/>
              </w:rPr>
            </w:pPr>
            <w:r>
              <w:rPr>
                <w:noProof/>
                <w:color w:val="000000"/>
                <w:sz w:val="14"/>
                <w:szCs w:val="20"/>
              </w:rPr>
              <w:t>68.862</w:t>
            </w:r>
          </w:p>
        </w:tc>
        <w:tc>
          <w:tcPr>
            <w:tcW w:w="848" w:type="dxa"/>
            <w:vAlign w:val="center"/>
          </w:tcPr>
          <w:p w:rsidR="00211384" w:rsidRDefault="004D1F15">
            <w:pPr>
              <w:spacing w:before="40" w:after="40"/>
              <w:jc w:val="right"/>
              <w:rPr>
                <w:b/>
                <w:noProof/>
                <w:sz w:val="14"/>
              </w:rPr>
            </w:pPr>
            <w:r>
              <w:rPr>
                <w:noProof/>
                <w:color w:val="000000"/>
                <w:sz w:val="14"/>
                <w:szCs w:val="20"/>
              </w:rPr>
              <w:t>70.239</w:t>
            </w:r>
          </w:p>
        </w:tc>
        <w:tc>
          <w:tcPr>
            <w:tcW w:w="848" w:type="dxa"/>
            <w:vAlign w:val="center"/>
          </w:tcPr>
          <w:p w:rsidR="00211384" w:rsidRDefault="004D1F15">
            <w:pPr>
              <w:spacing w:before="40" w:after="40"/>
              <w:jc w:val="right"/>
              <w:rPr>
                <w:b/>
                <w:noProof/>
                <w:sz w:val="14"/>
              </w:rPr>
            </w:pPr>
            <w:r>
              <w:rPr>
                <w:noProof/>
                <w:color w:val="000000"/>
                <w:sz w:val="14"/>
                <w:szCs w:val="20"/>
              </w:rPr>
              <w:t>71.643</w:t>
            </w:r>
          </w:p>
        </w:tc>
        <w:tc>
          <w:tcPr>
            <w:tcW w:w="848" w:type="dxa"/>
            <w:vAlign w:val="center"/>
          </w:tcPr>
          <w:p w:rsidR="00211384" w:rsidRDefault="004D1F15">
            <w:pPr>
              <w:spacing w:before="40" w:after="40"/>
              <w:jc w:val="right"/>
              <w:rPr>
                <w:b/>
                <w:noProof/>
                <w:sz w:val="14"/>
              </w:rPr>
            </w:pPr>
            <w:r>
              <w:rPr>
                <w:noProof/>
                <w:color w:val="000000"/>
                <w:sz w:val="14"/>
                <w:szCs w:val="20"/>
              </w:rPr>
              <w:t>73.076</w:t>
            </w:r>
          </w:p>
        </w:tc>
        <w:tc>
          <w:tcPr>
            <w:tcW w:w="848" w:type="dxa"/>
            <w:vAlign w:val="center"/>
          </w:tcPr>
          <w:p w:rsidR="00211384" w:rsidRDefault="004D1F15">
            <w:pPr>
              <w:spacing w:before="40" w:after="40"/>
              <w:jc w:val="right"/>
              <w:rPr>
                <w:b/>
                <w:noProof/>
                <w:sz w:val="14"/>
              </w:rPr>
            </w:pPr>
            <w:r>
              <w:rPr>
                <w:noProof/>
                <w:color w:val="000000"/>
                <w:sz w:val="14"/>
                <w:szCs w:val="20"/>
              </w:rPr>
              <w:t>74.538</w:t>
            </w:r>
          </w:p>
        </w:tc>
        <w:tc>
          <w:tcPr>
            <w:tcW w:w="848" w:type="dxa"/>
            <w:vAlign w:val="center"/>
          </w:tcPr>
          <w:p w:rsidR="00211384" w:rsidRDefault="004D1F15">
            <w:pPr>
              <w:spacing w:before="40" w:after="40"/>
              <w:jc w:val="right"/>
              <w:rPr>
                <w:b/>
                <w:noProof/>
                <w:sz w:val="14"/>
              </w:rPr>
            </w:pPr>
            <w:r>
              <w:rPr>
                <w:noProof/>
                <w:color w:val="000000"/>
                <w:sz w:val="14"/>
                <w:szCs w:val="20"/>
              </w:rPr>
              <w:t>76.029</w:t>
            </w:r>
          </w:p>
        </w:tc>
        <w:tc>
          <w:tcPr>
            <w:tcW w:w="848" w:type="dxa"/>
            <w:vAlign w:val="center"/>
          </w:tcPr>
          <w:p w:rsidR="00211384" w:rsidRDefault="004D1F15">
            <w:pPr>
              <w:spacing w:before="40" w:after="40"/>
              <w:jc w:val="right"/>
              <w:rPr>
                <w:b/>
                <w:noProof/>
                <w:sz w:val="14"/>
              </w:rPr>
            </w:pPr>
            <w:r>
              <w:rPr>
                <w:noProof/>
                <w:color w:val="000000"/>
                <w:sz w:val="14"/>
                <w:szCs w:val="20"/>
              </w:rPr>
              <w:t>77.549</w:t>
            </w:r>
          </w:p>
        </w:tc>
        <w:tc>
          <w:tcPr>
            <w:tcW w:w="1016" w:type="dxa"/>
            <w:shd w:val="clear" w:color="auto" w:fill="9D9398" w:themeFill="background1" w:themeFillShade="A6"/>
            <w:vAlign w:val="center"/>
          </w:tcPr>
          <w:p w:rsidR="00211384" w:rsidRDefault="00211384">
            <w:pPr>
              <w:spacing w:before="40" w:after="40"/>
              <w:jc w:val="right"/>
              <w:rPr>
                <w:b/>
                <w:noProof/>
                <w:sz w:val="14"/>
              </w:rPr>
            </w:pPr>
          </w:p>
        </w:tc>
        <w:tc>
          <w:tcPr>
            <w:tcW w:w="1612" w:type="dxa"/>
            <w:gridSpan w:val="2"/>
            <w:vAlign w:val="center"/>
          </w:tcPr>
          <w:p w:rsidR="00211384" w:rsidRDefault="004D1F15">
            <w:pPr>
              <w:spacing w:before="40" w:after="40"/>
              <w:jc w:val="right"/>
              <w:rPr>
                <w:b/>
                <w:noProof/>
                <w:sz w:val="14"/>
              </w:rPr>
            </w:pPr>
            <w:r>
              <w:rPr>
                <w:b/>
                <w:bCs/>
                <w:noProof/>
                <w:color w:val="000000"/>
                <w:sz w:val="14"/>
                <w:szCs w:val="20"/>
              </w:rPr>
              <w:t>511.937</w:t>
            </w:r>
          </w:p>
        </w:tc>
      </w:tr>
      <w:tr w:rsidR="00211384">
        <w:trPr>
          <w:trHeight w:val="319"/>
          <w:jc w:val="center"/>
        </w:trPr>
        <w:tc>
          <w:tcPr>
            <w:tcW w:w="3426" w:type="dxa"/>
            <w:vAlign w:val="center"/>
          </w:tcPr>
          <w:p w:rsidR="00211384" w:rsidRDefault="004D1F15">
            <w:pPr>
              <w:spacing w:before="20" w:after="20"/>
              <w:jc w:val="left"/>
              <w:rPr>
                <w:noProof/>
                <w:sz w:val="16"/>
              </w:rPr>
            </w:pPr>
            <w:r>
              <w:rPr>
                <w:noProof/>
                <w:sz w:val="16"/>
              </w:rPr>
              <w:t xml:space="preserve">01 01 </w:t>
            </w:r>
            <w:r>
              <w:rPr>
                <w:noProof/>
                <w:sz w:val="16"/>
              </w:rPr>
              <w:t>01 03 Other management expenditure for research and innovation programmes - Horizon Europe</w:t>
            </w:r>
          </w:p>
        </w:tc>
        <w:tc>
          <w:tcPr>
            <w:tcW w:w="1295" w:type="dxa"/>
            <w:vAlign w:val="center"/>
          </w:tcPr>
          <w:p w:rsidR="00211384" w:rsidRDefault="004D1F15">
            <w:pPr>
              <w:spacing w:before="40" w:after="40"/>
              <w:jc w:val="left"/>
              <w:rPr>
                <w:noProof/>
                <w:sz w:val="16"/>
              </w:rPr>
            </w:pPr>
            <w:r>
              <w:rPr>
                <w:noProof/>
                <w:sz w:val="16"/>
              </w:rPr>
              <w:t>Commitments = Payments</w:t>
            </w:r>
          </w:p>
        </w:tc>
        <w:tc>
          <w:tcPr>
            <w:tcW w:w="705" w:type="dxa"/>
            <w:vAlign w:val="center"/>
          </w:tcPr>
          <w:p w:rsidR="00211384" w:rsidRDefault="004D1F15">
            <w:pPr>
              <w:spacing w:before="40" w:after="40"/>
              <w:jc w:val="center"/>
              <w:rPr>
                <w:noProof/>
                <w:sz w:val="14"/>
              </w:rPr>
            </w:pPr>
            <w:r>
              <w:rPr>
                <w:noProof/>
                <w:sz w:val="14"/>
              </w:rPr>
              <w:t>(3)</w:t>
            </w:r>
          </w:p>
        </w:tc>
        <w:tc>
          <w:tcPr>
            <w:tcW w:w="962" w:type="dxa"/>
            <w:vAlign w:val="center"/>
          </w:tcPr>
          <w:p w:rsidR="00211384" w:rsidRDefault="004D1F15">
            <w:pPr>
              <w:spacing w:before="40" w:after="40"/>
              <w:jc w:val="right"/>
              <w:rPr>
                <w:b/>
                <w:noProof/>
                <w:sz w:val="14"/>
              </w:rPr>
            </w:pPr>
            <w:r>
              <w:rPr>
                <w:noProof/>
                <w:color w:val="000000"/>
                <w:sz w:val="14"/>
                <w:szCs w:val="20"/>
              </w:rPr>
              <w:t>422.289</w:t>
            </w:r>
          </w:p>
        </w:tc>
        <w:tc>
          <w:tcPr>
            <w:tcW w:w="848" w:type="dxa"/>
            <w:vAlign w:val="center"/>
          </w:tcPr>
          <w:p w:rsidR="00211384" w:rsidRDefault="004D1F15">
            <w:pPr>
              <w:spacing w:before="40" w:after="40"/>
              <w:jc w:val="right"/>
              <w:rPr>
                <w:b/>
                <w:noProof/>
                <w:sz w:val="14"/>
              </w:rPr>
            </w:pPr>
            <w:r>
              <w:rPr>
                <w:noProof/>
                <w:color w:val="000000"/>
                <w:sz w:val="14"/>
                <w:szCs w:val="20"/>
              </w:rPr>
              <w:t>428.181</w:t>
            </w:r>
          </w:p>
        </w:tc>
        <w:tc>
          <w:tcPr>
            <w:tcW w:w="848" w:type="dxa"/>
            <w:vAlign w:val="center"/>
          </w:tcPr>
          <w:p w:rsidR="00211384" w:rsidRDefault="004D1F15">
            <w:pPr>
              <w:spacing w:before="40" w:after="40"/>
              <w:jc w:val="right"/>
              <w:rPr>
                <w:b/>
                <w:noProof/>
                <w:sz w:val="14"/>
              </w:rPr>
            </w:pPr>
            <w:r>
              <w:rPr>
                <w:noProof/>
                <w:color w:val="000000"/>
                <w:sz w:val="14"/>
                <w:szCs w:val="20"/>
              </w:rPr>
              <w:t>434.044</w:t>
            </w:r>
          </w:p>
        </w:tc>
        <w:tc>
          <w:tcPr>
            <w:tcW w:w="848" w:type="dxa"/>
            <w:vAlign w:val="center"/>
          </w:tcPr>
          <w:p w:rsidR="00211384" w:rsidRDefault="004D1F15">
            <w:pPr>
              <w:spacing w:before="40" w:after="40"/>
              <w:jc w:val="right"/>
              <w:rPr>
                <w:b/>
                <w:noProof/>
                <w:sz w:val="14"/>
              </w:rPr>
            </w:pPr>
            <w:r>
              <w:rPr>
                <w:noProof/>
                <w:color w:val="000000"/>
                <w:sz w:val="14"/>
                <w:szCs w:val="20"/>
              </w:rPr>
              <w:t>439.964</w:t>
            </w:r>
          </w:p>
        </w:tc>
        <w:tc>
          <w:tcPr>
            <w:tcW w:w="848" w:type="dxa"/>
            <w:vAlign w:val="center"/>
          </w:tcPr>
          <w:p w:rsidR="00211384" w:rsidRDefault="004D1F15">
            <w:pPr>
              <w:spacing w:before="40" w:after="40"/>
              <w:jc w:val="right"/>
              <w:rPr>
                <w:b/>
                <w:noProof/>
                <w:sz w:val="14"/>
              </w:rPr>
            </w:pPr>
            <w:r>
              <w:rPr>
                <w:noProof/>
                <w:color w:val="000000"/>
                <w:sz w:val="14"/>
                <w:szCs w:val="20"/>
              </w:rPr>
              <w:t>446.024</w:t>
            </w:r>
          </w:p>
        </w:tc>
        <w:tc>
          <w:tcPr>
            <w:tcW w:w="848" w:type="dxa"/>
            <w:vAlign w:val="center"/>
          </w:tcPr>
          <w:p w:rsidR="00211384" w:rsidRDefault="004D1F15">
            <w:pPr>
              <w:spacing w:before="40" w:after="40"/>
              <w:jc w:val="right"/>
              <w:rPr>
                <w:b/>
                <w:noProof/>
                <w:sz w:val="14"/>
              </w:rPr>
            </w:pPr>
            <w:r>
              <w:rPr>
                <w:noProof/>
                <w:color w:val="000000"/>
                <w:sz w:val="14"/>
                <w:szCs w:val="20"/>
              </w:rPr>
              <w:t>451.895</w:t>
            </w:r>
          </w:p>
        </w:tc>
        <w:tc>
          <w:tcPr>
            <w:tcW w:w="848" w:type="dxa"/>
            <w:vAlign w:val="center"/>
          </w:tcPr>
          <w:p w:rsidR="00211384" w:rsidRDefault="004D1F15">
            <w:pPr>
              <w:spacing w:before="40" w:after="40"/>
              <w:jc w:val="right"/>
              <w:rPr>
                <w:b/>
                <w:noProof/>
                <w:sz w:val="14"/>
              </w:rPr>
            </w:pPr>
            <w:r>
              <w:rPr>
                <w:noProof/>
                <w:color w:val="000000"/>
                <w:sz w:val="14"/>
                <w:szCs w:val="20"/>
              </w:rPr>
              <w:t>457.982</w:t>
            </w:r>
          </w:p>
        </w:tc>
        <w:tc>
          <w:tcPr>
            <w:tcW w:w="1016" w:type="dxa"/>
            <w:shd w:val="clear" w:color="auto" w:fill="9D9398" w:themeFill="background1" w:themeFillShade="A6"/>
            <w:vAlign w:val="center"/>
          </w:tcPr>
          <w:p w:rsidR="00211384" w:rsidRDefault="00211384">
            <w:pPr>
              <w:spacing w:before="40" w:after="40"/>
              <w:jc w:val="right"/>
              <w:rPr>
                <w:b/>
                <w:noProof/>
                <w:sz w:val="14"/>
              </w:rPr>
            </w:pPr>
          </w:p>
        </w:tc>
        <w:tc>
          <w:tcPr>
            <w:tcW w:w="1612" w:type="dxa"/>
            <w:gridSpan w:val="2"/>
            <w:vAlign w:val="center"/>
          </w:tcPr>
          <w:p w:rsidR="00211384" w:rsidRDefault="004D1F15">
            <w:pPr>
              <w:spacing w:before="40" w:after="40"/>
              <w:jc w:val="right"/>
              <w:rPr>
                <w:b/>
                <w:noProof/>
                <w:sz w:val="14"/>
              </w:rPr>
            </w:pPr>
            <w:r>
              <w:rPr>
                <w:b/>
                <w:bCs/>
                <w:noProof/>
                <w:color w:val="000000"/>
                <w:sz w:val="14"/>
                <w:szCs w:val="20"/>
              </w:rPr>
              <w:t>3 080.380</w:t>
            </w:r>
          </w:p>
        </w:tc>
      </w:tr>
      <w:tr w:rsidR="00211384">
        <w:trPr>
          <w:gridAfter w:val="1"/>
          <w:wAfter w:w="356" w:type="dxa"/>
          <w:jc w:val="center"/>
        </w:trPr>
        <w:tc>
          <w:tcPr>
            <w:tcW w:w="3426" w:type="dxa"/>
            <w:vMerge w:val="restart"/>
            <w:vAlign w:val="center"/>
          </w:tcPr>
          <w:p w:rsidR="00211384" w:rsidRDefault="004D1F15">
            <w:pPr>
              <w:jc w:val="left"/>
              <w:rPr>
                <w:b/>
                <w:noProof/>
                <w:sz w:val="16"/>
              </w:rPr>
            </w:pPr>
            <w:r>
              <w:rPr>
                <w:b/>
                <w:noProof/>
                <w:sz w:val="16"/>
              </w:rPr>
              <w:t>TOTAL appropriations for the envelop of the programme</w:t>
            </w:r>
          </w:p>
        </w:tc>
        <w:tc>
          <w:tcPr>
            <w:tcW w:w="1295" w:type="dxa"/>
            <w:vAlign w:val="center"/>
          </w:tcPr>
          <w:p w:rsidR="00211384" w:rsidRDefault="004D1F15">
            <w:pPr>
              <w:jc w:val="left"/>
              <w:rPr>
                <w:noProof/>
                <w:sz w:val="16"/>
              </w:rPr>
            </w:pPr>
            <w:r>
              <w:rPr>
                <w:noProof/>
                <w:sz w:val="16"/>
              </w:rPr>
              <w:t>Commitments</w:t>
            </w:r>
          </w:p>
        </w:tc>
        <w:tc>
          <w:tcPr>
            <w:tcW w:w="705" w:type="dxa"/>
            <w:vAlign w:val="center"/>
          </w:tcPr>
          <w:p w:rsidR="00211384" w:rsidRDefault="004D1F15">
            <w:pPr>
              <w:jc w:val="center"/>
              <w:rPr>
                <w:noProof/>
                <w:sz w:val="14"/>
              </w:rPr>
            </w:pPr>
            <w:r>
              <w:rPr>
                <w:noProof/>
                <w:sz w:val="14"/>
              </w:rPr>
              <w:t>=1+3</w:t>
            </w:r>
          </w:p>
        </w:tc>
        <w:tc>
          <w:tcPr>
            <w:tcW w:w="962" w:type="dxa"/>
            <w:vAlign w:val="center"/>
          </w:tcPr>
          <w:p w:rsidR="00211384" w:rsidRDefault="004D1F15">
            <w:pPr>
              <w:spacing w:before="20" w:after="20"/>
              <w:jc w:val="right"/>
              <w:rPr>
                <w:b/>
                <w:noProof/>
                <w:sz w:val="14"/>
              </w:rPr>
            </w:pPr>
            <w:r>
              <w:rPr>
                <w:b/>
                <w:noProof/>
                <w:color w:val="000000"/>
                <w:sz w:val="14"/>
                <w:szCs w:val="20"/>
              </w:rPr>
              <w:t>12 649.000</w:t>
            </w:r>
          </w:p>
        </w:tc>
        <w:tc>
          <w:tcPr>
            <w:tcW w:w="848" w:type="dxa"/>
            <w:vAlign w:val="center"/>
          </w:tcPr>
          <w:p w:rsidR="00211384" w:rsidRDefault="004D1F15">
            <w:pPr>
              <w:spacing w:before="20" w:after="20"/>
              <w:jc w:val="right"/>
              <w:rPr>
                <w:b/>
                <w:noProof/>
                <w:sz w:val="14"/>
              </w:rPr>
            </w:pPr>
            <w:r>
              <w:rPr>
                <w:b/>
                <w:noProof/>
                <w:color w:val="000000"/>
                <w:sz w:val="14"/>
                <w:szCs w:val="20"/>
              </w:rPr>
              <w:t>12 905.000</w:t>
            </w:r>
          </w:p>
        </w:tc>
        <w:tc>
          <w:tcPr>
            <w:tcW w:w="848" w:type="dxa"/>
            <w:vAlign w:val="center"/>
          </w:tcPr>
          <w:p w:rsidR="00211384" w:rsidRDefault="004D1F15">
            <w:pPr>
              <w:spacing w:before="20" w:after="20"/>
              <w:jc w:val="right"/>
              <w:rPr>
                <w:b/>
                <w:noProof/>
                <w:sz w:val="14"/>
              </w:rPr>
            </w:pPr>
            <w:r>
              <w:rPr>
                <w:b/>
                <w:noProof/>
                <w:color w:val="000000"/>
                <w:sz w:val="14"/>
                <w:szCs w:val="20"/>
              </w:rPr>
              <w:t>13 165.000</w:t>
            </w:r>
          </w:p>
        </w:tc>
        <w:tc>
          <w:tcPr>
            <w:tcW w:w="848" w:type="dxa"/>
            <w:vAlign w:val="center"/>
          </w:tcPr>
          <w:p w:rsidR="00211384" w:rsidRDefault="004D1F15">
            <w:pPr>
              <w:spacing w:before="20" w:after="20"/>
              <w:jc w:val="right"/>
              <w:rPr>
                <w:b/>
                <w:noProof/>
                <w:sz w:val="14"/>
              </w:rPr>
            </w:pPr>
            <w:r>
              <w:rPr>
                <w:b/>
                <w:noProof/>
                <w:color w:val="000000"/>
                <w:sz w:val="14"/>
                <w:szCs w:val="20"/>
              </w:rPr>
              <w:t>13 431.000</w:t>
            </w:r>
          </w:p>
        </w:tc>
        <w:tc>
          <w:tcPr>
            <w:tcW w:w="848" w:type="dxa"/>
            <w:vAlign w:val="center"/>
          </w:tcPr>
          <w:p w:rsidR="00211384" w:rsidRDefault="004D1F15">
            <w:pPr>
              <w:spacing w:before="20" w:after="20"/>
              <w:jc w:val="right"/>
              <w:rPr>
                <w:b/>
                <w:noProof/>
                <w:sz w:val="14"/>
              </w:rPr>
            </w:pPr>
            <w:r>
              <w:rPr>
                <w:b/>
                <w:noProof/>
                <w:color w:val="000000"/>
                <w:sz w:val="14"/>
                <w:szCs w:val="20"/>
              </w:rPr>
              <w:t>13 705.000</w:t>
            </w:r>
          </w:p>
        </w:tc>
        <w:tc>
          <w:tcPr>
            <w:tcW w:w="848" w:type="dxa"/>
            <w:vAlign w:val="center"/>
          </w:tcPr>
          <w:p w:rsidR="00211384" w:rsidRDefault="004D1F15">
            <w:pPr>
              <w:spacing w:before="20" w:after="20"/>
              <w:jc w:val="right"/>
              <w:rPr>
                <w:b/>
                <w:noProof/>
                <w:sz w:val="14"/>
              </w:rPr>
            </w:pPr>
            <w:r>
              <w:rPr>
                <w:b/>
                <w:noProof/>
                <w:color w:val="000000"/>
                <w:sz w:val="14"/>
                <w:szCs w:val="20"/>
              </w:rPr>
              <w:t>13 980.000</w:t>
            </w:r>
          </w:p>
        </w:tc>
        <w:tc>
          <w:tcPr>
            <w:tcW w:w="848" w:type="dxa"/>
            <w:vAlign w:val="center"/>
          </w:tcPr>
          <w:p w:rsidR="00211384" w:rsidRDefault="004D1F15">
            <w:pPr>
              <w:spacing w:before="20" w:after="20"/>
              <w:jc w:val="right"/>
              <w:rPr>
                <w:b/>
                <w:noProof/>
                <w:sz w:val="14"/>
              </w:rPr>
            </w:pPr>
            <w:r>
              <w:rPr>
                <w:b/>
                <w:noProof/>
                <w:color w:val="000000"/>
                <w:sz w:val="14"/>
                <w:szCs w:val="20"/>
              </w:rPr>
              <w:t>14 265.000</w:t>
            </w:r>
          </w:p>
        </w:tc>
        <w:tc>
          <w:tcPr>
            <w:tcW w:w="1016" w:type="dxa"/>
            <w:shd w:val="clear" w:color="auto" w:fill="9D9398" w:themeFill="background1" w:themeFillShade="A6"/>
            <w:vAlign w:val="center"/>
          </w:tcPr>
          <w:p w:rsidR="00211384" w:rsidRDefault="00211384">
            <w:pPr>
              <w:spacing w:before="20" w:after="20"/>
              <w:jc w:val="right"/>
              <w:rPr>
                <w:b/>
                <w:noProof/>
                <w:sz w:val="14"/>
              </w:rPr>
            </w:pPr>
          </w:p>
        </w:tc>
        <w:tc>
          <w:tcPr>
            <w:tcW w:w="1256" w:type="dxa"/>
            <w:vAlign w:val="center"/>
          </w:tcPr>
          <w:p w:rsidR="00211384" w:rsidRDefault="004D1F15">
            <w:pPr>
              <w:spacing w:before="20" w:after="20"/>
              <w:jc w:val="right"/>
              <w:rPr>
                <w:b/>
                <w:noProof/>
                <w:sz w:val="14"/>
              </w:rPr>
            </w:pPr>
            <w:r>
              <w:rPr>
                <w:b/>
                <w:bCs/>
                <w:noProof/>
                <w:color w:val="000000"/>
                <w:sz w:val="14"/>
                <w:szCs w:val="20"/>
              </w:rPr>
              <w:t>94 100.000</w:t>
            </w:r>
          </w:p>
        </w:tc>
      </w:tr>
      <w:tr w:rsidR="00211384">
        <w:trPr>
          <w:gridAfter w:val="1"/>
          <w:wAfter w:w="356" w:type="dxa"/>
          <w:jc w:val="center"/>
        </w:trPr>
        <w:tc>
          <w:tcPr>
            <w:tcW w:w="3426" w:type="dxa"/>
            <w:vMerge/>
          </w:tcPr>
          <w:p w:rsidR="00211384" w:rsidRDefault="00211384">
            <w:pPr>
              <w:rPr>
                <w:noProof/>
                <w:sz w:val="16"/>
              </w:rPr>
            </w:pPr>
          </w:p>
        </w:tc>
        <w:tc>
          <w:tcPr>
            <w:tcW w:w="1295" w:type="dxa"/>
            <w:vAlign w:val="center"/>
          </w:tcPr>
          <w:p w:rsidR="00211384" w:rsidRDefault="004D1F15">
            <w:pPr>
              <w:jc w:val="left"/>
              <w:rPr>
                <w:noProof/>
                <w:sz w:val="16"/>
              </w:rPr>
            </w:pPr>
            <w:r>
              <w:rPr>
                <w:noProof/>
                <w:sz w:val="16"/>
              </w:rPr>
              <w:t>Payments</w:t>
            </w:r>
          </w:p>
        </w:tc>
        <w:tc>
          <w:tcPr>
            <w:tcW w:w="705" w:type="dxa"/>
            <w:vAlign w:val="center"/>
          </w:tcPr>
          <w:p w:rsidR="00211384" w:rsidRDefault="004D1F15">
            <w:pPr>
              <w:jc w:val="center"/>
              <w:rPr>
                <w:noProof/>
                <w:sz w:val="14"/>
              </w:rPr>
            </w:pPr>
            <w:r>
              <w:rPr>
                <w:noProof/>
                <w:sz w:val="14"/>
              </w:rPr>
              <w:t>=2+3</w:t>
            </w:r>
          </w:p>
        </w:tc>
        <w:tc>
          <w:tcPr>
            <w:tcW w:w="962" w:type="dxa"/>
            <w:vAlign w:val="center"/>
          </w:tcPr>
          <w:p w:rsidR="00211384" w:rsidRDefault="004D1F15">
            <w:pPr>
              <w:spacing w:before="20" w:after="20"/>
              <w:jc w:val="right"/>
              <w:rPr>
                <w:b/>
                <w:noProof/>
                <w:sz w:val="14"/>
              </w:rPr>
            </w:pPr>
            <w:r>
              <w:rPr>
                <w:b/>
                <w:noProof/>
                <w:color w:val="000000"/>
                <w:sz w:val="14"/>
                <w:szCs w:val="20"/>
              </w:rPr>
              <w:t>3 610.702</w:t>
            </w:r>
          </w:p>
        </w:tc>
        <w:tc>
          <w:tcPr>
            <w:tcW w:w="848" w:type="dxa"/>
            <w:vAlign w:val="center"/>
          </w:tcPr>
          <w:p w:rsidR="00211384" w:rsidRDefault="004D1F15">
            <w:pPr>
              <w:spacing w:before="20" w:after="20"/>
              <w:jc w:val="right"/>
              <w:rPr>
                <w:b/>
                <w:noProof/>
                <w:sz w:val="14"/>
              </w:rPr>
            </w:pPr>
            <w:r>
              <w:rPr>
                <w:b/>
                <w:noProof/>
                <w:color w:val="000000"/>
                <w:sz w:val="14"/>
                <w:szCs w:val="20"/>
              </w:rPr>
              <w:t>7 698.393</w:t>
            </w:r>
          </w:p>
        </w:tc>
        <w:tc>
          <w:tcPr>
            <w:tcW w:w="848" w:type="dxa"/>
            <w:vAlign w:val="center"/>
          </w:tcPr>
          <w:p w:rsidR="00211384" w:rsidRDefault="004D1F15">
            <w:pPr>
              <w:spacing w:before="20" w:after="20"/>
              <w:jc w:val="right"/>
              <w:rPr>
                <w:b/>
                <w:noProof/>
                <w:sz w:val="14"/>
              </w:rPr>
            </w:pPr>
            <w:r>
              <w:rPr>
                <w:b/>
                <w:noProof/>
                <w:color w:val="000000"/>
                <w:sz w:val="14"/>
                <w:szCs w:val="20"/>
              </w:rPr>
              <w:t>9 173.995</w:t>
            </w:r>
          </w:p>
        </w:tc>
        <w:tc>
          <w:tcPr>
            <w:tcW w:w="848" w:type="dxa"/>
            <w:vAlign w:val="center"/>
          </w:tcPr>
          <w:p w:rsidR="00211384" w:rsidRDefault="004D1F15">
            <w:pPr>
              <w:spacing w:before="20" w:after="20"/>
              <w:jc w:val="right"/>
              <w:rPr>
                <w:b/>
                <w:noProof/>
                <w:sz w:val="14"/>
              </w:rPr>
            </w:pPr>
            <w:r>
              <w:rPr>
                <w:b/>
                <w:noProof/>
                <w:color w:val="000000"/>
                <w:sz w:val="14"/>
                <w:szCs w:val="20"/>
              </w:rPr>
              <w:t>11 158.626</w:t>
            </w:r>
          </w:p>
        </w:tc>
        <w:tc>
          <w:tcPr>
            <w:tcW w:w="848" w:type="dxa"/>
            <w:vAlign w:val="center"/>
          </w:tcPr>
          <w:p w:rsidR="00211384" w:rsidRDefault="004D1F15">
            <w:pPr>
              <w:spacing w:before="20" w:after="20"/>
              <w:jc w:val="right"/>
              <w:rPr>
                <w:b/>
                <w:noProof/>
                <w:sz w:val="14"/>
              </w:rPr>
            </w:pPr>
            <w:r>
              <w:rPr>
                <w:b/>
                <w:noProof/>
                <w:color w:val="000000"/>
                <w:sz w:val="14"/>
                <w:szCs w:val="20"/>
              </w:rPr>
              <w:t>12 545.625</w:t>
            </w:r>
          </w:p>
        </w:tc>
        <w:tc>
          <w:tcPr>
            <w:tcW w:w="848" w:type="dxa"/>
            <w:vAlign w:val="center"/>
          </w:tcPr>
          <w:p w:rsidR="00211384" w:rsidRDefault="004D1F15">
            <w:pPr>
              <w:spacing w:before="20" w:after="20"/>
              <w:jc w:val="right"/>
              <w:rPr>
                <w:b/>
                <w:noProof/>
                <w:sz w:val="14"/>
              </w:rPr>
            </w:pPr>
            <w:r>
              <w:rPr>
                <w:b/>
                <w:noProof/>
                <w:color w:val="000000"/>
                <w:sz w:val="14"/>
                <w:szCs w:val="20"/>
              </w:rPr>
              <w:t>13 585.787</w:t>
            </w:r>
          </w:p>
        </w:tc>
        <w:tc>
          <w:tcPr>
            <w:tcW w:w="848" w:type="dxa"/>
            <w:vAlign w:val="center"/>
          </w:tcPr>
          <w:p w:rsidR="00211384" w:rsidRDefault="004D1F15">
            <w:pPr>
              <w:spacing w:before="20" w:after="20"/>
              <w:jc w:val="right"/>
              <w:rPr>
                <w:b/>
                <w:noProof/>
                <w:sz w:val="14"/>
              </w:rPr>
            </w:pPr>
            <w:r>
              <w:rPr>
                <w:b/>
                <w:noProof/>
                <w:color w:val="000000"/>
                <w:sz w:val="14"/>
                <w:szCs w:val="20"/>
              </w:rPr>
              <w:t>14 262.844</w:t>
            </w:r>
          </w:p>
        </w:tc>
        <w:tc>
          <w:tcPr>
            <w:tcW w:w="1016" w:type="dxa"/>
            <w:vAlign w:val="center"/>
          </w:tcPr>
          <w:p w:rsidR="00211384" w:rsidRDefault="004D1F15">
            <w:pPr>
              <w:spacing w:before="20" w:after="20"/>
              <w:jc w:val="right"/>
              <w:rPr>
                <w:b/>
                <w:noProof/>
                <w:sz w:val="14"/>
              </w:rPr>
            </w:pPr>
            <w:r>
              <w:rPr>
                <w:b/>
                <w:noProof/>
                <w:color w:val="000000"/>
                <w:sz w:val="14"/>
                <w:szCs w:val="20"/>
              </w:rPr>
              <w:t>22 064.028</w:t>
            </w:r>
          </w:p>
        </w:tc>
        <w:tc>
          <w:tcPr>
            <w:tcW w:w="1256" w:type="dxa"/>
            <w:vAlign w:val="center"/>
          </w:tcPr>
          <w:p w:rsidR="00211384" w:rsidRDefault="004D1F15">
            <w:pPr>
              <w:spacing w:before="20" w:after="20"/>
              <w:jc w:val="right"/>
              <w:rPr>
                <w:b/>
                <w:noProof/>
                <w:sz w:val="14"/>
              </w:rPr>
            </w:pPr>
            <w:r>
              <w:rPr>
                <w:b/>
                <w:bCs/>
                <w:noProof/>
                <w:color w:val="000000"/>
                <w:sz w:val="14"/>
                <w:szCs w:val="20"/>
              </w:rPr>
              <w:t>94 100.000</w:t>
            </w:r>
          </w:p>
        </w:tc>
      </w:tr>
    </w:tbl>
    <w:p w:rsidR="00211384" w:rsidRDefault="00211384">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211384">
        <w:trPr>
          <w:jc w:val="center"/>
        </w:trPr>
        <w:tc>
          <w:tcPr>
            <w:tcW w:w="4744" w:type="dxa"/>
            <w:shd w:val="thinDiagStripe" w:color="C0C0C0" w:fill="auto"/>
            <w:vAlign w:val="center"/>
          </w:tcPr>
          <w:p w:rsidR="00211384" w:rsidRDefault="004D1F15">
            <w:pPr>
              <w:spacing w:before="60" w:after="60"/>
              <w:jc w:val="center"/>
              <w:rPr>
                <w:b/>
                <w:noProof/>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rsidR="00211384" w:rsidRDefault="004D1F15">
            <w:pPr>
              <w:spacing w:before="60" w:after="60"/>
              <w:jc w:val="center"/>
              <w:rPr>
                <w:noProof/>
              </w:rPr>
            </w:pPr>
            <w:r>
              <w:rPr>
                <w:b/>
                <w:noProof/>
                <w:sz w:val="22"/>
              </w:rPr>
              <w:t>7</w:t>
            </w:r>
          </w:p>
        </w:tc>
        <w:tc>
          <w:tcPr>
            <w:tcW w:w="7817" w:type="dxa"/>
            <w:vAlign w:val="center"/>
          </w:tcPr>
          <w:p w:rsidR="00211384" w:rsidRDefault="004D1F15">
            <w:pPr>
              <w:spacing w:before="60" w:after="60"/>
              <w:rPr>
                <w:noProof/>
              </w:rPr>
            </w:pPr>
            <w:r>
              <w:rPr>
                <w:noProof/>
                <w:sz w:val="22"/>
              </w:rPr>
              <w:t>‘Administrative expenditure’</w:t>
            </w:r>
          </w:p>
        </w:tc>
      </w:tr>
    </w:tbl>
    <w:p w:rsidR="00211384" w:rsidRDefault="004D1F15">
      <w:pPr>
        <w:jc w:val="right"/>
        <w:rPr>
          <w:noProof/>
          <w:sz w:val="20"/>
        </w:rPr>
      </w:pPr>
      <w:r>
        <w:rPr>
          <w:noProof/>
          <w:sz w:val="20"/>
        </w:rPr>
        <w:t>EUR million (to three decimal places)</w:t>
      </w:r>
    </w:p>
    <w:tbl>
      <w:tblPr>
        <w:tblW w:w="14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8"/>
        <w:gridCol w:w="1809"/>
        <w:gridCol w:w="868"/>
        <w:gridCol w:w="868"/>
        <w:gridCol w:w="868"/>
        <w:gridCol w:w="868"/>
        <w:gridCol w:w="868"/>
        <w:gridCol w:w="868"/>
        <w:gridCol w:w="868"/>
        <w:gridCol w:w="887"/>
        <w:gridCol w:w="1291"/>
      </w:tblGrid>
      <w:tr w:rsidR="00211384">
        <w:trPr>
          <w:jc w:val="center"/>
        </w:trPr>
        <w:tc>
          <w:tcPr>
            <w:tcW w:w="5777" w:type="dxa"/>
            <w:gridSpan w:val="2"/>
            <w:tcBorders>
              <w:top w:val="nil"/>
              <w:left w:val="nil"/>
            </w:tcBorders>
            <w:vAlign w:val="center"/>
          </w:tcPr>
          <w:p w:rsidR="00211384" w:rsidRDefault="00211384">
            <w:pPr>
              <w:jc w:val="center"/>
              <w:rPr>
                <w:noProof/>
                <w:sz w:val="20"/>
              </w:rPr>
            </w:pPr>
          </w:p>
        </w:tc>
        <w:tc>
          <w:tcPr>
            <w:tcW w:w="868" w:type="dxa"/>
            <w:vAlign w:val="center"/>
          </w:tcPr>
          <w:p w:rsidR="00211384" w:rsidRDefault="004D1F15">
            <w:pPr>
              <w:jc w:val="center"/>
              <w:rPr>
                <w:b/>
                <w:noProof/>
                <w:sz w:val="20"/>
              </w:rPr>
            </w:pPr>
            <w:r>
              <w:rPr>
                <w:b/>
                <w:noProof/>
                <w:sz w:val="20"/>
              </w:rPr>
              <w:t>2021</w:t>
            </w:r>
          </w:p>
        </w:tc>
        <w:tc>
          <w:tcPr>
            <w:tcW w:w="868" w:type="dxa"/>
            <w:vAlign w:val="center"/>
          </w:tcPr>
          <w:p w:rsidR="00211384" w:rsidRDefault="004D1F15">
            <w:pPr>
              <w:jc w:val="center"/>
              <w:rPr>
                <w:b/>
                <w:noProof/>
                <w:sz w:val="20"/>
              </w:rPr>
            </w:pPr>
            <w:r>
              <w:rPr>
                <w:b/>
                <w:noProof/>
                <w:sz w:val="20"/>
              </w:rPr>
              <w:t>2022</w:t>
            </w:r>
          </w:p>
        </w:tc>
        <w:tc>
          <w:tcPr>
            <w:tcW w:w="868" w:type="dxa"/>
            <w:vAlign w:val="center"/>
          </w:tcPr>
          <w:p w:rsidR="00211384" w:rsidRDefault="004D1F15">
            <w:pPr>
              <w:jc w:val="center"/>
              <w:rPr>
                <w:b/>
                <w:noProof/>
                <w:sz w:val="20"/>
              </w:rPr>
            </w:pPr>
            <w:r>
              <w:rPr>
                <w:b/>
                <w:noProof/>
                <w:sz w:val="20"/>
              </w:rPr>
              <w:t>2023</w:t>
            </w:r>
          </w:p>
        </w:tc>
        <w:tc>
          <w:tcPr>
            <w:tcW w:w="868" w:type="dxa"/>
            <w:vAlign w:val="center"/>
          </w:tcPr>
          <w:p w:rsidR="00211384" w:rsidRDefault="004D1F15">
            <w:pPr>
              <w:jc w:val="center"/>
              <w:rPr>
                <w:b/>
                <w:noProof/>
                <w:sz w:val="20"/>
              </w:rPr>
            </w:pPr>
            <w:r>
              <w:rPr>
                <w:b/>
                <w:noProof/>
                <w:sz w:val="20"/>
              </w:rPr>
              <w:t>2024</w:t>
            </w:r>
          </w:p>
        </w:tc>
        <w:tc>
          <w:tcPr>
            <w:tcW w:w="868" w:type="dxa"/>
            <w:vAlign w:val="center"/>
          </w:tcPr>
          <w:p w:rsidR="00211384" w:rsidRDefault="004D1F15">
            <w:pPr>
              <w:jc w:val="center"/>
              <w:rPr>
                <w:b/>
                <w:noProof/>
                <w:sz w:val="18"/>
              </w:rPr>
            </w:pPr>
            <w:r>
              <w:rPr>
                <w:b/>
                <w:noProof/>
                <w:sz w:val="18"/>
              </w:rPr>
              <w:t>2025</w:t>
            </w:r>
          </w:p>
        </w:tc>
        <w:tc>
          <w:tcPr>
            <w:tcW w:w="868" w:type="dxa"/>
            <w:vAlign w:val="center"/>
          </w:tcPr>
          <w:p w:rsidR="00211384" w:rsidRDefault="004D1F15">
            <w:pPr>
              <w:jc w:val="center"/>
              <w:rPr>
                <w:b/>
                <w:noProof/>
                <w:sz w:val="18"/>
              </w:rPr>
            </w:pPr>
            <w:r>
              <w:rPr>
                <w:b/>
                <w:noProof/>
                <w:sz w:val="18"/>
              </w:rPr>
              <w:t>2026</w:t>
            </w:r>
          </w:p>
        </w:tc>
        <w:tc>
          <w:tcPr>
            <w:tcW w:w="868" w:type="dxa"/>
            <w:vAlign w:val="center"/>
          </w:tcPr>
          <w:p w:rsidR="00211384" w:rsidRDefault="004D1F15">
            <w:pPr>
              <w:jc w:val="center"/>
              <w:rPr>
                <w:b/>
                <w:noProof/>
                <w:sz w:val="18"/>
              </w:rPr>
            </w:pPr>
            <w:r>
              <w:rPr>
                <w:b/>
                <w:noProof/>
                <w:sz w:val="18"/>
              </w:rPr>
              <w:t>2027</w:t>
            </w:r>
          </w:p>
        </w:tc>
        <w:tc>
          <w:tcPr>
            <w:tcW w:w="887" w:type="dxa"/>
          </w:tcPr>
          <w:p w:rsidR="00211384" w:rsidRDefault="004D1F15">
            <w:pPr>
              <w:jc w:val="center"/>
              <w:rPr>
                <w:b/>
                <w:noProof/>
                <w:sz w:val="20"/>
              </w:rPr>
            </w:pPr>
            <w:r>
              <w:rPr>
                <w:b/>
                <w:i/>
                <w:noProof/>
                <w:sz w:val="20"/>
              </w:rPr>
              <w:t>Post 2027</w:t>
            </w:r>
          </w:p>
        </w:tc>
        <w:tc>
          <w:tcPr>
            <w:tcW w:w="1291" w:type="dxa"/>
            <w:vAlign w:val="center"/>
          </w:tcPr>
          <w:p w:rsidR="00211384" w:rsidRDefault="004D1F15">
            <w:pPr>
              <w:jc w:val="center"/>
              <w:rPr>
                <w:b/>
                <w:noProof/>
                <w:sz w:val="20"/>
              </w:rPr>
            </w:pPr>
            <w:r>
              <w:rPr>
                <w:b/>
                <w:noProof/>
                <w:sz w:val="20"/>
              </w:rPr>
              <w:t>TOTAL</w:t>
            </w:r>
          </w:p>
        </w:tc>
      </w:tr>
      <w:tr w:rsidR="00211384">
        <w:trPr>
          <w:trHeight w:val="313"/>
          <w:jc w:val="center"/>
        </w:trPr>
        <w:tc>
          <w:tcPr>
            <w:tcW w:w="5777" w:type="dxa"/>
            <w:gridSpan w:val="2"/>
            <w:vAlign w:val="center"/>
          </w:tcPr>
          <w:p w:rsidR="00211384" w:rsidRDefault="004D1F15">
            <w:pPr>
              <w:spacing w:before="20" w:after="20"/>
              <w:rPr>
                <w:noProof/>
              </w:rPr>
            </w:pPr>
            <w:r>
              <w:rPr>
                <w:noProof/>
                <w:sz w:val="22"/>
              </w:rPr>
              <w:t xml:space="preserve">Human resources </w:t>
            </w:r>
          </w:p>
        </w:tc>
        <w:tc>
          <w:tcPr>
            <w:tcW w:w="868" w:type="dxa"/>
            <w:vAlign w:val="center"/>
          </w:tcPr>
          <w:p w:rsidR="00211384" w:rsidRDefault="00211384">
            <w:pPr>
              <w:spacing w:before="20" w:after="20"/>
              <w:jc w:val="right"/>
              <w:rPr>
                <w:noProof/>
                <w:sz w:val="20"/>
              </w:rPr>
            </w:pPr>
          </w:p>
        </w:tc>
        <w:tc>
          <w:tcPr>
            <w:tcW w:w="868" w:type="dxa"/>
            <w:vAlign w:val="center"/>
          </w:tcPr>
          <w:p w:rsidR="00211384" w:rsidRDefault="00211384">
            <w:pPr>
              <w:spacing w:before="20" w:after="20"/>
              <w:jc w:val="right"/>
              <w:rPr>
                <w:noProof/>
                <w:sz w:val="20"/>
              </w:rPr>
            </w:pPr>
          </w:p>
        </w:tc>
        <w:tc>
          <w:tcPr>
            <w:tcW w:w="868" w:type="dxa"/>
            <w:vAlign w:val="center"/>
          </w:tcPr>
          <w:p w:rsidR="00211384" w:rsidRDefault="00211384">
            <w:pPr>
              <w:spacing w:before="20" w:after="20"/>
              <w:jc w:val="right"/>
              <w:rPr>
                <w:noProof/>
                <w:sz w:val="20"/>
              </w:rPr>
            </w:pPr>
          </w:p>
        </w:tc>
        <w:tc>
          <w:tcPr>
            <w:tcW w:w="868" w:type="dxa"/>
            <w:vAlign w:val="center"/>
          </w:tcPr>
          <w:p w:rsidR="00211384" w:rsidRDefault="00211384">
            <w:pPr>
              <w:spacing w:before="20" w:after="20"/>
              <w:jc w:val="right"/>
              <w:rPr>
                <w:noProof/>
                <w:sz w:val="20"/>
              </w:rPr>
            </w:pPr>
          </w:p>
        </w:tc>
        <w:tc>
          <w:tcPr>
            <w:tcW w:w="868" w:type="dxa"/>
            <w:vAlign w:val="center"/>
          </w:tcPr>
          <w:p w:rsidR="00211384" w:rsidRDefault="00211384">
            <w:pPr>
              <w:spacing w:before="20" w:after="20"/>
              <w:jc w:val="right"/>
              <w:rPr>
                <w:noProof/>
                <w:sz w:val="20"/>
              </w:rPr>
            </w:pPr>
          </w:p>
        </w:tc>
        <w:tc>
          <w:tcPr>
            <w:tcW w:w="868" w:type="dxa"/>
            <w:vAlign w:val="center"/>
          </w:tcPr>
          <w:p w:rsidR="00211384" w:rsidRDefault="00211384">
            <w:pPr>
              <w:spacing w:before="20" w:after="20"/>
              <w:jc w:val="right"/>
              <w:rPr>
                <w:noProof/>
                <w:sz w:val="20"/>
              </w:rPr>
            </w:pPr>
          </w:p>
        </w:tc>
        <w:tc>
          <w:tcPr>
            <w:tcW w:w="868" w:type="dxa"/>
            <w:vAlign w:val="center"/>
          </w:tcPr>
          <w:p w:rsidR="00211384" w:rsidRDefault="00211384">
            <w:pPr>
              <w:spacing w:before="20" w:after="20"/>
              <w:jc w:val="right"/>
              <w:rPr>
                <w:b/>
                <w:noProof/>
                <w:sz w:val="20"/>
              </w:rPr>
            </w:pPr>
          </w:p>
        </w:tc>
        <w:tc>
          <w:tcPr>
            <w:tcW w:w="887" w:type="dxa"/>
            <w:shd w:val="clear" w:color="auto" w:fill="9D9398" w:themeFill="background1" w:themeFillShade="A6"/>
          </w:tcPr>
          <w:p w:rsidR="00211384" w:rsidRDefault="00211384">
            <w:pPr>
              <w:spacing w:before="20" w:after="20"/>
              <w:jc w:val="right"/>
              <w:rPr>
                <w:b/>
                <w:noProof/>
                <w:sz w:val="20"/>
              </w:rPr>
            </w:pPr>
          </w:p>
        </w:tc>
        <w:tc>
          <w:tcPr>
            <w:tcW w:w="1291" w:type="dxa"/>
            <w:vAlign w:val="center"/>
          </w:tcPr>
          <w:p w:rsidR="00211384" w:rsidRDefault="00211384">
            <w:pPr>
              <w:spacing w:before="20" w:after="20"/>
              <w:jc w:val="right"/>
              <w:rPr>
                <w:b/>
                <w:noProof/>
                <w:sz w:val="20"/>
              </w:rPr>
            </w:pPr>
          </w:p>
        </w:tc>
      </w:tr>
      <w:tr w:rsidR="00211384">
        <w:trPr>
          <w:trHeight w:val="351"/>
          <w:jc w:val="center"/>
        </w:trPr>
        <w:tc>
          <w:tcPr>
            <w:tcW w:w="5777" w:type="dxa"/>
            <w:gridSpan w:val="2"/>
            <w:vAlign w:val="center"/>
          </w:tcPr>
          <w:p w:rsidR="00211384" w:rsidRDefault="004D1F15">
            <w:pPr>
              <w:spacing w:before="20" w:after="20"/>
              <w:rPr>
                <w:noProof/>
              </w:rPr>
            </w:pPr>
            <w:r>
              <w:rPr>
                <w:noProof/>
                <w:sz w:val="22"/>
              </w:rPr>
              <w:t xml:space="preserve">Other administrative expenditure </w:t>
            </w:r>
          </w:p>
        </w:tc>
        <w:tc>
          <w:tcPr>
            <w:tcW w:w="868" w:type="dxa"/>
            <w:vAlign w:val="center"/>
          </w:tcPr>
          <w:p w:rsidR="00211384" w:rsidRDefault="00211384">
            <w:pPr>
              <w:spacing w:before="20" w:after="20"/>
              <w:jc w:val="right"/>
              <w:rPr>
                <w:b/>
                <w:noProof/>
                <w:sz w:val="20"/>
              </w:rPr>
            </w:pPr>
          </w:p>
        </w:tc>
        <w:tc>
          <w:tcPr>
            <w:tcW w:w="868" w:type="dxa"/>
            <w:vAlign w:val="center"/>
          </w:tcPr>
          <w:p w:rsidR="00211384" w:rsidRDefault="00211384">
            <w:pPr>
              <w:spacing w:before="20" w:after="20"/>
              <w:jc w:val="right"/>
              <w:rPr>
                <w:b/>
                <w:noProof/>
                <w:sz w:val="20"/>
              </w:rPr>
            </w:pPr>
          </w:p>
        </w:tc>
        <w:tc>
          <w:tcPr>
            <w:tcW w:w="868" w:type="dxa"/>
            <w:vAlign w:val="center"/>
          </w:tcPr>
          <w:p w:rsidR="00211384" w:rsidRDefault="00211384">
            <w:pPr>
              <w:spacing w:before="20" w:after="20"/>
              <w:jc w:val="right"/>
              <w:rPr>
                <w:b/>
                <w:noProof/>
                <w:sz w:val="20"/>
              </w:rPr>
            </w:pPr>
          </w:p>
        </w:tc>
        <w:tc>
          <w:tcPr>
            <w:tcW w:w="868" w:type="dxa"/>
            <w:vAlign w:val="center"/>
          </w:tcPr>
          <w:p w:rsidR="00211384" w:rsidRDefault="00211384">
            <w:pPr>
              <w:spacing w:before="20" w:after="20"/>
              <w:jc w:val="right"/>
              <w:rPr>
                <w:b/>
                <w:noProof/>
                <w:sz w:val="20"/>
              </w:rPr>
            </w:pPr>
          </w:p>
        </w:tc>
        <w:tc>
          <w:tcPr>
            <w:tcW w:w="868" w:type="dxa"/>
            <w:vAlign w:val="center"/>
          </w:tcPr>
          <w:p w:rsidR="00211384" w:rsidRDefault="00211384">
            <w:pPr>
              <w:spacing w:before="20" w:after="20"/>
              <w:jc w:val="right"/>
              <w:rPr>
                <w:b/>
                <w:noProof/>
                <w:sz w:val="20"/>
              </w:rPr>
            </w:pPr>
          </w:p>
        </w:tc>
        <w:tc>
          <w:tcPr>
            <w:tcW w:w="868" w:type="dxa"/>
            <w:vAlign w:val="center"/>
          </w:tcPr>
          <w:p w:rsidR="00211384" w:rsidRDefault="00211384">
            <w:pPr>
              <w:spacing w:before="20" w:after="20"/>
              <w:jc w:val="right"/>
              <w:rPr>
                <w:b/>
                <w:noProof/>
                <w:sz w:val="20"/>
              </w:rPr>
            </w:pPr>
          </w:p>
        </w:tc>
        <w:tc>
          <w:tcPr>
            <w:tcW w:w="868" w:type="dxa"/>
            <w:vAlign w:val="center"/>
          </w:tcPr>
          <w:p w:rsidR="00211384" w:rsidRDefault="00211384">
            <w:pPr>
              <w:spacing w:before="20" w:after="20"/>
              <w:jc w:val="right"/>
              <w:rPr>
                <w:b/>
                <w:noProof/>
                <w:sz w:val="20"/>
              </w:rPr>
            </w:pPr>
          </w:p>
        </w:tc>
        <w:tc>
          <w:tcPr>
            <w:tcW w:w="887" w:type="dxa"/>
            <w:shd w:val="clear" w:color="auto" w:fill="9D9398" w:themeFill="background1" w:themeFillShade="A6"/>
          </w:tcPr>
          <w:p w:rsidR="00211384" w:rsidRDefault="00211384">
            <w:pPr>
              <w:spacing w:before="20" w:after="20"/>
              <w:jc w:val="right"/>
              <w:rPr>
                <w:b/>
                <w:noProof/>
                <w:sz w:val="20"/>
              </w:rPr>
            </w:pPr>
          </w:p>
        </w:tc>
        <w:tc>
          <w:tcPr>
            <w:tcW w:w="1291" w:type="dxa"/>
            <w:vAlign w:val="center"/>
          </w:tcPr>
          <w:p w:rsidR="00211384" w:rsidRDefault="00211384">
            <w:pPr>
              <w:spacing w:before="20" w:after="20"/>
              <w:jc w:val="right"/>
              <w:rPr>
                <w:b/>
                <w:noProof/>
                <w:sz w:val="20"/>
              </w:rPr>
            </w:pPr>
          </w:p>
        </w:tc>
      </w:tr>
      <w:tr w:rsidR="00211384">
        <w:trPr>
          <w:trHeight w:val="351"/>
          <w:jc w:val="center"/>
        </w:trPr>
        <w:tc>
          <w:tcPr>
            <w:tcW w:w="3968" w:type="dxa"/>
            <w:vAlign w:val="center"/>
          </w:tcPr>
          <w:p w:rsidR="00211384" w:rsidRDefault="004D1F15">
            <w:pPr>
              <w:spacing w:before="20" w:after="20"/>
              <w:jc w:val="left"/>
              <w:rPr>
                <w:b/>
                <w:noProof/>
                <w:sz w:val="22"/>
              </w:rPr>
            </w:pPr>
            <w:r>
              <w:rPr>
                <w:b/>
                <w:noProof/>
                <w:sz w:val="22"/>
              </w:rPr>
              <w:t xml:space="preserve">TOTAL appropriations under HEADING 7 of the multiannual </w:t>
            </w:r>
            <w:r>
              <w:rPr>
                <w:b/>
                <w:noProof/>
                <w:sz w:val="22"/>
              </w:rPr>
              <w:t>financial framework</w:t>
            </w:r>
          </w:p>
        </w:tc>
        <w:tc>
          <w:tcPr>
            <w:tcW w:w="1809" w:type="dxa"/>
            <w:vAlign w:val="center"/>
          </w:tcPr>
          <w:p w:rsidR="00211384" w:rsidRDefault="004D1F15">
            <w:pPr>
              <w:spacing w:before="20" w:after="20"/>
              <w:rPr>
                <w:noProof/>
                <w:sz w:val="22"/>
              </w:rPr>
            </w:pPr>
            <w:r>
              <w:rPr>
                <w:noProof/>
                <w:sz w:val="18"/>
              </w:rPr>
              <w:t>(Total commitments = Total payments)</w:t>
            </w:r>
          </w:p>
        </w:tc>
        <w:tc>
          <w:tcPr>
            <w:tcW w:w="868" w:type="dxa"/>
            <w:vAlign w:val="center"/>
          </w:tcPr>
          <w:p w:rsidR="00211384" w:rsidRDefault="00211384">
            <w:pPr>
              <w:spacing w:before="20" w:after="20"/>
              <w:jc w:val="right"/>
              <w:rPr>
                <w:b/>
                <w:noProof/>
                <w:sz w:val="20"/>
              </w:rPr>
            </w:pPr>
          </w:p>
        </w:tc>
        <w:tc>
          <w:tcPr>
            <w:tcW w:w="868" w:type="dxa"/>
            <w:vAlign w:val="center"/>
          </w:tcPr>
          <w:p w:rsidR="00211384" w:rsidRDefault="00211384">
            <w:pPr>
              <w:spacing w:before="20" w:after="20"/>
              <w:jc w:val="right"/>
              <w:rPr>
                <w:b/>
                <w:noProof/>
                <w:sz w:val="20"/>
              </w:rPr>
            </w:pPr>
          </w:p>
        </w:tc>
        <w:tc>
          <w:tcPr>
            <w:tcW w:w="868" w:type="dxa"/>
            <w:vAlign w:val="center"/>
          </w:tcPr>
          <w:p w:rsidR="00211384" w:rsidRDefault="00211384">
            <w:pPr>
              <w:spacing w:before="20" w:after="20"/>
              <w:jc w:val="right"/>
              <w:rPr>
                <w:b/>
                <w:noProof/>
                <w:sz w:val="20"/>
              </w:rPr>
            </w:pPr>
          </w:p>
        </w:tc>
        <w:tc>
          <w:tcPr>
            <w:tcW w:w="868" w:type="dxa"/>
            <w:vAlign w:val="center"/>
          </w:tcPr>
          <w:p w:rsidR="00211384" w:rsidRDefault="00211384">
            <w:pPr>
              <w:spacing w:before="20" w:after="20"/>
              <w:jc w:val="right"/>
              <w:rPr>
                <w:b/>
                <w:noProof/>
                <w:sz w:val="20"/>
              </w:rPr>
            </w:pPr>
          </w:p>
        </w:tc>
        <w:tc>
          <w:tcPr>
            <w:tcW w:w="868" w:type="dxa"/>
            <w:vAlign w:val="center"/>
          </w:tcPr>
          <w:p w:rsidR="00211384" w:rsidRDefault="00211384">
            <w:pPr>
              <w:spacing w:before="20" w:after="20"/>
              <w:jc w:val="right"/>
              <w:rPr>
                <w:b/>
                <w:noProof/>
                <w:sz w:val="20"/>
              </w:rPr>
            </w:pPr>
          </w:p>
        </w:tc>
        <w:tc>
          <w:tcPr>
            <w:tcW w:w="868" w:type="dxa"/>
            <w:vAlign w:val="center"/>
          </w:tcPr>
          <w:p w:rsidR="00211384" w:rsidRDefault="00211384">
            <w:pPr>
              <w:spacing w:before="20" w:after="20"/>
              <w:jc w:val="right"/>
              <w:rPr>
                <w:b/>
                <w:noProof/>
                <w:sz w:val="20"/>
              </w:rPr>
            </w:pPr>
          </w:p>
        </w:tc>
        <w:tc>
          <w:tcPr>
            <w:tcW w:w="868" w:type="dxa"/>
            <w:vAlign w:val="center"/>
          </w:tcPr>
          <w:p w:rsidR="00211384" w:rsidRDefault="00211384">
            <w:pPr>
              <w:spacing w:before="20" w:after="20"/>
              <w:jc w:val="right"/>
              <w:rPr>
                <w:b/>
                <w:noProof/>
                <w:sz w:val="20"/>
              </w:rPr>
            </w:pPr>
          </w:p>
        </w:tc>
        <w:tc>
          <w:tcPr>
            <w:tcW w:w="887" w:type="dxa"/>
            <w:shd w:val="clear" w:color="auto" w:fill="9D9398" w:themeFill="background1" w:themeFillShade="A6"/>
          </w:tcPr>
          <w:p w:rsidR="00211384" w:rsidRDefault="00211384">
            <w:pPr>
              <w:spacing w:before="20" w:after="20"/>
              <w:jc w:val="right"/>
              <w:rPr>
                <w:b/>
                <w:noProof/>
                <w:sz w:val="20"/>
              </w:rPr>
            </w:pPr>
          </w:p>
        </w:tc>
        <w:tc>
          <w:tcPr>
            <w:tcW w:w="1291" w:type="dxa"/>
            <w:vAlign w:val="center"/>
          </w:tcPr>
          <w:p w:rsidR="00211384" w:rsidRDefault="00211384">
            <w:pPr>
              <w:spacing w:before="20" w:after="20"/>
              <w:jc w:val="right"/>
              <w:rPr>
                <w:b/>
                <w:noProof/>
                <w:sz w:val="20"/>
              </w:rPr>
            </w:pPr>
          </w:p>
        </w:tc>
      </w:tr>
    </w:tbl>
    <w:p w:rsidR="00211384" w:rsidRDefault="00211384">
      <w:pPr>
        <w:jc w:val="right"/>
        <w:rPr>
          <w:noProof/>
          <w:sz w:val="20"/>
        </w:rPr>
      </w:pPr>
    </w:p>
    <w:p w:rsidR="00211384" w:rsidRDefault="004D1F15">
      <w:pPr>
        <w:jc w:val="right"/>
        <w:rPr>
          <w:noProof/>
          <w:sz w:val="20"/>
        </w:rPr>
      </w:pPr>
      <w:r>
        <w:rPr>
          <w:noProof/>
          <w:sz w:val="20"/>
        </w:rPr>
        <w:t>EUR million (to three decimal places)</w:t>
      </w:r>
    </w:p>
    <w:tbl>
      <w:tblPr>
        <w:tblW w:w="14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34"/>
        <w:gridCol w:w="1560"/>
        <w:gridCol w:w="480"/>
        <w:gridCol w:w="868"/>
        <w:gridCol w:w="868"/>
        <w:gridCol w:w="868"/>
        <w:gridCol w:w="868"/>
        <w:gridCol w:w="868"/>
        <w:gridCol w:w="868"/>
        <w:gridCol w:w="868"/>
        <w:gridCol w:w="877"/>
        <w:gridCol w:w="1292"/>
      </w:tblGrid>
      <w:tr w:rsidR="00211384">
        <w:trPr>
          <w:jc w:val="center"/>
        </w:trPr>
        <w:tc>
          <w:tcPr>
            <w:tcW w:w="3734" w:type="dxa"/>
            <w:tcBorders>
              <w:top w:val="nil"/>
              <w:left w:val="nil"/>
              <w:right w:val="nil"/>
            </w:tcBorders>
            <w:vAlign w:val="center"/>
          </w:tcPr>
          <w:p w:rsidR="00211384" w:rsidRDefault="00211384">
            <w:pPr>
              <w:jc w:val="center"/>
              <w:rPr>
                <w:noProof/>
              </w:rPr>
            </w:pPr>
          </w:p>
        </w:tc>
        <w:tc>
          <w:tcPr>
            <w:tcW w:w="1560" w:type="dxa"/>
            <w:tcBorders>
              <w:top w:val="nil"/>
              <w:left w:val="nil"/>
              <w:right w:val="nil"/>
            </w:tcBorders>
          </w:tcPr>
          <w:p w:rsidR="00211384" w:rsidRDefault="00211384">
            <w:pPr>
              <w:rPr>
                <w:noProof/>
                <w:sz w:val="20"/>
              </w:rPr>
            </w:pPr>
          </w:p>
        </w:tc>
        <w:tc>
          <w:tcPr>
            <w:tcW w:w="480" w:type="dxa"/>
            <w:tcBorders>
              <w:top w:val="nil"/>
              <w:left w:val="nil"/>
            </w:tcBorders>
          </w:tcPr>
          <w:p w:rsidR="00211384" w:rsidRDefault="00211384">
            <w:pPr>
              <w:jc w:val="center"/>
              <w:rPr>
                <w:noProof/>
                <w:sz w:val="20"/>
              </w:rPr>
            </w:pPr>
          </w:p>
        </w:tc>
        <w:tc>
          <w:tcPr>
            <w:tcW w:w="868" w:type="dxa"/>
            <w:vAlign w:val="center"/>
          </w:tcPr>
          <w:p w:rsidR="00211384" w:rsidRDefault="004D1F15">
            <w:pPr>
              <w:jc w:val="center"/>
              <w:rPr>
                <w:noProof/>
                <w:sz w:val="20"/>
              </w:rPr>
            </w:pPr>
            <w:r>
              <w:rPr>
                <w:b/>
                <w:noProof/>
                <w:sz w:val="20"/>
              </w:rPr>
              <w:t>2021</w:t>
            </w:r>
          </w:p>
        </w:tc>
        <w:tc>
          <w:tcPr>
            <w:tcW w:w="868" w:type="dxa"/>
            <w:vAlign w:val="center"/>
          </w:tcPr>
          <w:p w:rsidR="00211384" w:rsidRDefault="004D1F15">
            <w:pPr>
              <w:jc w:val="center"/>
              <w:rPr>
                <w:noProof/>
                <w:sz w:val="20"/>
              </w:rPr>
            </w:pPr>
            <w:r>
              <w:rPr>
                <w:b/>
                <w:noProof/>
                <w:sz w:val="20"/>
              </w:rPr>
              <w:t>2022</w:t>
            </w:r>
          </w:p>
        </w:tc>
        <w:tc>
          <w:tcPr>
            <w:tcW w:w="868" w:type="dxa"/>
            <w:vAlign w:val="center"/>
          </w:tcPr>
          <w:p w:rsidR="00211384" w:rsidRDefault="004D1F15">
            <w:pPr>
              <w:jc w:val="center"/>
              <w:rPr>
                <w:noProof/>
                <w:sz w:val="20"/>
              </w:rPr>
            </w:pPr>
            <w:r>
              <w:rPr>
                <w:b/>
                <w:noProof/>
                <w:sz w:val="20"/>
              </w:rPr>
              <w:t>2023</w:t>
            </w:r>
          </w:p>
        </w:tc>
        <w:tc>
          <w:tcPr>
            <w:tcW w:w="868" w:type="dxa"/>
            <w:vAlign w:val="center"/>
          </w:tcPr>
          <w:p w:rsidR="00211384" w:rsidRDefault="004D1F15">
            <w:pPr>
              <w:jc w:val="center"/>
              <w:rPr>
                <w:noProof/>
                <w:sz w:val="20"/>
              </w:rPr>
            </w:pPr>
            <w:r>
              <w:rPr>
                <w:b/>
                <w:noProof/>
                <w:sz w:val="20"/>
              </w:rPr>
              <w:t>2024</w:t>
            </w:r>
          </w:p>
        </w:tc>
        <w:tc>
          <w:tcPr>
            <w:tcW w:w="868" w:type="dxa"/>
            <w:vAlign w:val="center"/>
          </w:tcPr>
          <w:p w:rsidR="00211384" w:rsidRDefault="004D1F15">
            <w:pPr>
              <w:jc w:val="center"/>
              <w:rPr>
                <w:b/>
                <w:noProof/>
                <w:sz w:val="18"/>
              </w:rPr>
            </w:pPr>
            <w:r>
              <w:rPr>
                <w:b/>
                <w:noProof/>
                <w:sz w:val="18"/>
              </w:rPr>
              <w:t>2025</w:t>
            </w:r>
          </w:p>
        </w:tc>
        <w:tc>
          <w:tcPr>
            <w:tcW w:w="868" w:type="dxa"/>
            <w:vAlign w:val="center"/>
          </w:tcPr>
          <w:p w:rsidR="00211384" w:rsidRDefault="004D1F15">
            <w:pPr>
              <w:jc w:val="center"/>
              <w:rPr>
                <w:b/>
                <w:noProof/>
                <w:sz w:val="18"/>
              </w:rPr>
            </w:pPr>
            <w:r>
              <w:rPr>
                <w:b/>
                <w:noProof/>
                <w:sz w:val="18"/>
              </w:rPr>
              <w:t>2026</w:t>
            </w:r>
          </w:p>
        </w:tc>
        <w:tc>
          <w:tcPr>
            <w:tcW w:w="868" w:type="dxa"/>
            <w:vAlign w:val="center"/>
          </w:tcPr>
          <w:p w:rsidR="00211384" w:rsidRDefault="004D1F15">
            <w:pPr>
              <w:jc w:val="center"/>
              <w:rPr>
                <w:b/>
                <w:noProof/>
                <w:sz w:val="18"/>
              </w:rPr>
            </w:pPr>
            <w:r>
              <w:rPr>
                <w:b/>
                <w:noProof/>
                <w:sz w:val="18"/>
              </w:rPr>
              <w:t>2027</w:t>
            </w:r>
          </w:p>
        </w:tc>
        <w:tc>
          <w:tcPr>
            <w:tcW w:w="877" w:type="dxa"/>
          </w:tcPr>
          <w:p w:rsidR="00211384" w:rsidRDefault="004D1F15">
            <w:pPr>
              <w:jc w:val="center"/>
              <w:rPr>
                <w:b/>
                <w:noProof/>
                <w:sz w:val="20"/>
              </w:rPr>
            </w:pPr>
            <w:r>
              <w:rPr>
                <w:b/>
                <w:i/>
                <w:noProof/>
                <w:sz w:val="20"/>
              </w:rPr>
              <w:t>Post 2027</w:t>
            </w:r>
          </w:p>
        </w:tc>
        <w:tc>
          <w:tcPr>
            <w:tcW w:w="1292" w:type="dxa"/>
            <w:vAlign w:val="center"/>
          </w:tcPr>
          <w:p w:rsidR="00211384" w:rsidRDefault="004D1F15">
            <w:pPr>
              <w:jc w:val="center"/>
              <w:rPr>
                <w:b/>
                <w:noProof/>
                <w:sz w:val="20"/>
              </w:rPr>
            </w:pPr>
            <w:r>
              <w:rPr>
                <w:b/>
                <w:noProof/>
                <w:sz w:val="20"/>
              </w:rPr>
              <w:t>TOTAL</w:t>
            </w:r>
          </w:p>
        </w:tc>
      </w:tr>
      <w:tr w:rsidR="00211384">
        <w:trPr>
          <w:jc w:val="center"/>
        </w:trPr>
        <w:tc>
          <w:tcPr>
            <w:tcW w:w="3734" w:type="dxa"/>
            <w:vMerge w:val="restart"/>
            <w:shd w:val="clear" w:color="auto" w:fill="C0C0C0"/>
            <w:vAlign w:val="center"/>
          </w:tcPr>
          <w:p w:rsidR="00211384" w:rsidRDefault="004D1F15">
            <w:pPr>
              <w:jc w:val="center"/>
              <w:rPr>
                <w:b/>
                <w:noProof/>
              </w:rPr>
            </w:pPr>
            <w:r>
              <w:rPr>
                <w:b/>
                <w:noProof/>
                <w:sz w:val="22"/>
              </w:rPr>
              <w:t xml:space="preserve">TOTAL appropriations </w:t>
            </w:r>
            <w:r>
              <w:rPr>
                <w:noProof/>
                <w:sz w:val="22"/>
              </w:rPr>
              <w:br/>
            </w:r>
            <w:r>
              <w:rPr>
                <w:b/>
                <w:noProof/>
                <w:sz w:val="22"/>
              </w:rPr>
              <w:t xml:space="preserve">across HEADINGS </w:t>
            </w:r>
            <w:r>
              <w:rPr>
                <w:noProof/>
                <w:sz w:val="22"/>
              </w:rPr>
              <w:br/>
              <w:t>of the multiannual financial framework</w:t>
            </w:r>
            <w:r>
              <w:rPr>
                <w:b/>
                <w:noProof/>
                <w:sz w:val="22"/>
              </w:rPr>
              <w:t xml:space="preserve"> </w:t>
            </w:r>
          </w:p>
        </w:tc>
        <w:tc>
          <w:tcPr>
            <w:tcW w:w="2040" w:type="dxa"/>
            <w:gridSpan w:val="2"/>
            <w:vAlign w:val="center"/>
          </w:tcPr>
          <w:p w:rsidR="00211384" w:rsidRDefault="004D1F15">
            <w:pPr>
              <w:rPr>
                <w:noProof/>
                <w:sz w:val="14"/>
              </w:rPr>
            </w:pPr>
            <w:r>
              <w:rPr>
                <w:noProof/>
                <w:sz w:val="18"/>
              </w:rPr>
              <w:t>Commitments</w:t>
            </w:r>
          </w:p>
        </w:tc>
        <w:tc>
          <w:tcPr>
            <w:tcW w:w="868" w:type="dxa"/>
            <w:vAlign w:val="center"/>
          </w:tcPr>
          <w:p w:rsidR="00211384" w:rsidRDefault="004D1F15">
            <w:pPr>
              <w:spacing w:before="60" w:after="60"/>
              <w:jc w:val="right"/>
              <w:rPr>
                <w:noProof/>
                <w:sz w:val="20"/>
              </w:rPr>
            </w:pPr>
            <w:r>
              <w:rPr>
                <w:b/>
                <w:noProof/>
                <w:color w:val="000000"/>
                <w:sz w:val="14"/>
                <w:szCs w:val="20"/>
              </w:rPr>
              <w:t xml:space="preserve">12 </w:t>
            </w:r>
            <w:r>
              <w:rPr>
                <w:b/>
                <w:noProof/>
                <w:color w:val="000000"/>
                <w:sz w:val="14"/>
                <w:szCs w:val="20"/>
              </w:rPr>
              <w:t>649.000</w:t>
            </w:r>
          </w:p>
        </w:tc>
        <w:tc>
          <w:tcPr>
            <w:tcW w:w="868" w:type="dxa"/>
            <w:vAlign w:val="center"/>
          </w:tcPr>
          <w:p w:rsidR="00211384" w:rsidRDefault="004D1F15">
            <w:pPr>
              <w:spacing w:before="60" w:after="60"/>
              <w:jc w:val="right"/>
              <w:rPr>
                <w:noProof/>
                <w:sz w:val="20"/>
              </w:rPr>
            </w:pPr>
            <w:r>
              <w:rPr>
                <w:b/>
                <w:noProof/>
                <w:color w:val="000000"/>
                <w:sz w:val="14"/>
                <w:szCs w:val="20"/>
              </w:rPr>
              <w:t>12 905.000</w:t>
            </w:r>
          </w:p>
        </w:tc>
        <w:tc>
          <w:tcPr>
            <w:tcW w:w="868" w:type="dxa"/>
            <w:vAlign w:val="center"/>
          </w:tcPr>
          <w:p w:rsidR="00211384" w:rsidRDefault="004D1F15">
            <w:pPr>
              <w:spacing w:before="60" w:after="60"/>
              <w:jc w:val="right"/>
              <w:rPr>
                <w:noProof/>
                <w:sz w:val="20"/>
              </w:rPr>
            </w:pPr>
            <w:r>
              <w:rPr>
                <w:b/>
                <w:noProof/>
                <w:color w:val="000000"/>
                <w:sz w:val="14"/>
                <w:szCs w:val="20"/>
              </w:rPr>
              <w:t>13 165.000</w:t>
            </w:r>
          </w:p>
        </w:tc>
        <w:tc>
          <w:tcPr>
            <w:tcW w:w="868" w:type="dxa"/>
            <w:vAlign w:val="center"/>
          </w:tcPr>
          <w:p w:rsidR="00211384" w:rsidRDefault="004D1F15">
            <w:pPr>
              <w:spacing w:before="60" w:after="60"/>
              <w:jc w:val="right"/>
              <w:rPr>
                <w:noProof/>
                <w:sz w:val="20"/>
              </w:rPr>
            </w:pPr>
            <w:r>
              <w:rPr>
                <w:b/>
                <w:noProof/>
                <w:color w:val="000000"/>
                <w:sz w:val="14"/>
                <w:szCs w:val="20"/>
              </w:rPr>
              <w:t>13 431.000</w:t>
            </w:r>
          </w:p>
        </w:tc>
        <w:tc>
          <w:tcPr>
            <w:tcW w:w="868" w:type="dxa"/>
            <w:vAlign w:val="center"/>
          </w:tcPr>
          <w:p w:rsidR="00211384" w:rsidRDefault="004D1F15">
            <w:pPr>
              <w:spacing w:before="60" w:after="60"/>
              <w:jc w:val="right"/>
              <w:rPr>
                <w:noProof/>
                <w:sz w:val="20"/>
              </w:rPr>
            </w:pPr>
            <w:r>
              <w:rPr>
                <w:b/>
                <w:noProof/>
                <w:color w:val="000000"/>
                <w:sz w:val="14"/>
                <w:szCs w:val="20"/>
              </w:rPr>
              <w:t>13 705.000</w:t>
            </w:r>
          </w:p>
        </w:tc>
        <w:tc>
          <w:tcPr>
            <w:tcW w:w="868" w:type="dxa"/>
            <w:vAlign w:val="center"/>
          </w:tcPr>
          <w:p w:rsidR="00211384" w:rsidRDefault="004D1F15">
            <w:pPr>
              <w:spacing w:before="60" w:after="60"/>
              <w:jc w:val="right"/>
              <w:rPr>
                <w:noProof/>
                <w:sz w:val="20"/>
              </w:rPr>
            </w:pPr>
            <w:r>
              <w:rPr>
                <w:b/>
                <w:noProof/>
                <w:color w:val="000000"/>
                <w:sz w:val="14"/>
                <w:szCs w:val="20"/>
              </w:rPr>
              <w:t>13 980.000</w:t>
            </w:r>
          </w:p>
        </w:tc>
        <w:tc>
          <w:tcPr>
            <w:tcW w:w="868" w:type="dxa"/>
            <w:vAlign w:val="center"/>
          </w:tcPr>
          <w:p w:rsidR="00211384" w:rsidRDefault="004D1F15">
            <w:pPr>
              <w:spacing w:before="60" w:after="60"/>
              <w:jc w:val="right"/>
              <w:rPr>
                <w:b/>
                <w:noProof/>
                <w:sz w:val="20"/>
              </w:rPr>
            </w:pPr>
            <w:r>
              <w:rPr>
                <w:b/>
                <w:noProof/>
                <w:color w:val="000000"/>
                <w:sz w:val="14"/>
                <w:szCs w:val="20"/>
              </w:rPr>
              <w:t>14 265.000</w:t>
            </w:r>
          </w:p>
        </w:tc>
        <w:tc>
          <w:tcPr>
            <w:tcW w:w="877" w:type="dxa"/>
            <w:shd w:val="clear" w:color="auto" w:fill="9D9398" w:themeFill="background1" w:themeFillShade="A6"/>
            <w:vAlign w:val="center"/>
          </w:tcPr>
          <w:p w:rsidR="00211384" w:rsidRDefault="00211384">
            <w:pPr>
              <w:spacing w:before="60" w:after="60"/>
              <w:jc w:val="right"/>
              <w:rPr>
                <w:b/>
                <w:noProof/>
                <w:sz w:val="20"/>
              </w:rPr>
            </w:pPr>
          </w:p>
        </w:tc>
        <w:tc>
          <w:tcPr>
            <w:tcW w:w="1292" w:type="dxa"/>
            <w:vAlign w:val="center"/>
          </w:tcPr>
          <w:p w:rsidR="00211384" w:rsidRDefault="004D1F15">
            <w:pPr>
              <w:spacing w:before="60" w:after="60"/>
              <w:jc w:val="right"/>
              <w:rPr>
                <w:b/>
                <w:noProof/>
                <w:sz w:val="20"/>
              </w:rPr>
            </w:pPr>
            <w:r>
              <w:rPr>
                <w:b/>
                <w:bCs/>
                <w:noProof/>
                <w:color w:val="000000"/>
                <w:sz w:val="14"/>
                <w:szCs w:val="20"/>
              </w:rPr>
              <w:t>94 100.000</w:t>
            </w:r>
          </w:p>
        </w:tc>
      </w:tr>
      <w:tr w:rsidR="00211384">
        <w:trPr>
          <w:jc w:val="center"/>
        </w:trPr>
        <w:tc>
          <w:tcPr>
            <w:tcW w:w="3734" w:type="dxa"/>
            <w:vMerge/>
            <w:shd w:val="clear" w:color="auto" w:fill="C0C0C0"/>
          </w:tcPr>
          <w:p w:rsidR="00211384" w:rsidRDefault="00211384">
            <w:pPr>
              <w:rPr>
                <w:noProof/>
                <w:sz w:val="20"/>
              </w:rPr>
            </w:pPr>
          </w:p>
        </w:tc>
        <w:tc>
          <w:tcPr>
            <w:tcW w:w="2040" w:type="dxa"/>
            <w:gridSpan w:val="2"/>
            <w:vAlign w:val="center"/>
          </w:tcPr>
          <w:p w:rsidR="00211384" w:rsidRDefault="004D1F15">
            <w:pPr>
              <w:rPr>
                <w:noProof/>
                <w:sz w:val="14"/>
              </w:rPr>
            </w:pPr>
            <w:r>
              <w:rPr>
                <w:noProof/>
                <w:sz w:val="18"/>
              </w:rPr>
              <w:t>Payments</w:t>
            </w:r>
          </w:p>
        </w:tc>
        <w:tc>
          <w:tcPr>
            <w:tcW w:w="868" w:type="dxa"/>
            <w:vAlign w:val="center"/>
          </w:tcPr>
          <w:p w:rsidR="00211384" w:rsidRDefault="004D1F15">
            <w:pPr>
              <w:spacing w:before="60" w:after="60"/>
              <w:jc w:val="right"/>
              <w:rPr>
                <w:noProof/>
                <w:sz w:val="20"/>
              </w:rPr>
            </w:pPr>
            <w:r>
              <w:rPr>
                <w:b/>
                <w:noProof/>
                <w:color w:val="000000"/>
                <w:sz w:val="14"/>
                <w:szCs w:val="20"/>
              </w:rPr>
              <w:t>3 610.702</w:t>
            </w:r>
          </w:p>
        </w:tc>
        <w:tc>
          <w:tcPr>
            <w:tcW w:w="868" w:type="dxa"/>
            <w:vAlign w:val="center"/>
          </w:tcPr>
          <w:p w:rsidR="00211384" w:rsidRDefault="004D1F15">
            <w:pPr>
              <w:spacing w:before="60" w:after="60"/>
              <w:jc w:val="right"/>
              <w:rPr>
                <w:noProof/>
                <w:sz w:val="20"/>
              </w:rPr>
            </w:pPr>
            <w:r>
              <w:rPr>
                <w:b/>
                <w:noProof/>
                <w:color w:val="000000"/>
                <w:sz w:val="14"/>
                <w:szCs w:val="20"/>
              </w:rPr>
              <w:t>7 698.393</w:t>
            </w:r>
          </w:p>
        </w:tc>
        <w:tc>
          <w:tcPr>
            <w:tcW w:w="868" w:type="dxa"/>
            <w:vAlign w:val="center"/>
          </w:tcPr>
          <w:p w:rsidR="00211384" w:rsidRDefault="004D1F15">
            <w:pPr>
              <w:spacing w:before="60" w:after="60"/>
              <w:jc w:val="right"/>
              <w:rPr>
                <w:noProof/>
                <w:sz w:val="20"/>
              </w:rPr>
            </w:pPr>
            <w:r>
              <w:rPr>
                <w:b/>
                <w:noProof/>
                <w:color w:val="000000"/>
                <w:sz w:val="14"/>
                <w:szCs w:val="20"/>
              </w:rPr>
              <w:t>9 173.995</w:t>
            </w:r>
          </w:p>
        </w:tc>
        <w:tc>
          <w:tcPr>
            <w:tcW w:w="868" w:type="dxa"/>
            <w:vAlign w:val="center"/>
          </w:tcPr>
          <w:p w:rsidR="00211384" w:rsidRDefault="004D1F15">
            <w:pPr>
              <w:spacing w:before="60" w:after="60"/>
              <w:jc w:val="right"/>
              <w:rPr>
                <w:noProof/>
                <w:sz w:val="20"/>
              </w:rPr>
            </w:pPr>
            <w:r>
              <w:rPr>
                <w:b/>
                <w:noProof/>
                <w:color w:val="000000"/>
                <w:sz w:val="14"/>
                <w:szCs w:val="20"/>
              </w:rPr>
              <w:t>11 158.626</w:t>
            </w:r>
          </w:p>
        </w:tc>
        <w:tc>
          <w:tcPr>
            <w:tcW w:w="868" w:type="dxa"/>
            <w:vAlign w:val="center"/>
          </w:tcPr>
          <w:p w:rsidR="00211384" w:rsidRDefault="004D1F15">
            <w:pPr>
              <w:spacing w:before="60" w:after="60"/>
              <w:jc w:val="right"/>
              <w:rPr>
                <w:noProof/>
                <w:sz w:val="20"/>
              </w:rPr>
            </w:pPr>
            <w:r>
              <w:rPr>
                <w:b/>
                <w:noProof/>
                <w:color w:val="000000"/>
                <w:sz w:val="14"/>
                <w:szCs w:val="20"/>
              </w:rPr>
              <w:t>12 545.625</w:t>
            </w:r>
          </w:p>
        </w:tc>
        <w:tc>
          <w:tcPr>
            <w:tcW w:w="868" w:type="dxa"/>
            <w:vAlign w:val="center"/>
          </w:tcPr>
          <w:p w:rsidR="00211384" w:rsidRDefault="004D1F15">
            <w:pPr>
              <w:spacing w:before="60" w:after="60"/>
              <w:jc w:val="right"/>
              <w:rPr>
                <w:noProof/>
                <w:sz w:val="20"/>
              </w:rPr>
            </w:pPr>
            <w:r>
              <w:rPr>
                <w:b/>
                <w:noProof/>
                <w:color w:val="000000"/>
                <w:sz w:val="14"/>
                <w:szCs w:val="20"/>
              </w:rPr>
              <w:t>13 585.787</w:t>
            </w:r>
          </w:p>
        </w:tc>
        <w:tc>
          <w:tcPr>
            <w:tcW w:w="868" w:type="dxa"/>
            <w:vAlign w:val="center"/>
          </w:tcPr>
          <w:p w:rsidR="00211384" w:rsidRDefault="004D1F15">
            <w:pPr>
              <w:spacing w:before="60" w:after="60"/>
              <w:jc w:val="right"/>
              <w:rPr>
                <w:b/>
                <w:noProof/>
                <w:sz w:val="20"/>
              </w:rPr>
            </w:pPr>
            <w:r>
              <w:rPr>
                <w:b/>
                <w:noProof/>
                <w:color w:val="000000"/>
                <w:sz w:val="14"/>
                <w:szCs w:val="20"/>
              </w:rPr>
              <w:t>14 262.844</w:t>
            </w:r>
          </w:p>
        </w:tc>
        <w:tc>
          <w:tcPr>
            <w:tcW w:w="877" w:type="dxa"/>
            <w:vAlign w:val="center"/>
          </w:tcPr>
          <w:p w:rsidR="00211384" w:rsidRDefault="004D1F15">
            <w:pPr>
              <w:spacing w:before="60" w:after="60"/>
              <w:jc w:val="right"/>
              <w:rPr>
                <w:b/>
                <w:noProof/>
                <w:sz w:val="20"/>
              </w:rPr>
            </w:pPr>
            <w:r>
              <w:rPr>
                <w:b/>
                <w:noProof/>
                <w:color w:val="000000"/>
                <w:sz w:val="14"/>
                <w:szCs w:val="20"/>
              </w:rPr>
              <w:t>22 064.028</w:t>
            </w:r>
          </w:p>
        </w:tc>
        <w:tc>
          <w:tcPr>
            <w:tcW w:w="1292" w:type="dxa"/>
            <w:vAlign w:val="center"/>
          </w:tcPr>
          <w:p w:rsidR="00211384" w:rsidRDefault="004D1F15">
            <w:pPr>
              <w:spacing w:before="60" w:after="60"/>
              <w:jc w:val="right"/>
              <w:rPr>
                <w:b/>
                <w:noProof/>
                <w:sz w:val="20"/>
              </w:rPr>
            </w:pPr>
            <w:r>
              <w:rPr>
                <w:b/>
                <w:bCs/>
                <w:noProof/>
                <w:color w:val="000000"/>
                <w:sz w:val="14"/>
                <w:szCs w:val="20"/>
              </w:rPr>
              <w:t>94 100.000</w:t>
            </w:r>
          </w:p>
        </w:tc>
      </w:tr>
    </w:tbl>
    <w:p w:rsidR="00211384" w:rsidRDefault="00211384">
      <w:pPr>
        <w:rPr>
          <w:noProof/>
        </w:rPr>
        <w:sectPr w:rsidR="00211384" w:rsidSect="004D1F15">
          <w:headerReference w:type="default" r:id="rId29"/>
          <w:footerReference w:type="default" r:id="rId30"/>
          <w:headerReference w:type="first" r:id="rId31"/>
          <w:footerReference w:type="first" r:id="rId32"/>
          <w:pgSz w:w="16840" w:h="11907" w:orient="landscape" w:code="9"/>
          <w:pgMar w:top="1134" w:right="1418" w:bottom="1134" w:left="1418" w:header="709" w:footer="709" w:gutter="0"/>
          <w:cols w:space="708"/>
          <w:docGrid w:linePitch="360"/>
        </w:sectPr>
      </w:pPr>
    </w:p>
    <w:p w:rsidR="00211384" w:rsidRDefault="004D1F15">
      <w:pPr>
        <w:pStyle w:val="ManualHeading3"/>
        <w:rPr>
          <w:bCs/>
          <w:noProof/>
          <w:szCs w:val="24"/>
        </w:rPr>
      </w:pPr>
      <w:r>
        <w:rPr>
          <w:noProof/>
        </w:rPr>
        <w:t>3.2.2.</w:t>
      </w:r>
      <w:r>
        <w:rPr>
          <w:noProof/>
        </w:rPr>
        <w:tab/>
        <w:t>Summary of estimated impact on appropriations of an administrative nature</w:t>
      </w:r>
    </w:p>
    <w:p w:rsidR="00211384" w:rsidRDefault="004D1F15">
      <w:pPr>
        <w:pStyle w:val="ListDash1"/>
        <w:rPr>
          <w:noProof/>
        </w:rPr>
      </w:pPr>
      <w:r>
        <w:rPr>
          <w:noProof/>
        </w:rPr>
        <w:sym w:font="Wingdings" w:char="F0A8"/>
      </w:r>
      <w:r>
        <w:rPr>
          <w:noProof/>
        </w:rPr>
        <w:tab/>
        <w:t xml:space="preserve">The proposal/initiative does not require the use of appropriations of an administrative nature </w:t>
      </w:r>
    </w:p>
    <w:p w:rsidR="00211384" w:rsidRDefault="004D1F15">
      <w:pPr>
        <w:pStyle w:val="ListDash1"/>
        <w:rPr>
          <w:noProof/>
        </w:rPr>
      </w:pPr>
      <w:r>
        <w:rPr>
          <w:noProof/>
        </w:rPr>
        <w:sym w:font="Wingdings" w:char="F0FE"/>
      </w:r>
      <w:r>
        <w:rPr>
          <w:noProof/>
        </w:rPr>
        <w:tab/>
        <w:t xml:space="preserve">The proposal/initiative requires the use of appropriations of an </w:t>
      </w:r>
      <w:r>
        <w:rPr>
          <w:noProof/>
        </w:rPr>
        <w:t>administrative nature, as explained below:</w:t>
      </w:r>
    </w:p>
    <w:p w:rsidR="00211384" w:rsidRDefault="004D1F15">
      <w:pPr>
        <w:rPr>
          <w:noProof/>
          <w:sz w:val="20"/>
        </w:rPr>
      </w:pPr>
      <w:r>
        <w:rPr>
          <w:noProof/>
          <w:sz w:val="20"/>
        </w:rPr>
        <w:t>EUR million (to three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211384">
        <w:trPr>
          <w:trHeight w:val="585"/>
        </w:trPr>
        <w:tc>
          <w:tcPr>
            <w:tcW w:w="1980" w:type="dxa"/>
            <w:vAlign w:val="center"/>
          </w:tcPr>
          <w:p w:rsidR="00211384" w:rsidRDefault="004D1F15">
            <w:pPr>
              <w:spacing w:before="60" w:after="60" w:line="200" w:lineRule="exact"/>
              <w:jc w:val="center"/>
              <w:rPr>
                <w:b/>
                <w:noProof/>
                <w:sz w:val="16"/>
                <w:szCs w:val="16"/>
              </w:rPr>
            </w:pPr>
            <w:r>
              <w:rPr>
                <w:b/>
                <w:noProof/>
                <w:sz w:val="16"/>
                <w:szCs w:val="16"/>
              </w:rPr>
              <w:t>Years</w:t>
            </w:r>
          </w:p>
        </w:tc>
        <w:tc>
          <w:tcPr>
            <w:tcW w:w="1080" w:type="dxa"/>
            <w:vAlign w:val="center"/>
          </w:tcPr>
          <w:p w:rsidR="00211384" w:rsidRDefault="004D1F15">
            <w:pPr>
              <w:spacing w:before="60" w:after="60" w:line="200" w:lineRule="exact"/>
              <w:jc w:val="center"/>
              <w:rPr>
                <w:noProof/>
                <w:sz w:val="16"/>
                <w:szCs w:val="16"/>
              </w:rPr>
            </w:pPr>
            <w:r>
              <w:rPr>
                <w:b/>
                <w:noProof/>
                <w:sz w:val="20"/>
              </w:rPr>
              <w:t>2021</w:t>
            </w:r>
          </w:p>
        </w:tc>
        <w:tc>
          <w:tcPr>
            <w:tcW w:w="1080" w:type="dxa"/>
            <w:vAlign w:val="center"/>
          </w:tcPr>
          <w:p w:rsidR="00211384" w:rsidRDefault="004D1F15">
            <w:pPr>
              <w:spacing w:before="60" w:after="60" w:line="200" w:lineRule="exact"/>
              <w:jc w:val="center"/>
              <w:rPr>
                <w:noProof/>
                <w:sz w:val="16"/>
                <w:szCs w:val="16"/>
              </w:rPr>
            </w:pPr>
            <w:r>
              <w:rPr>
                <w:b/>
                <w:noProof/>
                <w:sz w:val="20"/>
              </w:rPr>
              <w:t>2022</w:t>
            </w:r>
          </w:p>
        </w:tc>
        <w:tc>
          <w:tcPr>
            <w:tcW w:w="1080" w:type="dxa"/>
            <w:vAlign w:val="center"/>
          </w:tcPr>
          <w:p w:rsidR="00211384" w:rsidRDefault="004D1F15">
            <w:pPr>
              <w:spacing w:before="60" w:after="60" w:line="200" w:lineRule="exact"/>
              <w:jc w:val="center"/>
              <w:rPr>
                <w:noProof/>
                <w:sz w:val="16"/>
                <w:szCs w:val="16"/>
              </w:rPr>
            </w:pPr>
            <w:r>
              <w:rPr>
                <w:b/>
                <w:noProof/>
                <w:sz w:val="20"/>
              </w:rPr>
              <w:t>2023</w:t>
            </w:r>
          </w:p>
        </w:tc>
        <w:tc>
          <w:tcPr>
            <w:tcW w:w="1080" w:type="dxa"/>
            <w:vAlign w:val="center"/>
          </w:tcPr>
          <w:p w:rsidR="00211384" w:rsidRDefault="004D1F15">
            <w:pPr>
              <w:spacing w:before="60" w:after="60" w:line="200" w:lineRule="exact"/>
              <w:jc w:val="center"/>
              <w:rPr>
                <w:noProof/>
                <w:sz w:val="16"/>
                <w:szCs w:val="16"/>
              </w:rPr>
            </w:pPr>
            <w:r>
              <w:rPr>
                <w:b/>
                <w:noProof/>
                <w:sz w:val="20"/>
              </w:rPr>
              <w:t>2024</w:t>
            </w:r>
          </w:p>
        </w:tc>
        <w:tc>
          <w:tcPr>
            <w:tcW w:w="1080" w:type="dxa"/>
            <w:vAlign w:val="center"/>
          </w:tcPr>
          <w:p w:rsidR="00211384" w:rsidRDefault="004D1F15">
            <w:pPr>
              <w:spacing w:line="200" w:lineRule="exact"/>
              <w:jc w:val="center"/>
              <w:rPr>
                <w:b/>
                <w:noProof/>
                <w:sz w:val="16"/>
                <w:szCs w:val="16"/>
              </w:rPr>
            </w:pPr>
            <w:r>
              <w:rPr>
                <w:b/>
                <w:noProof/>
                <w:sz w:val="18"/>
              </w:rPr>
              <w:t>2025</w:t>
            </w:r>
          </w:p>
        </w:tc>
        <w:tc>
          <w:tcPr>
            <w:tcW w:w="1080" w:type="dxa"/>
            <w:vAlign w:val="center"/>
          </w:tcPr>
          <w:p w:rsidR="00211384" w:rsidRDefault="004D1F15">
            <w:pPr>
              <w:spacing w:line="200" w:lineRule="exact"/>
              <w:jc w:val="center"/>
              <w:rPr>
                <w:b/>
                <w:noProof/>
                <w:sz w:val="16"/>
                <w:szCs w:val="16"/>
              </w:rPr>
            </w:pPr>
            <w:r>
              <w:rPr>
                <w:b/>
                <w:noProof/>
                <w:sz w:val="18"/>
              </w:rPr>
              <w:t>2026</w:t>
            </w:r>
          </w:p>
        </w:tc>
        <w:tc>
          <w:tcPr>
            <w:tcW w:w="1080" w:type="dxa"/>
            <w:vAlign w:val="center"/>
          </w:tcPr>
          <w:p w:rsidR="00211384" w:rsidRDefault="004D1F15">
            <w:pPr>
              <w:spacing w:line="200" w:lineRule="exact"/>
              <w:jc w:val="center"/>
              <w:rPr>
                <w:b/>
                <w:noProof/>
                <w:sz w:val="16"/>
                <w:szCs w:val="16"/>
              </w:rPr>
            </w:pPr>
            <w:r>
              <w:rPr>
                <w:b/>
                <w:noProof/>
                <w:sz w:val="18"/>
              </w:rPr>
              <w:t>2027</w:t>
            </w:r>
          </w:p>
        </w:tc>
        <w:tc>
          <w:tcPr>
            <w:tcW w:w="1080" w:type="dxa"/>
            <w:vAlign w:val="center"/>
          </w:tcPr>
          <w:p w:rsidR="00211384" w:rsidRDefault="004D1F15">
            <w:pPr>
              <w:spacing w:before="60" w:after="60" w:line="200" w:lineRule="exact"/>
              <w:jc w:val="center"/>
              <w:rPr>
                <w:b/>
                <w:noProof/>
                <w:sz w:val="16"/>
                <w:szCs w:val="16"/>
              </w:rPr>
            </w:pPr>
            <w:r>
              <w:rPr>
                <w:b/>
                <w:noProof/>
                <w:sz w:val="16"/>
              </w:rPr>
              <w:t>TOTAL</w:t>
            </w:r>
          </w:p>
        </w:tc>
      </w:tr>
    </w:tbl>
    <w:p w:rsidR="00211384" w:rsidRDefault="00211384">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211384">
        <w:trPr>
          <w:trHeight w:val="585"/>
        </w:trPr>
        <w:tc>
          <w:tcPr>
            <w:tcW w:w="1980" w:type="dxa"/>
            <w:shd w:val="clear" w:color="auto" w:fill="CCCCCC"/>
            <w:vAlign w:val="center"/>
          </w:tcPr>
          <w:p w:rsidR="00211384" w:rsidRDefault="004D1F15">
            <w:pPr>
              <w:spacing w:before="60" w:after="60" w:line="200" w:lineRule="exact"/>
              <w:jc w:val="center"/>
              <w:rPr>
                <w:b/>
                <w:noProof/>
                <w:sz w:val="16"/>
                <w:szCs w:val="16"/>
              </w:rPr>
            </w:pPr>
            <w:r>
              <w:rPr>
                <w:b/>
                <w:noProof/>
                <w:sz w:val="16"/>
              </w:rPr>
              <w:t>HEADING 7</w:t>
            </w:r>
            <w:r>
              <w:rPr>
                <w:noProof/>
                <w:sz w:val="22"/>
              </w:rPr>
              <w:br/>
            </w:r>
            <w:r>
              <w:rPr>
                <w:b/>
                <w:noProof/>
                <w:sz w:val="16"/>
              </w:rPr>
              <w:t>of the multiannual financial framework</w:t>
            </w:r>
          </w:p>
        </w:tc>
        <w:tc>
          <w:tcPr>
            <w:tcW w:w="1080" w:type="dxa"/>
            <w:vAlign w:val="center"/>
          </w:tcPr>
          <w:p w:rsidR="00211384" w:rsidRDefault="00211384">
            <w:pPr>
              <w:spacing w:before="60" w:after="60" w:line="200" w:lineRule="exact"/>
              <w:jc w:val="right"/>
              <w:rPr>
                <w:noProof/>
                <w:sz w:val="16"/>
                <w:szCs w:val="16"/>
              </w:rPr>
            </w:pPr>
          </w:p>
        </w:tc>
        <w:tc>
          <w:tcPr>
            <w:tcW w:w="1080" w:type="dxa"/>
            <w:vAlign w:val="center"/>
          </w:tcPr>
          <w:p w:rsidR="00211384" w:rsidRDefault="00211384">
            <w:pPr>
              <w:spacing w:before="60" w:after="60" w:line="200" w:lineRule="exact"/>
              <w:jc w:val="right"/>
              <w:rPr>
                <w:noProof/>
                <w:sz w:val="16"/>
                <w:szCs w:val="16"/>
              </w:rPr>
            </w:pPr>
          </w:p>
        </w:tc>
        <w:tc>
          <w:tcPr>
            <w:tcW w:w="1080" w:type="dxa"/>
            <w:vAlign w:val="center"/>
          </w:tcPr>
          <w:p w:rsidR="00211384" w:rsidRDefault="00211384">
            <w:pPr>
              <w:spacing w:before="60" w:after="60" w:line="200" w:lineRule="exact"/>
              <w:jc w:val="right"/>
              <w:rPr>
                <w:noProof/>
                <w:sz w:val="16"/>
                <w:szCs w:val="16"/>
              </w:rPr>
            </w:pPr>
          </w:p>
        </w:tc>
        <w:tc>
          <w:tcPr>
            <w:tcW w:w="1080" w:type="dxa"/>
            <w:vAlign w:val="center"/>
          </w:tcPr>
          <w:p w:rsidR="00211384" w:rsidRDefault="00211384">
            <w:pPr>
              <w:spacing w:before="60" w:after="60" w:line="200" w:lineRule="exact"/>
              <w:jc w:val="right"/>
              <w:rPr>
                <w:noProof/>
                <w:sz w:val="16"/>
                <w:szCs w:val="16"/>
              </w:rPr>
            </w:pPr>
          </w:p>
        </w:tc>
        <w:tc>
          <w:tcPr>
            <w:tcW w:w="1080" w:type="dxa"/>
            <w:vAlign w:val="center"/>
          </w:tcPr>
          <w:p w:rsidR="00211384" w:rsidRDefault="00211384">
            <w:pPr>
              <w:spacing w:before="60" w:after="60" w:line="200" w:lineRule="exact"/>
              <w:jc w:val="right"/>
              <w:rPr>
                <w:noProof/>
                <w:sz w:val="16"/>
                <w:szCs w:val="16"/>
              </w:rPr>
            </w:pPr>
          </w:p>
        </w:tc>
        <w:tc>
          <w:tcPr>
            <w:tcW w:w="1080" w:type="dxa"/>
            <w:vAlign w:val="center"/>
          </w:tcPr>
          <w:p w:rsidR="00211384" w:rsidRDefault="00211384">
            <w:pPr>
              <w:spacing w:before="60" w:after="60" w:line="200" w:lineRule="exact"/>
              <w:jc w:val="right"/>
              <w:rPr>
                <w:noProof/>
                <w:sz w:val="16"/>
                <w:szCs w:val="16"/>
              </w:rPr>
            </w:pPr>
          </w:p>
        </w:tc>
        <w:tc>
          <w:tcPr>
            <w:tcW w:w="1080" w:type="dxa"/>
            <w:vAlign w:val="center"/>
          </w:tcPr>
          <w:p w:rsidR="00211384" w:rsidRDefault="00211384">
            <w:pPr>
              <w:spacing w:before="60" w:after="60" w:line="200" w:lineRule="exact"/>
              <w:jc w:val="right"/>
              <w:rPr>
                <w:b/>
                <w:noProof/>
                <w:sz w:val="16"/>
                <w:szCs w:val="16"/>
              </w:rPr>
            </w:pPr>
          </w:p>
        </w:tc>
        <w:tc>
          <w:tcPr>
            <w:tcW w:w="1080" w:type="dxa"/>
            <w:vAlign w:val="center"/>
          </w:tcPr>
          <w:p w:rsidR="00211384" w:rsidRDefault="00211384">
            <w:pPr>
              <w:spacing w:before="60" w:after="60" w:line="200" w:lineRule="exact"/>
              <w:jc w:val="right"/>
              <w:rPr>
                <w:b/>
                <w:noProof/>
                <w:sz w:val="16"/>
                <w:szCs w:val="16"/>
              </w:rPr>
            </w:pPr>
          </w:p>
        </w:tc>
      </w:tr>
      <w:tr w:rsidR="00211384">
        <w:trPr>
          <w:trHeight w:val="585"/>
        </w:trPr>
        <w:tc>
          <w:tcPr>
            <w:tcW w:w="1980" w:type="dxa"/>
            <w:vAlign w:val="center"/>
          </w:tcPr>
          <w:p w:rsidR="00211384" w:rsidRDefault="004D1F15">
            <w:pPr>
              <w:spacing w:before="60" w:after="60" w:line="200" w:lineRule="exact"/>
              <w:ind w:left="72"/>
              <w:jc w:val="left"/>
              <w:rPr>
                <w:noProof/>
                <w:sz w:val="16"/>
                <w:szCs w:val="16"/>
              </w:rPr>
            </w:pPr>
            <w:r>
              <w:rPr>
                <w:noProof/>
                <w:sz w:val="16"/>
              </w:rPr>
              <w:t xml:space="preserve">Human resources </w:t>
            </w:r>
          </w:p>
        </w:tc>
        <w:tc>
          <w:tcPr>
            <w:tcW w:w="1080" w:type="dxa"/>
            <w:vAlign w:val="center"/>
          </w:tcPr>
          <w:p w:rsidR="00211384" w:rsidRDefault="00211384">
            <w:pPr>
              <w:spacing w:before="60" w:after="60" w:line="200" w:lineRule="exact"/>
              <w:jc w:val="right"/>
              <w:rPr>
                <w:noProof/>
                <w:sz w:val="16"/>
                <w:szCs w:val="16"/>
              </w:rPr>
            </w:pPr>
          </w:p>
        </w:tc>
        <w:tc>
          <w:tcPr>
            <w:tcW w:w="1080" w:type="dxa"/>
            <w:vAlign w:val="center"/>
          </w:tcPr>
          <w:p w:rsidR="00211384" w:rsidRDefault="00211384">
            <w:pPr>
              <w:spacing w:before="60" w:after="60" w:line="200" w:lineRule="exact"/>
              <w:jc w:val="right"/>
              <w:rPr>
                <w:noProof/>
                <w:sz w:val="16"/>
                <w:szCs w:val="16"/>
              </w:rPr>
            </w:pPr>
          </w:p>
        </w:tc>
        <w:tc>
          <w:tcPr>
            <w:tcW w:w="1080" w:type="dxa"/>
            <w:vAlign w:val="center"/>
          </w:tcPr>
          <w:p w:rsidR="00211384" w:rsidRDefault="00211384">
            <w:pPr>
              <w:spacing w:before="60" w:after="60" w:line="200" w:lineRule="exact"/>
              <w:jc w:val="right"/>
              <w:rPr>
                <w:noProof/>
                <w:sz w:val="16"/>
                <w:szCs w:val="16"/>
              </w:rPr>
            </w:pPr>
          </w:p>
        </w:tc>
        <w:tc>
          <w:tcPr>
            <w:tcW w:w="1080" w:type="dxa"/>
            <w:vAlign w:val="center"/>
          </w:tcPr>
          <w:p w:rsidR="00211384" w:rsidRDefault="00211384">
            <w:pPr>
              <w:spacing w:before="60" w:after="60" w:line="200" w:lineRule="exact"/>
              <w:jc w:val="right"/>
              <w:rPr>
                <w:noProof/>
                <w:sz w:val="16"/>
                <w:szCs w:val="16"/>
              </w:rPr>
            </w:pPr>
          </w:p>
        </w:tc>
        <w:tc>
          <w:tcPr>
            <w:tcW w:w="1080" w:type="dxa"/>
            <w:vAlign w:val="center"/>
          </w:tcPr>
          <w:p w:rsidR="00211384" w:rsidRDefault="00211384">
            <w:pPr>
              <w:spacing w:before="60" w:after="60" w:line="200" w:lineRule="exact"/>
              <w:jc w:val="right"/>
              <w:rPr>
                <w:noProof/>
                <w:sz w:val="16"/>
                <w:szCs w:val="16"/>
              </w:rPr>
            </w:pPr>
          </w:p>
        </w:tc>
        <w:tc>
          <w:tcPr>
            <w:tcW w:w="1080" w:type="dxa"/>
            <w:vAlign w:val="center"/>
          </w:tcPr>
          <w:p w:rsidR="00211384" w:rsidRDefault="00211384">
            <w:pPr>
              <w:spacing w:before="60" w:after="60" w:line="200" w:lineRule="exact"/>
              <w:jc w:val="right"/>
              <w:rPr>
                <w:noProof/>
                <w:sz w:val="16"/>
                <w:szCs w:val="16"/>
              </w:rPr>
            </w:pPr>
          </w:p>
        </w:tc>
        <w:tc>
          <w:tcPr>
            <w:tcW w:w="1080" w:type="dxa"/>
            <w:vAlign w:val="center"/>
          </w:tcPr>
          <w:p w:rsidR="00211384" w:rsidRDefault="00211384">
            <w:pPr>
              <w:spacing w:before="60" w:after="60" w:line="200" w:lineRule="exact"/>
              <w:jc w:val="right"/>
              <w:rPr>
                <w:b/>
                <w:noProof/>
                <w:sz w:val="16"/>
                <w:szCs w:val="16"/>
              </w:rPr>
            </w:pPr>
          </w:p>
        </w:tc>
        <w:tc>
          <w:tcPr>
            <w:tcW w:w="1080" w:type="dxa"/>
            <w:vAlign w:val="center"/>
          </w:tcPr>
          <w:p w:rsidR="00211384" w:rsidRDefault="00211384">
            <w:pPr>
              <w:spacing w:before="60" w:after="60" w:line="200" w:lineRule="exact"/>
              <w:jc w:val="right"/>
              <w:rPr>
                <w:b/>
                <w:noProof/>
                <w:sz w:val="16"/>
                <w:szCs w:val="16"/>
              </w:rPr>
            </w:pPr>
          </w:p>
        </w:tc>
      </w:tr>
      <w:tr w:rsidR="00211384">
        <w:trPr>
          <w:trHeight w:val="585"/>
        </w:trPr>
        <w:tc>
          <w:tcPr>
            <w:tcW w:w="1980" w:type="dxa"/>
            <w:vAlign w:val="center"/>
          </w:tcPr>
          <w:p w:rsidR="00211384" w:rsidRDefault="004D1F15">
            <w:pPr>
              <w:spacing w:before="60" w:after="60" w:line="200" w:lineRule="exact"/>
              <w:ind w:left="72"/>
              <w:jc w:val="left"/>
              <w:rPr>
                <w:noProof/>
                <w:sz w:val="16"/>
                <w:szCs w:val="16"/>
              </w:rPr>
            </w:pPr>
            <w:r>
              <w:rPr>
                <w:noProof/>
                <w:sz w:val="16"/>
              </w:rPr>
              <w:t xml:space="preserve">Other administrative expenditure </w:t>
            </w:r>
          </w:p>
        </w:tc>
        <w:tc>
          <w:tcPr>
            <w:tcW w:w="1080" w:type="dxa"/>
            <w:vAlign w:val="center"/>
          </w:tcPr>
          <w:p w:rsidR="00211384" w:rsidRDefault="00211384">
            <w:pPr>
              <w:spacing w:before="60" w:after="60" w:line="200" w:lineRule="exact"/>
              <w:jc w:val="right"/>
              <w:rPr>
                <w:noProof/>
                <w:sz w:val="16"/>
                <w:szCs w:val="16"/>
              </w:rPr>
            </w:pPr>
          </w:p>
        </w:tc>
        <w:tc>
          <w:tcPr>
            <w:tcW w:w="1080" w:type="dxa"/>
            <w:vAlign w:val="center"/>
          </w:tcPr>
          <w:p w:rsidR="00211384" w:rsidRDefault="00211384">
            <w:pPr>
              <w:spacing w:before="60" w:after="60" w:line="200" w:lineRule="exact"/>
              <w:jc w:val="right"/>
              <w:rPr>
                <w:noProof/>
                <w:sz w:val="16"/>
                <w:szCs w:val="16"/>
              </w:rPr>
            </w:pPr>
          </w:p>
        </w:tc>
        <w:tc>
          <w:tcPr>
            <w:tcW w:w="1080" w:type="dxa"/>
            <w:vAlign w:val="center"/>
          </w:tcPr>
          <w:p w:rsidR="00211384" w:rsidRDefault="00211384">
            <w:pPr>
              <w:spacing w:before="60" w:after="60" w:line="200" w:lineRule="exact"/>
              <w:jc w:val="right"/>
              <w:rPr>
                <w:noProof/>
                <w:sz w:val="16"/>
                <w:szCs w:val="16"/>
              </w:rPr>
            </w:pPr>
          </w:p>
        </w:tc>
        <w:tc>
          <w:tcPr>
            <w:tcW w:w="1080" w:type="dxa"/>
            <w:vAlign w:val="center"/>
          </w:tcPr>
          <w:p w:rsidR="00211384" w:rsidRDefault="00211384">
            <w:pPr>
              <w:spacing w:before="60" w:after="60" w:line="200" w:lineRule="exact"/>
              <w:jc w:val="right"/>
              <w:rPr>
                <w:noProof/>
                <w:sz w:val="16"/>
                <w:szCs w:val="16"/>
              </w:rPr>
            </w:pPr>
          </w:p>
        </w:tc>
        <w:tc>
          <w:tcPr>
            <w:tcW w:w="1080" w:type="dxa"/>
            <w:vAlign w:val="center"/>
          </w:tcPr>
          <w:p w:rsidR="00211384" w:rsidRDefault="00211384">
            <w:pPr>
              <w:spacing w:before="60" w:after="60" w:line="200" w:lineRule="exact"/>
              <w:jc w:val="right"/>
              <w:rPr>
                <w:noProof/>
                <w:sz w:val="16"/>
                <w:szCs w:val="16"/>
              </w:rPr>
            </w:pPr>
          </w:p>
        </w:tc>
        <w:tc>
          <w:tcPr>
            <w:tcW w:w="1080" w:type="dxa"/>
            <w:vAlign w:val="center"/>
          </w:tcPr>
          <w:p w:rsidR="00211384" w:rsidRDefault="00211384">
            <w:pPr>
              <w:spacing w:before="60" w:after="60" w:line="200" w:lineRule="exact"/>
              <w:jc w:val="right"/>
              <w:rPr>
                <w:noProof/>
                <w:sz w:val="16"/>
                <w:szCs w:val="16"/>
              </w:rPr>
            </w:pPr>
          </w:p>
        </w:tc>
        <w:tc>
          <w:tcPr>
            <w:tcW w:w="1080" w:type="dxa"/>
            <w:vAlign w:val="center"/>
          </w:tcPr>
          <w:p w:rsidR="00211384" w:rsidRDefault="00211384">
            <w:pPr>
              <w:spacing w:before="60" w:after="60" w:line="200" w:lineRule="exact"/>
              <w:jc w:val="right"/>
              <w:rPr>
                <w:b/>
                <w:noProof/>
                <w:sz w:val="16"/>
                <w:szCs w:val="16"/>
              </w:rPr>
            </w:pPr>
          </w:p>
        </w:tc>
        <w:tc>
          <w:tcPr>
            <w:tcW w:w="1080" w:type="dxa"/>
            <w:vAlign w:val="center"/>
          </w:tcPr>
          <w:p w:rsidR="00211384" w:rsidRDefault="00211384">
            <w:pPr>
              <w:spacing w:before="60" w:after="60" w:line="200" w:lineRule="exact"/>
              <w:jc w:val="right"/>
              <w:rPr>
                <w:b/>
                <w:noProof/>
                <w:sz w:val="16"/>
                <w:szCs w:val="16"/>
              </w:rPr>
            </w:pPr>
          </w:p>
        </w:tc>
      </w:tr>
      <w:tr w:rsidR="00211384">
        <w:trPr>
          <w:trHeight w:val="585"/>
        </w:trPr>
        <w:tc>
          <w:tcPr>
            <w:tcW w:w="1980" w:type="dxa"/>
            <w:shd w:val="clear" w:color="auto" w:fill="CCCCCC"/>
            <w:vAlign w:val="center"/>
          </w:tcPr>
          <w:p w:rsidR="00211384" w:rsidRDefault="004D1F15">
            <w:pPr>
              <w:spacing w:before="60" w:after="60" w:line="200" w:lineRule="exact"/>
              <w:jc w:val="center"/>
              <w:rPr>
                <w:b/>
                <w:noProof/>
                <w:sz w:val="16"/>
                <w:szCs w:val="16"/>
              </w:rPr>
            </w:pPr>
            <w:r>
              <w:rPr>
                <w:b/>
                <w:noProof/>
                <w:sz w:val="16"/>
              </w:rPr>
              <w:t>Subtotal HEADING 7</w:t>
            </w:r>
            <w:r>
              <w:rPr>
                <w:noProof/>
                <w:sz w:val="22"/>
              </w:rPr>
              <w:br/>
            </w:r>
            <w:r>
              <w:rPr>
                <w:b/>
                <w:noProof/>
                <w:sz w:val="16"/>
              </w:rPr>
              <w:t xml:space="preserve">of the multiannual financial framework </w:t>
            </w:r>
          </w:p>
        </w:tc>
        <w:tc>
          <w:tcPr>
            <w:tcW w:w="1080" w:type="dxa"/>
            <w:vAlign w:val="center"/>
          </w:tcPr>
          <w:p w:rsidR="00211384" w:rsidRDefault="00211384">
            <w:pPr>
              <w:spacing w:before="60" w:after="60" w:line="200" w:lineRule="exact"/>
              <w:jc w:val="right"/>
              <w:rPr>
                <w:noProof/>
                <w:sz w:val="16"/>
                <w:szCs w:val="16"/>
              </w:rPr>
            </w:pPr>
          </w:p>
        </w:tc>
        <w:tc>
          <w:tcPr>
            <w:tcW w:w="1080" w:type="dxa"/>
            <w:vAlign w:val="center"/>
          </w:tcPr>
          <w:p w:rsidR="00211384" w:rsidRDefault="00211384">
            <w:pPr>
              <w:spacing w:before="60" w:after="60" w:line="200" w:lineRule="exact"/>
              <w:jc w:val="right"/>
              <w:rPr>
                <w:noProof/>
                <w:sz w:val="16"/>
                <w:szCs w:val="16"/>
              </w:rPr>
            </w:pPr>
          </w:p>
        </w:tc>
        <w:tc>
          <w:tcPr>
            <w:tcW w:w="1080" w:type="dxa"/>
            <w:vAlign w:val="center"/>
          </w:tcPr>
          <w:p w:rsidR="00211384" w:rsidRDefault="00211384">
            <w:pPr>
              <w:spacing w:before="60" w:after="60" w:line="200" w:lineRule="exact"/>
              <w:jc w:val="right"/>
              <w:rPr>
                <w:noProof/>
                <w:sz w:val="16"/>
                <w:szCs w:val="16"/>
              </w:rPr>
            </w:pPr>
          </w:p>
        </w:tc>
        <w:tc>
          <w:tcPr>
            <w:tcW w:w="1080" w:type="dxa"/>
            <w:vAlign w:val="center"/>
          </w:tcPr>
          <w:p w:rsidR="00211384" w:rsidRDefault="00211384">
            <w:pPr>
              <w:spacing w:before="60" w:after="60" w:line="200" w:lineRule="exact"/>
              <w:jc w:val="right"/>
              <w:rPr>
                <w:noProof/>
                <w:sz w:val="16"/>
                <w:szCs w:val="16"/>
              </w:rPr>
            </w:pPr>
          </w:p>
        </w:tc>
        <w:tc>
          <w:tcPr>
            <w:tcW w:w="1080" w:type="dxa"/>
            <w:vAlign w:val="center"/>
          </w:tcPr>
          <w:p w:rsidR="00211384" w:rsidRDefault="00211384">
            <w:pPr>
              <w:spacing w:before="60" w:after="60" w:line="200" w:lineRule="exact"/>
              <w:jc w:val="right"/>
              <w:rPr>
                <w:noProof/>
                <w:sz w:val="16"/>
                <w:szCs w:val="16"/>
              </w:rPr>
            </w:pPr>
          </w:p>
        </w:tc>
        <w:tc>
          <w:tcPr>
            <w:tcW w:w="1080" w:type="dxa"/>
            <w:vAlign w:val="center"/>
          </w:tcPr>
          <w:p w:rsidR="00211384" w:rsidRDefault="00211384">
            <w:pPr>
              <w:spacing w:before="60" w:after="60" w:line="200" w:lineRule="exact"/>
              <w:jc w:val="right"/>
              <w:rPr>
                <w:noProof/>
                <w:sz w:val="16"/>
                <w:szCs w:val="16"/>
              </w:rPr>
            </w:pPr>
          </w:p>
        </w:tc>
        <w:tc>
          <w:tcPr>
            <w:tcW w:w="1080" w:type="dxa"/>
            <w:vAlign w:val="center"/>
          </w:tcPr>
          <w:p w:rsidR="00211384" w:rsidRDefault="00211384">
            <w:pPr>
              <w:spacing w:before="60" w:after="60" w:line="200" w:lineRule="exact"/>
              <w:jc w:val="right"/>
              <w:rPr>
                <w:b/>
                <w:noProof/>
                <w:sz w:val="16"/>
                <w:szCs w:val="16"/>
              </w:rPr>
            </w:pPr>
          </w:p>
        </w:tc>
        <w:tc>
          <w:tcPr>
            <w:tcW w:w="1080" w:type="dxa"/>
            <w:vAlign w:val="center"/>
          </w:tcPr>
          <w:p w:rsidR="00211384" w:rsidRDefault="00211384">
            <w:pPr>
              <w:spacing w:before="60" w:after="60" w:line="200" w:lineRule="exact"/>
              <w:jc w:val="right"/>
              <w:rPr>
                <w:b/>
                <w:noProof/>
                <w:sz w:val="16"/>
                <w:szCs w:val="16"/>
              </w:rPr>
            </w:pPr>
          </w:p>
        </w:tc>
      </w:tr>
    </w:tbl>
    <w:p w:rsidR="00211384" w:rsidRDefault="00211384">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211384">
        <w:trPr>
          <w:trHeight w:val="585"/>
        </w:trPr>
        <w:tc>
          <w:tcPr>
            <w:tcW w:w="1980" w:type="dxa"/>
            <w:shd w:val="clear" w:color="auto" w:fill="CCCCCC"/>
            <w:vAlign w:val="center"/>
          </w:tcPr>
          <w:p w:rsidR="00211384" w:rsidRDefault="004D1F15">
            <w:pPr>
              <w:spacing w:before="60" w:after="60" w:line="200" w:lineRule="exact"/>
              <w:jc w:val="center"/>
              <w:rPr>
                <w:noProof/>
                <w:sz w:val="16"/>
                <w:szCs w:val="16"/>
              </w:rPr>
            </w:pPr>
            <w:r>
              <w:rPr>
                <w:b/>
                <w:noProof/>
                <w:sz w:val="16"/>
              </w:rPr>
              <w:t>Outside HEADING 7</w:t>
            </w:r>
            <w:r>
              <w:rPr>
                <w:rStyle w:val="FootnoteReference"/>
                <w:noProof/>
              </w:rPr>
              <w:footnoteReference w:id="18"/>
            </w:r>
            <w:r>
              <w:rPr>
                <w:noProof/>
                <w:sz w:val="22"/>
              </w:rPr>
              <w:br/>
            </w:r>
            <w:r>
              <w:rPr>
                <w:b/>
                <w:noProof/>
                <w:sz w:val="16"/>
              </w:rPr>
              <w:t xml:space="preserve">of the multiannual financial framework </w:t>
            </w:r>
          </w:p>
          <w:p w:rsidR="00211384" w:rsidRDefault="00211384">
            <w:pPr>
              <w:spacing w:before="0" w:after="0" w:line="200" w:lineRule="exact"/>
              <w:jc w:val="center"/>
              <w:rPr>
                <w:b/>
                <w:noProof/>
                <w:sz w:val="16"/>
                <w:szCs w:val="16"/>
              </w:rPr>
            </w:pPr>
          </w:p>
        </w:tc>
        <w:tc>
          <w:tcPr>
            <w:tcW w:w="1080" w:type="dxa"/>
            <w:vAlign w:val="center"/>
          </w:tcPr>
          <w:p w:rsidR="00211384" w:rsidRDefault="00211384">
            <w:pPr>
              <w:spacing w:before="60" w:after="60" w:line="200" w:lineRule="exact"/>
              <w:jc w:val="right"/>
              <w:rPr>
                <w:noProof/>
                <w:sz w:val="16"/>
                <w:szCs w:val="16"/>
              </w:rPr>
            </w:pPr>
          </w:p>
        </w:tc>
        <w:tc>
          <w:tcPr>
            <w:tcW w:w="1080" w:type="dxa"/>
            <w:vAlign w:val="center"/>
          </w:tcPr>
          <w:p w:rsidR="00211384" w:rsidRDefault="00211384">
            <w:pPr>
              <w:spacing w:before="60" w:after="60" w:line="200" w:lineRule="exact"/>
              <w:jc w:val="right"/>
              <w:rPr>
                <w:noProof/>
                <w:sz w:val="16"/>
                <w:szCs w:val="16"/>
              </w:rPr>
            </w:pPr>
          </w:p>
        </w:tc>
        <w:tc>
          <w:tcPr>
            <w:tcW w:w="1080" w:type="dxa"/>
            <w:vAlign w:val="center"/>
          </w:tcPr>
          <w:p w:rsidR="00211384" w:rsidRDefault="00211384">
            <w:pPr>
              <w:spacing w:before="60" w:after="60" w:line="200" w:lineRule="exact"/>
              <w:jc w:val="right"/>
              <w:rPr>
                <w:noProof/>
                <w:sz w:val="16"/>
                <w:szCs w:val="16"/>
              </w:rPr>
            </w:pPr>
          </w:p>
        </w:tc>
        <w:tc>
          <w:tcPr>
            <w:tcW w:w="1080" w:type="dxa"/>
            <w:vAlign w:val="center"/>
          </w:tcPr>
          <w:p w:rsidR="00211384" w:rsidRDefault="00211384">
            <w:pPr>
              <w:spacing w:before="60" w:after="60" w:line="200" w:lineRule="exact"/>
              <w:jc w:val="right"/>
              <w:rPr>
                <w:noProof/>
                <w:sz w:val="16"/>
                <w:szCs w:val="16"/>
              </w:rPr>
            </w:pPr>
          </w:p>
        </w:tc>
        <w:tc>
          <w:tcPr>
            <w:tcW w:w="1080" w:type="dxa"/>
            <w:vAlign w:val="center"/>
          </w:tcPr>
          <w:p w:rsidR="00211384" w:rsidRDefault="00211384">
            <w:pPr>
              <w:spacing w:before="60" w:after="60" w:line="200" w:lineRule="exact"/>
              <w:jc w:val="right"/>
              <w:rPr>
                <w:noProof/>
                <w:sz w:val="16"/>
                <w:szCs w:val="16"/>
              </w:rPr>
            </w:pPr>
          </w:p>
        </w:tc>
        <w:tc>
          <w:tcPr>
            <w:tcW w:w="1080" w:type="dxa"/>
            <w:vAlign w:val="center"/>
          </w:tcPr>
          <w:p w:rsidR="00211384" w:rsidRDefault="00211384">
            <w:pPr>
              <w:spacing w:before="60" w:after="60" w:line="200" w:lineRule="exact"/>
              <w:jc w:val="right"/>
              <w:rPr>
                <w:noProof/>
                <w:sz w:val="16"/>
                <w:szCs w:val="16"/>
              </w:rPr>
            </w:pPr>
          </w:p>
        </w:tc>
        <w:tc>
          <w:tcPr>
            <w:tcW w:w="1080" w:type="dxa"/>
            <w:vAlign w:val="center"/>
          </w:tcPr>
          <w:p w:rsidR="00211384" w:rsidRDefault="00211384">
            <w:pPr>
              <w:spacing w:before="60" w:after="60" w:line="200" w:lineRule="exact"/>
              <w:jc w:val="right"/>
              <w:rPr>
                <w:b/>
                <w:noProof/>
                <w:sz w:val="16"/>
                <w:szCs w:val="16"/>
              </w:rPr>
            </w:pPr>
          </w:p>
        </w:tc>
        <w:tc>
          <w:tcPr>
            <w:tcW w:w="1080" w:type="dxa"/>
            <w:vAlign w:val="center"/>
          </w:tcPr>
          <w:p w:rsidR="00211384" w:rsidRDefault="00211384">
            <w:pPr>
              <w:spacing w:before="60" w:after="60" w:line="200" w:lineRule="exact"/>
              <w:jc w:val="right"/>
              <w:rPr>
                <w:b/>
                <w:noProof/>
                <w:sz w:val="16"/>
                <w:szCs w:val="16"/>
              </w:rPr>
            </w:pPr>
          </w:p>
        </w:tc>
      </w:tr>
      <w:tr w:rsidR="00211384">
        <w:trPr>
          <w:trHeight w:val="585"/>
        </w:trPr>
        <w:tc>
          <w:tcPr>
            <w:tcW w:w="1980" w:type="dxa"/>
            <w:vAlign w:val="center"/>
          </w:tcPr>
          <w:p w:rsidR="00211384" w:rsidRDefault="004D1F15">
            <w:pPr>
              <w:spacing w:before="60" w:after="60" w:line="200" w:lineRule="exact"/>
              <w:ind w:left="72"/>
              <w:jc w:val="left"/>
              <w:rPr>
                <w:noProof/>
                <w:sz w:val="16"/>
                <w:szCs w:val="16"/>
              </w:rPr>
            </w:pPr>
            <w:r>
              <w:rPr>
                <w:noProof/>
                <w:sz w:val="16"/>
              </w:rPr>
              <w:t>Human resources</w:t>
            </w:r>
            <w:r>
              <w:rPr>
                <w:rStyle w:val="FootnoteReference"/>
                <w:noProof/>
              </w:rPr>
              <w:footnoteReference w:id="19"/>
            </w:r>
          </w:p>
        </w:tc>
        <w:tc>
          <w:tcPr>
            <w:tcW w:w="1080" w:type="dxa"/>
            <w:vAlign w:val="center"/>
          </w:tcPr>
          <w:p w:rsidR="00211384" w:rsidRDefault="004D1F15">
            <w:pPr>
              <w:spacing w:before="60" w:after="60" w:line="200" w:lineRule="exact"/>
              <w:jc w:val="right"/>
              <w:rPr>
                <w:noProof/>
                <w:sz w:val="16"/>
                <w:szCs w:val="16"/>
              </w:rPr>
            </w:pPr>
            <w:r>
              <w:rPr>
                <w:noProof/>
                <w:sz w:val="18"/>
                <w:szCs w:val="20"/>
              </w:rPr>
              <w:t>401.317</w:t>
            </w:r>
          </w:p>
        </w:tc>
        <w:tc>
          <w:tcPr>
            <w:tcW w:w="1080" w:type="dxa"/>
            <w:vAlign w:val="center"/>
          </w:tcPr>
          <w:p w:rsidR="00211384" w:rsidRDefault="004D1F15">
            <w:pPr>
              <w:spacing w:before="60" w:after="60" w:line="200" w:lineRule="exact"/>
              <w:jc w:val="right"/>
              <w:rPr>
                <w:noProof/>
                <w:sz w:val="16"/>
                <w:szCs w:val="16"/>
              </w:rPr>
            </w:pPr>
            <w:r>
              <w:rPr>
                <w:noProof/>
                <w:sz w:val="18"/>
                <w:szCs w:val="20"/>
              </w:rPr>
              <w:t>412.035</w:t>
            </w:r>
          </w:p>
        </w:tc>
        <w:tc>
          <w:tcPr>
            <w:tcW w:w="1080" w:type="dxa"/>
            <w:vAlign w:val="center"/>
          </w:tcPr>
          <w:p w:rsidR="00211384" w:rsidRDefault="004D1F15">
            <w:pPr>
              <w:spacing w:before="60" w:after="60" w:line="200" w:lineRule="exact"/>
              <w:jc w:val="right"/>
              <w:rPr>
                <w:noProof/>
                <w:sz w:val="16"/>
                <w:szCs w:val="16"/>
              </w:rPr>
            </w:pPr>
            <w:r>
              <w:rPr>
                <w:noProof/>
                <w:sz w:val="18"/>
                <w:szCs w:val="20"/>
              </w:rPr>
              <w:t>423.065</w:t>
            </w:r>
          </w:p>
        </w:tc>
        <w:tc>
          <w:tcPr>
            <w:tcW w:w="1080" w:type="dxa"/>
            <w:vAlign w:val="center"/>
          </w:tcPr>
          <w:p w:rsidR="00211384" w:rsidRDefault="004D1F15">
            <w:pPr>
              <w:spacing w:before="60" w:after="60" w:line="200" w:lineRule="exact"/>
              <w:jc w:val="right"/>
              <w:rPr>
                <w:noProof/>
                <w:sz w:val="16"/>
                <w:szCs w:val="16"/>
              </w:rPr>
            </w:pPr>
            <w:r>
              <w:rPr>
                <w:noProof/>
                <w:sz w:val="18"/>
                <w:szCs w:val="20"/>
              </w:rPr>
              <w:t>434.411</w:t>
            </w:r>
          </w:p>
        </w:tc>
        <w:tc>
          <w:tcPr>
            <w:tcW w:w="1080" w:type="dxa"/>
            <w:vAlign w:val="center"/>
          </w:tcPr>
          <w:p w:rsidR="00211384" w:rsidRDefault="004D1F15">
            <w:pPr>
              <w:spacing w:before="60" w:after="60" w:line="200" w:lineRule="exact"/>
              <w:jc w:val="right"/>
              <w:rPr>
                <w:noProof/>
                <w:sz w:val="16"/>
                <w:szCs w:val="16"/>
              </w:rPr>
            </w:pPr>
            <w:r>
              <w:rPr>
                <w:noProof/>
                <w:sz w:val="18"/>
                <w:szCs w:val="20"/>
              </w:rPr>
              <w:t>446.086</w:t>
            </w:r>
          </w:p>
        </w:tc>
        <w:tc>
          <w:tcPr>
            <w:tcW w:w="1080" w:type="dxa"/>
            <w:vAlign w:val="center"/>
          </w:tcPr>
          <w:p w:rsidR="00211384" w:rsidRDefault="004D1F15">
            <w:pPr>
              <w:spacing w:before="60" w:after="60" w:line="200" w:lineRule="exact"/>
              <w:jc w:val="right"/>
              <w:rPr>
                <w:noProof/>
                <w:sz w:val="16"/>
                <w:szCs w:val="16"/>
              </w:rPr>
            </w:pPr>
            <w:r>
              <w:rPr>
                <w:noProof/>
                <w:sz w:val="18"/>
                <w:szCs w:val="20"/>
              </w:rPr>
              <w:t>458.099</w:t>
            </w:r>
          </w:p>
        </w:tc>
        <w:tc>
          <w:tcPr>
            <w:tcW w:w="1080" w:type="dxa"/>
            <w:vAlign w:val="center"/>
          </w:tcPr>
          <w:p w:rsidR="00211384" w:rsidRDefault="004D1F15">
            <w:pPr>
              <w:spacing w:before="60" w:after="60" w:line="200" w:lineRule="exact"/>
              <w:jc w:val="right"/>
              <w:rPr>
                <w:b/>
                <w:noProof/>
                <w:sz w:val="16"/>
                <w:szCs w:val="16"/>
              </w:rPr>
            </w:pPr>
            <w:r>
              <w:rPr>
                <w:noProof/>
                <w:sz w:val="18"/>
                <w:szCs w:val="20"/>
              </w:rPr>
              <w:t>470.462</w:t>
            </w:r>
          </w:p>
        </w:tc>
        <w:tc>
          <w:tcPr>
            <w:tcW w:w="1080" w:type="dxa"/>
            <w:vAlign w:val="center"/>
          </w:tcPr>
          <w:p w:rsidR="00211384" w:rsidRDefault="004D1F15">
            <w:pPr>
              <w:spacing w:before="60" w:after="60" w:line="200" w:lineRule="exact"/>
              <w:jc w:val="right"/>
              <w:rPr>
                <w:b/>
                <w:noProof/>
                <w:sz w:val="16"/>
                <w:szCs w:val="16"/>
              </w:rPr>
            </w:pPr>
            <w:r>
              <w:rPr>
                <w:b/>
                <w:noProof/>
                <w:sz w:val="18"/>
              </w:rPr>
              <w:t>3 045.475</w:t>
            </w:r>
          </w:p>
        </w:tc>
      </w:tr>
      <w:tr w:rsidR="00211384">
        <w:trPr>
          <w:trHeight w:val="585"/>
        </w:trPr>
        <w:tc>
          <w:tcPr>
            <w:tcW w:w="1980" w:type="dxa"/>
            <w:vAlign w:val="center"/>
          </w:tcPr>
          <w:p w:rsidR="00211384" w:rsidRDefault="004D1F15">
            <w:pPr>
              <w:spacing w:before="60" w:after="60" w:line="200" w:lineRule="exact"/>
              <w:ind w:left="72"/>
              <w:jc w:val="left"/>
              <w:rPr>
                <w:noProof/>
                <w:sz w:val="16"/>
                <w:szCs w:val="16"/>
              </w:rPr>
            </w:pPr>
            <w:r>
              <w:rPr>
                <w:noProof/>
                <w:sz w:val="16"/>
              </w:rPr>
              <w:t xml:space="preserve">Other expenditure </w:t>
            </w:r>
            <w:r>
              <w:rPr>
                <w:noProof/>
                <w:sz w:val="22"/>
              </w:rPr>
              <w:br/>
            </w:r>
            <w:r>
              <w:rPr>
                <w:noProof/>
                <w:sz w:val="16"/>
              </w:rPr>
              <w:t xml:space="preserve">of an </w:t>
            </w:r>
            <w:r>
              <w:rPr>
                <w:noProof/>
                <w:sz w:val="16"/>
              </w:rPr>
              <w:t>administrative nature</w:t>
            </w:r>
            <w:r>
              <w:rPr>
                <w:rStyle w:val="FootnoteReference"/>
                <w:noProof/>
              </w:rPr>
              <w:footnoteReference w:id="20"/>
            </w:r>
          </w:p>
        </w:tc>
        <w:tc>
          <w:tcPr>
            <w:tcW w:w="1080" w:type="dxa"/>
            <w:vAlign w:val="center"/>
          </w:tcPr>
          <w:p w:rsidR="00211384" w:rsidRDefault="004D1F15">
            <w:pPr>
              <w:spacing w:before="60" w:after="60" w:line="200" w:lineRule="exact"/>
              <w:jc w:val="right"/>
              <w:rPr>
                <w:noProof/>
                <w:sz w:val="16"/>
                <w:szCs w:val="16"/>
              </w:rPr>
            </w:pPr>
            <w:r>
              <w:rPr>
                <w:noProof/>
                <w:sz w:val="18"/>
                <w:szCs w:val="20"/>
              </w:rPr>
              <w:t>422.289</w:t>
            </w:r>
          </w:p>
        </w:tc>
        <w:tc>
          <w:tcPr>
            <w:tcW w:w="1080" w:type="dxa"/>
            <w:vAlign w:val="center"/>
          </w:tcPr>
          <w:p w:rsidR="00211384" w:rsidRDefault="004D1F15">
            <w:pPr>
              <w:spacing w:before="60" w:after="60" w:line="200" w:lineRule="exact"/>
              <w:jc w:val="right"/>
              <w:rPr>
                <w:noProof/>
                <w:sz w:val="16"/>
                <w:szCs w:val="16"/>
              </w:rPr>
            </w:pPr>
            <w:r>
              <w:rPr>
                <w:noProof/>
                <w:sz w:val="18"/>
                <w:szCs w:val="20"/>
              </w:rPr>
              <w:t>428.181</w:t>
            </w:r>
          </w:p>
        </w:tc>
        <w:tc>
          <w:tcPr>
            <w:tcW w:w="1080" w:type="dxa"/>
            <w:vAlign w:val="center"/>
          </w:tcPr>
          <w:p w:rsidR="00211384" w:rsidRDefault="004D1F15">
            <w:pPr>
              <w:spacing w:before="60" w:after="60" w:line="200" w:lineRule="exact"/>
              <w:jc w:val="right"/>
              <w:rPr>
                <w:noProof/>
                <w:sz w:val="16"/>
                <w:szCs w:val="16"/>
              </w:rPr>
            </w:pPr>
            <w:r>
              <w:rPr>
                <w:noProof/>
                <w:sz w:val="18"/>
                <w:szCs w:val="20"/>
              </w:rPr>
              <w:t>434.044</w:t>
            </w:r>
          </w:p>
        </w:tc>
        <w:tc>
          <w:tcPr>
            <w:tcW w:w="1080" w:type="dxa"/>
            <w:vAlign w:val="center"/>
          </w:tcPr>
          <w:p w:rsidR="00211384" w:rsidRDefault="004D1F15">
            <w:pPr>
              <w:spacing w:before="60" w:after="60" w:line="200" w:lineRule="exact"/>
              <w:jc w:val="right"/>
              <w:rPr>
                <w:noProof/>
                <w:sz w:val="16"/>
                <w:szCs w:val="16"/>
              </w:rPr>
            </w:pPr>
            <w:r>
              <w:rPr>
                <w:noProof/>
                <w:sz w:val="18"/>
                <w:szCs w:val="20"/>
              </w:rPr>
              <w:t>439.964</w:t>
            </w:r>
          </w:p>
        </w:tc>
        <w:tc>
          <w:tcPr>
            <w:tcW w:w="1080" w:type="dxa"/>
            <w:vAlign w:val="center"/>
          </w:tcPr>
          <w:p w:rsidR="00211384" w:rsidRDefault="004D1F15">
            <w:pPr>
              <w:spacing w:before="60" w:after="60" w:line="200" w:lineRule="exact"/>
              <w:jc w:val="right"/>
              <w:rPr>
                <w:noProof/>
                <w:sz w:val="16"/>
                <w:szCs w:val="16"/>
              </w:rPr>
            </w:pPr>
            <w:r>
              <w:rPr>
                <w:noProof/>
                <w:sz w:val="18"/>
                <w:szCs w:val="20"/>
              </w:rPr>
              <w:t>446.024</w:t>
            </w:r>
          </w:p>
        </w:tc>
        <w:tc>
          <w:tcPr>
            <w:tcW w:w="1080" w:type="dxa"/>
            <w:vAlign w:val="center"/>
          </w:tcPr>
          <w:p w:rsidR="00211384" w:rsidRDefault="004D1F15">
            <w:pPr>
              <w:spacing w:before="60" w:after="60" w:line="200" w:lineRule="exact"/>
              <w:jc w:val="right"/>
              <w:rPr>
                <w:noProof/>
                <w:sz w:val="16"/>
                <w:szCs w:val="16"/>
              </w:rPr>
            </w:pPr>
            <w:r>
              <w:rPr>
                <w:noProof/>
                <w:sz w:val="18"/>
                <w:szCs w:val="20"/>
              </w:rPr>
              <w:t>451.895</w:t>
            </w:r>
          </w:p>
        </w:tc>
        <w:tc>
          <w:tcPr>
            <w:tcW w:w="1080" w:type="dxa"/>
            <w:vAlign w:val="center"/>
          </w:tcPr>
          <w:p w:rsidR="00211384" w:rsidRDefault="004D1F15">
            <w:pPr>
              <w:spacing w:before="60" w:after="60" w:line="200" w:lineRule="exact"/>
              <w:jc w:val="right"/>
              <w:rPr>
                <w:b/>
                <w:noProof/>
                <w:sz w:val="16"/>
                <w:szCs w:val="16"/>
              </w:rPr>
            </w:pPr>
            <w:r>
              <w:rPr>
                <w:noProof/>
                <w:sz w:val="18"/>
                <w:szCs w:val="20"/>
              </w:rPr>
              <w:t>457.982</w:t>
            </w:r>
          </w:p>
        </w:tc>
        <w:tc>
          <w:tcPr>
            <w:tcW w:w="1080" w:type="dxa"/>
            <w:vAlign w:val="center"/>
          </w:tcPr>
          <w:p w:rsidR="00211384" w:rsidRDefault="004D1F15">
            <w:pPr>
              <w:spacing w:before="60" w:after="60" w:line="200" w:lineRule="exact"/>
              <w:jc w:val="right"/>
              <w:rPr>
                <w:b/>
                <w:noProof/>
                <w:sz w:val="16"/>
                <w:szCs w:val="16"/>
              </w:rPr>
            </w:pPr>
            <w:r>
              <w:rPr>
                <w:b/>
                <w:noProof/>
                <w:sz w:val="18"/>
              </w:rPr>
              <w:t>3 080.380</w:t>
            </w:r>
          </w:p>
        </w:tc>
      </w:tr>
      <w:tr w:rsidR="00211384">
        <w:trPr>
          <w:trHeight w:val="585"/>
        </w:trPr>
        <w:tc>
          <w:tcPr>
            <w:tcW w:w="1980" w:type="dxa"/>
            <w:shd w:val="clear" w:color="auto" w:fill="CCCCCC"/>
            <w:vAlign w:val="center"/>
          </w:tcPr>
          <w:p w:rsidR="00211384" w:rsidRDefault="004D1F15">
            <w:pPr>
              <w:spacing w:before="60" w:after="60" w:line="200" w:lineRule="exact"/>
              <w:jc w:val="center"/>
              <w:rPr>
                <w:b/>
                <w:noProof/>
                <w:sz w:val="16"/>
                <w:szCs w:val="16"/>
              </w:rPr>
            </w:pPr>
            <w:r>
              <w:rPr>
                <w:b/>
                <w:noProof/>
                <w:sz w:val="16"/>
              </w:rPr>
              <w:t xml:space="preserve">Subtotal </w:t>
            </w:r>
            <w:r>
              <w:rPr>
                <w:noProof/>
                <w:sz w:val="22"/>
              </w:rPr>
              <w:br/>
            </w:r>
            <w:r>
              <w:rPr>
                <w:b/>
                <w:noProof/>
                <w:sz w:val="16"/>
              </w:rPr>
              <w:t>outside HEADING 7</w:t>
            </w:r>
            <w:r>
              <w:rPr>
                <w:noProof/>
                <w:sz w:val="22"/>
              </w:rPr>
              <w:br/>
            </w:r>
            <w:r>
              <w:rPr>
                <w:b/>
                <w:noProof/>
                <w:sz w:val="16"/>
              </w:rPr>
              <w:t xml:space="preserve">of the multiannual financial framework </w:t>
            </w:r>
          </w:p>
        </w:tc>
        <w:tc>
          <w:tcPr>
            <w:tcW w:w="1080" w:type="dxa"/>
            <w:vAlign w:val="center"/>
          </w:tcPr>
          <w:p w:rsidR="00211384" w:rsidRDefault="004D1F15">
            <w:pPr>
              <w:spacing w:before="60" w:after="60" w:line="200" w:lineRule="exact"/>
              <w:jc w:val="right"/>
              <w:rPr>
                <w:noProof/>
                <w:sz w:val="16"/>
                <w:szCs w:val="16"/>
              </w:rPr>
            </w:pPr>
            <w:r>
              <w:rPr>
                <w:noProof/>
                <w:sz w:val="18"/>
                <w:szCs w:val="20"/>
              </w:rPr>
              <w:t>823.606</w:t>
            </w:r>
          </w:p>
        </w:tc>
        <w:tc>
          <w:tcPr>
            <w:tcW w:w="1080" w:type="dxa"/>
            <w:vAlign w:val="center"/>
          </w:tcPr>
          <w:p w:rsidR="00211384" w:rsidRDefault="004D1F15">
            <w:pPr>
              <w:spacing w:before="60" w:after="60" w:line="200" w:lineRule="exact"/>
              <w:jc w:val="right"/>
              <w:rPr>
                <w:noProof/>
                <w:sz w:val="16"/>
                <w:szCs w:val="16"/>
              </w:rPr>
            </w:pPr>
            <w:r>
              <w:rPr>
                <w:noProof/>
                <w:sz w:val="18"/>
                <w:szCs w:val="20"/>
              </w:rPr>
              <w:t>840.216</w:t>
            </w:r>
          </w:p>
        </w:tc>
        <w:tc>
          <w:tcPr>
            <w:tcW w:w="1080" w:type="dxa"/>
            <w:vAlign w:val="center"/>
          </w:tcPr>
          <w:p w:rsidR="00211384" w:rsidRDefault="004D1F15">
            <w:pPr>
              <w:spacing w:before="60" w:after="60" w:line="200" w:lineRule="exact"/>
              <w:jc w:val="right"/>
              <w:rPr>
                <w:noProof/>
                <w:sz w:val="16"/>
                <w:szCs w:val="16"/>
              </w:rPr>
            </w:pPr>
            <w:r>
              <w:rPr>
                <w:noProof/>
                <w:sz w:val="18"/>
                <w:szCs w:val="20"/>
              </w:rPr>
              <w:t>857.109</w:t>
            </w:r>
          </w:p>
        </w:tc>
        <w:tc>
          <w:tcPr>
            <w:tcW w:w="1080" w:type="dxa"/>
            <w:vAlign w:val="center"/>
          </w:tcPr>
          <w:p w:rsidR="00211384" w:rsidRDefault="004D1F15">
            <w:pPr>
              <w:spacing w:before="60" w:after="60" w:line="200" w:lineRule="exact"/>
              <w:jc w:val="right"/>
              <w:rPr>
                <w:noProof/>
                <w:sz w:val="16"/>
                <w:szCs w:val="16"/>
              </w:rPr>
            </w:pPr>
            <w:r>
              <w:rPr>
                <w:noProof/>
                <w:sz w:val="18"/>
                <w:szCs w:val="20"/>
              </w:rPr>
              <w:t>874.375</w:t>
            </w:r>
          </w:p>
        </w:tc>
        <w:tc>
          <w:tcPr>
            <w:tcW w:w="1080" w:type="dxa"/>
            <w:vAlign w:val="center"/>
          </w:tcPr>
          <w:p w:rsidR="00211384" w:rsidRDefault="004D1F15">
            <w:pPr>
              <w:spacing w:before="60" w:after="60" w:line="200" w:lineRule="exact"/>
              <w:jc w:val="right"/>
              <w:rPr>
                <w:noProof/>
                <w:sz w:val="16"/>
                <w:szCs w:val="16"/>
              </w:rPr>
            </w:pPr>
            <w:r>
              <w:rPr>
                <w:noProof/>
                <w:sz w:val="18"/>
                <w:szCs w:val="20"/>
              </w:rPr>
              <w:t>892.110</w:t>
            </w:r>
          </w:p>
        </w:tc>
        <w:tc>
          <w:tcPr>
            <w:tcW w:w="1080" w:type="dxa"/>
            <w:vAlign w:val="center"/>
          </w:tcPr>
          <w:p w:rsidR="00211384" w:rsidRDefault="004D1F15">
            <w:pPr>
              <w:spacing w:before="60" w:after="60" w:line="200" w:lineRule="exact"/>
              <w:jc w:val="right"/>
              <w:rPr>
                <w:noProof/>
                <w:sz w:val="16"/>
                <w:szCs w:val="16"/>
              </w:rPr>
            </w:pPr>
            <w:r>
              <w:rPr>
                <w:noProof/>
                <w:sz w:val="18"/>
                <w:szCs w:val="20"/>
              </w:rPr>
              <w:t>909.994</w:t>
            </w:r>
          </w:p>
        </w:tc>
        <w:tc>
          <w:tcPr>
            <w:tcW w:w="1080" w:type="dxa"/>
            <w:vAlign w:val="center"/>
          </w:tcPr>
          <w:p w:rsidR="00211384" w:rsidRDefault="004D1F15">
            <w:pPr>
              <w:spacing w:before="60" w:after="60" w:line="200" w:lineRule="exact"/>
              <w:jc w:val="right"/>
              <w:rPr>
                <w:b/>
                <w:noProof/>
                <w:sz w:val="16"/>
                <w:szCs w:val="16"/>
              </w:rPr>
            </w:pPr>
            <w:r>
              <w:rPr>
                <w:noProof/>
                <w:sz w:val="18"/>
                <w:szCs w:val="20"/>
              </w:rPr>
              <w:t>928.444</w:t>
            </w:r>
          </w:p>
        </w:tc>
        <w:tc>
          <w:tcPr>
            <w:tcW w:w="1080" w:type="dxa"/>
            <w:vAlign w:val="center"/>
          </w:tcPr>
          <w:p w:rsidR="00211384" w:rsidRDefault="004D1F15">
            <w:pPr>
              <w:spacing w:before="60" w:after="60" w:line="200" w:lineRule="exact"/>
              <w:jc w:val="right"/>
              <w:rPr>
                <w:b/>
                <w:noProof/>
                <w:sz w:val="16"/>
                <w:szCs w:val="16"/>
              </w:rPr>
            </w:pPr>
            <w:r>
              <w:rPr>
                <w:b/>
                <w:noProof/>
                <w:sz w:val="18"/>
              </w:rPr>
              <w:t>6 125.855</w:t>
            </w:r>
          </w:p>
        </w:tc>
      </w:tr>
    </w:tbl>
    <w:p w:rsidR="00211384" w:rsidRDefault="00211384">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211384">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211384" w:rsidRDefault="004D1F15">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rsidR="00211384" w:rsidRDefault="004D1F15">
            <w:pPr>
              <w:spacing w:before="60" w:after="60" w:line="200" w:lineRule="exact"/>
              <w:jc w:val="right"/>
              <w:rPr>
                <w:b/>
                <w:noProof/>
                <w:sz w:val="16"/>
                <w:szCs w:val="16"/>
              </w:rPr>
            </w:pPr>
            <w:r>
              <w:rPr>
                <w:b/>
                <w:noProof/>
                <w:sz w:val="18"/>
              </w:rPr>
              <w:t>823.606</w:t>
            </w:r>
          </w:p>
        </w:tc>
        <w:tc>
          <w:tcPr>
            <w:tcW w:w="1080" w:type="dxa"/>
            <w:tcBorders>
              <w:top w:val="single" w:sz="12" w:space="0" w:color="auto"/>
              <w:left w:val="single" w:sz="2" w:space="0" w:color="auto"/>
              <w:bottom w:val="single" w:sz="12" w:space="0" w:color="auto"/>
              <w:right w:val="single" w:sz="2" w:space="0" w:color="auto"/>
            </w:tcBorders>
            <w:vAlign w:val="center"/>
          </w:tcPr>
          <w:p w:rsidR="00211384" w:rsidRDefault="004D1F15">
            <w:pPr>
              <w:spacing w:before="60" w:after="60" w:line="200" w:lineRule="exact"/>
              <w:jc w:val="right"/>
              <w:rPr>
                <w:b/>
                <w:noProof/>
                <w:sz w:val="16"/>
                <w:szCs w:val="16"/>
              </w:rPr>
            </w:pPr>
            <w:r>
              <w:rPr>
                <w:b/>
                <w:noProof/>
                <w:sz w:val="18"/>
              </w:rPr>
              <w:t>840.216</w:t>
            </w:r>
          </w:p>
        </w:tc>
        <w:tc>
          <w:tcPr>
            <w:tcW w:w="1080" w:type="dxa"/>
            <w:tcBorders>
              <w:top w:val="single" w:sz="12" w:space="0" w:color="auto"/>
              <w:left w:val="single" w:sz="2" w:space="0" w:color="auto"/>
              <w:bottom w:val="single" w:sz="12" w:space="0" w:color="auto"/>
              <w:right w:val="single" w:sz="2" w:space="0" w:color="auto"/>
            </w:tcBorders>
            <w:vAlign w:val="center"/>
          </w:tcPr>
          <w:p w:rsidR="00211384" w:rsidRDefault="004D1F15">
            <w:pPr>
              <w:spacing w:before="60" w:after="60" w:line="200" w:lineRule="exact"/>
              <w:jc w:val="right"/>
              <w:rPr>
                <w:b/>
                <w:noProof/>
                <w:sz w:val="16"/>
                <w:szCs w:val="16"/>
              </w:rPr>
            </w:pPr>
            <w:r>
              <w:rPr>
                <w:b/>
                <w:noProof/>
                <w:sz w:val="18"/>
              </w:rPr>
              <w:t>857.109</w:t>
            </w:r>
          </w:p>
        </w:tc>
        <w:tc>
          <w:tcPr>
            <w:tcW w:w="1080" w:type="dxa"/>
            <w:tcBorders>
              <w:top w:val="single" w:sz="12" w:space="0" w:color="auto"/>
              <w:left w:val="single" w:sz="2" w:space="0" w:color="auto"/>
              <w:bottom w:val="single" w:sz="12" w:space="0" w:color="auto"/>
              <w:right w:val="single" w:sz="2" w:space="0" w:color="auto"/>
            </w:tcBorders>
            <w:vAlign w:val="center"/>
          </w:tcPr>
          <w:p w:rsidR="00211384" w:rsidRDefault="004D1F15">
            <w:pPr>
              <w:spacing w:before="60" w:after="60" w:line="200" w:lineRule="exact"/>
              <w:jc w:val="right"/>
              <w:rPr>
                <w:b/>
                <w:noProof/>
                <w:sz w:val="16"/>
                <w:szCs w:val="16"/>
              </w:rPr>
            </w:pPr>
            <w:r>
              <w:rPr>
                <w:b/>
                <w:noProof/>
                <w:sz w:val="18"/>
              </w:rPr>
              <w:t>874.375</w:t>
            </w:r>
          </w:p>
        </w:tc>
        <w:tc>
          <w:tcPr>
            <w:tcW w:w="1080" w:type="dxa"/>
            <w:tcBorders>
              <w:top w:val="single" w:sz="12" w:space="0" w:color="auto"/>
              <w:left w:val="single" w:sz="2" w:space="0" w:color="auto"/>
              <w:bottom w:val="single" w:sz="12" w:space="0" w:color="auto"/>
              <w:right w:val="single" w:sz="2" w:space="0" w:color="auto"/>
            </w:tcBorders>
            <w:vAlign w:val="center"/>
          </w:tcPr>
          <w:p w:rsidR="00211384" w:rsidRDefault="004D1F15">
            <w:pPr>
              <w:spacing w:before="60" w:after="60" w:line="200" w:lineRule="exact"/>
              <w:jc w:val="right"/>
              <w:rPr>
                <w:b/>
                <w:noProof/>
                <w:sz w:val="16"/>
                <w:szCs w:val="16"/>
              </w:rPr>
            </w:pPr>
            <w:r>
              <w:rPr>
                <w:b/>
                <w:noProof/>
                <w:sz w:val="18"/>
              </w:rPr>
              <w:t>892.110</w:t>
            </w:r>
          </w:p>
        </w:tc>
        <w:tc>
          <w:tcPr>
            <w:tcW w:w="1080" w:type="dxa"/>
            <w:tcBorders>
              <w:top w:val="single" w:sz="12" w:space="0" w:color="auto"/>
              <w:left w:val="single" w:sz="2" w:space="0" w:color="auto"/>
              <w:bottom w:val="single" w:sz="12" w:space="0" w:color="auto"/>
              <w:right w:val="single" w:sz="2" w:space="0" w:color="auto"/>
            </w:tcBorders>
            <w:vAlign w:val="center"/>
          </w:tcPr>
          <w:p w:rsidR="00211384" w:rsidRDefault="004D1F15">
            <w:pPr>
              <w:spacing w:before="60" w:after="60" w:line="200" w:lineRule="exact"/>
              <w:jc w:val="right"/>
              <w:rPr>
                <w:b/>
                <w:noProof/>
                <w:sz w:val="16"/>
                <w:szCs w:val="16"/>
              </w:rPr>
            </w:pPr>
            <w:r>
              <w:rPr>
                <w:b/>
                <w:noProof/>
                <w:sz w:val="18"/>
              </w:rPr>
              <w:t>909.994</w:t>
            </w:r>
          </w:p>
        </w:tc>
        <w:tc>
          <w:tcPr>
            <w:tcW w:w="1080" w:type="dxa"/>
            <w:tcBorders>
              <w:top w:val="single" w:sz="12" w:space="0" w:color="auto"/>
              <w:left w:val="single" w:sz="2" w:space="0" w:color="auto"/>
              <w:bottom w:val="single" w:sz="12" w:space="0" w:color="auto"/>
              <w:right w:val="single" w:sz="2" w:space="0" w:color="auto"/>
            </w:tcBorders>
            <w:vAlign w:val="center"/>
          </w:tcPr>
          <w:p w:rsidR="00211384" w:rsidRDefault="004D1F15">
            <w:pPr>
              <w:spacing w:before="60" w:after="60" w:line="200" w:lineRule="exact"/>
              <w:jc w:val="right"/>
              <w:rPr>
                <w:b/>
                <w:noProof/>
                <w:sz w:val="16"/>
                <w:szCs w:val="16"/>
              </w:rPr>
            </w:pPr>
            <w:r>
              <w:rPr>
                <w:b/>
                <w:noProof/>
                <w:sz w:val="18"/>
              </w:rPr>
              <w:t>928.444</w:t>
            </w:r>
          </w:p>
        </w:tc>
        <w:tc>
          <w:tcPr>
            <w:tcW w:w="1080" w:type="dxa"/>
            <w:tcBorders>
              <w:top w:val="single" w:sz="12" w:space="0" w:color="auto"/>
              <w:left w:val="single" w:sz="2" w:space="0" w:color="auto"/>
              <w:bottom w:val="single" w:sz="12" w:space="0" w:color="auto"/>
              <w:right w:val="single" w:sz="12" w:space="0" w:color="auto"/>
            </w:tcBorders>
            <w:vAlign w:val="center"/>
          </w:tcPr>
          <w:p w:rsidR="00211384" w:rsidRDefault="004D1F15">
            <w:pPr>
              <w:spacing w:before="60" w:after="60" w:line="200" w:lineRule="exact"/>
              <w:jc w:val="right"/>
              <w:rPr>
                <w:b/>
                <w:noProof/>
                <w:sz w:val="16"/>
                <w:szCs w:val="16"/>
              </w:rPr>
            </w:pPr>
            <w:r>
              <w:rPr>
                <w:b/>
                <w:noProof/>
                <w:sz w:val="18"/>
              </w:rPr>
              <w:t>6 125.855</w:t>
            </w:r>
          </w:p>
        </w:tc>
      </w:tr>
    </w:tbl>
    <w:p w:rsidR="00211384" w:rsidRDefault="004D1F15">
      <w:pPr>
        <w:pStyle w:val="Text2"/>
        <w:spacing w:before="0" w:after="0"/>
        <w:ind w:left="0"/>
        <w:rPr>
          <w:rFonts w:eastAsia="Times New Roman"/>
          <w:iCs/>
          <w:noProof/>
          <w:sz w:val="20"/>
          <w:szCs w:val="20"/>
          <w:lang w:eastAsia="en-GB"/>
        </w:rPr>
      </w:pPr>
      <w:r>
        <w:rPr>
          <w:rFonts w:eastAsia="Times New Roman"/>
          <w:noProof/>
          <w:sz w:val="20"/>
          <w:szCs w:val="20"/>
          <w:lang w:eastAsia="en-GB"/>
        </w:rPr>
        <w:t xml:space="preserve">The administrative appropriations required will be met by the appropriations which are already assigned to management of the action and/or which have been redeployed, together if necessary with any additional </w:t>
      </w:r>
      <w:r>
        <w:rPr>
          <w:rFonts w:eastAsia="Times New Roman"/>
          <w:noProof/>
          <w:sz w:val="20"/>
          <w:szCs w:val="20"/>
          <w:lang w:eastAsia="en-GB"/>
        </w:rPr>
        <w:t>allocation which may be granted to the managing DG under the annual allocation procedure and in the light of existing budgetary constraints.</w:t>
      </w:r>
    </w:p>
    <w:p w:rsidR="00211384" w:rsidRDefault="004D1F15">
      <w:pPr>
        <w:pStyle w:val="ManualHeading4"/>
        <w:rPr>
          <w:bCs/>
          <w:noProof/>
          <w:szCs w:val="24"/>
        </w:rPr>
      </w:pPr>
      <w:r>
        <w:rPr>
          <w:noProof/>
        </w:rPr>
        <w:t>3.2.2.1.</w:t>
      </w:r>
      <w:r>
        <w:rPr>
          <w:noProof/>
        </w:rPr>
        <w:tab/>
        <w:t xml:space="preserve">Estimated requirements of human resources </w:t>
      </w:r>
    </w:p>
    <w:p w:rsidR="00211384" w:rsidRDefault="004D1F15">
      <w:pPr>
        <w:pStyle w:val="ListDash1"/>
        <w:rPr>
          <w:noProof/>
        </w:rPr>
      </w:pPr>
      <w:r>
        <w:rPr>
          <w:noProof/>
        </w:rPr>
        <w:sym w:font="Wingdings" w:char="F0A8"/>
      </w:r>
      <w:r>
        <w:rPr>
          <w:noProof/>
        </w:rPr>
        <w:tab/>
        <w:t>The proposal/initiative does not require the use of human res</w:t>
      </w:r>
      <w:r>
        <w:rPr>
          <w:noProof/>
        </w:rPr>
        <w:t xml:space="preserve">ources. </w:t>
      </w:r>
    </w:p>
    <w:p w:rsidR="00211384" w:rsidRDefault="004D1F15">
      <w:pPr>
        <w:pStyle w:val="ListDash1"/>
        <w:rPr>
          <w:noProof/>
        </w:rPr>
      </w:pPr>
      <w:r>
        <w:rPr>
          <w:noProof/>
        </w:rPr>
        <w:sym w:font="Wingdings" w:char="F0FE"/>
      </w:r>
      <w:r>
        <w:rPr>
          <w:noProof/>
        </w:rPr>
        <w:tab/>
        <w:t>The proposal/initiative requires the use of human resources, as explained below:</w:t>
      </w:r>
    </w:p>
    <w:p w:rsidR="00211384" w:rsidRDefault="004D1F15">
      <w:pPr>
        <w:spacing w:after="60"/>
        <w:jc w:val="right"/>
        <w:rPr>
          <w:i/>
          <w:noProof/>
          <w:sz w:val="20"/>
        </w:rPr>
      </w:pPr>
      <w:r>
        <w:rPr>
          <w:i/>
          <w:noProof/>
          <w:sz w:val="20"/>
        </w:rPr>
        <w:t>Estimate to be expressed in full time equivalent units</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rsidR="00211384">
        <w:trPr>
          <w:trHeight w:val="289"/>
        </w:trPr>
        <w:tc>
          <w:tcPr>
            <w:tcW w:w="1472" w:type="pct"/>
            <w:gridSpan w:val="2"/>
            <w:vAlign w:val="center"/>
          </w:tcPr>
          <w:p w:rsidR="00211384" w:rsidRDefault="004D1F15">
            <w:pPr>
              <w:pStyle w:val="Text1"/>
              <w:spacing w:before="40" w:after="40"/>
              <w:ind w:left="0"/>
              <w:jc w:val="center"/>
              <w:rPr>
                <w:i/>
                <w:noProof/>
                <w:sz w:val="16"/>
                <w:szCs w:val="16"/>
              </w:rPr>
            </w:pPr>
            <w:r>
              <w:rPr>
                <w:b/>
                <w:noProof/>
                <w:sz w:val="16"/>
                <w:szCs w:val="16"/>
              </w:rPr>
              <w:t>Years</w:t>
            </w:r>
          </w:p>
        </w:tc>
        <w:tc>
          <w:tcPr>
            <w:tcW w:w="466" w:type="pct"/>
            <w:shd w:val="clear" w:color="auto" w:fill="auto"/>
            <w:vAlign w:val="center"/>
          </w:tcPr>
          <w:p w:rsidR="00211384" w:rsidRDefault="004D1F15">
            <w:pPr>
              <w:spacing w:before="20" w:after="20"/>
              <w:jc w:val="center"/>
              <w:rPr>
                <w:b/>
                <w:noProof/>
                <w:sz w:val="16"/>
                <w:szCs w:val="16"/>
              </w:rPr>
            </w:pPr>
            <w:r>
              <w:rPr>
                <w:b/>
                <w:noProof/>
                <w:sz w:val="20"/>
              </w:rPr>
              <w:t>2021</w:t>
            </w:r>
          </w:p>
        </w:tc>
        <w:tc>
          <w:tcPr>
            <w:tcW w:w="534" w:type="pct"/>
            <w:shd w:val="clear" w:color="auto" w:fill="auto"/>
            <w:vAlign w:val="center"/>
          </w:tcPr>
          <w:p w:rsidR="00211384" w:rsidRDefault="004D1F15">
            <w:pPr>
              <w:spacing w:before="20" w:after="20"/>
              <w:jc w:val="center"/>
              <w:rPr>
                <w:b/>
                <w:noProof/>
                <w:sz w:val="20"/>
              </w:rPr>
            </w:pPr>
            <w:r>
              <w:rPr>
                <w:b/>
                <w:noProof/>
                <w:sz w:val="20"/>
              </w:rPr>
              <w:t>2022</w:t>
            </w:r>
          </w:p>
        </w:tc>
        <w:tc>
          <w:tcPr>
            <w:tcW w:w="466" w:type="pct"/>
            <w:shd w:val="clear" w:color="auto" w:fill="auto"/>
            <w:vAlign w:val="center"/>
          </w:tcPr>
          <w:p w:rsidR="00211384" w:rsidRDefault="004D1F15">
            <w:pPr>
              <w:spacing w:before="20" w:after="20"/>
              <w:jc w:val="center"/>
              <w:rPr>
                <w:b/>
                <w:noProof/>
                <w:sz w:val="20"/>
              </w:rPr>
            </w:pPr>
            <w:r>
              <w:rPr>
                <w:b/>
                <w:noProof/>
                <w:sz w:val="20"/>
              </w:rPr>
              <w:t>2023</w:t>
            </w:r>
          </w:p>
        </w:tc>
        <w:tc>
          <w:tcPr>
            <w:tcW w:w="534" w:type="pct"/>
            <w:shd w:val="clear" w:color="auto" w:fill="auto"/>
            <w:vAlign w:val="center"/>
          </w:tcPr>
          <w:p w:rsidR="00211384" w:rsidRDefault="004D1F15">
            <w:pPr>
              <w:spacing w:before="20" w:after="20"/>
              <w:jc w:val="center"/>
              <w:rPr>
                <w:b/>
                <w:noProof/>
                <w:sz w:val="20"/>
              </w:rPr>
            </w:pPr>
            <w:r>
              <w:rPr>
                <w:b/>
                <w:noProof/>
                <w:sz w:val="20"/>
              </w:rPr>
              <w:t>2024</w:t>
            </w:r>
          </w:p>
        </w:tc>
        <w:tc>
          <w:tcPr>
            <w:tcW w:w="533" w:type="pct"/>
            <w:shd w:val="clear" w:color="auto" w:fill="auto"/>
            <w:vAlign w:val="center"/>
          </w:tcPr>
          <w:p w:rsidR="00211384" w:rsidRDefault="004D1F15">
            <w:pPr>
              <w:jc w:val="center"/>
              <w:rPr>
                <w:b/>
                <w:noProof/>
                <w:sz w:val="20"/>
              </w:rPr>
            </w:pPr>
            <w:r>
              <w:rPr>
                <w:b/>
                <w:noProof/>
                <w:sz w:val="20"/>
              </w:rPr>
              <w:t>2025</w:t>
            </w:r>
          </w:p>
        </w:tc>
        <w:tc>
          <w:tcPr>
            <w:tcW w:w="468" w:type="pct"/>
            <w:shd w:val="clear" w:color="auto" w:fill="auto"/>
            <w:vAlign w:val="center"/>
          </w:tcPr>
          <w:p w:rsidR="00211384" w:rsidRDefault="004D1F15">
            <w:pPr>
              <w:jc w:val="center"/>
              <w:rPr>
                <w:b/>
                <w:noProof/>
                <w:sz w:val="20"/>
              </w:rPr>
            </w:pPr>
            <w:r>
              <w:rPr>
                <w:b/>
                <w:noProof/>
                <w:sz w:val="20"/>
              </w:rPr>
              <w:t>2026</w:t>
            </w:r>
          </w:p>
        </w:tc>
        <w:tc>
          <w:tcPr>
            <w:tcW w:w="527" w:type="pct"/>
            <w:shd w:val="clear" w:color="auto" w:fill="auto"/>
            <w:vAlign w:val="center"/>
          </w:tcPr>
          <w:p w:rsidR="00211384" w:rsidRDefault="004D1F15">
            <w:pPr>
              <w:jc w:val="center"/>
              <w:rPr>
                <w:b/>
                <w:noProof/>
                <w:sz w:val="20"/>
              </w:rPr>
            </w:pPr>
            <w:r>
              <w:rPr>
                <w:b/>
                <w:noProof/>
                <w:sz w:val="20"/>
              </w:rPr>
              <w:t>2027</w:t>
            </w:r>
          </w:p>
        </w:tc>
      </w:tr>
      <w:tr w:rsidR="00211384">
        <w:trPr>
          <w:trHeight w:val="289"/>
        </w:trPr>
        <w:tc>
          <w:tcPr>
            <w:tcW w:w="5000" w:type="pct"/>
            <w:gridSpan w:val="9"/>
          </w:tcPr>
          <w:p w:rsidR="00211384" w:rsidRDefault="004D1F15">
            <w:pPr>
              <w:jc w:val="left"/>
              <w:rPr>
                <w:noProof/>
                <w:sz w:val="16"/>
                <w:szCs w:val="16"/>
              </w:rPr>
            </w:pPr>
            <w:r>
              <w:rPr>
                <w:b/>
                <w:noProof/>
                <w:sz w:val="16"/>
              </w:rPr>
              <w:sym w:font="Wingdings" w:char="F09F"/>
            </w:r>
            <w:r>
              <w:rPr>
                <w:b/>
                <w:noProof/>
                <w:sz w:val="16"/>
              </w:rPr>
              <w:t xml:space="preserve"> Establishment plan posts (officials and temporary staff)</w:t>
            </w:r>
            <w:bookmarkStart w:id="1" w:name="_Ref514769230"/>
            <w:r>
              <w:rPr>
                <w:rStyle w:val="FootnoteReference"/>
                <w:noProof/>
              </w:rPr>
              <w:footnoteReference w:id="21"/>
            </w:r>
            <w:bookmarkEnd w:id="1"/>
          </w:p>
        </w:tc>
      </w:tr>
      <w:tr w:rsidR="00211384">
        <w:trPr>
          <w:trHeight w:val="289"/>
        </w:trPr>
        <w:tc>
          <w:tcPr>
            <w:tcW w:w="1472" w:type="pct"/>
            <w:gridSpan w:val="2"/>
          </w:tcPr>
          <w:p w:rsidR="00211384" w:rsidRDefault="004D1F15">
            <w:pPr>
              <w:pStyle w:val="Text1"/>
              <w:spacing w:beforeLines="20" w:before="48" w:afterLines="20" w:after="48"/>
              <w:ind w:left="134"/>
              <w:jc w:val="left"/>
              <w:rPr>
                <w:b/>
                <w:noProof/>
                <w:sz w:val="16"/>
                <w:szCs w:val="16"/>
              </w:rPr>
            </w:pPr>
            <w:r>
              <w:rPr>
                <w:noProof/>
                <w:sz w:val="16"/>
              </w:rPr>
              <w:t>Headquarters and Commission’s Representation Offices</w:t>
            </w:r>
          </w:p>
        </w:tc>
        <w:tc>
          <w:tcPr>
            <w:tcW w:w="466" w:type="pct"/>
            <w:shd w:val="clear" w:color="auto" w:fill="auto"/>
            <w:vAlign w:val="center"/>
          </w:tcPr>
          <w:p w:rsidR="00211384" w:rsidRDefault="00211384">
            <w:pPr>
              <w:spacing w:beforeLines="20" w:before="48" w:afterLines="20" w:after="48"/>
              <w:jc w:val="center"/>
              <w:rPr>
                <w:noProof/>
                <w:sz w:val="16"/>
                <w:szCs w:val="16"/>
              </w:rPr>
            </w:pPr>
          </w:p>
        </w:tc>
        <w:tc>
          <w:tcPr>
            <w:tcW w:w="534" w:type="pct"/>
            <w:shd w:val="clear" w:color="auto" w:fill="auto"/>
            <w:vAlign w:val="center"/>
          </w:tcPr>
          <w:p w:rsidR="00211384" w:rsidRDefault="00211384">
            <w:pPr>
              <w:spacing w:beforeLines="20" w:before="48" w:afterLines="20" w:after="48"/>
              <w:jc w:val="center"/>
              <w:rPr>
                <w:noProof/>
                <w:sz w:val="16"/>
                <w:szCs w:val="16"/>
              </w:rPr>
            </w:pPr>
          </w:p>
        </w:tc>
        <w:tc>
          <w:tcPr>
            <w:tcW w:w="466" w:type="pct"/>
            <w:shd w:val="clear" w:color="auto" w:fill="auto"/>
            <w:vAlign w:val="center"/>
          </w:tcPr>
          <w:p w:rsidR="00211384" w:rsidRDefault="00211384">
            <w:pPr>
              <w:spacing w:beforeLines="20" w:before="48" w:afterLines="20" w:after="48"/>
              <w:jc w:val="center"/>
              <w:rPr>
                <w:noProof/>
                <w:sz w:val="16"/>
                <w:szCs w:val="16"/>
              </w:rPr>
            </w:pPr>
          </w:p>
        </w:tc>
        <w:tc>
          <w:tcPr>
            <w:tcW w:w="534" w:type="pct"/>
            <w:shd w:val="clear" w:color="auto" w:fill="auto"/>
            <w:vAlign w:val="center"/>
          </w:tcPr>
          <w:p w:rsidR="00211384" w:rsidRDefault="00211384">
            <w:pPr>
              <w:spacing w:beforeLines="20" w:before="48" w:afterLines="20" w:after="48"/>
              <w:jc w:val="center"/>
              <w:rPr>
                <w:noProof/>
                <w:sz w:val="16"/>
                <w:szCs w:val="16"/>
              </w:rPr>
            </w:pPr>
          </w:p>
        </w:tc>
        <w:tc>
          <w:tcPr>
            <w:tcW w:w="533" w:type="pct"/>
            <w:shd w:val="clear" w:color="auto" w:fill="auto"/>
            <w:vAlign w:val="center"/>
          </w:tcPr>
          <w:p w:rsidR="00211384" w:rsidRDefault="00211384">
            <w:pPr>
              <w:spacing w:beforeLines="20" w:before="48" w:afterLines="20" w:after="48"/>
              <w:jc w:val="center"/>
              <w:rPr>
                <w:noProof/>
                <w:sz w:val="16"/>
                <w:szCs w:val="16"/>
              </w:rPr>
            </w:pPr>
          </w:p>
        </w:tc>
        <w:tc>
          <w:tcPr>
            <w:tcW w:w="468" w:type="pct"/>
            <w:shd w:val="clear" w:color="auto" w:fill="auto"/>
            <w:vAlign w:val="center"/>
          </w:tcPr>
          <w:p w:rsidR="00211384" w:rsidRDefault="00211384">
            <w:pPr>
              <w:spacing w:beforeLines="20" w:before="48" w:afterLines="20" w:after="48"/>
              <w:jc w:val="center"/>
              <w:rPr>
                <w:noProof/>
                <w:sz w:val="16"/>
                <w:szCs w:val="16"/>
              </w:rPr>
            </w:pPr>
          </w:p>
        </w:tc>
        <w:tc>
          <w:tcPr>
            <w:tcW w:w="527" w:type="pct"/>
            <w:shd w:val="clear" w:color="auto" w:fill="auto"/>
            <w:vAlign w:val="center"/>
          </w:tcPr>
          <w:p w:rsidR="00211384" w:rsidRDefault="00211384">
            <w:pPr>
              <w:spacing w:beforeLines="20" w:before="48" w:afterLines="20" w:after="48"/>
              <w:jc w:val="center"/>
              <w:rPr>
                <w:noProof/>
                <w:sz w:val="16"/>
                <w:szCs w:val="16"/>
              </w:rPr>
            </w:pPr>
          </w:p>
        </w:tc>
      </w:tr>
      <w:tr w:rsidR="00211384">
        <w:trPr>
          <w:trHeight w:val="368"/>
        </w:trPr>
        <w:tc>
          <w:tcPr>
            <w:tcW w:w="1472" w:type="pct"/>
            <w:gridSpan w:val="2"/>
          </w:tcPr>
          <w:p w:rsidR="00211384" w:rsidRDefault="004D1F15">
            <w:pPr>
              <w:pStyle w:val="Text1"/>
              <w:spacing w:beforeLines="20" w:before="48" w:afterLines="20" w:after="48"/>
              <w:ind w:left="134"/>
              <w:jc w:val="left"/>
              <w:rPr>
                <w:noProof/>
                <w:sz w:val="16"/>
                <w:szCs w:val="16"/>
              </w:rPr>
            </w:pPr>
            <w:r>
              <w:rPr>
                <w:noProof/>
                <w:sz w:val="16"/>
              </w:rPr>
              <w:t>Delegations</w:t>
            </w:r>
          </w:p>
        </w:tc>
        <w:tc>
          <w:tcPr>
            <w:tcW w:w="466" w:type="pct"/>
            <w:shd w:val="clear" w:color="auto" w:fill="auto"/>
            <w:vAlign w:val="center"/>
          </w:tcPr>
          <w:p w:rsidR="00211384" w:rsidRDefault="00211384">
            <w:pPr>
              <w:spacing w:beforeLines="20" w:before="48" w:afterLines="20" w:after="48"/>
              <w:jc w:val="center"/>
              <w:rPr>
                <w:noProof/>
                <w:sz w:val="16"/>
                <w:szCs w:val="16"/>
              </w:rPr>
            </w:pPr>
          </w:p>
        </w:tc>
        <w:tc>
          <w:tcPr>
            <w:tcW w:w="534" w:type="pct"/>
            <w:shd w:val="clear" w:color="auto" w:fill="auto"/>
            <w:vAlign w:val="center"/>
          </w:tcPr>
          <w:p w:rsidR="00211384" w:rsidRDefault="00211384">
            <w:pPr>
              <w:spacing w:beforeLines="20" w:before="48" w:afterLines="20" w:after="48"/>
              <w:jc w:val="center"/>
              <w:rPr>
                <w:noProof/>
                <w:sz w:val="16"/>
                <w:szCs w:val="16"/>
              </w:rPr>
            </w:pPr>
          </w:p>
        </w:tc>
        <w:tc>
          <w:tcPr>
            <w:tcW w:w="466" w:type="pct"/>
            <w:shd w:val="clear" w:color="auto" w:fill="auto"/>
            <w:vAlign w:val="center"/>
          </w:tcPr>
          <w:p w:rsidR="00211384" w:rsidRDefault="00211384">
            <w:pPr>
              <w:spacing w:beforeLines="20" w:before="48" w:afterLines="20" w:after="48"/>
              <w:jc w:val="center"/>
              <w:rPr>
                <w:noProof/>
                <w:sz w:val="16"/>
                <w:szCs w:val="16"/>
              </w:rPr>
            </w:pPr>
          </w:p>
        </w:tc>
        <w:tc>
          <w:tcPr>
            <w:tcW w:w="534" w:type="pct"/>
            <w:shd w:val="clear" w:color="auto" w:fill="auto"/>
            <w:vAlign w:val="center"/>
          </w:tcPr>
          <w:p w:rsidR="00211384" w:rsidRDefault="00211384">
            <w:pPr>
              <w:spacing w:beforeLines="20" w:before="48" w:afterLines="20" w:after="48"/>
              <w:jc w:val="center"/>
              <w:rPr>
                <w:noProof/>
                <w:sz w:val="16"/>
                <w:szCs w:val="16"/>
              </w:rPr>
            </w:pPr>
          </w:p>
        </w:tc>
        <w:tc>
          <w:tcPr>
            <w:tcW w:w="533" w:type="pct"/>
            <w:shd w:val="clear" w:color="auto" w:fill="auto"/>
            <w:vAlign w:val="center"/>
          </w:tcPr>
          <w:p w:rsidR="00211384" w:rsidRDefault="00211384">
            <w:pPr>
              <w:spacing w:beforeLines="20" w:before="48" w:afterLines="20" w:after="48"/>
              <w:jc w:val="center"/>
              <w:rPr>
                <w:noProof/>
                <w:sz w:val="16"/>
                <w:szCs w:val="16"/>
              </w:rPr>
            </w:pPr>
          </w:p>
        </w:tc>
        <w:tc>
          <w:tcPr>
            <w:tcW w:w="468" w:type="pct"/>
            <w:shd w:val="clear" w:color="auto" w:fill="auto"/>
            <w:vAlign w:val="center"/>
          </w:tcPr>
          <w:p w:rsidR="00211384" w:rsidRDefault="00211384">
            <w:pPr>
              <w:spacing w:beforeLines="20" w:before="48" w:afterLines="20" w:after="48"/>
              <w:jc w:val="center"/>
              <w:rPr>
                <w:noProof/>
                <w:sz w:val="16"/>
                <w:szCs w:val="16"/>
              </w:rPr>
            </w:pPr>
          </w:p>
        </w:tc>
        <w:tc>
          <w:tcPr>
            <w:tcW w:w="527" w:type="pct"/>
            <w:shd w:val="clear" w:color="auto" w:fill="auto"/>
            <w:vAlign w:val="center"/>
          </w:tcPr>
          <w:p w:rsidR="00211384" w:rsidRDefault="00211384">
            <w:pPr>
              <w:spacing w:beforeLines="20" w:before="48" w:afterLines="20" w:after="48"/>
              <w:jc w:val="center"/>
              <w:rPr>
                <w:noProof/>
                <w:sz w:val="16"/>
                <w:szCs w:val="16"/>
              </w:rPr>
            </w:pPr>
          </w:p>
        </w:tc>
      </w:tr>
      <w:tr w:rsidR="00211384">
        <w:trPr>
          <w:trHeight w:val="289"/>
        </w:trPr>
        <w:tc>
          <w:tcPr>
            <w:tcW w:w="1472" w:type="pct"/>
            <w:gridSpan w:val="2"/>
          </w:tcPr>
          <w:p w:rsidR="00211384" w:rsidRDefault="004D1F15">
            <w:pPr>
              <w:pStyle w:val="Text1"/>
              <w:spacing w:beforeLines="20" w:before="48" w:afterLines="20" w:after="48"/>
              <w:ind w:left="134"/>
              <w:jc w:val="left"/>
              <w:rPr>
                <w:noProof/>
                <w:sz w:val="16"/>
                <w:szCs w:val="16"/>
              </w:rPr>
            </w:pPr>
            <w:r>
              <w:rPr>
                <w:noProof/>
                <w:sz w:val="16"/>
              </w:rPr>
              <w:t>Research</w:t>
            </w:r>
          </w:p>
        </w:tc>
        <w:tc>
          <w:tcPr>
            <w:tcW w:w="466" w:type="pct"/>
            <w:shd w:val="clear" w:color="auto" w:fill="auto"/>
            <w:vAlign w:val="center"/>
          </w:tcPr>
          <w:p w:rsidR="00211384" w:rsidRDefault="004D1F15">
            <w:pPr>
              <w:spacing w:beforeLines="20" w:before="48" w:afterLines="20" w:after="48"/>
              <w:jc w:val="center"/>
              <w:rPr>
                <w:noProof/>
                <w:sz w:val="16"/>
                <w:szCs w:val="16"/>
              </w:rPr>
            </w:pPr>
            <w:r>
              <w:rPr>
                <w:noProof/>
                <w:sz w:val="16"/>
                <w:szCs w:val="16"/>
              </w:rPr>
              <w:t>2620</w:t>
            </w:r>
          </w:p>
        </w:tc>
        <w:tc>
          <w:tcPr>
            <w:tcW w:w="534" w:type="pct"/>
            <w:shd w:val="clear" w:color="auto" w:fill="auto"/>
          </w:tcPr>
          <w:p w:rsidR="00211384" w:rsidRDefault="004D1F15">
            <w:pPr>
              <w:spacing w:beforeLines="20" w:before="48" w:afterLines="20" w:after="48"/>
              <w:jc w:val="center"/>
              <w:rPr>
                <w:noProof/>
                <w:sz w:val="16"/>
                <w:szCs w:val="16"/>
              </w:rPr>
            </w:pPr>
            <w:r>
              <w:rPr>
                <w:noProof/>
                <w:sz w:val="16"/>
                <w:szCs w:val="16"/>
              </w:rPr>
              <w:t>2620</w:t>
            </w:r>
          </w:p>
        </w:tc>
        <w:tc>
          <w:tcPr>
            <w:tcW w:w="466" w:type="pct"/>
            <w:shd w:val="clear" w:color="auto" w:fill="auto"/>
          </w:tcPr>
          <w:p w:rsidR="00211384" w:rsidRDefault="004D1F15">
            <w:pPr>
              <w:spacing w:beforeLines="20" w:before="48" w:afterLines="20" w:after="48"/>
              <w:jc w:val="center"/>
              <w:rPr>
                <w:noProof/>
                <w:sz w:val="16"/>
                <w:szCs w:val="16"/>
              </w:rPr>
            </w:pPr>
            <w:r>
              <w:rPr>
                <w:noProof/>
                <w:sz w:val="16"/>
                <w:szCs w:val="16"/>
              </w:rPr>
              <w:t>2620</w:t>
            </w:r>
          </w:p>
        </w:tc>
        <w:tc>
          <w:tcPr>
            <w:tcW w:w="534" w:type="pct"/>
            <w:shd w:val="clear" w:color="auto" w:fill="auto"/>
          </w:tcPr>
          <w:p w:rsidR="00211384" w:rsidRDefault="004D1F15">
            <w:pPr>
              <w:spacing w:beforeLines="20" w:before="48" w:afterLines="20" w:after="48"/>
              <w:jc w:val="center"/>
              <w:rPr>
                <w:noProof/>
                <w:sz w:val="16"/>
                <w:szCs w:val="16"/>
              </w:rPr>
            </w:pPr>
            <w:r>
              <w:rPr>
                <w:noProof/>
                <w:sz w:val="16"/>
                <w:szCs w:val="16"/>
              </w:rPr>
              <w:t>2620</w:t>
            </w:r>
          </w:p>
        </w:tc>
        <w:tc>
          <w:tcPr>
            <w:tcW w:w="533" w:type="pct"/>
            <w:shd w:val="clear" w:color="auto" w:fill="auto"/>
          </w:tcPr>
          <w:p w:rsidR="00211384" w:rsidRDefault="004D1F15">
            <w:pPr>
              <w:spacing w:beforeLines="20" w:before="48" w:afterLines="20" w:after="48"/>
              <w:jc w:val="center"/>
              <w:rPr>
                <w:noProof/>
                <w:sz w:val="16"/>
                <w:szCs w:val="16"/>
              </w:rPr>
            </w:pPr>
            <w:r>
              <w:rPr>
                <w:noProof/>
                <w:sz w:val="16"/>
                <w:szCs w:val="16"/>
              </w:rPr>
              <w:t>2620</w:t>
            </w:r>
          </w:p>
        </w:tc>
        <w:tc>
          <w:tcPr>
            <w:tcW w:w="468" w:type="pct"/>
            <w:shd w:val="clear" w:color="auto" w:fill="auto"/>
          </w:tcPr>
          <w:p w:rsidR="00211384" w:rsidRDefault="004D1F15">
            <w:pPr>
              <w:spacing w:beforeLines="20" w:before="48" w:afterLines="20" w:after="48"/>
              <w:jc w:val="center"/>
              <w:rPr>
                <w:noProof/>
                <w:sz w:val="16"/>
                <w:szCs w:val="16"/>
              </w:rPr>
            </w:pPr>
            <w:r>
              <w:rPr>
                <w:noProof/>
                <w:sz w:val="16"/>
                <w:szCs w:val="16"/>
              </w:rPr>
              <w:t>2620</w:t>
            </w:r>
          </w:p>
        </w:tc>
        <w:tc>
          <w:tcPr>
            <w:tcW w:w="527" w:type="pct"/>
            <w:shd w:val="clear" w:color="auto" w:fill="auto"/>
          </w:tcPr>
          <w:p w:rsidR="00211384" w:rsidRDefault="004D1F15">
            <w:pPr>
              <w:spacing w:beforeLines="20" w:before="48" w:afterLines="20" w:after="48"/>
              <w:jc w:val="center"/>
              <w:rPr>
                <w:noProof/>
                <w:sz w:val="16"/>
                <w:szCs w:val="16"/>
              </w:rPr>
            </w:pPr>
            <w:r>
              <w:rPr>
                <w:noProof/>
                <w:sz w:val="16"/>
                <w:szCs w:val="16"/>
              </w:rPr>
              <w:t>2620</w:t>
            </w:r>
          </w:p>
        </w:tc>
      </w:tr>
      <w:tr w:rsidR="00211384">
        <w:trPr>
          <w:trHeight w:val="293"/>
        </w:trPr>
        <w:tc>
          <w:tcPr>
            <w:tcW w:w="5000" w:type="pct"/>
            <w:gridSpan w:val="9"/>
          </w:tcPr>
          <w:p w:rsidR="00211384" w:rsidRDefault="004D1F15">
            <w:pPr>
              <w:pStyle w:val="Text1"/>
              <w:spacing w:before="60" w:after="60"/>
              <w:ind w:left="0"/>
              <w:jc w:val="left"/>
              <w:rPr>
                <w:noProof/>
                <w:sz w:val="16"/>
                <w:szCs w:val="16"/>
              </w:rPr>
            </w:pPr>
            <w:r>
              <w:rPr>
                <w:b/>
                <w:noProof/>
                <w:sz w:val="16"/>
              </w:rPr>
              <w:sym w:font="Wingdings" w:char="F09F"/>
            </w:r>
            <w:r>
              <w:rPr>
                <w:b/>
                <w:noProof/>
                <w:sz w:val="16"/>
              </w:rPr>
              <w:t xml:space="preserve"> External staff (in Full Time Equivalent unit: FTE) - AC, AL, END, INT and JED</w:t>
            </w:r>
            <w:r>
              <w:rPr>
                <w:rStyle w:val="FootnoteReference"/>
                <w:noProof/>
              </w:rPr>
              <w:fldChar w:fldCharType="begin"/>
            </w:r>
            <w:r>
              <w:rPr>
                <w:rStyle w:val="FootnoteReference"/>
                <w:noProof/>
              </w:rPr>
              <w:instrText xml:space="preserve"> NOTEREF _Ref514769230 \h  \* MERGEFORMAT </w:instrText>
            </w:r>
            <w:r>
              <w:rPr>
                <w:rStyle w:val="FootnoteReference"/>
                <w:noProof/>
              </w:rPr>
            </w:r>
            <w:r>
              <w:rPr>
                <w:rStyle w:val="FootnoteReference"/>
                <w:noProof/>
              </w:rPr>
              <w:fldChar w:fldCharType="separate"/>
            </w:r>
            <w:r>
              <w:rPr>
                <w:rStyle w:val="FootnoteReference"/>
                <w:noProof/>
              </w:rPr>
              <w:t>20</w:t>
            </w:r>
            <w:r>
              <w:rPr>
                <w:rStyle w:val="FootnoteReference"/>
                <w:noProof/>
              </w:rPr>
              <w:fldChar w:fldCharType="end"/>
            </w:r>
            <w:r>
              <w:rPr>
                <w:noProof/>
                <w:sz w:val="16"/>
              </w:rPr>
              <w:t xml:space="preserve"> </w:t>
            </w:r>
            <w:r>
              <w:rPr>
                <w:rStyle w:val="FootnoteReference"/>
                <w:noProof/>
              </w:rPr>
              <w:footnoteReference w:id="22"/>
            </w:r>
          </w:p>
        </w:tc>
      </w:tr>
      <w:tr w:rsidR="00211384">
        <w:trPr>
          <w:trHeight w:val="485"/>
        </w:trPr>
        <w:tc>
          <w:tcPr>
            <w:tcW w:w="735" w:type="pct"/>
            <w:vMerge w:val="restart"/>
            <w:vAlign w:val="center"/>
          </w:tcPr>
          <w:p w:rsidR="00211384" w:rsidRDefault="004D1F15">
            <w:pPr>
              <w:pStyle w:val="Text1"/>
              <w:spacing w:beforeLines="20" w:before="48" w:afterLines="20" w:after="48"/>
              <w:ind w:left="136"/>
              <w:jc w:val="left"/>
              <w:rPr>
                <w:b/>
                <w:noProof/>
                <w:sz w:val="16"/>
                <w:szCs w:val="16"/>
              </w:rPr>
            </w:pPr>
            <w:r>
              <w:rPr>
                <w:noProof/>
                <w:sz w:val="16"/>
                <w:szCs w:val="16"/>
              </w:rPr>
              <w:t>Financed from HEADING 7 of the multiannual financial framework</w:t>
            </w:r>
            <w:r>
              <w:rPr>
                <w:b/>
                <w:noProof/>
                <w:sz w:val="16"/>
              </w:rPr>
              <w:t xml:space="preserve"> </w:t>
            </w:r>
          </w:p>
        </w:tc>
        <w:tc>
          <w:tcPr>
            <w:tcW w:w="737" w:type="pct"/>
            <w:vAlign w:val="center"/>
          </w:tcPr>
          <w:p w:rsidR="00211384" w:rsidRDefault="004D1F15">
            <w:pPr>
              <w:pStyle w:val="Text1"/>
              <w:spacing w:beforeLines="20" w:before="48" w:afterLines="20" w:after="48"/>
              <w:ind w:left="136"/>
              <w:jc w:val="left"/>
              <w:rPr>
                <w:b/>
                <w:noProof/>
                <w:sz w:val="16"/>
                <w:szCs w:val="16"/>
              </w:rPr>
            </w:pPr>
            <w:r>
              <w:rPr>
                <w:noProof/>
                <w:sz w:val="16"/>
              </w:rPr>
              <w:t>- at Headquarters</w:t>
            </w:r>
          </w:p>
        </w:tc>
        <w:tc>
          <w:tcPr>
            <w:tcW w:w="466" w:type="pct"/>
            <w:shd w:val="clear" w:color="auto" w:fill="auto"/>
            <w:vAlign w:val="center"/>
          </w:tcPr>
          <w:p w:rsidR="00211384" w:rsidRDefault="00211384">
            <w:pPr>
              <w:spacing w:beforeLines="20" w:before="48" w:afterLines="20" w:after="48"/>
              <w:jc w:val="center"/>
              <w:rPr>
                <w:noProof/>
                <w:sz w:val="16"/>
                <w:szCs w:val="16"/>
              </w:rPr>
            </w:pPr>
          </w:p>
        </w:tc>
        <w:tc>
          <w:tcPr>
            <w:tcW w:w="534" w:type="pct"/>
            <w:shd w:val="clear" w:color="auto" w:fill="auto"/>
            <w:vAlign w:val="center"/>
          </w:tcPr>
          <w:p w:rsidR="00211384" w:rsidRDefault="00211384">
            <w:pPr>
              <w:spacing w:beforeLines="20" w:before="48" w:afterLines="20" w:after="48"/>
              <w:jc w:val="center"/>
              <w:rPr>
                <w:noProof/>
                <w:sz w:val="16"/>
                <w:szCs w:val="16"/>
              </w:rPr>
            </w:pPr>
          </w:p>
        </w:tc>
        <w:tc>
          <w:tcPr>
            <w:tcW w:w="466" w:type="pct"/>
            <w:shd w:val="clear" w:color="auto" w:fill="auto"/>
            <w:vAlign w:val="center"/>
          </w:tcPr>
          <w:p w:rsidR="00211384" w:rsidRDefault="00211384">
            <w:pPr>
              <w:spacing w:beforeLines="20" w:before="48" w:afterLines="20" w:after="48"/>
              <w:jc w:val="center"/>
              <w:rPr>
                <w:noProof/>
                <w:sz w:val="16"/>
                <w:szCs w:val="16"/>
              </w:rPr>
            </w:pPr>
          </w:p>
        </w:tc>
        <w:tc>
          <w:tcPr>
            <w:tcW w:w="534" w:type="pct"/>
            <w:shd w:val="clear" w:color="auto" w:fill="auto"/>
            <w:vAlign w:val="center"/>
          </w:tcPr>
          <w:p w:rsidR="00211384" w:rsidRDefault="00211384">
            <w:pPr>
              <w:spacing w:beforeLines="20" w:before="48" w:afterLines="20" w:after="48"/>
              <w:jc w:val="center"/>
              <w:rPr>
                <w:noProof/>
                <w:sz w:val="16"/>
                <w:szCs w:val="16"/>
              </w:rPr>
            </w:pPr>
          </w:p>
        </w:tc>
        <w:tc>
          <w:tcPr>
            <w:tcW w:w="533" w:type="pct"/>
            <w:shd w:val="clear" w:color="auto" w:fill="auto"/>
            <w:vAlign w:val="center"/>
          </w:tcPr>
          <w:p w:rsidR="00211384" w:rsidRDefault="00211384">
            <w:pPr>
              <w:spacing w:beforeLines="20" w:before="48" w:afterLines="20" w:after="48"/>
              <w:jc w:val="center"/>
              <w:rPr>
                <w:noProof/>
                <w:sz w:val="16"/>
                <w:szCs w:val="16"/>
              </w:rPr>
            </w:pPr>
          </w:p>
        </w:tc>
        <w:tc>
          <w:tcPr>
            <w:tcW w:w="468" w:type="pct"/>
            <w:shd w:val="clear" w:color="auto" w:fill="auto"/>
            <w:vAlign w:val="center"/>
          </w:tcPr>
          <w:p w:rsidR="00211384" w:rsidRDefault="00211384">
            <w:pPr>
              <w:spacing w:beforeLines="20" w:before="48" w:afterLines="20" w:after="48"/>
              <w:jc w:val="center"/>
              <w:rPr>
                <w:noProof/>
                <w:sz w:val="16"/>
                <w:szCs w:val="16"/>
              </w:rPr>
            </w:pPr>
          </w:p>
        </w:tc>
        <w:tc>
          <w:tcPr>
            <w:tcW w:w="527" w:type="pct"/>
            <w:shd w:val="clear" w:color="auto" w:fill="auto"/>
            <w:vAlign w:val="center"/>
          </w:tcPr>
          <w:p w:rsidR="00211384" w:rsidRDefault="00211384">
            <w:pPr>
              <w:spacing w:beforeLines="20" w:before="48" w:afterLines="20" w:after="48"/>
              <w:jc w:val="center"/>
              <w:rPr>
                <w:noProof/>
                <w:sz w:val="16"/>
                <w:szCs w:val="16"/>
              </w:rPr>
            </w:pPr>
          </w:p>
        </w:tc>
      </w:tr>
      <w:tr w:rsidR="00211384">
        <w:trPr>
          <w:trHeight w:val="289"/>
        </w:trPr>
        <w:tc>
          <w:tcPr>
            <w:tcW w:w="735" w:type="pct"/>
            <w:vMerge/>
            <w:vAlign w:val="center"/>
          </w:tcPr>
          <w:p w:rsidR="00211384" w:rsidRDefault="00211384">
            <w:pPr>
              <w:pStyle w:val="Text1"/>
              <w:spacing w:beforeLines="20" w:before="48" w:afterLines="20" w:after="48"/>
              <w:ind w:left="136"/>
              <w:jc w:val="left"/>
              <w:rPr>
                <w:noProof/>
                <w:sz w:val="16"/>
                <w:szCs w:val="16"/>
              </w:rPr>
            </w:pPr>
          </w:p>
        </w:tc>
        <w:tc>
          <w:tcPr>
            <w:tcW w:w="737" w:type="pct"/>
            <w:vAlign w:val="center"/>
          </w:tcPr>
          <w:p w:rsidR="00211384" w:rsidRDefault="004D1F15">
            <w:pPr>
              <w:pStyle w:val="Text1"/>
              <w:spacing w:beforeLines="20" w:before="48" w:afterLines="20" w:after="48"/>
              <w:ind w:left="136"/>
              <w:jc w:val="left"/>
              <w:rPr>
                <w:noProof/>
                <w:sz w:val="16"/>
                <w:szCs w:val="16"/>
              </w:rPr>
            </w:pPr>
            <w:r>
              <w:rPr>
                <w:noProof/>
                <w:sz w:val="16"/>
              </w:rPr>
              <w:t xml:space="preserve">- in Delegations </w:t>
            </w:r>
          </w:p>
        </w:tc>
        <w:tc>
          <w:tcPr>
            <w:tcW w:w="466" w:type="pct"/>
            <w:shd w:val="clear" w:color="auto" w:fill="auto"/>
            <w:vAlign w:val="center"/>
          </w:tcPr>
          <w:p w:rsidR="00211384" w:rsidRDefault="00211384">
            <w:pPr>
              <w:spacing w:beforeLines="20" w:before="48" w:afterLines="20" w:after="48"/>
              <w:jc w:val="center"/>
              <w:rPr>
                <w:noProof/>
                <w:sz w:val="16"/>
                <w:szCs w:val="16"/>
              </w:rPr>
            </w:pPr>
          </w:p>
        </w:tc>
        <w:tc>
          <w:tcPr>
            <w:tcW w:w="534" w:type="pct"/>
            <w:shd w:val="clear" w:color="auto" w:fill="auto"/>
            <w:vAlign w:val="center"/>
          </w:tcPr>
          <w:p w:rsidR="00211384" w:rsidRDefault="00211384">
            <w:pPr>
              <w:spacing w:beforeLines="20" w:before="48" w:afterLines="20" w:after="48"/>
              <w:jc w:val="center"/>
              <w:rPr>
                <w:noProof/>
                <w:sz w:val="16"/>
                <w:szCs w:val="16"/>
              </w:rPr>
            </w:pPr>
          </w:p>
        </w:tc>
        <w:tc>
          <w:tcPr>
            <w:tcW w:w="466" w:type="pct"/>
            <w:shd w:val="clear" w:color="auto" w:fill="auto"/>
            <w:vAlign w:val="center"/>
          </w:tcPr>
          <w:p w:rsidR="00211384" w:rsidRDefault="00211384">
            <w:pPr>
              <w:spacing w:beforeLines="20" w:before="48" w:afterLines="20" w:after="48"/>
              <w:jc w:val="center"/>
              <w:rPr>
                <w:noProof/>
                <w:sz w:val="16"/>
                <w:szCs w:val="16"/>
              </w:rPr>
            </w:pPr>
          </w:p>
        </w:tc>
        <w:tc>
          <w:tcPr>
            <w:tcW w:w="534" w:type="pct"/>
            <w:shd w:val="clear" w:color="auto" w:fill="auto"/>
            <w:vAlign w:val="center"/>
          </w:tcPr>
          <w:p w:rsidR="00211384" w:rsidRDefault="00211384">
            <w:pPr>
              <w:spacing w:beforeLines="20" w:before="48" w:afterLines="20" w:after="48"/>
              <w:jc w:val="center"/>
              <w:rPr>
                <w:noProof/>
                <w:sz w:val="16"/>
                <w:szCs w:val="16"/>
              </w:rPr>
            </w:pPr>
          </w:p>
        </w:tc>
        <w:tc>
          <w:tcPr>
            <w:tcW w:w="533" w:type="pct"/>
            <w:shd w:val="clear" w:color="auto" w:fill="auto"/>
            <w:vAlign w:val="center"/>
          </w:tcPr>
          <w:p w:rsidR="00211384" w:rsidRDefault="00211384">
            <w:pPr>
              <w:spacing w:beforeLines="20" w:before="48" w:afterLines="20" w:after="48"/>
              <w:jc w:val="center"/>
              <w:rPr>
                <w:noProof/>
                <w:sz w:val="16"/>
                <w:szCs w:val="16"/>
              </w:rPr>
            </w:pPr>
          </w:p>
        </w:tc>
        <w:tc>
          <w:tcPr>
            <w:tcW w:w="468" w:type="pct"/>
            <w:shd w:val="clear" w:color="auto" w:fill="auto"/>
            <w:vAlign w:val="center"/>
          </w:tcPr>
          <w:p w:rsidR="00211384" w:rsidRDefault="00211384">
            <w:pPr>
              <w:spacing w:beforeLines="20" w:before="48" w:afterLines="20" w:after="48"/>
              <w:jc w:val="center"/>
              <w:rPr>
                <w:noProof/>
                <w:sz w:val="16"/>
                <w:szCs w:val="16"/>
              </w:rPr>
            </w:pPr>
          </w:p>
        </w:tc>
        <w:tc>
          <w:tcPr>
            <w:tcW w:w="527" w:type="pct"/>
            <w:shd w:val="clear" w:color="auto" w:fill="auto"/>
            <w:vAlign w:val="center"/>
          </w:tcPr>
          <w:p w:rsidR="00211384" w:rsidRDefault="00211384">
            <w:pPr>
              <w:spacing w:beforeLines="20" w:before="48" w:afterLines="20" w:after="48"/>
              <w:jc w:val="center"/>
              <w:rPr>
                <w:noProof/>
                <w:sz w:val="16"/>
                <w:szCs w:val="16"/>
              </w:rPr>
            </w:pPr>
          </w:p>
        </w:tc>
      </w:tr>
      <w:tr w:rsidR="00211384">
        <w:trPr>
          <w:trHeight w:val="370"/>
        </w:trPr>
        <w:tc>
          <w:tcPr>
            <w:tcW w:w="735" w:type="pct"/>
            <w:vMerge w:val="restart"/>
            <w:vAlign w:val="center"/>
          </w:tcPr>
          <w:p w:rsidR="00211384" w:rsidRDefault="004D1F15">
            <w:pPr>
              <w:pStyle w:val="Text1"/>
              <w:spacing w:beforeLines="20" w:before="48" w:afterLines="20" w:after="48"/>
              <w:ind w:left="136"/>
              <w:jc w:val="left"/>
              <w:rPr>
                <w:b/>
                <w:noProof/>
                <w:sz w:val="16"/>
                <w:szCs w:val="16"/>
              </w:rPr>
            </w:pPr>
            <w:r>
              <w:rPr>
                <w:noProof/>
                <w:sz w:val="16"/>
                <w:szCs w:val="16"/>
              </w:rPr>
              <w:t>Financed from the envelope of the programme</w:t>
            </w:r>
            <w:r>
              <w:rPr>
                <w:b/>
                <w:noProof/>
                <w:sz w:val="16"/>
                <w:szCs w:val="16"/>
              </w:rPr>
              <w:t xml:space="preserve"> </w:t>
            </w:r>
            <w:r>
              <w:rPr>
                <w:rStyle w:val="FootnoteReference"/>
                <w:noProof/>
              </w:rPr>
              <w:footnoteReference w:id="23"/>
            </w:r>
          </w:p>
        </w:tc>
        <w:tc>
          <w:tcPr>
            <w:tcW w:w="737" w:type="pct"/>
            <w:shd w:val="clear" w:color="auto" w:fill="auto"/>
            <w:vAlign w:val="center"/>
          </w:tcPr>
          <w:p w:rsidR="00211384" w:rsidRDefault="004D1F15">
            <w:pPr>
              <w:pStyle w:val="Text1"/>
              <w:spacing w:beforeLines="20" w:before="48" w:afterLines="20" w:after="48"/>
              <w:ind w:left="136"/>
              <w:jc w:val="left"/>
              <w:rPr>
                <w:b/>
                <w:noProof/>
                <w:sz w:val="16"/>
                <w:szCs w:val="16"/>
              </w:rPr>
            </w:pPr>
            <w:r>
              <w:rPr>
                <w:noProof/>
                <w:sz w:val="16"/>
              </w:rPr>
              <w:t>- at Headquarters</w:t>
            </w:r>
          </w:p>
        </w:tc>
        <w:tc>
          <w:tcPr>
            <w:tcW w:w="466" w:type="pct"/>
            <w:shd w:val="clear" w:color="auto" w:fill="auto"/>
            <w:vAlign w:val="center"/>
          </w:tcPr>
          <w:p w:rsidR="00211384" w:rsidRDefault="00211384">
            <w:pPr>
              <w:pStyle w:val="Text1"/>
              <w:spacing w:beforeLines="20" w:before="48" w:afterLines="20" w:after="48"/>
              <w:ind w:left="0"/>
              <w:jc w:val="center"/>
              <w:rPr>
                <w:noProof/>
                <w:sz w:val="16"/>
                <w:szCs w:val="16"/>
              </w:rPr>
            </w:pPr>
          </w:p>
        </w:tc>
        <w:tc>
          <w:tcPr>
            <w:tcW w:w="534" w:type="pct"/>
            <w:shd w:val="clear" w:color="auto" w:fill="auto"/>
            <w:vAlign w:val="center"/>
          </w:tcPr>
          <w:p w:rsidR="00211384" w:rsidRDefault="00211384">
            <w:pPr>
              <w:spacing w:beforeLines="20" w:before="48" w:afterLines="20" w:after="48"/>
              <w:jc w:val="center"/>
              <w:rPr>
                <w:noProof/>
                <w:sz w:val="16"/>
                <w:szCs w:val="16"/>
              </w:rPr>
            </w:pPr>
          </w:p>
        </w:tc>
        <w:tc>
          <w:tcPr>
            <w:tcW w:w="466" w:type="pct"/>
            <w:shd w:val="clear" w:color="auto" w:fill="auto"/>
            <w:vAlign w:val="center"/>
          </w:tcPr>
          <w:p w:rsidR="00211384" w:rsidRDefault="00211384">
            <w:pPr>
              <w:spacing w:beforeLines="20" w:before="48" w:afterLines="20" w:after="48"/>
              <w:jc w:val="center"/>
              <w:rPr>
                <w:noProof/>
                <w:sz w:val="16"/>
                <w:szCs w:val="16"/>
              </w:rPr>
            </w:pPr>
          </w:p>
        </w:tc>
        <w:tc>
          <w:tcPr>
            <w:tcW w:w="534" w:type="pct"/>
            <w:shd w:val="clear" w:color="auto" w:fill="auto"/>
            <w:vAlign w:val="center"/>
          </w:tcPr>
          <w:p w:rsidR="00211384" w:rsidRDefault="00211384">
            <w:pPr>
              <w:spacing w:beforeLines="20" w:before="48" w:afterLines="20" w:after="48"/>
              <w:jc w:val="center"/>
              <w:rPr>
                <w:noProof/>
                <w:sz w:val="16"/>
                <w:szCs w:val="16"/>
              </w:rPr>
            </w:pPr>
          </w:p>
        </w:tc>
        <w:tc>
          <w:tcPr>
            <w:tcW w:w="533" w:type="pct"/>
            <w:shd w:val="clear" w:color="auto" w:fill="auto"/>
            <w:vAlign w:val="center"/>
          </w:tcPr>
          <w:p w:rsidR="00211384" w:rsidRDefault="00211384">
            <w:pPr>
              <w:spacing w:beforeLines="20" w:before="48" w:afterLines="20" w:after="48"/>
              <w:jc w:val="center"/>
              <w:rPr>
                <w:noProof/>
                <w:sz w:val="16"/>
                <w:szCs w:val="16"/>
              </w:rPr>
            </w:pPr>
          </w:p>
        </w:tc>
        <w:tc>
          <w:tcPr>
            <w:tcW w:w="468" w:type="pct"/>
            <w:shd w:val="clear" w:color="auto" w:fill="auto"/>
            <w:vAlign w:val="center"/>
          </w:tcPr>
          <w:p w:rsidR="00211384" w:rsidRDefault="00211384">
            <w:pPr>
              <w:spacing w:beforeLines="20" w:before="48" w:afterLines="20" w:after="48"/>
              <w:jc w:val="center"/>
              <w:rPr>
                <w:noProof/>
                <w:sz w:val="16"/>
                <w:szCs w:val="16"/>
              </w:rPr>
            </w:pPr>
          </w:p>
        </w:tc>
        <w:tc>
          <w:tcPr>
            <w:tcW w:w="527" w:type="pct"/>
            <w:shd w:val="clear" w:color="auto" w:fill="auto"/>
            <w:vAlign w:val="center"/>
          </w:tcPr>
          <w:p w:rsidR="00211384" w:rsidRDefault="00211384">
            <w:pPr>
              <w:spacing w:beforeLines="20" w:before="48" w:afterLines="20" w:after="48"/>
              <w:jc w:val="center"/>
              <w:rPr>
                <w:noProof/>
                <w:sz w:val="16"/>
                <w:szCs w:val="16"/>
              </w:rPr>
            </w:pPr>
          </w:p>
        </w:tc>
      </w:tr>
      <w:tr w:rsidR="00211384">
        <w:trPr>
          <w:trHeight w:val="289"/>
        </w:trPr>
        <w:tc>
          <w:tcPr>
            <w:tcW w:w="735" w:type="pct"/>
            <w:vMerge/>
          </w:tcPr>
          <w:p w:rsidR="00211384" w:rsidRDefault="00211384">
            <w:pPr>
              <w:pStyle w:val="Text1"/>
              <w:spacing w:beforeLines="20" w:before="48" w:afterLines="20" w:after="48"/>
              <w:ind w:left="136"/>
              <w:jc w:val="left"/>
              <w:rPr>
                <w:b/>
                <w:noProof/>
                <w:sz w:val="16"/>
                <w:szCs w:val="16"/>
              </w:rPr>
            </w:pPr>
          </w:p>
        </w:tc>
        <w:tc>
          <w:tcPr>
            <w:tcW w:w="737" w:type="pct"/>
            <w:shd w:val="clear" w:color="auto" w:fill="auto"/>
            <w:vAlign w:val="center"/>
          </w:tcPr>
          <w:p w:rsidR="00211384" w:rsidRDefault="004D1F15">
            <w:pPr>
              <w:pStyle w:val="Text1"/>
              <w:spacing w:beforeLines="20" w:before="48" w:afterLines="20" w:after="48"/>
              <w:ind w:left="136"/>
              <w:jc w:val="left"/>
              <w:rPr>
                <w:b/>
                <w:noProof/>
                <w:sz w:val="16"/>
                <w:szCs w:val="16"/>
              </w:rPr>
            </w:pPr>
            <w:r>
              <w:rPr>
                <w:noProof/>
                <w:sz w:val="16"/>
              </w:rPr>
              <w:t xml:space="preserve">- in Delegations </w:t>
            </w:r>
          </w:p>
        </w:tc>
        <w:tc>
          <w:tcPr>
            <w:tcW w:w="466" w:type="pct"/>
            <w:shd w:val="clear" w:color="auto" w:fill="auto"/>
            <w:vAlign w:val="center"/>
          </w:tcPr>
          <w:p w:rsidR="00211384" w:rsidRDefault="00211384">
            <w:pPr>
              <w:pStyle w:val="Text1"/>
              <w:spacing w:beforeLines="20" w:before="48" w:afterLines="20" w:after="48"/>
              <w:ind w:left="0"/>
              <w:jc w:val="center"/>
              <w:rPr>
                <w:noProof/>
                <w:sz w:val="16"/>
                <w:szCs w:val="16"/>
              </w:rPr>
            </w:pPr>
          </w:p>
        </w:tc>
        <w:tc>
          <w:tcPr>
            <w:tcW w:w="534" w:type="pct"/>
            <w:shd w:val="clear" w:color="auto" w:fill="auto"/>
            <w:vAlign w:val="center"/>
          </w:tcPr>
          <w:p w:rsidR="00211384" w:rsidRDefault="00211384">
            <w:pPr>
              <w:spacing w:beforeLines="20" w:before="48" w:afterLines="20" w:after="48"/>
              <w:jc w:val="center"/>
              <w:rPr>
                <w:noProof/>
                <w:sz w:val="16"/>
                <w:szCs w:val="16"/>
              </w:rPr>
            </w:pPr>
          </w:p>
        </w:tc>
        <w:tc>
          <w:tcPr>
            <w:tcW w:w="466" w:type="pct"/>
            <w:shd w:val="clear" w:color="auto" w:fill="auto"/>
            <w:vAlign w:val="center"/>
          </w:tcPr>
          <w:p w:rsidR="00211384" w:rsidRDefault="00211384">
            <w:pPr>
              <w:spacing w:beforeLines="20" w:before="48" w:afterLines="20" w:after="48"/>
              <w:jc w:val="center"/>
              <w:rPr>
                <w:noProof/>
                <w:sz w:val="16"/>
                <w:szCs w:val="16"/>
              </w:rPr>
            </w:pPr>
          </w:p>
        </w:tc>
        <w:tc>
          <w:tcPr>
            <w:tcW w:w="534" w:type="pct"/>
            <w:shd w:val="clear" w:color="auto" w:fill="auto"/>
            <w:vAlign w:val="center"/>
          </w:tcPr>
          <w:p w:rsidR="00211384" w:rsidRDefault="00211384">
            <w:pPr>
              <w:spacing w:beforeLines="20" w:before="48" w:afterLines="20" w:after="48"/>
              <w:jc w:val="center"/>
              <w:rPr>
                <w:noProof/>
                <w:sz w:val="16"/>
                <w:szCs w:val="16"/>
              </w:rPr>
            </w:pPr>
          </w:p>
        </w:tc>
        <w:tc>
          <w:tcPr>
            <w:tcW w:w="533" w:type="pct"/>
            <w:shd w:val="clear" w:color="auto" w:fill="auto"/>
            <w:vAlign w:val="center"/>
          </w:tcPr>
          <w:p w:rsidR="00211384" w:rsidRDefault="00211384">
            <w:pPr>
              <w:spacing w:beforeLines="20" w:before="48" w:afterLines="20" w:after="48"/>
              <w:jc w:val="center"/>
              <w:rPr>
                <w:noProof/>
                <w:sz w:val="16"/>
                <w:szCs w:val="16"/>
              </w:rPr>
            </w:pPr>
          </w:p>
        </w:tc>
        <w:tc>
          <w:tcPr>
            <w:tcW w:w="468" w:type="pct"/>
            <w:shd w:val="clear" w:color="auto" w:fill="auto"/>
            <w:vAlign w:val="center"/>
          </w:tcPr>
          <w:p w:rsidR="00211384" w:rsidRDefault="00211384">
            <w:pPr>
              <w:spacing w:beforeLines="20" w:before="48" w:afterLines="20" w:after="48"/>
              <w:jc w:val="center"/>
              <w:rPr>
                <w:noProof/>
                <w:sz w:val="16"/>
                <w:szCs w:val="16"/>
              </w:rPr>
            </w:pPr>
          </w:p>
        </w:tc>
        <w:tc>
          <w:tcPr>
            <w:tcW w:w="527" w:type="pct"/>
            <w:shd w:val="clear" w:color="auto" w:fill="auto"/>
            <w:vAlign w:val="center"/>
          </w:tcPr>
          <w:p w:rsidR="00211384" w:rsidRDefault="00211384">
            <w:pPr>
              <w:spacing w:beforeLines="20" w:before="48" w:afterLines="20" w:after="48"/>
              <w:jc w:val="center"/>
              <w:rPr>
                <w:noProof/>
                <w:sz w:val="16"/>
                <w:szCs w:val="16"/>
              </w:rPr>
            </w:pPr>
          </w:p>
        </w:tc>
      </w:tr>
      <w:tr w:rsidR="00211384">
        <w:trPr>
          <w:trHeight w:val="289"/>
        </w:trPr>
        <w:tc>
          <w:tcPr>
            <w:tcW w:w="1472" w:type="pct"/>
            <w:gridSpan w:val="2"/>
          </w:tcPr>
          <w:p w:rsidR="00211384" w:rsidRDefault="004D1F15">
            <w:pPr>
              <w:pStyle w:val="Text1"/>
              <w:spacing w:beforeLines="20" w:before="48" w:afterLines="20" w:after="48"/>
              <w:ind w:left="136"/>
              <w:jc w:val="left"/>
              <w:rPr>
                <w:noProof/>
                <w:sz w:val="16"/>
                <w:szCs w:val="16"/>
              </w:rPr>
            </w:pPr>
            <w:r>
              <w:rPr>
                <w:noProof/>
                <w:sz w:val="16"/>
                <w:szCs w:val="16"/>
              </w:rPr>
              <w:t>Research</w:t>
            </w:r>
          </w:p>
        </w:tc>
        <w:tc>
          <w:tcPr>
            <w:tcW w:w="466" w:type="pct"/>
            <w:shd w:val="clear" w:color="auto" w:fill="auto"/>
            <w:vAlign w:val="center"/>
          </w:tcPr>
          <w:p w:rsidR="00211384" w:rsidRDefault="004D1F15">
            <w:pPr>
              <w:spacing w:beforeLines="20" w:before="48" w:afterLines="20" w:after="48"/>
              <w:jc w:val="center"/>
              <w:rPr>
                <w:noProof/>
                <w:sz w:val="16"/>
                <w:szCs w:val="16"/>
              </w:rPr>
            </w:pPr>
            <w:r>
              <w:rPr>
                <w:noProof/>
                <w:sz w:val="16"/>
                <w:szCs w:val="16"/>
              </w:rPr>
              <w:t>1184</w:t>
            </w:r>
          </w:p>
        </w:tc>
        <w:tc>
          <w:tcPr>
            <w:tcW w:w="534" w:type="pct"/>
            <w:shd w:val="clear" w:color="auto" w:fill="auto"/>
          </w:tcPr>
          <w:p w:rsidR="00211384" w:rsidRDefault="004D1F15">
            <w:pPr>
              <w:spacing w:beforeLines="20" w:before="48" w:afterLines="20" w:after="48"/>
              <w:jc w:val="center"/>
              <w:rPr>
                <w:noProof/>
                <w:sz w:val="16"/>
                <w:szCs w:val="16"/>
              </w:rPr>
            </w:pPr>
            <w:r>
              <w:rPr>
                <w:noProof/>
                <w:sz w:val="16"/>
                <w:szCs w:val="16"/>
              </w:rPr>
              <w:t>1184</w:t>
            </w:r>
          </w:p>
        </w:tc>
        <w:tc>
          <w:tcPr>
            <w:tcW w:w="466" w:type="pct"/>
            <w:shd w:val="clear" w:color="auto" w:fill="auto"/>
          </w:tcPr>
          <w:p w:rsidR="00211384" w:rsidRDefault="004D1F15">
            <w:pPr>
              <w:spacing w:beforeLines="20" w:before="48" w:afterLines="20" w:after="48"/>
              <w:jc w:val="center"/>
              <w:rPr>
                <w:noProof/>
                <w:sz w:val="16"/>
                <w:szCs w:val="16"/>
              </w:rPr>
            </w:pPr>
            <w:r>
              <w:rPr>
                <w:noProof/>
                <w:sz w:val="16"/>
                <w:szCs w:val="16"/>
              </w:rPr>
              <w:t>1184</w:t>
            </w:r>
          </w:p>
        </w:tc>
        <w:tc>
          <w:tcPr>
            <w:tcW w:w="534" w:type="pct"/>
            <w:shd w:val="clear" w:color="auto" w:fill="auto"/>
          </w:tcPr>
          <w:p w:rsidR="00211384" w:rsidRDefault="004D1F15">
            <w:pPr>
              <w:spacing w:beforeLines="20" w:before="48" w:afterLines="20" w:after="48"/>
              <w:jc w:val="center"/>
              <w:rPr>
                <w:noProof/>
                <w:sz w:val="16"/>
                <w:szCs w:val="16"/>
              </w:rPr>
            </w:pPr>
            <w:r>
              <w:rPr>
                <w:noProof/>
                <w:sz w:val="16"/>
                <w:szCs w:val="16"/>
              </w:rPr>
              <w:t>1184</w:t>
            </w:r>
          </w:p>
        </w:tc>
        <w:tc>
          <w:tcPr>
            <w:tcW w:w="533" w:type="pct"/>
            <w:shd w:val="clear" w:color="auto" w:fill="auto"/>
          </w:tcPr>
          <w:p w:rsidR="00211384" w:rsidRDefault="004D1F15">
            <w:pPr>
              <w:spacing w:beforeLines="20" w:before="48" w:afterLines="20" w:after="48"/>
              <w:jc w:val="center"/>
              <w:rPr>
                <w:noProof/>
                <w:sz w:val="16"/>
                <w:szCs w:val="16"/>
              </w:rPr>
            </w:pPr>
            <w:r>
              <w:rPr>
                <w:noProof/>
                <w:sz w:val="16"/>
                <w:szCs w:val="16"/>
              </w:rPr>
              <w:t>1184</w:t>
            </w:r>
          </w:p>
        </w:tc>
        <w:tc>
          <w:tcPr>
            <w:tcW w:w="468" w:type="pct"/>
            <w:shd w:val="clear" w:color="auto" w:fill="auto"/>
          </w:tcPr>
          <w:p w:rsidR="00211384" w:rsidRDefault="004D1F15">
            <w:pPr>
              <w:spacing w:beforeLines="20" w:before="48" w:afterLines="20" w:after="48"/>
              <w:jc w:val="center"/>
              <w:rPr>
                <w:noProof/>
                <w:sz w:val="16"/>
                <w:szCs w:val="16"/>
              </w:rPr>
            </w:pPr>
            <w:r>
              <w:rPr>
                <w:noProof/>
                <w:sz w:val="16"/>
                <w:szCs w:val="16"/>
              </w:rPr>
              <w:t>1184</w:t>
            </w:r>
          </w:p>
        </w:tc>
        <w:tc>
          <w:tcPr>
            <w:tcW w:w="527" w:type="pct"/>
            <w:shd w:val="clear" w:color="auto" w:fill="auto"/>
          </w:tcPr>
          <w:p w:rsidR="00211384" w:rsidRDefault="004D1F15">
            <w:pPr>
              <w:spacing w:beforeLines="20" w:before="48" w:afterLines="20" w:after="48"/>
              <w:jc w:val="center"/>
              <w:rPr>
                <w:noProof/>
                <w:sz w:val="16"/>
                <w:szCs w:val="16"/>
              </w:rPr>
            </w:pPr>
            <w:r>
              <w:rPr>
                <w:noProof/>
                <w:sz w:val="16"/>
                <w:szCs w:val="16"/>
              </w:rPr>
              <w:t>1184</w:t>
            </w:r>
          </w:p>
        </w:tc>
      </w:tr>
      <w:tr w:rsidR="00211384">
        <w:trPr>
          <w:trHeight w:val="289"/>
        </w:trPr>
        <w:tc>
          <w:tcPr>
            <w:tcW w:w="1472" w:type="pct"/>
            <w:gridSpan w:val="2"/>
            <w:tcBorders>
              <w:bottom w:val="double" w:sz="4" w:space="0" w:color="auto"/>
            </w:tcBorders>
          </w:tcPr>
          <w:p w:rsidR="00211384" w:rsidRDefault="004D1F15">
            <w:pPr>
              <w:pStyle w:val="Text1"/>
              <w:spacing w:beforeLines="20" w:before="48" w:afterLines="20" w:after="48"/>
              <w:ind w:left="134"/>
              <w:jc w:val="left"/>
              <w:rPr>
                <w:noProof/>
                <w:sz w:val="16"/>
                <w:szCs w:val="16"/>
              </w:rPr>
            </w:pPr>
            <w:r>
              <w:rPr>
                <w:noProof/>
                <w:sz w:val="16"/>
              </w:rPr>
              <w:t>Other (specify)</w:t>
            </w:r>
          </w:p>
        </w:tc>
        <w:tc>
          <w:tcPr>
            <w:tcW w:w="466" w:type="pct"/>
            <w:tcBorders>
              <w:bottom w:val="double" w:sz="4" w:space="0" w:color="auto"/>
            </w:tcBorders>
            <w:shd w:val="clear" w:color="auto" w:fill="auto"/>
            <w:vAlign w:val="center"/>
          </w:tcPr>
          <w:p w:rsidR="00211384" w:rsidRDefault="00211384">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rsidR="00211384" w:rsidRDefault="00211384">
            <w:pPr>
              <w:spacing w:beforeLines="20" w:before="48" w:afterLines="20" w:after="48"/>
              <w:jc w:val="center"/>
              <w:rPr>
                <w:noProof/>
                <w:sz w:val="16"/>
                <w:szCs w:val="16"/>
              </w:rPr>
            </w:pPr>
          </w:p>
        </w:tc>
        <w:tc>
          <w:tcPr>
            <w:tcW w:w="466" w:type="pct"/>
            <w:tcBorders>
              <w:bottom w:val="double" w:sz="4" w:space="0" w:color="auto"/>
            </w:tcBorders>
            <w:shd w:val="clear" w:color="auto" w:fill="auto"/>
            <w:vAlign w:val="center"/>
          </w:tcPr>
          <w:p w:rsidR="00211384" w:rsidRDefault="00211384">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rsidR="00211384" w:rsidRDefault="00211384">
            <w:pPr>
              <w:spacing w:beforeLines="20" w:before="48" w:afterLines="20" w:after="48"/>
              <w:jc w:val="center"/>
              <w:rPr>
                <w:noProof/>
                <w:sz w:val="16"/>
                <w:szCs w:val="16"/>
              </w:rPr>
            </w:pPr>
          </w:p>
        </w:tc>
        <w:tc>
          <w:tcPr>
            <w:tcW w:w="533" w:type="pct"/>
            <w:tcBorders>
              <w:bottom w:val="double" w:sz="4" w:space="0" w:color="auto"/>
            </w:tcBorders>
            <w:shd w:val="clear" w:color="auto" w:fill="auto"/>
            <w:vAlign w:val="center"/>
          </w:tcPr>
          <w:p w:rsidR="00211384" w:rsidRDefault="00211384">
            <w:pPr>
              <w:spacing w:beforeLines="20" w:before="48" w:afterLines="20" w:after="48"/>
              <w:jc w:val="center"/>
              <w:rPr>
                <w:noProof/>
                <w:sz w:val="16"/>
                <w:szCs w:val="16"/>
              </w:rPr>
            </w:pPr>
          </w:p>
        </w:tc>
        <w:tc>
          <w:tcPr>
            <w:tcW w:w="468" w:type="pct"/>
            <w:tcBorders>
              <w:bottom w:val="double" w:sz="4" w:space="0" w:color="auto"/>
            </w:tcBorders>
            <w:shd w:val="clear" w:color="auto" w:fill="auto"/>
            <w:vAlign w:val="center"/>
          </w:tcPr>
          <w:p w:rsidR="00211384" w:rsidRDefault="00211384">
            <w:pPr>
              <w:spacing w:beforeLines="20" w:before="48" w:afterLines="20" w:after="48"/>
              <w:jc w:val="center"/>
              <w:rPr>
                <w:noProof/>
                <w:sz w:val="16"/>
                <w:szCs w:val="16"/>
              </w:rPr>
            </w:pPr>
          </w:p>
        </w:tc>
        <w:tc>
          <w:tcPr>
            <w:tcW w:w="527" w:type="pct"/>
            <w:tcBorders>
              <w:bottom w:val="double" w:sz="4" w:space="0" w:color="auto"/>
            </w:tcBorders>
            <w:shd w:val="clear" w:color="auto" w:fill="auto"/>
            <w:vAlign w:val="center"/>
          </w:tcPr>
          <w:p w:rsidR="00211384" w:rsidRDefault="00211384">
            <w:pPr>
              <w:spacing w:beforeLines="20" w:before="48" w:afterLines="20" w:after="48"/>
              <w:jc w:val="center"/>
              <w:rPr>
                <w:noProof/>
                <w:sz w:val="16"/>
                <w:szCs w:val="16"/>
              </w:rPr>
            </w:pPr>
          </w:p>
        </w:tc>
      </w:tr>
      <w:tr w:rsidR="00211384">
        <w:trPr>
          <w:trHeight w:val="289"/>
        </w:trPr>
        <w:tc>
          <w:tcPr>
            <w:tcW w:w="1472" w:type="pct"/>
            <w:gridSpan w:val="2"/>
            <w:tcBorders>
              <w:top w:val="double" w:sz="4" w:space="0" w:color="auto"/>
            </w:tcBorders>
          </w:tcPr>
          <w:p w:rsidR="00211384" w:rsidRDefault="004D1F15">
            <w:pPr>
              <w:pStyle w:val="Text1"/>
              <w:spacing w:beforeLines="20" w:before="48" w:afterLines="20" w:after="48"/>
              <w:ind w:left="136"/>
              <w:jc w:val="left"/>
              <w:rPr>
                <w:noProof/>
                <w:sz w:val="16"/>
                <w:szCs w:val="16"/>
              </w:rPr>
            </w:pPr>
            <w:r>
              <w:rPr>
                <w:b/>
                <w:noProof/>
                <w:sz w:val="16"/>
              </w:rPr>
              <w:t>TOTAL</w:t>
            </w:r>
          </w:p>
        </w:tc>
        <w:tc>
          <w:tcPr>
            <w:tcW w:w="466" w:type="pct"/>
            <w:tcBorders>
              <w:top w:val="double" w:sz="4" w:space="0" w:color="auto"/>
            </w:tcBorders>
            <w:shd w:val="clear" w:color="auto" w:fill="auto"/>
            <w:vAlign w:val="center"/>
          </w:tcPr>
          <w:p w:rsidR="00211384" w:rsidRDefault="004D1F15">
            <w:pPr>
              <w:spacing w:beforeLines="20" w:before="48" w:afterLines="20" w:after="48"/>
              <w:jc w:val="center"/>
              <w:rPr>
                <w:b/>
                <w:noProof/>
                <w:sz w:val="16"/>
                <w:szCs w:val="16"/>
              </w:rPr>
            </w:pPr>
            <w:r>
              <w:rPr>
                <w:b/>
                <w:noProof/>
                <w:sz w:val="16"/>
                <w:szCs w:val="16"/>
              </w:rPr>
              <w:t>3804</w:t>
            </w:r>
          </w:p>
        </w:tc>
        <w:tc>
          <w:tcPr>
            <w:tcW w:w="534" w:type="pct"/>
            <w:tcBorders>
              <w:top w:val="double" w:sz="4" w:space="0" w:color="auto"/>
            </w:tcBorders>
            <w:shd w:val="clear" w:color="auto" w:fill="auto"/>
          </w:tcPr>
          <w:p w:rsidR="00211384" w:rsidRDefault="004D1F15">
            <w:pPr>
              <w:spacing w:beforeLines="20" w:before="48" w:afterLines="20" w:after="48"/>
              <w:jc w:val="center"/>
              <w:rPr>
                <w:b/>
                <w:noProof/>
                <w:sz w:val="16"/>
                <w:szCs w:val="16"/>
              </w:rPr>
            </w:pPr>
            <w:r>
              <w:rPr>
                <w:b/>
                <w:noProof/>
                <w:sz w:val="16"/>
                <w:szCs w:val="16"/>
              </w:rPr>
              <w:t>3804</w:t>
            </w:r>
          </w:p>
        </w:tc>
        <w:tc>
          <w:tcPr>
            <w:tcW w:w="466" w:type="pct"/>
            <w:tcBorders>
              <w:top w:val="double" w:sz="4" w:space="0" w:color="auto"/>
            </w:tcBorders>
            <w:shd w:val="clear" w:color="auto" w:fill="auto"/>
          </w:tcPr>
          <w:p w:rsidR="00211384" w:rsidRDefault="004D1F15">
            <w:pPr>
              <w:spacing w:beforeLines="20" w:before="48" w:afterLines="20" w:after="48"/>
              <w:jc w:val="center"/>
              <w:rPr>
                <w:b/>
                <w:noProof/>
                <w:sz w:val="16"/>
                <w:szCs w:val="16"/>
              </w:rPr>
            </w:pPr>
            <w:r>
              <w:rPr>
                <w:b/>
                <w:noProof/>
                <w:sz w:val="16"/>
                <w:szCs w:val="16"/>
              </w:rPr>
              <w:t>3804</w:t>
            </w:r>
          </w:p>
        </w:tc>
        <w:tc>
          <w:tcPr>
            <w:tcW w:w="534" w:type="pct"/>
            <w:tcBorders>
              <w:top w:val="double" w:sz="4" w:space="0" w:color="auto"/>
            </w:tcBorders>
            <w:shd w:val="clear" w:color="auto" w:fill="auto"/>
          </w:tcPr>
          <w:p w:rsidR="00211384" w:rsidRDefault="004D1F15">
            <w:pPr>
              <w:spacing w:beforeLines="20" w:before="48" w:afterLines="20" w:after="48"/>
              <w:jc w:val="center"/>
              <w:rPr>
                <w:b/>
                <w:noProof/>
                <w:sz w:val="16"/>
                <w:szCs w:val="16"/>
              </w:rPr>
            </w:pPr>
            <w:r>
              <w:rPr>
                <w:b/>
                <w:noProof/>
                <w:sz w:val="16"/>
                <w:szCs w:val="16"/>
              </w:rPr>
              <w:t>3804</w:t>
            </w:r>
          </w:p>
        </w:tc>
        <w:tc>
          <w:tcPr>
            <w:tcW w:w="533" w:type="pct"/>
            <w:tcBorders>
              <w:top w:val="double" w:sz="4" w:space="0" w:color="auto"/>
            </w:tcBorders>
            <w:shd w:val="clear" w:color="auto" w:fill="auto"/>
          </w:tcPr>
          <w:p w:rsidR="00211384" w:rsidRDefault="004D1F15">
            <w:pPr>
              <w:spacing w:beforeLines="20" w:before="48" w:afterLines="20" w:after="48"/>
              <w:jc w:val="center"/>
              <w:rPr>
                <w:b/>
                <w:noProof/>
                <w:sz w:val="16"/>
                <w:szCs w:val="16"/>
              </w:rPr>
            </w:pPr>
            <w:r>
              <w:rPr>
                <w:b/>
                <w:noProof/>
                <w:sz w:val="16"/>
                <w:szCs w:val="16"/>
              </w:rPr>
              <w:t>3804</w:t>
            </w:r>
          </w:p>
        </w:tc>
        <w:tc>
          <w:tcPr>
            <w:tcW w:w="468" w:type="pct"/>
            <w:tcBorders>
              <w:top w:val="double" w:sz="4" w:space="0" w:color="auto"/>
            </w:tcBorders>
            <w:shd w:val="clear" w:color="auto" w:fill="auto"/>
          </w:tcPr>
          <w:p w:rsidR="00211384" w:rsidRDefault="004D1F15">
            <w:pPr>
              <w:spacing w:beforeLines="20" w:before="48" w:afterLines="20" w:after="48"/>
              <w:jc w:val="center"/>
              <w:rPr>
                <w:b/>
                <w:noProof/>
                <w:sz w:val="16"/>
                <w:szCs w:val="16"/>
              </w:rPr>
            </w:pPr>
            <w:r>
              <w:rPr>
                <w:b/>
                <w:noProof/>
                <w:sz w:val="16"/>
                <w:szCs w:val="16"/>
              </w:rPr>
              <w:t>3804</w:t>
            </w:r>
          </w:p>
        </w:tc>
        <w:tc>
          <w:tcPr>
            <w:tcW w:w="527" w:type="pct"/>
            <w:tcBorders>
              <w:top w:val="double" w:sz="4" w:space="0" w:color="auto"/>
            </w:tcBorders>
            <w:shd w:val="clear" w:color="auto" w:fill="auto"/>
          </w:tcPr>
          <w:p w:rsidR="00211384" w:rsidRDefault="004D1F15">
            <w:pPr>
              <w:spacing w:beforeLines="20" w:before="48" w:afterLines="20" w:after="48"/>
              <w:jc w:val="center"/>
              <w:rPr>
                <w:b/>
                <w:noProof/>
                <w:sz w:val="16"/>
                <w:szCs w:val="16"/>
              </w:rPr>
            </w:pPr>
            <w:r>
              <w:rPr>
                <w:b/>
                <w:noProof/>
                <w:sz w:val="16"/>
                <w:szCs w:val="16"/>
              </w:rPr>
              <w:t>3804</w:t>
            </w:r>
          </w:p>
        </w:tc>
      </w:tr>
    </w:tbl>
    <w:p w:rsidR="00211384" w:rsidRDefault="004D1F15">
      <w:pPr>
        <w:rPr>
          <w:noProof/>
          <w:sz w:val="20"/>
        </w:rPr>
      </w:pPr>
      <w:r>
        <w:rPr>
          <w:noProof/>
          <w:sz w:val="20"/>
        </w:rPr>
        <w:t>Description of tasks to be carried out:</w:t>
      </w:r>
      <w:r>
        <w:rPr>
          <w:noProof/>
        </w:rPr>
        <w:t xml:space="preserve"> </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rsidR="00211384">
        <w:tc>
          <w:tcPr>
            <w:tcW w:w="3240" w:type="dxa"/>
          </w:tcPr>
          <w:p w:rsidR="00211384" w:rsidRDefault="004D1F15">
            <w:pPr>
              <w:rPr>
                <w:noProof/>
                <w:sz w:val="20"/>
              </w:rPr>
            </w:pPr>
            <w:r>
              <w:rPr>
                <w:noProof/>
                <w:sz w:val="20"/>
              </w:rPr>
              <w:t>Officials and temporary staff</w:t>
            </w:r>
          </w:p>
        </w:tc>
        <w:tc>
          <w:tcPr>
            <w:tcW w:w="7392" w:type="dxa"/>
          </w:tcPr>
          <w:p w:rsidR="00211384" w:rsidRDefault="004D1F15">
            <w:pPr>
              <w:rPr>
                <w:noProof/>
                <w:sz w:val="20"/>
              </w:rPr>
            </w:pPr>
            <w:r>
              <w:rPr>
                <w:noProof/>
                <w:sz w:val="20"/>
              </w:rPr>
              <w:t xml:space="preserve">The total number of officials and temporary </w:t>
            </w:r>
            <w:r>
              <w:rPr>
                <w:noProof/>
                <w:sz w:val="20"/>
              </w:rPr>
              <w:t>agents will be used to contribute to the objectives of Horizon Europe during all the process, from the preparation of the Work Programme to the final dissemination of results during 2021-2027.</w:t>
            </w:r>
          </w:p>
        </w:tc>
      </w:tr>
      <w:tr w:rsidR="00211384">
        <w:tc>
          <w:tcPr>
            <w:tcW w:w="3240" w:type="dxa"/>
          </w:tcPr>
          <w:p w:rsidR="00211384" w:rsidRDefault="004D1F15">
            <w:pPr>
              <w:spacing w:before="60" w:after="60"/>
              <w:rPr>
                <w:noProof/>
                <w:sz w:val="20"/>
              </w:rPr>
            </w:pPr>
            <w:r>
              <w:rPr>
                <w:noProof/>
                <w:sz w:val="20"/>
              </w:rPr>
              <w:t>External staff</w:t>
            </w:r>
          </w:p>
        </w:tc>
        <w:tc>
          <w:tcPr>
            <w:tcW w:w="7392" w:type="dxa"/>
          </w:tcPr>
          <w:p w:rsidR="00211384" w:rsidRDefault="004D1F15">
            <w:pPr>
              <w:rPr>
                <w:noProof/>
                <w:sz w:val="20"/>
              </w:rPr>
            </w:pPr>
            <w:r>
              <w:rPr>
                <w:noProof/>
                <w:sz w:val="20"/>
              </w:rPr>
              <w:t>The total number of external personnel will ass</w:t>
            </w:r>
            <w:r>
              <w:rPr>
                <w:noProof/>
                <w:sz w:val="20"/>
              </w:rPr>
              <w:t>ist officials and temporary agents to contribute to the objectives of Horizon Europe during all the process, from the preparation of the Work Programme to the final dissemination of results during 2021-2027.</w:t>
            </w:r>
          </w:p>
        </w:tc>
      </w:tr>
    </w:tbl>
    <w:p w:rsidR="00211384" w:rsidRDefault="004D1F15">
      <w:pPr>
        <w:rPr>
          <w:rFonts w:eastAsia="Times New Roman"/>
          <w:noProof/>
          <w:sz w:val="18"/>
          <w:szCs w:val="18"/>
          <w:lang w:eastAsia="en-GB"/>
        </w:rPr>
      </w:pPr>
      <w:r>
        <w:rPr>
          <w:rFonts w:eastAsia="Times New Roman"/>
          <w:noProof/>
          <w:sz w:val="18"/>
          <w:szCs w:val="18"/>
          <w:lang w:eastAsia="en-GB"/>
        </w:rPr>
        <w:t>The human resources required will be met by sta</w:t>
      </w:r>
      <w:r>
        <w:rPr>
          <w:rFonts w:eastAsia="Times New Roman"/>
          <w:noProof/>
          <w:sz w:val="18"/>
          <w:szCs w:val="18"/>
          <w:lang w:eastAsia="en-GB"/>
        </w:rPr>
        <w:t>ff from the DG who are already assigned to management of the action and/or have been redeployed within the DG, together if necessary with any additional allocation which may be granted to the managing DG under the annual allocation procedure and in the lig</w:t>
      </w:r>
      <w:r>
        <w:rPr>
          <w:rFonts w:eastAsia="Times New Roman"/>
          <w:noProof/>
          <w:sz w:val="18"/>
          <w:szCs w:val="18"/>
          <w:lang w:eastAsia="en-GB"/>
        </w:rPr>
        <w:t>ht of budgetary constraints.</w:t>
      </w:r>
      <w:r>
        <w:rPr>
          <w:rFonts w:eastAsia="Times New Roman"/>
          <w:noProof/>
          <w:sz w:val="18"/>
          <w:szCs w:val="18"/>
          <w:lang w:eastAsia="en-GB"/>
        </w:rPr>
        <w:tab/>
      </w:r>
    </w:p>
    <w:p w:rsidR="00211384" w:rsidRDefault="00211384">
      <w:pPr>
        <w:rPr>
          <w:noProof/>
        </w:rPr>
        <w:sectPr w:rsidR="00211384" w:rsidSect="004D1F15">
          <w:headerReference w:type="default" r:id="rId33"/>
          <w:footerReference w:type="default" r:id="rId34"/>
          <w:headerReference w:type="first" r:id="rId35"/>
          <w:footerReference w:type="first" r:id="rId36"/>
          <w:pgSz w:w="11907" w:h="16840"/>
          <w:pgMar w:top="1134" w:right="1418" w:bottom="1134" w:left="1418" w:header="709" w:footer="709" w:gutter="0"/>
          <w:cols w:space="708"/>
          <w:docGrid w:linePitch="360"/>
        </w:sectPr>
      </w:pPr>
    </w:p>
    <w:p w:rsidR="00211384" w:rsidRDefault="004D1F15">
      <w:pPr>
        <w:pStyle w:val="ManualHeading3"/>
        <w:rPr>
          <w:bCs/>
          <w:noProof/>
          <w:szCs w:val="24"/>
        </w:rPr>
      </w:pPr>
      <w:r>
        <w:rPr>
          <w:noProof/>
        </w:rPr>
        <w:t>3.2.3.</w:t>
      </w:r>
      <w:r>
        <w:rPr>
          <w:noProof/>
        </w:rPr>
        <w:tab/>
        <w:t xml:space="preserve">Third-party contributions </w:t>
      </w:r>
    </w:p>
    <w:p w:rsidR="00211384" w:rsidRDefault="004D1F15">
      <w:pPr>
        <w:pStyle w:val="Text1"/>
        <w:rPr>
          <w:noProof/>
        </w:rPr>
      </w:pPr>
      <w:r>
        <w:rPr>
          <w:noProof/>
        </w:rPr>
        <w:t>The proposal/initiative:</w:t>
      </w:r>
    </w:p>
    <w:p w:rsidR="00211384" w:rsidRDefault="004D1F15">
      <w:pPr>
        <w:pStyle w:val="ListDash1"/>
        <w:rPr>
          <w:noProof/>
        </w:rPr>
      </w:pPr>
      <w:r>
        <w:rPr>
          <w:noProof/>
        </w:rPr>
        <w:sym w:font="Wingdings" w:char="F0A8"/>
      </w:r>
      <w:r>
        <w:rPr>
          <w:noProof/>
        </w:rPr>
        <w:tab/>
        <w:t>does not provide for co-financing by third parties</w:t>
      </w:r>
    </w:p>
    <w:p w:rsidR="00211384" w:rsidRDefault="004D1F15">
      <w:pPr>
        <w:pStyle w:val="ListDash1"/>
        <w:rPr>
          <w:noProof/>
        </w:rPr>
      </w:pPr>
      <w:r>
        <w:rPr>
          <w:noProof/>
        </w:rPr>
        <w:sym w:font="Wingdings" w:char="F0FE"/>
      </w:r>
      <w:r>
        <w:rPr>
          <w:noProof/>
        </w:rPr>
        <w:tab/>
        <w:t xml:space="preserve">provides for the co-financing by third parties </w:t>
      </w:r>
      <w:r>
        <w:rPr>
          <w:noProof/>
        </w:rPr>
        <w:t>estimated below:</w:t>
      </w:r>
    </w:p>
    <w:p w:rsidR="00211384" w:rsidRDefault="004D1F15">
      <w:pPr>
        <w:jc w:val="right"/>
        <w:rPr>
          <w:noProof/>
          <w:sz w:val="20"/>
        </w:rPr>
      </w:pPr>
      <w:r>
        <w:rPr>
          <w:noProof/>
          <w:sz w:val="20"/>
        </w:rPr>
        <w:t>Appropriations in EUR million (to three decimal places)</w:t>
      </w:r>
    </w:p>
    <w:tbl>
      <w:tblPr>
        <w:tblW w:w="10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211384">
        <w:trPr>
          <w:cantSplit/>
          <w:jc w:val="center"/>
        </w:trPr>
        <w:tc>
          <w:tcPr>
            <w:tcW w:w="2340" w:type="dxa"/>
            <w:vAlign w:val="center"/>
          </w:tcPr>
          <w:p w:rsidR="00211384" w:rsidRDefault="004D1F15">
            <w:pPr>
              <w:spacing w:before="60" w:after="60"/>
              <w:jc w:val="center"/>
              <w:rPr>
                <w:b/>
                <w:noProof/>
                <w:sz w:val="20"/>
              </w:rPr>
            </w:pPr>
            <w:r>
              <w:rPr>
                <w:b/>
                <w:noProof/>
                <w:sz w:val="20"/>
              </w:rPr>
              <w:t>Years</w:t>
            </w:r>
          </w:p>
        </w:tc>
        <w:tc>
          <w:tcPr>
            <w:tcW w:w="964" w:type="dxa"/>
            <w:vAlign w:val="center"/>
          </w:tcPr>
          <w:p w:rsidR="00211384" w:rsidRDefault="004D1F15">
            <w:pPr>
              <w:jc w:val="center"/>
              <w:rPr>
                <w:noProof/>
                <w:sz w:val="20"/>
              </w:rPr>
            </w:pPr>
            <w:r>
              <w:rPr>
                <w:b/>
                <w:noProof/>
                <w:sz w:val="20"/>
              </w:rPr>
              <w:t>2021</w:t>
            </w:r>
          </w:p>
        </w:tc>
        <w:tc>
          <w:tcPr>
            <w:tcW w:w="964" w:type="dxa"/>
            <w:vAlign w:val="center"/>
          </w:tcPr>
          <w:p w:rsidR="00211384" w:rsidRDefault="004D1F15">
            <w:pPr>
              <w:jc w:val="center"/>
              <w:rPr>
                <w:b/>
                <w:noProof/>
                <w:sz w:val="20"/>
              </w:rPr>
            </w:pPr>
            <w:r>
              <w:rPr>
                <w:b/>
                <w:noProof/>
                <w:sz w:val="20"/>
              </w:rPr>
              <w:t>2022</w:t>
            </w:r>
          </w:p>
        </w:tc>
        <w:tc>
          <w:tcPr>
            <w:tcW w:w="964" w:type="dxa"/>
            <w:vAlign w:val="center"/>
          </w:tcPr>
          <w:p w:rsidR="00211384" w:rsidRDefault="004D1F15">
            <w:pPr>
              <w:jc w:val="center"/>
              <w:rPr>
                <w:b/>
                <w:noProof/>
                <w:sz w:val="20"/>
              </w:rPr>
            </w:pPr>
            <w:r>
              <w:rPr>
                <w:b/>
                <w:noProof/>
                <w:sz w:val="20"/>
              </w:rPr>
              <w:t>2023</w:t>
            </w:r>
          </w:p>
        </w:tc>
        <w:tc>
          <w:tcPr>
            <w:tcW w:w="964" w:type="dxa"/>
            <w:vAlign w:val="center"/>
          </w:tcPr>
          <w:p w:rsidR="00211384" w:rsidRDefault="004D1F15">
            <w:pPr>
              <w:jc w:val="center"/>
              <w:rPr>
                <w:b/>
                <w:noProof/>
                <w:sz w:val="20"/>
              </w:rPr>
            </w:pPr>
            <w:r>
              <w:rPr>
                <w:b/>
                <w:noProof/>
                <w:sz w:val="20"/>
              </w:rPr>
              <w:t>2024</w:t>
            </w:r>
          </w:p>
        </w:tc>
        <w:tc>
          <w:tcPr>
            <w:tcW w:w="964" w:type="dxa"/>
            <w:vAlign w:val="center"/>
          </w:tcPr>
          <w:p w:rsidR="00211384" w:rsidRDefault="004D1F15">
            <w:pPr>
              <w:jc w:val="center"/>
              <w:rPr>
                <w:b/>
                <w:noProof/>
                <w:sz w:val="20"/>
              </w:rPr>
            </w:pPr>
            <w:r>
              <w:rPr>
                <w:b/>
                <w:noProof/>
                <w:sz w:val="20"/>
              </w:rPr>
              <w:t>2025</w:t>
            </w:r>
          </w:p>
        </w:tc>
        <w:tc>
          <w:tcPr>
            <w:tcW w:w="964" w:type="dxa"/>
            <w:vAlign w:val="center"/>
          </w:tcPr>
          <w:p w:rsidR="00211384" w:rsidRDefault="004D1F15">
            <w:pPr>
              <w:jc w:val="center"/>
              <w:rPr>
                <w:b/>
                <w:noProof/>
                <w:sz w:val="20"/>
              </w:rPr>
            </w:pPr>
            <w:r>
              <w:rPr>
                <w:b/>
                <w:noProof/>
                <w:sz w:val="20"/>
              </w:rPr>
              <w:t>2026</w:t>
            </w:r>
          </w:p>
        </w:tc>
        <w:tc>
          <w:tcPr>
            <w:tcW w:w="964" w:type="dxa"/>
            <w:vAlign w:val="center"/>
          </w:tcPr>
          <w:p w:rsidR="00211384" w:rsidRDefault="004D1F15">
            <w:pPr>
              <w:jc w:val="center"/>
              <w:rPr>
                <w:b/>
                <w:noProof/>
                <w:sz w:val="20"/>
              </w:rPr>
            </w:pPr>
            <w:r>
              <w:rPr>
                <w:b/>
                <w:noProof/>
                <w:sz w:val="20"/>
              </w:rPr>
              <w:t>2027</w:t>
            </w:r>
          </w:p>
        </w:tc>
        <w:tc>
          <w:tcPr>
            <w:tcW w:w="1158" w:type="dxa"/>
            <w:vAlign w:val="center"/>
          </w:tcPr>
          <w:p w:rsidR="00211384" w:rsidRDefault="004D1F15">
            <w:pPr>
              <w:spacing w:before="60" w:after="60"/>
              <w:jc w:val="center"/>
              <w:rPr>
                <w:b/>
                <w:noProof/>
                <w:sz w:val="20"/>
              </w:rPr>
            </w:pPr>
            <w:r>
              <w:rPr>
                <w:b/>
                <w:noProof/>
                <w:sz w:val="20"/>
              </w:rPr>
              <w:t>TOTAL</w:t>
            </w:r>
          </w:p>
        </w:tc>
      </w:tr>
      <w:tr w:rsidR="00211384">
        <w:trPr>
          <w:cantSplit/>
          <w:jc w:val="center"/>
        </w:trPr>
        <w:tc>
          <w:tcPr>
            <w:tcW w:w="2340" w:type="dxa"/>
          </w:tcPr>
          <w:p w:rsidR="00211384" w:rsidRDefault="004D1F15">
            <w:pPr>
              <w:rPr>
                <w:noProof/>
              </w:rPr>
            </w:pPr>
            <w:r>
              <w:rPr>
                <w:noProof/>
                <w:sz w:val="20"/>
              </w:rPr>
              <w:t>Specify the co-financing body</w:t>
            </w:r>
            <w:r>
              <w:rPr>
                <w:i/>
                <w:noProof/>
                <w:sz w:val="20"/>
              </w:rPr>
              <w:t xml:space="preserve"> </w:t>
            </w:r>
          </w:p>
        </w:tc>
        <w:tc>
          <w:tcPr>
            <w:tcW w:w="964" w:type="dxa"/>
            <w:vAlign w:val="center"/>
          </w:tcPr>
          <w:p w:rsidR="00211384" w:rsidRDefault="00211384">
            <w:pPr>
              <w:spacing w:before="60" w:after="60"/>
              <w:jc w:val="center"/>
              <w:rPr>
                <w:noProof/>
                <w:sz w:val="20"/>
              </w:rPr>
            </w:pPr>
          </w:p>
        </w:tc>
        <w:tc>
          <w:tcPr>
            <w:tcW w:w="964" w:type="dxa"/>
            <w:vAlign w:val="center"/>
          </w:tcPr>
          <w:p w:rsidR="00211384" w:rsidRDefault="00211384">
            <w:pPr>
              <w:spacing w:before="60" w:after="60"/>
              <w:jc w:val="center"/>
              <w:rPr>
                <w:noProof/>
                <w:sz w:val="20"/>
              </w:rPr>
            </w:pPr>
          </w:p>
        </w:tc>
        <w:tc>
          <w:tcPr>
            <w:tcW w:w="964" w:type="dxa"/>
            <w:vAlign w:val="center"/>
          </w:tcPr>
          <w:p w:rsidR="00211384" w:rsidRDefault="00211384">
            <w:pPr>
              <w:spacing w:before="60" w:after="60"/>
              <w:jc w:val="center"/>
              <w:rPr>
                <w:noProof/>
                <w:sz w:val="20"/>
              </w:rPr>
            </w:pPr>
          </w:p>
        </w:tc>
        <w:tc>
          <w:tcPr>
            <w:tcW w:w="964" w:type="dxa"/>
            <w:vAlign w:val="center"/>
          </w:tcPr>
          <w:p w:rsidR="00211384" w:rsidRDefault="00211384">
            <w:pPr>
              <w:spacing w:before="60" w:after="60"/>
              <w:jc w:val="center"/>
              <w:rPr>
                <w:noProof/>
                <w:sz w:val="20"/>
              </w:rPr>
            </w:pPr>
          </w:p>
        </w:tc>
        <w:tc>
          <w:tcPr>
            <w:tcW w:w="964" w:type="dxa"/>
            <w:vAlign w:val="center"/>
          </w:tcPr>
          <w:p w:rsidR="00211384" w:rsidRDefault="00211384">
            <w:pPr>
              <w:spacing w:before="60" w:after="60"/>
              <w:jc w:val="center"/>
              <w:rPr>
                <w:noProof/>
                <w:sz w:val="20"/>
              </w:rPr>
            </w:pPr>
          </w:p>
        </w:tc>
        <w:tc>
          <w:tcPr>
            <w:tcW w:w="964" w:type="dxa"/>
            <w:vAlign w:val="center"/>
          </w:tcPr>
          <w:p w:rsidR="00211384" w:rsidRDefault="00211384">
            <w:pPr>
              <w:spacing w:before="60" w:after="60"/>
              <w:jc w:val="center"/>
              <w:rPr>
                <w:noProof/>
                <w:sz w:val="20"/>
              </w:rPr>
            </w:pPr>
          </w:p>
        </w:tc>
        <w:tc>
          <w:tcPr>
            <w:tcW w:w="964" w:type="dxa"/>
            <w:vAlign w:val="center"/>
          </w:tcPr>
          <w:p w:rsidR="00211384" w:rsidRDefault="00211384">
            <w:pPr>
              <w:spacing w:before="60" w:after="60"/>
              <w:jc w:val="center"/>
              <w:rPr>
                <w:noProof/>
                <w:sz w:val="20"/>
              </w:rPr>
            </w:pPr>
          </w:p>
        </w:tc>
        <w:tc>
          <w:tcPr>
            <w:tcW w:w="1158" w:type="dxa"/>
            <w:vAlign w:val="center"/>
          </w:tcPr>
          <w:p w:rsidR="00211384" w:rsidRDefault="00211384">
            <w:pPr>
              <w:spacing w:before="60" w:after="60"/>
              <w:jc w:val="center"/>
              <w:rPr>
                <w:noProof/>
                <w:sz w:val="20"/>
              </w:rPr>
            </w:pPr>
          </w:p>
        </w:tc>
      </w:tr>
      <w:tr w:rsidR="00211384">
        <w:trPr>
          <w:cantSplit/>
          <w:jc w:val="center"/>
        </w:trPr>
        <w:tc>
          <w:tcPr>
            <w:tcW w:w="2340" w:type="dxa"/>
          </w:tcPr>
          <w:p w:rsidR="00211384" w:rsidRDefault="004D1F15">
            <w:pPr>
              <w:spacing w:before="60" w:after="60"/>
              <w:jc w:val="left"/>
              <w:rPr>
                <w:noProof/>
                <w:sz w:val="20"/>
              </w:rPr>
            </w:pPr>
            <w:r>
              <w:rPr>
                <w:noProof/>
                <w:sz w:val="20"/>
              </w:rPr>
              <w:t>TOTAL appropriations co-financed</w:t>
            </w:r>
            <w:r>
              <w:rPr>
                <w:rStyle w:val="FootnoteReference"/>
                <w:noProof/>
              </w:rPr>
              <w:footnoteReference w:id="24"/>
            </w:r>
            <w:r>
              <w:rPr>
                <w:noProof/>
                <w:sz w:val="20"/>
              </w:rPr>
              <w:t xml:space="preserve"> </w:t>
            </w:r>
          </w:p>
        </w:tc>
        <w:tc>
          <w:tcPr>
            <w:tcW w:w="964" w:type="dxa"/>
            <w:vAlign w:val="center"/>
          </w:tcPr>
          <w:p w:rsidR="00211384" w:rsidRDefault="004D1F15">
            <w:pPr>
              <w:spacing w:before="60" w:after="60"/>
              <w:jc w:val="center"/>
              <w:rPr>
                <w:noProof/>
                <w:sz w:val="20"/>
              </w:rPr>
            </w:pPr>
            <w:r>
              <w:rPr>
                <w:noProof/>
                <w:sz w:val="20"/>
              </w:rPr>
              <w:t>p.m.</w:t>
            </w:r>
          </w:p>
        </w:tc>
        <w:tc>
          <w:tcPr>
            <w:tcW w:w="964" w:type="dxa"/>
            <w:vAlign w:val="center"/>
          </w:tcPr>
          <w:p w:rsidR="00211384" w:rsidRDefault="004D1F15">
            <w:pPr>
              <w:spacing w:before="60" w:after="60"/>
              <w:jc w:val="center"/>
              <w:rPr>
                <w:noProof/>
                <w:sz w:val="20"/>
              </w:rPr>
            </w:pPr>
            <w:r>
              <w:rPr>
                <w:noProof/>
                <w:sz w:val="20"/>
              </w:rPr>
              <w:t>p.m.</w:t>
            </w:r>
          </w:p>
        </w:tc>
        <w:tc>
          <w:tcPr>
            <w:tcW w:w="964" w:type="dxa"/>
            <w:vAlign w:val="center"/>
          </w:tcPr>
          <w:p w:rsidR="00211384" w:rsidRDefault="004D1F15">
            <w:pPr>
              <w:spacing w:before="60" w:after="60"/>
              <w:jc w:val="center"/>
              <w:rPr>
                <w:noProof/>
                <w:sz w:val="20"/>
              </w:rPr>
            </w:pPr>
            <w:r>
              <w:rPr>
                <w:noProof/>
                <w:sz w:val="20"/>
              </w:rPr>
              <w:t>p.m.</w:t>
            </w:r>
          </w:p>
        </w:tc>
        <w:tc>
          <w:tcPr>
            <w:tcW w:w="964" w:type="dxa"/>
            <w:vAlign w:val="center"/>
          </w:tcPr>
          <w:p w:rsidR="00211384" w:rsidRDefault="004D1F15">
            <w:pPr>
              <w:spacing w:before="60" w:after="60"/>
              <w:jc w:val="center"/>
              <w:rPr>
                <w:noProof/>
                <w:sz w:val="20"/>
              </w:rPr>
            </w:pPr>
            <w:r>
              <w:rPr>
                <w:noProof/>
                <w:sz w:val="20"/>
              </w:rPr>
              <w:t>p.m.</w:t>
            </w:r>
          </w:p>
        </w:tc>
        <w:tc>
          <w:tcPr>
            <w:tcW w:w="964" w:type="dxa"/>
            <w:vAlign w:val="center"/>
          </w:tcPr>
          <w:p w:rsidR="00211384" w:rsidRDefault="004D1F15">
            <w:pPr>
              <w:spacing w:before="60" w:after="60"/>
              <w:jc w:val="center"/>
              <w:rPr>
                <w:noProof/>
                <w:sz w:val="20"/>
              </w:rPr>
            </w:pPr>
            <w:r>
              <w:rPr>
                <w:noProof/>
                <w:sz w:val="20"/>
              </w:rPr>
              <w:t>p.m.</w:t>
            </w:r>
          </w:p>
        </w:tc>
        <w:tc>
          <w:tcPr>
            <w:tcW w:w="964" w:type="dxa"/>
            <w:vAlign w:val="center"/>
          </w:tcPr>
          <w:p w:rsidR="00211384" w:rsidRDefault="004D1F15">
            <w:pPr>
              <w:spacing w:before="60" w:after="60"/>
              <w:jc w:val="center"/>
              <w:rPr>
                <w:noProof/>
                <w:sz w:val="20"/>
              </w:rPr>
            </w:pPr>
            <w:r>
              <w:rPr>
                <w:noProof/>
                <w:sz w:val="20"/>
              </w:rPr>
              <w:t>p.m.</w:t>
            </w:r>
          </w:p>
        </w:tc>
        <w:tc>
          <w:tcPr>
            <w:tcW w:w="964" w:type="dxa"/>
            <w:vAlign w:val="center"/>
          </w:tcPr>
          <w:p w:rsidR="00211384" w:rsidRDefault="004D1F15">
            <w:pPr>
              <w:spacing w:before="60" w:after="60"/>
              <w:jc w:val="center"/>
              <w:rPr>
                <w:noProof/>
                <w:sz w:val="20"/>
              </w:rPr>
            </w:pPr>
            <w:r>
              <w:rPr>
                <w:noProof/>
                <w:sz w:val="20"/>
              </w:rPr>
              <w:t>p.m.</w:t>
            </w:r>
          </w:p>
        </w:tc>
        <w:tc>
          <w:tcPr>
            <w:tcW w:w="1158" w:type="dxa"/>
            <w:vAlign w:val="center"/>
          </w:tcPr>
          <w:p w:rsidR="00211384" w:rsidRDefault="004D1F15">
            <w:pPr>
              <w:spacing w:before="60" w:after="60"/>
              <w:jc w:val="center"/>
              <w:rPr>
                <w:noProof/>
                <w:sz w:val="20"/>
              </w:rPr>
            </w:pPr>
            <w:r>
              <w:rPr>
                <w:noProof/>
                <w:sz w:val="20"/>
              </w:rPr>
              <w:t>p.m.</w:t>
            </w:r>
          </w:p>
        </w:tc>
      </w:tr>
    </w:tbl>
    <w:p w:rsidR="00211384" w:rsidRDefault="00211384">
      <w:pPr>
        <w:rPr>
          <w:noProof/>
        </w:rPr>
      </w:pPr>
    </w:p>
    <w:p w:rsidR="00211384" w:rsidRDefault="004D1F15">
      <w:pPr>
        <w:pStyle w:val="ManualHeading2"/>
        <w:rPr>
          <w:bCs/>
          <w:noProof/>
          <w:szCs w:val="24"/>
        </w:rPr>
      </w:pPr>
      <w:r>
        <w:rPr>
          <w:noProof/>
        </w:rPr>
        <w:t>3.3.</w:t>
      </w:r>
      <w:r>
        <w:rPr>
          <w:noProof/>
        </w:rPr>
        <w:tab/>
      </w:r>
      <w:r>
        <w:rPr>
          <w:noProof/>
        </w:rPr>
        <w:t xml:space="preserve">Estimated impact on revenue </w:t>
      </w:r>
    </w:p>
    <w:p w:rsidR="00211384" w:rsidRDefault="004D1F15">
      <w:pPr>
        <w:pStyle w:val="ListDash1"/>
        <w:rPr>
          <w:noProof/>
        </w:rPr>
      </w:pPr>
      <w:r>
        <w:rPr>
          <w:noProof/>
        </w:rPr>
        <w:sym w:font="Wingdings" w:char="F0A8"/>
      </w:r>
      <w:r>
        <w:rPr>
          <w:noProof/>
        </w:rPr>
        <w:tab/>
        <w:t>The proposal/initiative has no financial impact on revenue.</w:t>
      </w:r>
    </w:p>
    <w:p w:rsidR="00211384" w:rsidRDefault="004D1F15">
      <w:pPr>
        <w:pStyle w:val="ListDash1"/>
        <w:rPr>
          <w:noProof/>
        </w:rPr>
      </w:pPr>
      <w:r>
        <w:rPr>
          <w:noProof/>
        </w:rPr>
        <w:sym w:font="Wingdings" w:char="F0FE"/>
      </w:r>
      <w:r>
        <w:rPr>
          <w:noProof/>
        </w:rPr>
        <w:tab/>
        <w:t>The proposal/initiative has the following financial impact:</w:t>
      </w:r>
    </w:p>
    <w:p w:rsidR="00211384" w:rsidRDefault="004D1F15">
      <w:pPr>
        <w:pStyle w:val="ListNumberLevel3"/>
        <w:tabs>
          <w:tab w:val="clear" w:pos="2126"/>
          <w:tab w:val="num" w:pos="1843"/>
        </w:tabs>
        <w:rPr>
          <w:noProof/>
        </w:rPr>
      </w:pPr>
      <w:r>
        <w:rPr>
          <w:noProof/>
        </w:rPr>
        <w:sym w:font="Wingdings" w:char="F0A8"/>
      </w:r>
      <w:r>
        <w:rPr>
          <w:noProof/>
        </w:rPr>
        <w:tab/>
        <w:t xml:space="preserve">on own resources </w:t>
      </w:r>
    </w:p>
    <w:p w:rsidR="00211384" w:rsidRDefault="004D1F15">
      <w:pPr>
        <w:pStyle w:val="ListNumberLevel3"/>
        <w:tabs>
          <w:tab w:val="clear" w:pos="2126"/>
          <w:tab w:val="num" w:pos="1843"/>
        </w:tabs>
        <w:rPr>
          <w:noProof/>
        </w:rPr>
      </w:pPr>
      <w:r>
        <w:rPr>
          <w:noProof/>
        </w:rPr>
        <w:sym w:font="Wingdings" w:char="F0FE"/>
      </w:r>
      <w:r>
        <w:rPr>
          <w:noProof/>
        </w:rPr>
        <w:tab/>
        <w:t xml:space="preserve"> on other revenue</w:t>
      </w:r>
    </w:p>
    <w:p w:rsidR="00211384" w:rsidRDefault="004D1F15">
      <w:pPr>
        <w:jc w:val="right"/>
        <w:rPr>
          <w:noProof/>
        </w:rPr>
      </w:pPr>
      <w:r>
        <w:rPr>
          <w:noProof/>
        </w:rPr>
        <w:t xml:space="preserve">      please indicate, if the revenue is assigned to expenditure lines </w:t>
      </w:r>
      <w:r>
        <w:rPr>
          <w:noProof/>
        </w:rPr>
        <w:sym w:font="Wingdings" w:char="F0FE"/>
      </w:r>
      <w:r>
        <w:rPr>
          <w:noProof/>
        </w:rPr>
        <w:tab/>
      </w:r>
    </w:p>
    <w:p w:rsidR="00211384" w:rsidRDefault="004D1F15">
      <w:pPr>
        <w:jc w:val="right"/>
        <w:rPr>
          <w:i/>
          <w:noProof/>
          <w:sz w:val="20"/>
        </w:rPr>
      </w:pPr>
      <w:r>
        <w:rPr>
          <w:noProof/>
        </w:rPr>
        <w:t>EUR million (to three decimal places)</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rsidR="00211384">
        <w:trPr>
          <w:trHeight w:val="388"/>
          <w:jc w:val="center"/>
        </w:trPr>
        <w:tc>
          <w:tcPr>
            <w:tcW w:w="2144" w:type="dxa"/>
            <w:vMerge w:val="restart"/>
            <w:vAlign w:val="center"/>
          </w:tcPr>
          <w:p w:rsidR="00211384" w:rsidRDefault="004D1F15">
            <w:pPr>
              <w:spacing w:before="40" w:after="40"/>
              <w:rPr>
                <w:noProof/>
                <w:sz w:val="18"/>
              </w:rPr>
            </w:pPr>
            <w:r>
              <w:rPr>
                <w:noProof/>
                <w:sz w:val="18"/>
              </w:rPr>
              <w:t>Budget revenue line:</w:t>
            </w:r>
          </w:p>
        </w:tc>
        <w:tc>
          <w:tcPr>
            <w:tcW w:w="7200" w:type="dxa"/>
            <w:gridSpan w:val="7"/>
            <w:vAlign w:val="center"/>
          </w:tcPr>
          <w:p w:rsidR="00211384" w:rsidRDefault="004D1F15">
            <w:pPr>
              <w:jc w:val="center"/>
              <w:rPr>
                <w:noProof/>
                <w:sz w:val="18"/>
              </w:rPr>
            </w:pPr>
            <w:r>
              <w:rPr>
                <w:noProof/>
                <w:sz w:val="18"/>
              </w:rPr>
              <w:t>Impact of the proposal/initiative</w:t>
            </w:r>
          </w:p>
        </w:tc>
      </w:tr>
      <w:tr w:rsidR="00211384">
        <w:trPr>
          <w:trHeight w:val="388"/>
          <w:jc w:val="center"/>
        </w:trPr>
        <w:tc>
          <w:tcPr>
            <w:tcW w:w="2144" w:type="dxa"/>
            <w:vMerge/>
          </w:tcPr>
          <w:p w:rsidR="00211384" w:rsidRDefault="00211384">
            <w:pPr>
              <w:spacing w:before="40" w:after="40"/>
              <w:rPr>
                <w:noProof/>
                <w:sz w:val="18"/>
              </w:rPr>
            </w:pPr>
          </w:p>
        </w:tc>
        <w:tc>
          <w:tcPr>
            <w:tcW w:w="1080" w:type="dxa"/>
            <w:vAlign w:val="center"/>
          </w:tcPr>
          <w:p w:rsidR="00211384" w:rsidRDefault="004D1F15">
            <w:pPr>
              <w:jc w:val="center"/>
              <w:rPr>
                <w:noProof/>
                <w:sz w:val="18"/>
              </w:rPr>
            </w:pPr>
            <w:r>
              <w:rPr>
                <w:b/>
                <w:noProof/>
                <w:sz w:val="20"/>
              </w:rPr>
              <w:t>2021</w:t>
            </w:r>
          </w:p>
        </w:tc>
        <w:tc>
          <w:tcPr>
            <w:tcW w:w="900" w:type="dxa"/>
            <w:vAlign w:val="center"/>
          </w:tcPr>
          <w:p w:rsidR="00211384" w:rsidRDefault="004D1F15">
            <w:pPr>
              <w:jc w:val="center"/>
              <w:rPr>
                <w:b/>
                <w:noProof/>
                <w:sz w:val="20"/>
              </w:rPr>
            </w:pPr>
            <w:r>
              <w:rPr>
                <w:b/>
                <w:noProof/>
                <w:sz w:val="20"/>
              </w:rPr>
              <w:t>2022</w:t>
            </w:r>
          </w:p>
        </w:tc>
        <w:tc>
          <w:tcPr>
            <w:tcW w:w="900" w:type="dxa"/>
            <w:vAlign w:val="center"/>
          </w:tcPr>
          <w:p w:rsidR="00211384" w:rsidRDefault="004D1F15">
            <w:pPr>
              <w:jc w:val="center"/>
              <w:rPr>
                <w:b/>
                <w:noProof/>
                <w:sz w:val="20"/>
              </w:rPr>
            </w:pPr>
            <w:r>
              <w:rPr>
                <w:b/>
                <w:noProof/>
                <w:sz w:val="20"/>
              </w:rPr>
              <w:t>2023</w:t>
            </w:r>
          </w:p>
        </w:tc>
        <w:tc>
          <w:tcPr>
            <w:tcW w:w="1080" w:type="dxa"/>
            <w:vAlign w:val="center"/>
          </w:tcPr>
          <w:p w:rsidR="00211384" w:rsidRDefault="004D1F15">
            <w:pPr>
              <w:jc w:val="center"/>
              <w:rPr>
                <w:b/>
                <w:noProof/>
                <w:sz w:val="20"/>
              </w:rPr>
            </w:pPr>
            <w:r>
              <w:rPr>
                <w:b/>
                <w:noProof/>
                <w:sz w:val="20"/>
              </w:rPr>
              <w:t>2024</w:t>
            </w:r>
          </w:p>
        </w:tc>
        <w:tc>
          <w:tcPr>
            <w:tcW w:w="1080" w:type="dxa"/>
            <w:vAlign w:val="center"/>
          </w:tcPr>
          <w:p w:rsidR="00211384" w:rsidRDefault="004D1F15">
            <w:pPr>
              <w:jc w:val="center"/>
              <w:rPr>
                <w:b/>
                <w:noProof/>
                <w:sz w:val="20"/>
              </w:rPr>
            </w:pPr>
            <w:r>
              <w:rPr>
                <w:b/>
                <w:noProof/>
                <w:sz w:val="20"/>
              </w:rPr>
              <w:t>2025</w:t>
            </w:r>
          </w:p>
        </w:tc>
        <w:tc>
          <w:tcPr>
            <w:tcW w:w="1080" w:type="dxa"/>
            <w:vAlign w:val="center"/>
          </w:tcPr>
          <w:p w:rsidR="00211384" w:rsidRDefault="004D1F15">
            <w:pPr>
              <w:jc w:val="center"/>
              <w:rPr>
                <w:b/>
                <w:noProof/>
                <w:sz w:val="20"/>
              </w:rPr>
            </w:pPr>
            <w:r>
              <w:rPr>
                <w:b/>
                <w:noProof/>
                <w:sz w:val="20"/>
              </w:rPr>
              <w:t>2026</w:t>
            </w:r>
          </w:p>
        </w:tc>
        <w:tc>
          <w:tcPr>
            <w:tcW w:w="1080" w:type="dxa"/>
            <w:vAlign w:val="center"/>
          </w:tcPr>
          <w:p w:rsidR="00211384" w:rsidRDefault="004D1F15">
            <w:pPr>
              <w:jc w:val="center"/>
              <w:rPr>
                <w:b/>
                <w:noProof/>
                <w:sz w:val="20"/>
              </w:rPr>
            </w:pPr>
            <w:r>
              <w:rPr>
                <w:b/>
                <w:noProof/>
                <w:sz w:val="20"/>
              </w:rPr>
              <w:t>2027</w:t>
            </w:r>
          </w:p>
        </w:tc>
      </w:tr>
      <w:tr w:rsidR="00211384">
        <w:trPr>
          <w:trHeight w:val="388"/>
          <w:jc w:val="center"/>
        </w:trPr>
        <w:tc>
          <w:tcPr>
            <w:tcW w:w="2144" w:type="dxa"/>
            <w:vAlign w:val="center"/>
          </w:tcPr>
          <w:p w:rsidR="00211384" w:rsidRDefault="004D1F15">
            <w:pPr>
              <w:spacing w:before="40" w:after="40"/>
              <w:rPr>
                <w:noProof/>
                <w:sz w:val="18"/>
              </w:rPr>
            </w:pPr>
            <w:r>
              <w:rPr>
                <w:noProof/>
                <w:sz w:val="18"/>
              </w:rPr>
              <w:t>Item 6011</w:t>
            </w:r>
          </w:p>
          <w:p w:rsidR="00211384" w:rsidRDefault="004D1F15">
            <w:pPr>
              <w:spacing w:before="40" w:after="40"/>
              <w:rPr>
                <w:noProof/>
                <w:sz w:val="18"/>
              </w:rPr>
            </w:pPr>
            <w:r>
              <w:rPr>
                <w:noProof/>
                <w:sz w:val="18"/>
              </w:rPr>
              <w:t>Item 6012</w:t>
            </w:r>
          </w:p>
          <w:p w:rsidR="00211384" w:rsidRDefault="004D1F15">
            <w:pPr>
              <w:spacing w:before="40" w:after="40"/>
              <w:rPr>
                <w:noProof/>
                <w:sz w:val="18"/>
              </w:rPr>
            </w:pPr>
            <w:r>
              <w:rPr>
                <w:noProof/>
                <w:sz w:val="18"/>
              </w:rPr>
              <w:t>Item 6013</w:t>
            </w:r>
          </w:p>
          <w:p w:rsidR="00211384" w:rsidRDefault="004D1F15">
            <w:pPr>
              <w:spacing w:before="40" w:after="40"/>
              <w:rPr>
                <w:noProof/>
                <w:sz w:val="18"/>
              </w:rPr>
            </w:pPr>
            <w:r>
              <w:rPr>
                <w:noProof/>
                <w:sz w:val="18"/>
              </w:rPr>
              <w:t>Item 6031</w:t>
            </w:r>
          </w:p>
        </w:tc>
        <w:tc>
          <w:tcPr>
            <w:tcW w:w="1080" w:type="dxa"/>
          </w:tcPr>
          <w:p w:rsidR="00211384" w:rsidRDefault="004D1F15">
            <w:pPr>
              <w:spacing w:beforeLines="40" w:before="96" w:afterLines="40" w:after="96"/>
              <w:jc w:val="center"/>
              <w:rPr>
                <w:noProof/>
                <w:sz w:val="18"/>
              </w:rPr>
            </w:pPr>
            <w:r>
              <w:rPr>
                <w:noProof/>
                <w:sz w:val="18"/>
              </w:rPr>
              <w:t>p.m.</w:t>
            </w:r>
          </w:p>
        </w:tc>
        <w:tc>
          <w:tcPr>
            <w:tcW w:w="900" w:type="dxa"/>
          </w:tcPr>
          <w:p w:rsidR="00211384" w:rsidRDefault="004D1F15">
            <w:pPr>
              <w:spacing w:beforeLines="40" w:before="96" w:afterLines="40" w:after="96"/>
              <w:jc w:val="center"/>
              <w:rPr>
                <w:noProof/>
                <w:sz w:val="18"/>
              </w:rPr>
            </w:pPr>
            <w:r>
              <w:rPr>
                <w:noProof/>
                <w:sz w:val="18"/>
              </w:rPr>
              <w:t>p.m.</w:t>
            </w:r>
          </w:p>
        </w:tc>
        <w:tc>
          <w:tcPr>
            <w:tcW w:w="900" w:type="dxa"/>
          </w:tcPr>
          <w:p w:rsidR="00211384" w:rsidRDefault="004D1F15">
            <w:pPr>
              <w:spacing w:beforeLines="40" w:before="96" w:afterLines="40" w:after="96"/>
              <w:jc w:val="center"/>
              <w:rPr>
                <w:noProof/>
                <w:sz w:val="18"/>
              </w:rPr>
            </w:pPr>
            <w:r>
              <w:rPr>
                <w:noProof/>
                <w:sz w:val="18"/>
              </w:rPr>
              <w:t>p.m.</w:t>
            </w:r>
          </w:p>
        </w:tc>
        <w:tc>
          <w:tcPr>
            <w:tcW w:w="1080" w:type="dxa"/>
          </w:tcPr>
          <w:p w:rsidR="00211384" w:rsidRDefault="004D1F15">
            <w:pPr>
              <w:spacing w:beforeLines="40" w:before="96" w:afterLines="40" w:after="96"/>
              <w:jc w:val="center"/>
              <w:rPr>
                <w:noProof/>
                <w:sz w:val="18"/>
              </w:rPr>
            </w:pPr>
            <w:r>
              <w:rPr>
                <w:noProof/>
                <w:sz w:val="18"/>
              </w:rPr>
              <w:t>p.m.</w:t>
            </w:r>
          </w:p>
        </w:tc>
        <w:tc>
          <w:tcPr>
            <w:tcW w:w="1080" w:type="dxa"/>
          </w:tcPr>
          <w:p w:rsidR="00211384" w:rsidRDefault="004D1F15">
            <w:pPr>
              <w:spacing w:beforeLines="40" w:before="96" w:afterLines="40" w:after="96"/>
              <w:jc w:val="center"/>
              <w:rPr>
                <w:noProof/>
                <w:sz w:val="18"/>
              </w:rPr>
            </w:pPr>
            <w:r>
              <w:rPr>
                <w:noProof/>
                <w:sz w:val="18"/>
              </w:rPr>
              <w:t>p.m.</w:t>
            </w:r>
          </w:p>
        </w:tc>
        <w:tc>
          <w:tcPr>
            <w:tcW w:w="1080" w:type="dxa"/>
          </w:tcPr>
          <w:p w:rsidR="00211384" w:rsidRDefault="004D1F15">
            <w:pPr>
              <w:spacing w:beforeLines="40" w:before="96" w:afterLines="40" w:after="96"/>
              <w:jc w:val="center"/>
              <w:rPr>
                <w:noProof/>
                <w:sz w:val="18"/>
              </w:rPr>
            </w:pPr>
            <w:r>
              <w:rPr>
                <w:noProof/>
                <w:sz w:val="18"/>
              </w:rPr>
              <w:t>p.m.</w:t>
            </w:r>
          </w:p>
        </w:tc>
        <w:tc>
          <w:tcPr>
            <w:tcW w:w="1080" w:type="dxa"/>
          </w:tcPr>
          <w:p w:rsidR="00211384" w:rsidRDefault="004D1F15">
            <w:pPr>
              <w:spacing w:beforeLines="40" w:before="96" w:afterLines="40" w:after="96"/>
              <w:jc w:val="center"/>
              <w:rPr>
                <w:noProof/>
                <w:sz w:val="18"/>
              </w:rPr>
            </w:pPr>
            <w:r>
              <w:rPr>
                <w:noProof/>
                <w:sz w:val="18"/>
              </w:rPr>
              <w:t>p.m.</w:t>
            </w:r>
          </w:p>
        </w:tc>
      </w:tr>
    </w:tbl>
    <w:p w:rsidR="00211384" w:rsidRDefault="004D1F15">
      <w:pPr>
        <w:pStyle w:val="Text1"/>
        <w:rPr>
          <w:noProof/>
          <w:sz w:val="20"/>
        </w:rPr>
      </w:pPr>
      <w:r>
        <w:rPr>
          <w:noProof/>
          <w:sz w:val="20"/>
        </w:rPr>
        <w:t>For assigned revenue, specify the budget expenditure line(s) affected.</w:t>
      </w:r>
    </w:p>
    <w:p w:rsidR="00211384" w:rsidRDefault="004D1F15">
      <w:pPr>
        <w:pStyle w:val="Text1"/>
        <w:pBdr>
          <w:top w:val="single" w:sz="4" w:space="1" w:color="auto"/>
          <w:left w:val="single" w:sz="4" w:space="4" w:color="auto"/>
          <w:bottom w:val="single" w:sz="4" w:space="1" w:color="auto"/>
          <w:right w:val="single" w:sz="4" w:space="4" w:color="auto"/>
        </w:pBdr>
        <w:tabs>
          <w:tab w:val="left" w:pos="2016"/>
        </w:tabs>
        <w:rPr>
          <w:noProof/>
        </w:rPr>
      </w:pPr>
      <w:r>
        <w:rPr>
          <w:noProof/>
        </w:rPr>
        <w:t>01.02XX Appropriations accruing from contributions from third parties</w:t>
      </w:r>
    </w:p>
    <w:p w:rsidR="00211384" w:rsidRDefault="004D1F15">
      <w:pPr>
        <w:pStyle w:val="Text1"/>
        <w:rPr>
          <w:noProof/>
          <w:sz w:val="20"/>
        </w:rPr>
      </w:pPr>
      <w:r>
        <w:rPr>
          <w:noProof/>
          <w:sz w:val="20"/>
        </w:rPr>
        <w:t xml:space="preserve">Other remarks (e.g. method/formula used for calculating the impact on revenue or any </w:t>
      </w:r>
      <w:r>
        <w:rPr>
          <w:noProof/>
          <w:sz w:val="20"/>
        </w:rPr>
        <w:t>other information).</w:t>
      </w:r>
    </w:p>
    <w:p w:rsidR="00211384" w:rsidRDefault="004D1F15">
      <w:pPr>
        <w:pStyle w:val="Text1"/>
        <w:pBdr>
          <w:top w:val="single" w:sz="4" w:space="1" w:color="auto"/>
          <w:left w:val="single" w:sz="4" w:space="4" w:color="auto"/>
          <w:bottom w:val="single" w:sz="4" w:space="1" w:color="auto"/>
          <w:right w:val="single" w:sz="4" w:space="4" w:color="auto"/>
        </w:pBdr>
        <w:rPr>
          <w:noProof/>
        </w:rPr>
      </w:pPr>
      <w:r>
        <w:rPr>
          <w:noProof/>
        </w:rPr>
        <w:t>Third countries may contribute to the Programme through association agreements. The conditions determining the level of financial contribution will be laid down in association agreements with each country and shall ensure an automatic c</w:t>
      </w:r>
      <w:r>
        <w:rPr>
          <w:noProof/>
        </w:rPr>
        <w:t>orrection of any significant imbalance compared to the amount that entities established in the associated country receive through participation in the programme, taking into account the costs in managing the programme.</w:t>
      </w:r>
    </w:p>
    <w:p w:rsidR="00211384" w:rsidRDefault="00211384">
      <w:pPr>
        <w:pStyle w:val="Text1"/>
        <w:rPr>
          <w:noProof/>
        </w:rPr>
      </w:pPr>
    </w:p>
    <w:sectPr w:rsidR="00211384" w:rsidSect="004D1F15">
      <w:pgSz w:w="11907" w:h="16840" w:code="9"/>
      <w:pgMar w:top="1134" w:right="1418" w:bottom="1134"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384" w:rsidRDefault="004D1F15">
      <w:pPr>
        <w:spacing w:before="0" w:after="0"/>
      </w:pPr>
      <w:r>
        <w:separator/>
      </w:r>
    </w:p>
  </w:endnote>
  <w:endnote w:type="continuationSeparator" w:id="0">
    <w:p w:rsidR="00211384" w:rsidRDefault="004D1F15">
      <w:pPr>
        <w:spacing w:before="0" w:after="0"/>
      </w:pPr>
      <w:r>
        <w:continuationSeparator/>
      </w:r>
    </w:p>
  </w:endnote>
  <w:endnote w:type="continuationNotice" w:id="1">
    <w:p w:rsidR="00211384" w:rsidRDefault="0021138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F15" w:rsidRPr="004D1F15" w:rsidRDefault="004D1F15" w:rsidP="004D1F15">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F15" w:rsidRPr="004D1F15" w:rsidRDefault="004D1F15" w:rsidP="004D1F15">
    <w:pPr>
      <w:pStyle w:val="FooterLandscape"/>
      <w:rPr>
        <w:rFonts w:ascii="Arial" w:hAnsi="Arial" w:cs="Arial"/>
        <w:b/>
        <w:sz w:val="48"/>
      </w:rPr>
    </w:pPr>
    <w:r w:rsidRPr="004D1F15">
      <w:rPr>
        <w:rFonts w:ascii="Arial" w:hAnsi="Arial" w:cs="Arial"/>
        <w:b/>
        <w:sz w:val="48"/>
      </w:rPr>
      <w:t>EN</w:t>
    </w:r>
    <w:r w:rsidRPr="004D1F15">
      <w:rPr>
        <w:rFonts w:ascii="Arial" w:hAnsi="Arial" w:cs="Arial"/>
        <w:b/>
        <w:sz w:val="48"/>
      </w:rPr>
      <w:tab/>
    </w:r>
    <w:r>
      <w:fldChar w:fldCharType="begin"/>
    </w:r>
    <w:r>
      <w:instrText xml:space="preserve"> PAGE  \* MERGEFORMAT </w:instrText>
    </w:r>
    <w:r>
      <w:fldChar w:fldCharType="separate"/>
    </w:r>
    <w:r>
      <w:rPr>
        <w:noProof/>
      </w:rPr>
      <w:t>28</w:t>
    </w:r>
    <w:r>
      <w:fldChar w:fldCharType="end"/>
    </w:r>
    <w:r>
      <w:tab/>
    </w:r>
    <w:r w:rsidRPr="004D1F15">
      <w:tab/>
    </w:r>
    <w:r w:rsidRPr="004D1F15">
      <w:rPr>
        <w:rFonts w:ascii="Arial" w:hAnsi="Arial" w:cs="Arial"/>
        <w:b/>
        <w:sz w:val="48"/>
      </w:rPr>
      <w:t>EN</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F15" w:rsidRPr="004D1F15" w:rsidRDefault="004D1F15" w:rsidP="004D1F15">
    <w:pPr>
      <w:pStyle w:val="FooterLandscap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384" w:rsidRPr="004D1F15" w:rsidRDefault="004D1F15" w:rsidP="004D1F15">
    <w:pPr>
      <w:pStyle w:val="Footer"/>
      <w:rPr>
        <w:rFonts w:ascii="Arial" w:hAnsi="Arial" w:cs="Arial"/>
        <w:b/>
        <w:sz w:val="48"/>
      </w:rPr>
    </w:pPr>
    <w:r w:rsidRPr="004D1F15">
      <w:rPr>
        <w:rFonts w:ascii="Arial" w:hAnsi="Arial" w:cs="Arial"/>
        <w:b/>
        <w:sz w:val="48"/>
      </w:rPr>
      <w:t>EN</w:t>
    </w:r>
    <w:r w:rsidRPr="004D1F15">
      <w:rPr>
        <w:rFonts w:ascii="Arial" w:hAnsi="Arial" w:cs="Arial"/>
        <w:b/>
        <w:sz w:val="48"/>
      </w:rPr>
      <w:tab/>
    </w:r>
    <w:r>
      <w:fldChar w:fldCharType="begin"/>
    </w:r>
    <w:r>
      <w:instrText xml:space="preserve"> PAGE  \* MERGEFORMAT </w:instrText>
    </w:r>
    <w:r>
      <w:fldChar w:fldCharType="separate"/>
    </w:r>
    <w:r>
      <w:rPr>
        <w:noProof/>
      </w:rPr>
      <w:t>33</w:t>
    </w:r>
    <w:r>
      <w:fldChar w:fldCharType="end"/>
    </w:r>
    <w:r>
      <w:tab/>
    </w:r>
    <w:r w:rsidRPr="004D1F15">
      <w:tab/>
    </w:r>
    <w:r w:rsidRPr="004D1F15">
      <w:rPr>
        <w:rFonts w:ascii="Arial" w:hAnsi="Arial" w:cs="Arial"/>
        <w:b/>
        <w:sz w:val="48"/>
      </w:rPr>
      <w:t>EN</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F15" w:rsidRPr="004D1F15" w:rsidRDefault="004D1F15" w:rsidP="004D1F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384" w:rsidRPr="004D1F15" w:rsidRDefault="004D1F15" w:rsidP="004D1F15">
    <w:pPr>
      <w:pStyle w:val="Footer"/>
      <w:rPr>
        <w:rFonts w:ascii="Arial" w:hAnsi="Arial" w:cs="Arial"/>
        <w:b/>
        <w:sz w:val="48"/>
      </w:rPr>
    </w:pPr>
    <w:r w:rsidRPr="004D1F15">
      <w:rPr>
        <w:rFonts w:ascii="Arial" w:hAnsi="Arial" w:cs="Arial"/>
        <w:b/>
        <w:sz w:val="48"/>
      </w:rPr>
      <w:t>EN</w:t>
    </w:r>
    <w:r w:rsidRPr="004D1F15">
      <w:rPr>
        <w:rFonts w:ascii="Arial" w:hAnsi="Arial" w:cs="Arial"/>
        <w:b/>
        <w:sz w:val="48"/>
      </w:rPr>
      <w:tab/>
    </w:r>
    <w:r w:rsidRPr="004D1F15">
      <w:rPr>
        <w:rFonts w:ascii="Arial" w:hAnsi="Arial" w:cs="Arial"/>
        <w:b/>
        <w:sz w:val="48"/>
      </w:rPr>
      <w:tab/>
    </w:r>
    <w:r w:rsidRPr="004D1F15">
      <w:tab/>
    </w:r>
    <w:proofErr w:type="spellStart"/>
    <w:r w:rsidRPr="004D1F15">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F15" w:rsidRPr="004D1F15" w:rsidRDefault="004D1F15" w:rsidP="004D1F1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F15" w:rsidRPr="004D1F15" w:rsidRDefault="004D1F15" w:rsidP="004D1F15">
    <w:pPr>
      <w:pStyle w:val="Footer"/>
      <w:rPr>
        <w:rFonts w:ascii="Arial" w:hAnsi="Arial" w:cs="Arial"/>
        <w:b/>
        <w:sz w:val="48"/>
      </w:rPr>
    </w:pPr>
    <w:r w:rsidRPr="004D1F15">
      <w:rPr>
        <w:rFonts w:ascii="Arial" w:hAnsi="Arial" w:cs="Arial"/>
        <w:b/>
        <w:sz w:val="48"/>
      </w:rPr>
      <w:t>EN</w:t>
    </w:r>
    <w:r w:rsidRPr="004D1F15">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4D1F15">
      <w:tab/>
    </w:r>
    <w:r w:rsidRPr="004D1F15">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F15" w:rsidRPr="004D1F15" w:rsidRDefault="004D1F15" w:rsidP="004D1F1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384" w:rsidRPr="004D1F15" w:rsidRDefault="004D1F15">
    <w:pPr>
      <w:pStyle w:val="Footer"/>
      <w:rPr>
        <w:rFonts w:ascii="Arial" w:hAnsi="Arial" w:cs="Arial"/>
        <w:b/>
        <w:sz w:val="48"/>
      </w:rPr>
    </w:pPr>
    <w:r w:rsidRPr="004D1F15">
      <w:rPr>
        <w:rFonts w:ascii="Arial" w:hAnsi="Arial" w:cs="Arial"/>
        <w:b/>
        <w:sz w:val="48"/>
      </w:rPr>
      <w:t>EN</w:t>
    </w:r>
    <w:r w:rsidRPr="004D1F15">
      <w:rPr>
        <w:rFonts w:ascii="Arial" w:hAnsi="Arial" w:cs="Arial"/>
        <w:b/>
        <w:sz w:val="48"/>
      </w:rPr>
      <w:tab/>
    </w:r>
    <w:r>
      <w:fldChar w:fldCharType="begin"/>
    </w:r>
    <w:r>
      <w:instrText xml:space="preserve"> PAGE  \* MERGEFORMAT </w:instrText>
    </w:r>
    <w:r>
      <w:fldChar w:fldCharType="separate"/>
    </w:r>
    <w:r>
      <w:rPr>
        <w:noProof/>
      </w:rPr>
      <w:t>17</w:t>
    </w:r>
    <w:r>
      <w:fldChar w:fldCharType="end"/>
    </w:r>
    <w:r>
      <w:tab/>
    </w:r>
    <w:r w:rsidRPr="004D1F15">
      <w:tab/>
    </w:r>
    <w:r w:rsidRPr="004D1F15">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F15" w:rsidRPr="004D1F15" w:rsidRDefault="004D1F15" w:rsidP="004D1F15">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384" w:rsidRPr="004D1F15" w:rsidRDefault="004D1F15" w:rsidP="004D1F15">
    <w:pPr>
      <w:pStyle w:val="Footer"/>
      <w:rPr>
        <w:rFonts w:ascii="Arial" w:hAnsi="Arial" w:cs="Arial"/>
        <w:b/>
        <w:sz w:val="48"/>
      </w:rPr>
    </w:pPr>
    <w:r w:rsidRPr="004D1F15">
      <w:rPr>
        <w:rFonts w:ascii="Arial" w:hAnsi="Arial" w:cs="Arial"/>
        <w:b/>
        <w:sz w:val="48"/>
      </w:rPr>
      <w:t>EN</w:t>
    </w:r>
    <w:r w:rsidRPr="004D1F15">
      <w:rPr>
        <w:rFonts w:ascii="Arial" w:hAnsi="Arial" w:cs="Arial"/>
        <w:b/>
        <w:sz w:val="48"/>
      </w:rPr>
      <w:tab/>
    </w:r>
    <w:r>
      <w:fldChar w:fldCharType="begin"/>
    </w:r>
    <w:r>
      <w:instrText xml:space="preserve"> PAGE  \* MERGEFORMAT </w:instrText>
    </w:r>
    <w:r>
      <w:fldChar w:fldCharType="separate"/>
    </w:r>
    <w:r>
      <w:rPr>
        <w:noProof/>
      </w:rPr>
      <w:t>28</w:t>
    </w:r>
    <w:r>
      <w:fldChar w:fldCharType="end"/>
    </w:r>
    <w:r>
      <w:tab/>
    </w:r>
    <w:r w:rsidRPr="004D1F15">
      <w:tab/>
    </w:r>
    <w:r w:rsidRPr="004D1F15">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F15" w:rsidRPr="004D1F15" w:rsidRDefault="004D1F15" w:rsidP="004D1F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384" w:rsidRDefault="004D1F15">
      <w:pPr>
        <w:spacing w:before="0" w:after="0"/>
      </w:pPr>
      <w:r>
        <w:separator/>
      </w:r>
    </w:p>
  </w:footnote>
  <w:footnote w:type="continuationSeparator" w:id="0">
    <w:p w:rsidR="00211384" w:rsidRDefault="004D1F15">
      <w:pPr>
        <w:spacing w:before="0" w:after="0"/>
      </w:pPr>
      <w:r>
        <w:continuationSeparator/>
      </w:r>
    </w:p>
  </w:footnote>
  <w:footnote w:type="continuationNotice" w:id="1">
    <w:p w:rsidR="00211384" w:rsidRDefault="00211384">
      <w:pPr>
        <w:spacing w:before="0" w:after="0"/>
      </w:pPr>
    </w:p>
  </w:footnote>
  <w:footnote w:id="2">
    <w:p w:rsidR="00211384" w:rsidRDefault="004D1F15">
      <w:pPr>
        <w:pStyle w:val="FootnoteText"/>
        <w:rPr>
          <w:lang w:val="pl-PL"/>
        </w:rPr>
      </w:pPr>
      <w:r>
        <w:rPr>
          <w:rStyle w:val="FootnoteReference"/>
        </w:rPr>
        <w:footnoteRef/>
      </w:r>
      <w:r>
        <w:rPr>
          <w:lang w:val="pl-PL"/>
        </w:rPr>
        <w:tab/>
        <w:t xml:space="preserve">OJ </w:t>
      </w:r>
      <w:proofErr w:type="gramStart"/>
      <w:r>
        <w:rPr>
          <w:lang w:val="pl-PL"/>
        </w:rPr>
        <w:t xml:space="preserve">C , , </w:t>
      </w:r>
      <w:proofErr w:type="gramEnd"/>
      <w:r>
        <w:rPr>
          <w:lang w:val="pl-PL"/>
        </w:rPr>
        <w:t>p. .</w:t>
      </w:r>
    </w:p>
  </w:footnote>
  <w:footnote w:id="3">
    <w:p w:rsidR="00211384" w:rsidRDefault="004D1F15">
      <w:pPr>
        <w:pStyle w:val="FootnoteText"/>
        <w:rPr>
          <w:lang w:val="pl-PL"/>
        </w:rPr>
      </w:pPr>
      <w:r>
        <w:rPr>
          <w:rStyle w:val="FootnoteReference"/>
        </w:rPr>
        <w:footnoteRef/>
      </w:r>
      <w:r>
        <w:rPr>
          <w:lang w:val="pl-PL"/>
        </w:rPr>
        <w:tab/>
        <w:t xml:space="preserve">OJ </w:t>
      </w:r>
      <w:proofErr w:type="gramStart"/>
      <w:r>
        <w:rPr>
          <w:lang w:val="pl-PL"/>
        </w:rPr>
        <w:t xml:space="preserve">C , , </w:t>
      </w:r>
      <w:proofErr w:type="gramEnd"/>
      <w:r>
        <w:rPr>
          <w:lang w:val="pl-PL"/>
        </w:rPr>
        <w:t xml:space="preserve">p. </w:t>
      </w:r>
      <w:r>
        <w:rPr>
          <w:lang w:val="pl-PL"/>
        </w:rPr>
        <w:t>.</w:t>
      </w:r>
    </w:p>
  </w:footnote>
  <w:footnote w:id="4">
    <w:p w:rsidR="00211384" w:rsidRDefault="004D1F15">
      <w:pPr>
        <w:pStyle w:val="FootnoteText"/>
        <w:rPr>
          <w:lang w:val="pl-PL"/>
        </w:rPr>
      </w:pPr>
      <w:r>
        <w:rPr>
          <w:rStyle w:val="FootnoteReference"/>
        </w:rPr>
        <w:footnoteRef/>
      </w:r>
      <w:r>
        <w:rPr>
          <w:lang w:val="pl-PL"/>
        </w:rPr>
        <w:tab/>
        <w:t xml:space="preserve">OJ </w:t>
      </w:r>
      <w:proofErr w:type="gramStart"/>
      <w:r>
        <w:rPr>
          <w:lang w:val="pl-PL"/>
        </w:rPr>
        <w:t xml:space="preserve">C , , </w:t>
      </w:r>
      <w:proofErr w:type="gramEnd"/>
      <w:r>
        <w:rPr>
          <w:lang w:val="pl-PL"/>
        </w:rPr>
        <w:t>p. .</w:t>
      </w:r>
    </w:p>
    <w:p w:rsidR="00211384" w:rsidRDefault="00211384">
      <w:pPr>
        <w:pStyle w:val="FootnoteText"/>
        <w:ind w:left="0" w:firstLine="0"/>
        <w:rPr>
          <w:lang w:val="pl-PL"/>
        </w:rPr>
      </w:pPr>
    </w:p>
  </w:footnote>
  <w:footnote w:id="5">
    <w:p w:rsidR="00211384" w:rsidRDefault="004D1F15">
      <w:pPr>
        <w:pStyle w:val="FootnoteText"/>
      </w:pPr>
      <w:r>
        <w:rPr>
          <w:rStyle w:val="FootnoteReference"/>
        </w:rPr>
        <w:footnoteRef/>
      </w:r>
      <w:r>
        <w:tab/>
        <w:t>Regulation (EU) No 182/2011 of the European Parliament and of the Council of 16 February 2011 laying down the rules and general principles concerning mechanisms for control by the Member States of the Commission's exercise of implement</w:t>
      </w:r>
      <w:r>
        <w:t>ing powers</w:t>
      </w:r>
      <w:r>
        <w:rPr>
          <w:lang w:val="mt-MT"/>
        </w:rPr>
        <w:t xml:space="preserve"> (</w:t>
      </w:r>
      <w:r>
        <w:t>OJ L 55, 28.2.2011, p. 13)</w:t>
      </w:r>
    </w:p>
  </w:footnote>
  <w:footnote w:id="6">
    <w:p w:rsidR="00211384" w:rsidRDefault="004D1F15">
      <w:pPr>
        <w:pStyle w:val="FootnoteText"/>
      </w:pPr>
      <w:r>
        <w:rPr>
          <w:rStyle w:val="FootnoteReference"/>
        </w:rPr>
        <w:footnoteRef/>
      </w:r>
      <w:r>
        <w:tab/>
        <w:t>Commission Decision 96/282/</w:t>
      </w:r>
      <w:proofErr w:type="spellStart"/>
      <w:r>
        <w:t>Euratom</w:t>
      </w:r>
      <w:proofErr w:type="spellEnd"/>
      <w:r>
        <w:t xml:space="preserve"> of 10 April 1996 on the reorganization of the Joint Research Centre (OJ L 107, 30.4.1996, p. 12).</w:t>
      </w:r>
    </w:p>
  </w:footnote>
  <w:footnote w:id="7">
    <w:p w:rsidR="00211384" w:rsidRDefault="004D1F15">
      <w:pPr>
        <w:pStyle w:val="FootnoteText"/>
      </w:pPr>
      <w:r>
        <w:rPr>
          <w:rStyle w:val="FootnoteReference"/>
        </w:rPr>
        <w:footnoteRef/>
      </w:r>
      <w:r>
        <w:tab/>
        <w:t xml:space="preserve">The </w:t>
      </w:r>
      <w:hyperlink r:id="rId1" w:history="1">
        <w:r>
          <w:t>Communication from the Commission "A new, modern Multiannual Financial Framework for a European Union that deliver efficiently on its priorities post-2020"</w:t>
        </w:r>
      </w:hyperlink>
      <w:r>
        <w:t xml:space="preserve"> identifies EUR 13 billion spent in main digital activities under the Research and Innova</w:t>
      </w:r>
      <w:r>
        <w:t>tion Framework Programme Horizon 2020 (</w:t>
      </w:r>
      <w:hyperlink r:id="rId2" w:history="1">
        <w:r>
          <w:t>https://eur-lex.europa.eu/legal-content/en/ALL/?uri=CELEX%3A52018DC0098</w:t>
        </w:r>
      </w:hyperlink>
      <w:r>
        <w:t>).</w:t>
      </w:r>
    </w:p>
    <w:p w:rsidR="00211384" w:rsidRDefault="00211384">
      <w:pPr>
        <w:pStyle w:val="FootnoteText"/>
      </w:pPr>
    </w:p>
  </w:footnote>
  <w:footnote w:id="8">
    <w:p w:rsidR="00211384" w:rsidRDefault="004D1F15">
      <w:pPr>
        <w:pStyle w:val="FootnoteText"/>
      </w:pPr>
      <w:r>
        <w:rPr>
          <w:rStyle w:val="FootnoteReference"/>
        </w:rPr>
        <w:footnoteRef/>
      </w:r>
      <w:r>
        <w:tab/>
        <w:t xml:space="preserve">OJ C 373, 20.12.2013, p. 23 </w:t>
      </w:r>
    </w:p>
  </w:footnote>
  <w:footnote w:id="9">
    <w:p w:rsidR="00211384" w:rsidRDefault="004D1F15">
      <w:pPr>
        <w:pStyle w:val="FootnoteText"/>
      </w:pPr>
      <w:r>
        <w:rPr>
          <w:rStyle w:val="FootnoteReference"/>
        </w:rPr>
        <w:footnoteRef/>
      </w:r>
      <w:r>
        <w:tab/>
        <w:t>With a view to facili</w:t>
      </w:r>
      <w:r>
        <w:t xml:space="preserve">tating the implementation of the programme, for each meeting of the Programme Committee as defined in the agenda, the Commission will reimburse, in accordance with its established guidelines, the expenses of one representative per Member State, as well as </w:t>
      </w:r>
      <w:r>
        <w:t>one expert/adviser per Member State for those agenda items where a Member State requires specific expertise.</w:t>
      </w:r>
    </w:p>
  </w:footnote>
  <w:footnote w:id="10">
    <w:p w:rsidR="00211384" w:rsidRDefault="004D1F15">
      <w:pPr>
        <w:pStyle w:val="FootnoteText"/>
        <w:rPr>
          <w:szCs w:val="24"/>
        </w:rPr>
      </w:pPr>
      <w:r>
        <w:rPr>
          <w:rStyle w:val="FootnoteReference"/>
        </w:rPr>
        <w:footnoteRef/>
      </w:r>
      <w:r>
        <w:tab/>
        <w:t>As referred to in Article 58(2</w:t>
      </w:r>
      <w:proofErr w:type="gramStart"/>
      <w:r>
        <w:t>)(</w:t>
      </w:r>
      <w:proofErr w:type="gramEnd"/>
      <w:r>
        <w:t>a) or (b) of the Financial Regulation.</w:t>
      </w:r>
    </w:p>
  </w:footnote>
  <w:footnote w:id="11">
    <w:p w:rsidR="00211384" w:rsidRDefault="004D1F15">
      <w:pPr>
        <w:pStyle w:val="FootnoteText"/>
        <w:jc w:val="left"/>
        <w:rPr>
          <w:szCs w:val="24"/>
        </w:rPr>
      </w:pPr>
      <w:r>
        <w:rPr>
          <w:rStyle w:val="FootnoteReference"/>
        </w:rPr>
        <w:footnoteRef/>
      </w:r>
      <w:r>
        <w:tab/>
        <w:t>Details of management modes and references to the Financial Regulation m</w:t>
      </w:r>
      <w:r>
        <w:t xml:space="preserve">ay be found on the </w:t>
      </w:r>
      <w:proofErr w:type="spellStart"/>
      <w:r>
        <w:t>BudgWeb</w:t>
      </w:r>
      <w:proofErr w:type="spellEnd"/>
      <w:r>
        <w:t xml:space="preserve"> site: </w:t>
      </w:r>
      <w:hyperlink r:id="rId3" w:history="1">
        <w:r>
          <w:rPr>
            <w:rStyle w:val="Hyperlink"/>
            <w:szCs w:val="24"/>
          </w:rPr>
          <w:t>https://myintracomm.ec.europa.eu/budgweb/EN/man/budgmanag/Pages/budgmanag.aspx</w:t>
        </w:r>
      </w:hyperlink>
      <w:r>
        <w:rPr>
          <w:szCs w:val="24"/>
        </w:rPr>
        <w:t xml:space="preserve"> </w:t>
      </w:r>
    </w:p>
  </w:footnote>
  <w:footnote w:id="12">
    <w:p w:rsidR="00211384" w:rsidRDefault="004D1F15">
      <w:pPr>
        <w:pStyle w:val="FootnoteText"/>
      </w:pPr>
      <w:r>
        <w:rPr>
          <w:rStyle w:val="FootnoteReference"/>
        </w:rPr>
        <w:footnoteRef/>
      </w:r>
      <w:r>
        <w:tab/>
        <w:t xml:space="preserve">% of the value in EUR vs all adjustments in </w:t>
      </w:r>
      <w:r>
        <w:t>direct costs in favour of the EU Budget</w:t>
      </w:r>
    </w:p>
  </w:footnote>
  <w:footnote w:id="13">
    <w:p w:rsidR="00211384" w:rsidRDefault="004D1F15">
      <w:pPr>
        <w:pStyle w:val="FootnoteText"/>
      </w:pPr>
      <w:r>
        <w:rPr>
          <w:rStyle w:val="FootnoteReference"/>
        </w:rPr>
        <w:footnoteRef/>
      </w:r>
      <w:r>
        <w:tab/>
        <w:t xml:space="preserve">The estimated financial impact for operational expenditure is presented at the level of budget articles for the four programme parts. A further breakdown of the budget, based on the strategic planning, </w:t>
      </w:r>
      <w:proofErr w:type="gramStart"/>
      <w:r>
        <w:t>might  be</w:t>
      </w:r>
      <w:proofErr w:type="gramEnd"/>
      <w:r>
        <w:t xml:space="preserve"> su</w:t>
      </w:r>
      <w:r>
        <w:t>bmitted as part of the annual budgetary procedures.</w:t>
      </w:r>
    </w:p>
  </w:footnote>
  <w:footnote w:id="14">
    <w:p w:rsidR="00211384" w:rsidRDefault="004D1F15">
      <w:pPr>
        <w:pStyle w:val="FootnoteText"/>
        <w:rPr>
          <w:szCs w:val="24"/>
        </w:rPr>
      </w:pPr>
      <w:r>
        <w:rPr>
          <w:rStyle w:val="FootnoteReference"/>
        </w:rPr>
        <w:footnoteRef/>
      </w:r>
      <w:r>
        <w:tab/>
        <w:t>Diff. = Differentiated appropriations / Non-diff. = Non-differentiated appropriations.</w:t>
      </w:r>
    </w:p>
  </w:footnote>
  <w:footnote w:id="15">
    <w:p w:rsidR="00211384" w:rsidRDefault="004D1F15">
      <w:pPr>
        <w:pStyle w:val="FootnoteText"/>
        <w:rPr>
          <w:szCs w:val="24"/>
        </w:rPr>
      </w:pPr>
      <w:r>
        <w:rPr>
          <w:rStyle w:val="FootnoteReference"/>
        </w:rPr>
        <w:footnoteRef/>
      </w:r>
      <w:r>
        <w:tab/>
        <w:t xml:space="preserve">EFTA: European Free Trade Association. </w:t>
      </w:r>
    </w:p>
  </w:footnote>
  <w:footnote w:id="16">
    <w:p w:rsidR="00211384" w:rsidRDefault="004D1F15">
      <w:pPr>
        <w:pStyle w:val="FootnoteText"/>
        <w:rPr>
          <w:szCs w:val="24"/>
        </w:rPr>
      </w:pPr>
      <w:r>
        <w:rPr>
          <w:rStyle w:val="FootnoteReference"/>
        </w:rPr>
        <w:footnoteRef/>
      </w:r>
      <w:r>
        <w:tab/>
      </w:r>
      <w:proofErr w:type="gramStart"/>
      <w:r>
        <w:t>Candidate countries and, where applicable, potential candidates from th</w:t>
      </w:r>
      <w:r>
        <w:t>e Western Balkans.</w:t>
      </w:r>
      <w:proofErr w:type="gramEnd"/>
    </w:p>
  </w:footnote>
  <w:footnote w:id="17">
    <w:p w:rsidR="00211384" w:rsidRDefault="004D1F15">
      <w:pPr>
        <w:pStyle w:val="FootnoteText"/>
        <w:rPr>
          <w:szCs w:val="24"/>
        </w:rPr>
      </w:pPr>
      <w:r>
        <w:rPr>
          <w:rStyle w:val="FootnoteReference"/>
        </w:rPr>
        <w:footnoteRef/>
      </w:r>
      <w:r>
        <w:tab/>
      </w:r>
      <w:proofErr w:type="gramStart"/>
      <w:r>
        <w:t>Technical and/or administrative assistance and expenditure in support of the implementation of EU programmes and/or actions (former ‘BA’ lines), indirect research, direct research.</w:t>
      </w:r>
      <w:proofErr w:type="gramEnd"/>
    </w:p>
  </w:footnote>
  <w:footnote w:id="18">
    <w:p w:rsidR="00211384" w:rsidRDefault="004D1F15">
      <w:pPr>
        <w:pStyle w:val="FootnoteText"/>
        <w:rPr>
          <w:szCs w:val="24"/>
        </w:rPr>
      </w:pPr>
      <w:r>
        <w:rPr>
          <w:rStyle w:val="FootnoteReference"/>
        </w:rPr>
        <w:footnoteRef/>
      </w:r>
      <w:r>
        <w:tab/>
      </w:r>
      <w:proofErr w:type="gramStart"/>
      <w:r>
        <w:t>Technical and/or administrative assistance and expen</w:t>
      </w:r>
      <w:r>
        <w:t>diture in support of the implementation of EU programmes and/or actions (former ‘BA’ lines), indirect research, direct research.</w:t>
      </w:r>
      <w:proofErr w:type="gramEnd"/>
    </w:p>
  </w:footnote>
  <w:footnote w:id="19">
    <w:p w:rsidR="00211384" w:rsidRDefault="004D1F15">
      <w:pPr>
        <w:pStyle w:val="FootnoteText"/>
      </w:pPr>
      <w:r>
        <w:rPr>
          <w:rStyle w:val="FootnoteReference"/>
        </w:rPr>
        <w:footnoteRef/>
      </w:r>
      <w:r>
        <w:tab/>
        <w:t>These figures include only the authorised staff in place in 2020 in Directorates General and do not include the necessary sta</w:t>
      </w:r>
      <w:r>
        <w:t xml:space="preserve">ff that will be needed for executive agencies, Joint Undertakings, and other decentralised bodies, as well as the additional staff paid from the contributions of the future associated countries. </w:t>
      </w:r>
    </w:p>
  </w:footnote>
  <w:footnote w:id="20">
    <w:p w:rsidR="00211384" w:rsidRDefault="004D1F15">
      <w:pPr>
        <w:pStyle w:val="FootnoteText"/>
      </w:pPr>
      <w:r>
        <w:rPr>
          <w:rStyle w:val="FootnoteReference"/>
        </w:rPr>
        <w:footnoteRef/>
      </w:r>
      <w:r>
        <w:tab/>
        <w:t>These figures represent the estimated maximum administrati</w:t>
      </w:r>
      <w:r>
        <w:t>ve expenditures needed for the implementation of the legal base. These figures include also the subsidies needed by the executive agencies (including staff expenditure) that will implement part of Horizon Europe. In this context, these amounts will be adju</w:t>
      </w:r>
      <w:r>
        <w:t xml:space="preserve">sted as a result of the envisaged externalisation procedure. </w:t>
      </w:r>
    </w:p>
    <w:p w:rsidR="00211384" w:rsidRDefault="00211384">
      <w:pPr>
        <w:pStyle w:val="FootnoteText"/>
      </w:pPr>
    </w:p>
  </w:footnote>
  <w:footnote w:id="21">
    <w:p w:rsidR="00211384" w:rsidRDefault="004D1F15">
      <w:pPr>
        <w:pStyle w:val="FootnoteText"/>
      </w:pPr>
      <w:r>
        <w:rPr>
          <w:rStyle w:val="FootnoteReference"/>
        </w:rPr>
        <w:footnoteRef/>
      </w:r>
      <w:r>
        <w:tab/>
        <w:t>These figures include only the authorised staff in place in 2020 in Directorates General and do not include the necessary staff that will be needed for executive agencies, Joint Undertakings,</w:t>
      </w:r>
      <w:r>
        <w:t xml:space="preserve"> and other decentralised bodies, as well as the additional staff paid from the contributions of the future associated countries.</w:t>
      </w:r>
    </w:p>
  </w:footnote>
  <w:footnote w:id="22">
    <w:p w:rsidR="00211384" w:rsidRDefault="004D1F15">
      <w:pPr>
        <w:pStyle w:val="FootnoteText"/>
        <w:rPr>
          <w:szCs w:val="24"/>
        </w:rPr>
      </w:pPr>
      <w:r>
        <w:rPr>
          <w:rStyle w:val="FootnoteReference"/>
        </w:rPr>
        <w:footnoteRef/>
      </w:r>
      <w:r>
        <w:tab/>
        <w:t>AC= Contract Staff; AL = Local Staff; END = Seconded National Expert; INT = agency staff; JPD= Junior Professionals in Delega</w:t>
      </w:r>
      <w:r>
        <w:t xml:space="preserve">tions. </w:t>
      </w:r>
    </w:p>
  </w:footnote>
  <w:footnote w:id="23">
    <w:p w:rsidR="00211384" w:rsidRDefault="004D1F15">
      <w:pPr>
        <w:pStyle w:val="FootnoteText"/>
        <w:rPr>
          <w:szCs w:val="24"/>
        </w:rPr>
      </w:pPr>
      <w:r>
        <w:rPr>
          <w:rStyle w:val="FootnoteReference"/>
        </w:rPr>
        <w:footnoteRef/>
      </w:r>
      <w:r>
        <w:tab/>
      </w:r>
      <w:proofErr w:type="gramStart"/>
      <w:r>
        <w:t>Sub-ceiling for external staff covered by operational appropriations (former ‘BA’ lines).</w:t>
      </w:r>
      <w:proofErr w:type="gramEnd"/>
    </w:p>
  </w:footnote>
  <w:footnote w:id="24">
    <w:p w:rsidR="00211384" w:rsidRDefault="004D1F15">
      <w:pPr>
        <w:pStyle w:val="FootnoteText"/>
      </w:pPr>
      <w:r>
        <w:rPr>
          <w:rStyle w:val="FootnoteReference"/>
        </w:rPr>
        <w:footnoteRef/>
      </w:r>
      <w:r>
        <w:tab/>
        <w:t xml:space="preserve">Bilateral Association Agreements are not fixed yet. Contributions from associated countries will come on top of the amounts presented in this Legislative </w:t>
      </w:r>
      <w:r>
        <w:t>Financial Statement.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F15" w:rsidRPr="004D1F15" w:rsidRDefault="004D1F15" w:rsidP="004D1F15">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384" w:rsidRDefault="00211384" w:rsidP="004D1F15">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F15" w:rsidRPr="004D1F15" w:rsidRDefault="004D1F15" w:rsidP="004D1F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F15" w:rsidRPr="004D1F15" w:rsidRDefault="004D1F15" w:rsidP="004D1F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F15" w:rsidRPr="004D1F15" w:rsidRDefault="004D1F15" w:rsidP="004D1F1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384" w:rsidRDefault="0021138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F15" w:rsidRPr="004D1F15" w:rsidRDefault="004D1F15" w:rsidP="004D1F1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384" w:rsidRDefault="00211384" w:rsidP="004D1F1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F15" w:rsidRPr="004D1F15" w:rsidRDefault="004D1F15" w:rsidP="004D1F15">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F15" w:rsidRDefault="004D1F15" w:rsidP="004D1F15">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F15" w:rsidRPr="004D1F15" w:rsidRDefault="004D1F15" w:rsidP="004D1F15">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14AD79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488D2B8"/>
    <w:lvl w:ilvl="0">
      <w:start w:val="1"/>
      <w:numFmt w:val="decimal"/>
      <w:pStyle w:val="ListNumber3"/>
      <w:lvlText w:val="%1."/>
      <w:lvlJc w:val="left"/>
      <w:pPr>
        <w:tabs>
          <w:tab w:val="num" w:pos="926"/>
        </w:tabs>
        <w:ind w:left="926" w:hanging="360"/>
      </w:pPr>
    </w:lvl>
  </w:abstractNum>
  <w:abstractNum w:abstractNumId="2">
    <w:nsid w:val="FFFFFF7F"/>
    <w:multiLevelType w:val="singleLevel"/>
    <w:tmpl w:val="292AAA5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AAE600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20A25A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650478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4B072D5"/>
    <w:multiLevelType w:val="hybridMultilevel"/>
    <w:tmpl w:val="65D62D64"/>
    <w:lvl w:ilvl="0" w:tplc="C31C8772">
      <w:start w:val="1"/>
      <w:numFmt w:val="decimal"/>
      <w:lvlText w:val="(%1)"/>
      <w:lvlJc w:val="left"/>
      <w:pPr>
        <w:ind w:left="786" w:hanging="360"/>
      </w:pPr>
      <w:rPr>
        <w:rFonts w:ascii="Times New Roman" w:hAnsi="Times New Roman" w:cs="Times New Roman" w:hint="default"/>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62C6A95"/>
    <w:multiLevelType w:val="singleLevel"/>
    <w:tmpl w:val="02BAFA82"/>
    <w:name w:val="List Bullet 1"/>
    <w:styleLink w:val="NumbLstTableBullet8"/>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8">
    <w:nsid w:val="14E24C82"/>
    <w:multiLevelType w:val="multilevel"/>
    <w:tmpl w:val="22C2E1B6"/>
    <w:styleLink w:val="appendix"/>
    <w:lvl w:ilvl="0">
      <w:start w:val="1"/>
      <w:numFmt w:val="decimal"/>
      <w:pStyle w:val="AppendixH1"/>
      <w:lvlText w:val="%1 "/>
      <w:lvlJc w:val="left"/>
      <w:pPr>
        <w:ind w:left="454" w:hanging="454"/>
      </w:pPr>
      <w:rPr>
        <w:rFonts w:ascii="Times New Roman" w:hAnsi="Times New Roman" w:hint="default"/>
        <w:b/>
        <w:sz w:val="24"/>
      </w:rPr>
    </w:lvl>
    <w:lvl w:ilvl="1">
      <w:start w:val="1"/>
      <w:numFmt w:val="decimal"/>
      <w:pStyle w:val="AppendixH2"/>
      <w:lvlText w:val="%1.%2"/>
      <w:lvlJc w:val="left"/>
      <w:pPr>
        <w:ind w:left="454" w:hanging="646"/>
      </w:pPr>
      <w:rPr>
        <w:rFonts w:ascii="Times New Roman" w:hAnsi="Times New Roman" w:hint="default"/>
        <w:b/>
        <w:sz w:val="24"/>
      </w:rPr>
    </w:lvl>
    <w:lvl w:ilvl="2">
      <w:start w:val="1"/>
      <w:numFmt w:val="decimal"/>
      <w:pStyle w:val="AppendixH3"/>
      <w:lvlText w:val="%1.%2.%3"/>
      <w:lvlJc w:val="left"/>
      <w:pPr>
        <w:ind w:left="454" w:hanging="454"/>
      </w:pPr>
      <w:rPr>
        <w:rFonts w:ascii="Times New Roman" w:hAnsi="Times New Roman" w:hint="default"/>
        <w:i/>
        <w:sz w:val="24"/>
      </w:rPr>
    </w:lvl>
    <w:lvl w:ilvl="3">
      <w:start w:val="1"/>
      <w:numFmt w:val="decimal"/>
      <w:lvlText w:val="(%4)"/>
      <w:lvlJc w:val="left"/>
      <w:pPr>
        <w:ind w:left="1608" w:hanging="360"/>
      </w:pPr>
      <w:rPr>
        <w:rFonts w:hint="default"/>
      </w:rPr>
    </w:lvl>
    <w:lvl w:ilvl="4">
      <w:start w:val="1"/>
      <w:numFmt w:val="lowerLetter"/>
      <w:lvlText w:val="(%5)"/>
      <w:lvlJc w:val="left"/>
      <w:pPr>
        <w:ind w:left="1968" w:hanging="360"/>
      </w:pPr>
      <w:rPr>
        <w:rFonts w:hint="default"/>
      </w:rPr>
    </w:lvl>
    <w:lvl w:ilvl="5">
      <w:start w:val="1"/>
      <w:numFmt w:val="lowerRoman"/>
      <w:lvlText w:val="(%6)"/>
      <w:lvlJc w:val="left"/>
      <w:pPr>
        <w:ind w:left="2328" w:hanging="360"/>
      </w:pPr>
      <w:rPr>
        <w:rFonts w:hint="default"/>
      </w:rPr>
    </w:lvl>
    <w:lvl w:ilvl="6">
      <w:start w:val="1"/>
      <w:numFmt w:val="decimal"/>
      <w:lvlText w:val="%7."/>
      <w:lvlJc w:val="left"/>
      <w:pPr>
        <w:ind w:left="2688" w:hanging="360"/>
      </w:pPr>
      <w:rPr>
        <w:rFonts w:hint="default"/>
      </w:rPr>
    </w:lvl>
    <w:lvl w:ilvl="7">
      <w:start w:val="1"/>
      <w:numFmt w:val="lowerLetter"/>
      <w:lvlText w:val="%8."/>
      <w:lvlJc w:val="left"/>
      <w:pPr>
        <w:ind w:left="3048" w:hanging="360"/>
      </w:pPr>
      <w:rPr>
        <w:rFonts w:hint="default"/>
      </w:rPr>
    </w:lvl>
    <w:lvl w:ilvl="8">
      <w:start w:val="1"/>
      <w:numFmt w:val="lowerRoman"/>
      <w:lvlText w:val="%9."/>
      <w:lvlJc w:val="left"/>
      <w:pPr>
        <w:ind w:left="3408" w:hanging="360"/>
      </w:pPr>
      <w:rPr>
        <w:rFonts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7">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17"/>
  </w:num>
  <w:num w:numId="3">
    <w:abstractNumId w:val="16"/>
  </w:num>
  <w:num w:numId="4">
    <w:abstractNumId w:val="25"/>
  </w:num>
  <w:num w:numId="5">
    <w:abstractNumId w:val="22"/>
  </w:num>
  <w:num w:numId="6">
    <w:abstractNumId w:val="5"/>
  </w:num>
  <w:num w:numId="7">
    <w:abstractNumId w:val="4"/>
  </w:num>
  <w:num w:numId="8">
    <w:abstractNumId w:val="3"/>
  </w:num>
  <w:num w:numId="9">
    <w:abstractNumId w:val="8"/>
    <w:lvlOverride w:ilvl="0">
      <w:lvl w:ilvl="0">
        <w:start w:val="1"/>
        <w:numFmt w:val="decimal"/>
        <w:pStyle w:val="AppendixH1"/>
        <w:lvlText w:val="%1 "/>
        <w:lvlJc w:val="left"/>
        <w:pPr>
          <w:ind w:left="454" w:hanging="45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AppendixH2"/>
        <w:lvlText w:val="%1.%2"/>
        <w:lvlJc w:val="left"/>
        <w:pPr>
          <w:ind w:left="454" w:hanging="646"/>
        </w:pPr>
        <w:rPr>
          <w:rFonts w:ascii="Times New Roman" w:hAnsi="Times New Roman" w:hint="default"/>
          <w:b/>
          <w:sz w:val="24"/>
        </w:rPr>
      </w:lvl>
    </w:lvlOverride>
    <w:lvlOverride w:ilvl="2">
      <w:lvl w:ilvl="2">
        <w:start w:val="1"/>
        <w:numFmt w:val="decimal"/>
        <w:pStyle w:val="AppendixH3"/>
        <w:lvlText w:val="%1.%2.%3"/>
        <w:lvlJc w:val="left"/>
        <w:pPr>
          <w:ind w:left="454" w:hanging="454"/>
        </w:pPr>
        <w:rPr>
          <w:rFonts w:ascii="Times New Roman" w:hAnsi="Times New Roman" w:hint="default"/>
          <w:i/>
          <w:sz w:val="24"/>
        </w:rPr>
      </w:lvl>
    </w:lvlOverride>
    <w:lvlOverride w:ilvl="3">
      <w:lvl w:ilvl="3">
        <w:start w:val="1"/>
        <w:numFmt w:val="decimal"/>
        <w:lvlText w:val="(%4)"/>
        <w:lvlJc w:val="left"/>
        <w:pPr>
          <w:ind w:left="1608" w:hanging="360"/>
        </w:pPr>
        <w:rPr>
          <w:rFonts w:hint="default"/>
        </w:rPr>
      </w:lvl>
    </w:lvlOverride>
    <w:lvlOverride w:ilvl="4">
      <w:lvl w:ilvl="4">
        <w:start w:val="1"/>
        <w:numFmt w:val="lowerLetter"/>
        <w:lvlText w:val="(%5)"/>
        <w:lvlJc w:val="left"/>
        <w:pPr>
          <w:ind w:left="1968" w:hanging="360"/>
        </w:pPr>
        <w:rPr>
          <w:rFonts w:hint="default"/>
        </w:rPr>
      </w:lvl>
    </w:lvlOverride>
    <w:lvlOverride w:ilvl="5">
      <w:lvl w:ilvl="5">
        <w:start w:val="1"/>
        <w:numFmt w:val="lowerRoman"/>
        <w:lvlText w:val="(%6)"/>
        <w:lvlJc w:val="left"/>
        <w:pPr>
          <w:ind w:left="2328" w:hanging="360"/>
        </w:pPr>
        <w:rPr>
          <w:rFonts w:hint="default"/>
        </w:rPr>
      </w:lvl>
    </w:lvlOverride>
    <w:lvlOverride w:ilvl="6">
      <w:lvl w:ilvl="6">
        <w:start w:val="1"/>
        <w:numFmt w:val="decimal"/>
        <w:lvlText w:val="%7."/>
        <w:lvlJc w:val="left"/>
        <w:pPr>
          <w:ind w:left="2688" w:hanging="360"/>
        </w:pPr>
        <w:rPr>
          <w:rFonts w:hint="default"/>
        </w:rPr>
      </w:lvl>
    </w:lvlOverride>
    <w:lvlOverride w:ilvl="7">
      <w:lvl w:ilvl="7">
        <w:start w:val="1"/>
        <w:numFmt w:val="lowerLetter"/>
        <w:lvlText w:val="%8."/>
        <w:lvlJc w:val="left"/>
        <w:pPr>
          <w:ind w:left="3048" w:hanging="360"/>
        </w:pPr>
        <w:rPr>
          <w:rFonts w:hint="default"/>
        </w:rPr>
      </w:lvl>
    </w:lvlOverride>
    <w:lvlOverride w:ilvl="8">
      <w:lvl w:ilvl="8">
        <w:start w:val="1"/>
        <w:numFmt w:val="lowerRoman"/>
        <w:lvlText w:val="%9."/>
        <w:lvlJc w:val="left"/>
        <w:pPr>
          <w:ind w:left="3408" w:hanging="360"/>
        </w:pPr>
        <w:rPr>
          <w:rFonts w:hint="default"/>
        </w:rPr>
      </w:lvl>
    </w:lvlOverride>
  </w:num>
  <w:num w:numId="10">
    <w:abstractNumId w:val="0"/>
  </w:num>
  <w:num w:numId="11">
    <w:abstractNumId w:val="8"/>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
  </w:num>
  <w:num w:numId="15">
    <w:abstractNumId w:val="15"/>
    <w:lvlOverride w:ilvl="0">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21"/>
  </w:num>
  <w:num w:numId="22">
    <w:abstractNumId w:val="13"/>
  </w:num>
  <w:num w:numId="23">
    <w:abstractNumId w:val="24"/>
  </w:num>
  <w:num w:numId="24">
    <w:abstractNumId w:val="12"/>
  </w:num>
  <w:num w:numId="25">
    <w:abstractNumId w:val="14"/>
  </w:num>
  <w:num w:numId="26">
    <w:abstractNumId w:val="10"/>
  </w:num>
  <w:num w:numId="27">
    <w:abstractNumId w:val="23"/>
  </w:num>
  <w:num w:numId="28">
    <w:abstractNumId w:val="9"/>
  </w:num>
  <w:num w:numId="29">
    <w:abstractNumId w:val="15"/>
  </w:num>
  <w:num w:numId="30">
    <w:abstractNumId w:val="19"/>
  </w:num>
  <w:num w:numId="31">
    <w:abstractNumId w:val="20"/>
  </w:num>
  <w:num w:numId="32">
    <w:abstractNumId w:val="11"/>
  </w:num>
  <w:num w:numId="33">
    <w:abstractNumId w:val="18"/>
  </w:num>
  <w:num w:numId="34">
    <w:abstractNumId w:val="26"/>
  </w:num>
  <w:num w:numId="35">
    <w:abstractNumId w:val="21"/>
    <w:lvlOverride w:ilvl="0">
      <w:startOverride w:val="1"/>
    </w:lvlOverride>
  </w:num>
  <w:num w:numId="36">
    <w:abstractNumId w:val="21"/>
  </w:num>
  <w:num w:numId="37">
    <w:abstractNumId w:val="13"/>
  </w:num>
  <w:num w:numId="38">
    <w:abstractNumId w:val="24"/>
  </w:num>
  <w:num w:numId="39">
    <w:abstractNumId w:val="12"/>
  </w:num>
  <w:num w:numId="40">
    <w:abstractNumId w:val="14"/>
  </w:num>
  <w:num w:numId="41">
    <w:abstractNumId w:val="10"/>
  </w:num>
  <w:num w:numId="42">
    <w:abstractNumId w:val="23"/>
  </w:num>
  <w:num w:numId="43">
    <w:abstractNumId w:val="9"/>
  </w:num>
  <w:num w:numId="44">
    <w:abstractNumId w:val="15"/>
  </w:num>
  <w:num w:numId="45">
    <w:abstractNumId w:val="19"/>
  </w:num>
  <w:num w:numId="46">
    <w:abstractNumId w:val="20"/>
  </w:num>
  <w:num w:numId="47">
    <w:abstractNumId w:val="11"/>
  </w:num>
  <w:num w:numId="48">
    <w:abstractNumId w:val="18"/>
  </w:num>
  <w:num w:numId="49">
    <w:abstractNumId w:val="26"/>
  </w:num>
  <w:num w:numId="50">
    <w:abstractNumId w:val="26"/>
    <w:lvlOverride w:ilvl="0">
      <w:startOverride w:val="1"/>
    </w:lvlOverride>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BATIER Nicolas (RTD)">
    <w15:presenceInfo w15:providerId="None" w15:userId="SABATIER Nicolas (RT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proofState w:spelling="clean" w:grammar="clean"/>
  <w:attachedTemplate r:id="rId1"/>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05 17:57:06"/>
    <w:docVar w:name="DQCResult_Distribution" w:val="-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41"/>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0B84D85F-80B0-4B74-A4D0-468015106390"/>
    <w:docVar w:name="LW_COVERPAGE_TYPE" w:val="1"/>
    <w:docVar w:name="LW_CROSSREFERENCE" w:val="{SEC(2018) 291 final}_x000a_{SWD(2018) 307 final}_x000a_{SWD(2018) 308 final}_x000a_{SWD(2018) 309 final}"/>
    <w:docVar w:name="LW_DocType" w:val="COM"/>
    <w:docVar w:name="LW_EMISSION" w:val="7.6.2018"/>
    <w:docVar w:name="LW_EMISSION_ISODATE" w:val="2018-06-07"/>
    <w:docVar w:name="LW_EMISSION_LOCATION" w:val="BRX"/>
    <w:docVar w:name="LW_EMISSION_PREFIX" w:val="Brussels,"/>
    <w:docVar w:name="LW_EMISSION_SUFFIX" w:val="&lt;EMPTY&gt;"/>
    <w:docVar w:name="LW_ID_DOCMODEL" w:val="SJ-025"/>
    <w:docVar w:name="LW_ID_DOCSIGNATURE" w:val="SJ-025"/>
    <w:docVar w:name="LW_ID_DOCSTRUCTURE" w:val="COM/PL/ORG"/>
    <w:docVar w:name="LW_ID_DOCTYPE" w:val="SJ-025"/>
    <w:docVar w:name="LW_ID_EXP.MOTIFS.NEW" w:val="EM_PL_"/>
    <w:docVar w:name="LW_ID_STATUT" w:val="SJ-025"/>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225"/>
    <w:docVar w:name="LW_REF.II.NEW.CP_YEAR" w:val="2018"/>
    <w:docVar w:name="LW_REF.INST.NEW" w:val="COM"/>
    <w:docVar w:name="LW_REF.INST.NEW_ADOPTED" w:val="final"/>
    <w:docVar w:name="LW_REF.INST.NEW_TEXT" w:val="(2018) 43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establishing the specific programme implementing Horizon Europe \u8211? the Framework Programme for Research and Innovation"/>
    <w:docVar w:name="LW_TYPE.DOC.CP" w:val="DECISION OF THE EUROPEAN PARLIAMENT AND OF THE COUNCIL"/>
  </w:docVars>
  <w:rsids>
    <w:rsidRoot w:val="00211384"/>
    <w:rsid w:val="00211384"/>
    <w:rsid w:val="004D1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annotation reference" w:uiPriority="0"/>
    <w:lsdException w:name="page number" w:uiPriority="0"/>
    <w:lsdException w:name="List Bullet" w:uiPriority="0"/>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BalloonText">
    <w:name w:val="Balloon Text"/>
    <w:basedOn w:val="Normal"/>
    <w:link w:val="BalloonTextChar"/>
    <w:semiHidden/>
    <w:unhideWhenUsed/>
    <w:pPr>
      <w:spacing w:before="0" w:after="0"/>
      <w:jc w:val="left"/>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lang w:val="en-GB"/>
    </w:rPr>
  </w:style>
  <w:style w:type="paragraph" w:styleId="ListParagraph">
    <w:name w:val="List Paragraph"/>
    <w:aliases w:val="Nad,Odstavec_muj,Table/Figure Heading,Colorful List - Accent 11,Dot pt,F5 List Paragraph,List Paragraph1,No Spacing1,List Paragraph Char Char Char,Indicator Text,Numbered Para 1,Bullet Points,MAIN CONTENT,List Paragraph11,L"/>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aliases w:val="Nad Char,Odstavec_muj Char,Table/Figure Heading Char,Colorful List - Accent 11 Char,Dot pt Char,F5 List Paragraph Char,List Paragraph1 Char,No Spacing1 Char,List Paragraph Char Char Char Char,Indicator Text Char,Numbered Para 1 Char"/>
    <w:basedOn w:val="DefaultParagraphFont"/>
    <w:link w:val="ListParagraph"/>
    <w:uiPriority w:val="34"/>
    <w:locked/>
    <w:rPr>
      <w:lang w:val="en-GB"/>
    </w:rPr>
  </w:style>
  <w:style w:type="table" w:styleId="TableGrid">
    <w:name w:val="Table Grid"/>
    <w:aliases w:val="Document Table,CV1,Standard table format"/>
    <w:basedOn w:val="TableNormal"/>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andardtableformat1">
    <w:name w:val="Standard table format1"/>
    <w:basedOn w:val="TableNormal"/>
    <w:next w:val="TableGrid"/>
    <w:uiPriority w:val="3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andardtableformat2">
    <w:name w:val="Standard table format2"/>
    <w:basedOn w:val="TableNormal"/>
    <w:next w:val="TableGrid"/>
    <w:uiPriority w:val="3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1">
    <w:name w:val="Appendix H1"/>
    <w:basedOn w:val="Normal"/>
    <w:link w:val="AppendixH1Char"/>
    <w:qFormat/>
    <w:pPr>
      <w:numPr>
        <w:numId w:val="9"/>
      </w:numPr>
      <w:suppressAutoHyphens/>
      <w:autoSpaceDN w:val="0"/>
      <w:spacing w:before="200" w:after="200" w:line="276" w:lineRule="auto"/>
      <w:jc w:val="left"/>
      <w:textAlignment w:val="baseline"/>
      <w:outlineLvl w:val="1"/>
    </w:pPr>
    <w:rPr>
      <w:rFonts w:eastAsia="Calibri"/>
      <w:b/>
      <w:color w:val="7C1B71"/>
      <w:szCs w:val="24"/>
    </w:rPr>
  </w:style>
  <w:style w:type="paragraph" w:customStyle="1" w:styleId="AppendixH2">
    <w:name w:val="Appendix H2"/>
    <w:basedOn w:val="Normal"/>
    <w:qFormat/>
    <w:pPr>
      <w:numPr>
        <w:ilvl w:val="1"/>
        <w:numId w:val="9"/>
      </w:numPr>
      <w:suppressAutoHyphens/>
      <w:autoSpaceDN w:val="0"/>
      <w:spacing w:before="0" w:after="200" w:line="276" w:lineRule="auto"/>
      <w:ind w:left="646"/>
      <w:jc w:val="left"/>
      <w:textAlignment w:val="baseline"/>
    </w:pPr>
    <w:rPr>
      <w:rFonts w:eastAsia="Calibri"/>
      <w:b/>
      <w:color w:val="7C1B71"/>
      <w:szCs w:val="24"/>
    </w:rPr>
  </w:style>
  <w:style w:type="character" w:customStyle="1" w:styleId="AppendixH1Char">
    <w:name w:val="Appendix H1 Char"/>
    <w:basedOn w:val="DefaultParagraphFont"/>
    <w:link w:val="AppendixH1"/>
    <w:rPr>
      <w:rFonts w:ascii="Times New Roman" w:eastAsia="Calibri" w:hAnsi="Times New Roman" w:cs="Times New Roman"/>
      <w:b/>
      <w:color w:val="7C1B71"/>
      <w:sz w:val="24"/>
      <w:szCs w:val="24"/>
      <w:lang w:val="en-GB"/>
    </w:rPr>
  </w:style>
  <w:style w:type="paragraph" w:customStyle="1" w:styleId="AppendixH3">
    <w:name w:val="Appendix H3"/>
    <w:basedOn w:val="Normal"/>
    <w:qFormat/>
    <w:pPr>
      <w:numPr>
        <w:ilvl w:val="2"/>
        <w:numId w:val="9"/>
      </w:numPr>
      <w:suppressAutoHyphens/>
      <w:autoSpaceDN w:val="0"/>
      <w:spacing w:before="0" w:after="200" w:line="276" w:lineRule="auto"/>
      <w:jc w:val="left"/>
      <w:textAlignment w:val="baseline"/>
    </w:pPr>
    <w:rPr>
      <w:rFonts w:eastAsia="Calibri"/>
      <w:i/>
      <w:szCs w:val="24"/>
    </w:rPr>
  </w:style>
  <w:style w:type="numbering" w:customStyle="1" w:styleId="appendix">
    <w:name w:val="appendix"/>
    <w:uiPriority w:val="99"/>
    <w:pPr>
      <w:numPr>
        <w:numId w:val="11"/>
      </w:numPr>
    </w:pPr>
  </w:style>
  <w:style w:type="paragraph" w:styleId="NormalWeb">
    <w:name w:val="Normal (Web)"/>
    <w:basedOn w:val="Normal"/>
    <w:uiPriority w:val="99"/>
    <w:unhideWhenUsed/>
    <w:pPr>
      <w:spacing w:before="0" w:after="200" w:line="276" w:lineRule="auto"/>
      <w:jc w:val="left"/>
    </w:pPr>
    <w:rPr>
      <w:szCs w:val="24"/>
    </w:rPr>
  </w:style>
  <w:style w:type="paragraph" w:customStyle="1" w:styleId="Footnotenumber">
    <w:name w:val="Footnote number"/>
    <w:aliases w:val="fr"/>
    <w:basedOn w:val="Normal"/>
    <w:uiPriority w:val="99"/>
    <w:pPr>
      <w:spacing w:before="0" w:after="160" w:line="240" w:lineRule="exact"/>
      <w:jc w:val="left"/>
    </w:pPr>
    <w:rPr>
      <w:rFonts w:asciiTheme="minorHAnsi" w:hAnsiTheme="minorHAnsi" w:cstheme="minorBidi"/>
      <w:sz w:val="22"/>
      <w:vertAlign w:val="superscript"/>
    </w:rPr>
  </w:style>
  <w:style w:type="numbering" w:customStyle="1" w:styleId="NumbLstTableBullet8">
    <w:name w:val="NumbLstTableBullet8"/>
    <w:uiPriority w:val="99"/>
    <w:pPr>
      <w:numPr>
        <w:numId w:val="1"/>
      </w:numPr>
    </w:pPr>
  </w:style>
  <w:style w:type="paragraph" w:styleId="EndnoteText">
    <w:name w:val="endnote text"/>
    <w:basedOn w:val="Normal"/>
    <w:link w:val="EndnoteTextChar"/>
    <w:uiPriority w:val="99"/>
    <w:semiHidden/>
    <w:unhideWhenUsed/>
    <w:pPr>
      <w:spacing w:before="0" w:after="0"/>
      <w:jc w:val="left"/>
    </w:pPr>
    <w:rPr>
      <w:rFonts w:asciiTheme="minorHAnsi" w:hAnsiTheme="minorHAnsi" w:cstheme="minorBidi"/>
      <w:sz w:val="20"/>
      <w:szCs w:val="20"/>
    </w:rPr>
  </w:style>
  <w:style w:type="character" w:customStyle="1" w:styleId="EndnoteTextChar">
    <w:name w:val="Endnote Text Char"/>
    <w:basedOn w:val="DefaultParagraphFont"/>
    <w:link w:val="EndnoteText"/>
    <w:uiPriority w:val="99"/>
    <w:semiHidden/>
    <w:rPr>
      <w:sz w:val="20"/>
      <w:szCs w:val="20"/>
      <w:lang w:val="en-GB"/>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numbering" w:customStyle="1" w:styleId="NoList1">
    <w:name w:val="No List1"/>
    <w:next w:val="NoList"/>
    <w:uiPriority w:val="99"/>
    <w:semiHidden/>
    <w:unhideWhenUsed/>
  </w:style>
  <w:style w:type="numbering" w:customStyle="1" w:styleId="NumbLstTableBullet81">
    <w:name w:val="NumbLstTableBullet81"/>
    <w:uiPriority w:val="99"/>
  </w:style>
  <w:style w:type="numbering" w:customStyle="1" w:styleId="NoList2">
    <w:name w:val="No List2"/>
    <w:next w:val="NoList"/>
    <w:uiPriority w:val="99"/>
    <w:semiHidden/>
    <w:unhideWhenUsed/>
  </w:style>
  <w:style w:type="numbering" w:customStyle="1" w:styleId="NumbLstTableBullet82">
    <w:name w:val="NumbLstTableBullet82"/>
    <w:uiPriority w:val="99"/>
  </w:style>
  <w:style w:type="numbering" w:customStyle="1" w:styleId="NumbLstTableBullet83">
    <w:name w:val="NumbLstTableBullet83"/>
    <w:uiPriority w:val="99"/>
  </w:style>
  <w:style w:type="character" w:customStyle="1" w:styleId="st1">
    <w:name w:val="st1"/>
    <w:basedOn w:val="DefaultParagraphFont"/>
  </w:style>
  <w:style w:type="numbering" w:customStyle="1" w:styleId="NumbLstTableBullet84">
    <w:name w:val="NumbLstTableBullet84"/>
    <w:uiPriority w:val="99"/>
  </w:style>
  <w:style w:type="numbering" w:customStyle="1" w:styleId="NoList3">
    <w:name w:val="No List3"/>
    <w:next w:val="NoList"/>
    <w:uiPriority w:val="99"/>
    <w:semiHidden/>
    <w:unhideWhenUsed/>
  </w:style>
  <w:style w:type="character" w:styleId="PageNumber">
    <w:name w:val="page number"/>
    <w:rPr>
      <w:rFonts w:cs="Times New Roman"/>
      <w:lang w:val="en-GB" w:eastAsia="en-GB"/>
    </w:rPr>
  </w:style>
  <w:style w:type="character" w:customStyle="1" w:styleId="tw4winMark">
    <w:name w:val="tw4winMark"/>
    <w:rPr>
      <w:rFonts w:ascii="Times New Roman" w:hAnsi="Times New Roman"/>
      <w:vanish/>
      <w:color w:val="800080"/>
      <w:sz w:val="24"/>
      <w:vertAlign w:val="subscript"/>
      <w:lang w:val="en-GB" w:eastAsia="en-GB"/>
    </w:rPr>
  </w:style>
  <w:style w:type="character" w:customStyle="1" w:styleId="tw4winError">
    <w:name w:val="tw4winError"/>
    <w:rPr>
      <w:color w:val="00FF00"/>
      <w:sz w:val="40"/>
      <w:lang w:val="en-GB" w:eastAsia="en-GB"/>
    </w:rPr>
  </w:style>
  <w:style w:type="character" w:customStyle="1" w:styleId="tw4winTerm">
    <w:name w:val="tw4winTerm"/>
    <w:rPr>
      <w:color w:val="0000FF"/>
      <w:lang w:val="en-GB" w:eastAsia="en-GB"/>
    </w:rPr>
  </w:style>
  <w:style w:type="character" w:customStyle="1" w:styleId="tw4winPopup">
    <w:name w:val="tw4winPopup"/>
    <w:rPr>
      <w:noProof/>
      <w:color w:val="008000"/>
      <w:lang w:val="en-GB" w:eastAsia="en-GB"/>
    </w:rPr>
  </w:style>
  <w:style w:type="character" w:customStyle="1" w:styleId="tw4winJump">
    <w:name w:val="tw4winJump"/>
    <w:rPr>
      <w:noProof/>
      <w:color w:val="008080"/>
      <w:lang w:val="en-GB" w:eastAsia="en-GB"/>
    </w:rPr>
  </w:style>
  <w:style w:type="character" w:customStyle="1" w:styleId="tw4winExternal">
    <w:name w:val="tw4winExternal"/>
    <w:rPr>
      <w:noProof/>
      <w:color w:val="808080"/>
      <w:lang w:val="en-GB" w:eastAsia="en-GB"/>
    </w:rPr>
  </w:style>
  <w:style w:type="character" w:customStyle="1" w:styleId="tw4winInternal">
    <w:name w:val="tw4winInternal"/>
    <w:rPr>
      <w:noProof/>
      <w:color w:val="FF0000"/>
      <w:lang w:val="en-GB" w:eastAsia="en-GB"/>
    </w:rPr>
  </w:style>
  <w:style w:type="character" w:customStyle="1" w:styleId="DONOTTRANSLATE">
    <w:name w:val="DO_NOT_TRANSLATE"/>
    <w:rPr>
      <w:noProof/>
      <w:color w:val="800000"/>
      <w:lang w:val="en-GB" w:eastAsia="en-GB"/>
    </w:rPr>
  </w:style>
  <w:style w:type="paragraph" w:styleId="CommentSubject">
    <w:name w:val="annotation subject"/>
    <w:basedOn w:val="CommentText"/>
    <w:next w:val="CommentText"/>
    <w:link w:val="CommentSubjectChar"/>
    <w:semiHidden/>
    <w:pPr>
      <w:spacing w:before="0" w:after="0"/>
      <w:jc w:val="left"/>
    </w:pPr>
    <w:rPr>
      <w:rFonts w:eastAsia="Times New Roman"/>
      <w:b/>
      <w:bCs/>
      <w:lang w:eastAsia="en-GB"/>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val="en-GB" w:eastAsia="en-GB"/>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imes New Roman"/>
      <w:szCs w:val="24"/>
      <w:lang w:eastAsia="en-GB"/>
    </w:rPr>
  </w:style>
  <w:style w:type="character" w:customStyle="1" w:styleId="FooterCoverPageChar">
    <w:name w:val="Footer Cover Page Char"/>
    <w:link w:val="FooterCoverPage"/>
    <w:rPr>
      <w:rFonts w:ascii="Times New Roman" w:eastAsia="Times New Roman" w:hAnsi="Times New Roman" w:cs="Times New Roman"/>
      <w:sz w:val="24"/>
      <w:szCs w:val="24"/>
      <w:lang w:val="en-GB" w:eastAsia="en-GB"/>
    </w:rPr>
  </w:style>
  <w:style w:type="paragraph" w:customStyle="1" w:styleId="HeaderCoverPage">
    <w:name w:val="Header Cover Page"/>
    <w:basedOn w:val="Normal"/>
    <w:link w:val="HeaderCoverPageChar"/>
    <w:pPr>
      <w:tabs>
        <w:tab w:val="center" w:pos="4535"/>
        <w:tab w:val="right" w:pos="9071"/>
      </w:tabs>
      <w:spacing w:before="0"/>
    </w:pPr>
    <w:rPr>
      <w:rFonts w:eastAsia="Times New Roman"/>
      <w:szCs w:val="24"/>
      <w:lang w:eastAsia="en-GB"/>
    </w:rPr>
  </w:style>
  <w:style w:type="character" w:customStyle="1" w:styleId="HeaderCoverPageChar">
    <w:name w:val="Header Cover Page Char"/>
    <w:link w:val="HeaderCoverPage"/>
    <w:rPr>
      <w:rFonts w:ascii="Times New Roman" w:eastAsia="Times New Roman" w:hAnsi="Times New Roman" w:cs="Times New Roman"/>
      <w:sz w:val="24"/>
      <w:szCs w:val="24"/>
      <w:lang w:val="en-GB"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val="en-GB" w:eastAsia="en-GB"/>
    </w:rPr>
  </w:style>
  <w:style w:type="paragraph" w:styleId="ListNumber4">
    <w:name w:val="List Number 4"/>
    <w:basedOn w:val="Normal"/>
    <w:pPr>
      <w:numPr>
        <w:numId w:val="10"/>
      </w:numPr>
      <w:contextualSpacing/>
    </w:pPr>
    <w:rPr>
      <w:rFonts w:eastAsia="Times New Roman"/>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3"/>
      </w:numPr>
      <w:contextualSpacing/>
    </w:pPr>
  </w:style>
  <w:style w:type="paragraph" w:styleId="ListNumber3">
    <w:name w:val="List Number 3"/>
    <w:basedOn w:val="Normal"/>
    <w:uiPriority w:val="99"/>
    <w:semiHidden/>
    <w:unhideWhenUsed/>
    <w:pPr>
      <w:numPr>
        <w:numId w:val="14"/>
      </w:numPr>
      <w:contextualSpacing/>
    </w:pPr>
  </w:style>
  <w:style w:type="paragraph" w:styleId="PlainText">
    <w:name w:val="Plain Text"/>
    <w:basedOn w:val="Normal"/>
    <w:link w:val="PlainTextChar"/>
    <w:uiPriority w:val="99"/>
    <w:semiHidden/>
    <w:unhideWhenUsed/>
    <w:pPr>
      <w:spacing w:before="0" w:after="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sz w:val="21"/>
      <w:szCs w:val="21"/>
      <w:lang w:val="en-GB"/>
    </w:rPr>
  </w:style>
  <w:style w:type="paragraph" w:styleId="Header">
    <w:name w:val="header"/>
    <w:basedOn w:val="Normal"/>
    <w:link w:val="HeaderChar"/>
    <w:uiPriority w:val="99"/>
    <w:unhideWhenUsed/>
    <w:rsid w:val="004D1F15"/>
    <w:pPr>
      <w:tabs>
        <w:tab w:val="center" w:pos="4535"/>
        <w:tab w:val="right" w:pos="9071"/>
      </w:tabs>
      <w:spacing w:before="0"/>
    </w:pPr>
  </w:style>
  <w:style w:type="character" w:customStyle="1" w:styleId="HeaderChar">
    <w:name w:val="Header Char"/>
    <w:basedOn w:val="DefaultParagraphFont"/>
    <w:link w:val="Header"/>
    <w:uiPriority w:val="99"/>
    <w:rsid w:val="004D1F15"/>
    <w:rPr>
      <w:rFonts w:ascii="Times New Roman" w:hAnsi="Times New Roman" w:cs="Times New Roman"/>
      <w:sz w:val="24"/>
      <w:lang w:val="en-GB"/>
    </w:rPr>
  </w:style>
  <w:style w:type="paragraph" w:styleId="Footer">
    <w:name w:val="footer"/>
    <w:basedOn w:val="Normal"/>
    <w:link w:val="FooterChar"/>
    <w:uiPriority w:val="99"/>
    <w:unhideWhenUsed/>
    <w:rsid w:val="004D1F15"/>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4D1F15"/>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4D1F15"/>
    <w:pPr>
      <w:tabs>
        <w:tab w:val="center" w:pos="7285"/>
        <w:tab w:val="right" w:pos="14003"/>
      </w:tabs>
      <w:spacing w:before="0"/>
    </w:pPr>
  </w:style>
  <w:style w:type="paragraph" w:customStyle="1" w:styleId="FooterLandscape">
    <w:name w:val="FooterLandscape"/>
    <w:basedOn w:val="Normal"/>
    <w:rsid w:val="004D1F15"/>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4D1F15"/>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4D1F15"/>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annotation reference" w:uiPriority="0"/>
    <w:lsdException w:name="page number" w:uiPriority="0"/>
    <w:lsdException w:name="List Bullet" w:uiPriority="0"/>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BalloonText">
    <w:name w:val="Balloon Text"/>
    <w:basedOn w:val="Normal"/>
    <w:link w:val="BalloonTextChar"/>
    <w:semiHidden/>
    <w:unhideWhenUsed/>
    <w:pPr>
      <w:spacing w:before="0" w:after="0"/>
      <w:jc w:val="left"/>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lang w:val="en-GB"/>
    </w:rPr>
  </w:style>
  <w:style w:type="paragraph" w:styleId="ListParagraph">
    <w:name w:val="List Paragraph"/>
    <w:aliases w:val="Nad,Odstavec_muj,Table/Figure Heading,Colorful List - Accent 11,Dot pt,F5 List Paragraph,List Paragraph1,No Spacing1,List Paragraph Char Char Char,Indicator Text,Numbered Para 1,Bullet Points,MAIN CONTENT,List Paragraph11,L"/>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aliases w:val="Nad Char,Odstavec_muj Char,Table/Figure Heading Char,Colorful List - Accent 11 Char,Dot pt Char,F5 List Paragraph Char,List Paragraph1 Char,No Spacing1 Char,List Paragraph Char Char Char Char,Indicator Text Char,Numbered Para 1 Char"/>
    <w:basedOn w:val="DefaultParagraphFont"/>
    <w:link w:val="ListParagraph"/>
    <w:uiPriority w:val="34"/>
    <w:locked/>
    <w:rPr>
      <w:lang w:val="en-GB"/>
    </w:rPr>
  </w:style>
  <w:style w:type="table" w:styleId="TableGrid">
    <w:name w:val="Table Grid"/>
    <w:aliases w:val="Document Table,CV1,Standard table format"/>
    <w:basedOn w:val="TableNormal"/>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andardtableformat1">
    <w:name w:val="Standard table format1"/>
    <w:basedOn w:val="TableNormal"/>
    <w:next w:val="TableGrid"/>
    <w:uiPriority w:val="3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andardtableformat2">
    <w:name w:val="Standard table format2"/>
    <w:basedOn w:val="TableNormal"/>
    <w:next w:val="TableGrid"/>
    <w:uiPriority w:val="3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1">
    <w:name w:val="Appendix H1"/>
    <w:basedOn w:val="Normal"/>
    <w:link w:val="AppendixH1Char"/>
    <w:qFormat/>
    <w:pPr>
      <w:numPr>
        <w:numId w:val="9"/>
      </w:numPr>
      <w:suppressAutoHyphens/>
      <w:autoSpaceDN w:val="0"/>
      <w:spacing w:before="200" w:after="200" w:line="276" w:lineRule="auto"/>
      <w:jc w:val="left"/>
      <w:textAlignment w:val="baseline"/>
      <w:outlineLvl w:val="1"/>
    </w:pPr>
    <w:rPr>
      <w:rFonts w:eastAsia="Calibri"/>
      <w:b/>
      <w:color w:val="7C1B71"/>
      <w:szCs w:val="24"/>
    </w:rPr>
  </w:style>
  <w:style w:type="paragraph" w:customStyle="1" w:styleId="AppendixH2">
    <w:name w:val="Appendix H2"/>
    <w:basedOn w:val="Normal"/>
    <w:qFormat/>
    <w:pPr>
      <w:numPr>
        <w:ilvl w:val="1"/>
        <w:numId w:val="9"/>
      </w:numPr>
      <w:suppressAutoHyphens/>
      <w:autoSpaceDN w:val="0"/>
      <w:spacing w:before="0" w:after="200" w:line="276" w:lineRule="auto"/>
      <w:ind w:left="646"/>
      <w:jc w:val="left"/>
      <w:textAlignment w:val="baseline"/>
    </w:pPr>
    <w:rPr>
      <w:rFonts w:eastAsia="Calibri"/>
      <w:b/>
      <w:color w:val="7C1B71"/>
      <w:szCs w:val="24"/>
    </w:rPr>
  </w:style>
  <w:style w:type="character" w:customStyle="1" w:styleId="AppendixH1Char">
    <w:name w:val="Appendix H1 Char"/>
    <w:basedOn w:val="DefaultParagraphFont"/>
    <w:link w:val="AppendixH1"/>
    <w:rPr>
      <w:rFonts w:ascii="Times New Roman" w:eastAsia="Calibri" w:hAnsi="Times New Roman" w:cs="Times New Roman"/>
      <w:b/>
      <w:color w:val="7C1B71"/>
      <w:sz w:val="24"/>
      <w:szCs w:val="24"/>
      <w:lang w:val="en-GB"/>
    </w:rPr>
  </w:style>
  <w:style w:type="paragraph" w:customStyle="1" w:styleId="AppendixH3">
    <w:name w:val="Appendix H3"/>
    <w:basedOn w:val="Normal"/>
    <w:qFormat/>
    <w:pPr>
      <w:numPr>
        <w:ilvl w:val="2"/>
        <w:numId w:val="9"/>
      </w:numPr>
      <w:suppressAutoHyphens/>
      <w:autoSpaceDN w:val="0"/>
      <w:spacing w:before="0" w:after="200" w:line="276" w:lineRule="auto"/>
      <w:jc w:val="left"/>
      <w:textAlignment w:val="baseline"/>
    </w:pPr>
    <w:rPr>
      <w:rFonts w:eastAsia="Calibri"/>
      <w:i/>
      <w:szCs w:val="24"/>
    </w:rPr>
  </w:style>
  <w:style w:type="numbering" w:customStyle="1" w:styleId="appendix">
    <w:name w:val="appendix"/>
    <w:uiPriority w:val="99"/>
    <w:pPr>
      <w:numPr>
        <w:numId w:val="11"/>
      </w:numPr>
    </w:pPr>
  </w:style>
  <w:style w:type="paragraph" w:styleId="NormalWeb">
    <w:name w:val="Normal (Web)"/>
    <w:basedOn w:val="Normal"/>
    <w:uiPriority w:val="99"/>
    <w:unhideWhenUsed/>
    <w:pPr>
      <w:spacing w:before="0" w:after="200" w:line="276" w:lineRule="auto"/>
      <w:jc w:val="left"/>
    </w:pPr>
    <w:rPr>
      <w:szCs w:val="24"/>
    </w:rPr>
  </w:style>
  <w:style w:type="paragraph" w:customStyle="1" w:styleId="Footnotenumber">
    <w:name w:val="Footnote number"/>
    <w:aliases w:val="fr"/>
    <w:basedOn w:val="Normal"/>
    <w:uiPriority w:val="99"/>
    <w:pPr>
      <w:spacing w:before="0" w:after="160" w:line="240" w:lineRule="exact"/>
      <w:jc w:val="left"/>
    </w:pPr>
    <w:rPr>
      <w:rFonts w:asciiTheme="minorHAnsi" w:hAnsiTheme="minorHAnsi" w:cstheme="minorBidi"/>
      <w:sz w:val="22"/>
      <w:vertAlign w:val="superscript"/>
    </w:rPr>
  </w:style>
  <w:style w:type="numbering" w:customStyle="1" w:styleId="NumbLstTableBullet8">
    <w:name w:val="NumbLstTableBullet8"/>
    <w:uiPriority w:val="99"/>
    <w:pPr>
      <w:numPr>
        <w:numId w:val="1"/>
      </w:numPr>
    </w:pPr>
  </w:style>
  <w:style w:type="paragraph" w:styleId="EndnoteText">
    <w:name w:val="endnote text"/>
    <w:basedOn w:val="Normal"/>
    <w:link w:val="EndnoteTextChar"/>
    <w:uiPriority w:val="99"/>
    <w:semiHidden/>
    <w:unhideWhenUsed/>
    <w:pPr>
      <w:spacing w:before="0" w:after="0"/>
      <w:jc w:val="left"/>
    </w:pPr>
    <w:rPr>
      <w:rFonts w:asciiTheme="minorHAnsi" w:hAnsiTheme="minorHAnsi" w:cstheme="minorBidi"/>
      <w:sz w:val="20"/>
      <w:szCs w:val="20"/>
    </w:rPr>
  </w:style>
  <w:style w:type="character" w:customStyle="1" w:styleId="EndnoteTextChar">
    <w:name w:val="Endnote Text Char"/>
    <w:basedOn w:val="DefaultParagraphFont"/>
    <w:link w:val="EndnoteText"/>
    <w:uiPriority w:val="99"/>
    <w:semiHidden/>
    <w:rPr>
      <w:sz w:val="20"/>
      <w:szCs w:val="20"/>
      <w:lang w:val="en-GB"/>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numbering" w:customStyle="1" w:styleId="NoList1">
    <w:name w:val="No List1"/>
    <w:next w:val="NoList"/>
    <w:uiPriority w:val="99"/>
    <w:semiHidden/>
    <w:unhideWhenUsed/>
  </w:style>
  <w:style w:type="numbering" w:customStyle="1" w:styleId="NumbLstTableBullet81">
    <w:name w:val="NumbLstTableBullet81"/>
    <w:uiPriority w:val="99"/>
  </w:style>
  <w:style w:type="numbering" w:customStyle="1" w:styleId="NoList2">
    <w:name w:val="No List2"/>
    <w:next w:val="NoList"/>
    <w:uiPriority w:val="99"/>
    <w:semiHidden/>
    <w:unhideWhenUsed/>
  </w:style>
  <w:style w:type="numbering" w:customStyle="1" w:styleId="NumbLstTableBullet82">
    <w:name w:val="NumbLstTableBullet82"/>
    <w:uiPriority w:val="99"/>
  </w:style>
  <w:style w:type="numbering" w:customStyle="1" w:styleId="NumbLstTableBullet83">
    <w:name w:val="NumbLstTableBullet83"/>
    <w:uiPriority w:val="99"/>
  </w:style>
  <w:style w:type="character" w:customStyle="1" w:styleId="st1">
    <w:name w:val="st1"/>
    <w:basedOn w:val="DefaultParagraphFont"/>
  </w:style>
  <w:style w:type="numbering" w:customStyle="1" w:styleId="NumbLstTableBullet84">
    <w:name w:val="NumbLstTableBullet84"/>
    <w:uiPriority w:val="99"/>
  </w:style>
  <w:style w:type="numbering" w:customStyle="1" w:styleId="NoList3">
    <w:name w:val="No List3"/>
    <w:next w:val="NoList"/>
    <w:uiPriority w:val="99"/>
    <w:semiHidden/>
    <w:unhideWhenUsed/>
  </w:style>
  <w:style w:type="character" w:styleId="PageNumber">
    <w:name w:val="page number"/>
    <w:rPr>
      <w:rFonts w:cs="Times New Roman"/>
      <w:lang w:val="en-GB" w:eastAsia="en-GB"/>
    </w:rPr>
  </w:style>
  <w:style w:type="character" w:customStyle="1" w:styleId="tw4winMark">
    <w:name w:val="tw4winMark"/>
    <w:rPr>
      <w:rFonts w:ascii="Times New Roman" w:hAnsi="Times New Roman"/>
      <w:vanish/>
      <w:color w:val="800080"/>
      <w:sz w:val="24"/>
      <w:vertAlign w:val="subscript"/>
      <w:lang w:val="en-GB" w:eastAsia="en-GB"/>
    </w:rPr>
  </w:style>
  <w:style w:type="character" w:customStyle="1" w:styleId="tw4winError">
    <w:name w:val="tw4winError"/>
    <w:rPr>
      <w:color w:val="00FF00"/>
      <w:sz w:val="40"/>
      <w:lang w:val="en-GB" w:eastAsia="en-GB"/>
    </w:rPr>
  </w:style>
  <w:style w:type="character" w:customStyle="1" w:styleId="tw4winTerm">
    <w:name w:val="tw4winTerm"/>
    <w:rPr>
      <w:color w:val="0000FF"/>
      <w:lang w:val="en-GB" w:eastAsia="en-GB"/>
    </w:rPr>
  </w:style>
  <w:style w:type="character" w:customStyle="1" w:styleId="tw4winPopup">
    <w:name w:val="tw4winPopup"/>
    <w:rPr>
      <w:noProof/>
      <w:color w:val="008000"/>
      <w:lang w:val="en-GB" w:eastAsia="en-GB"/>
    </w:rPr>
  </w:style>
  <w:style w:type="character" w:customStyle="1" w:styleId="tw4winJump">
    <w:name w:val="tw4winJump"/>
    <w:rPr>
      <w:noProof/>
      <w:color w:val="008080"/>
      <w:lang w:val="en-GB" w:eastAsia="en-GB"/>
    </w:rPr>
  </w:style>
  <w:style w:type="character" w:customStyle="1" w:styleId="tw4winExternal">
    <w:name w:val="tw4winExternal"/>
    <w:rPr>
      <w:noProof/>
      <w:color w:val="808080"/>
      <w:lang w:val="en-GB" w:eastAsia="en-GB"/>
    </w:rPr>
  </w:style>
  <w:style w:type="character" w:customStyle="1" w:styleId="tw4winInternal">
    <w:name w:val="tw4winInternal"/>
    <w:rPr>
      <w:noProof/>
      <w:color w:val="FF0000"/>
      <w:lang w:val="en-GB" w:eastAsia="en-GB"/>
    </w:rPr>
  </w:style>
  <w:style w:type="character" w:customStyle="1" w:styleId="DONOTTRANSLATE">
    <w:name w:val="DO_NOT_TRANSLATE"/>
    <w:rPr>
      <w:noProof/>
      <w:color w:val="800000"/>
      <w:lang w:val="en-GB" w:eastAsia="en-GB"/>
    </w:rPr>
  </w:style>
  <w:style w:type="paragraph" w:styleId="CommentSubject">
    <w:name w:val="annotation subject"/>
    <w:basedOn w:val="CommentText"/>
    <w:next w:val="CommentText"/>
    <w:link w:val="CommentSubjectChar"/>
    <w:semiHidden/>
    <w:pPr>
      <w:spacing w:before="0" w:after="0"/>
      <w:jc w:val="left"/>
    </w:pPr>
    <w:rPr>
      <w:rFonts w:eastAsia="Times New Roman"/>
      <w:b/>
      <w:bCs/>
      <w:lang w:eastAsia="en-GB"/>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val="en-GB" w:eastAsia="en-GB"/>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imes New Roman"/>
      <w:szCs w:val="24"/>
      <w:lang w:eastAsia="en-GB"/>
    </w:rPr>
  </w:style>
  <w:style w:type="character" w:customStyle="1" w:styleId="FooterCoverPageChar">
    <w:name w:val="Footer Cover Page Char"/>
    <w:link w:val="FooterCoverPage"/>
    <w:rPr>
      <w:rFonts w:ascii="Times New Roman" w:eastAsia="Times New Roman" w:hAnsi="Times New Roman" w:cs="Times New Roman"/>
      <w:sz w:val="24"/>
      <w:szCs w:val="24"/>
      <w:lang w:val="en-GB" w:eastAsia="en-GB"/>
    </w:rPr>
  </w:style>
  <w:style w:type="paragraph" w:customStyle="1" w:styleId="HeaderCoverPage">
    <w:name w:val="Header Cover Page"/>
    <w:basedOn w:val="Normal"/>
    <w:link w:val="HeaderCoverPageChar"/>
    <w:pPr>
      <w:tabs>
        <w:tab w:val="center" w:pos="4535"/>
        <w:tab w:val="right" w:pos="9071"/>
      </w:tabs>
      <w:spacing w:before="0"/>
    </w:pPr>
    <w:rPr>
      <w:rFonts w:eastAsia="Times New Roman"/>
      <w:szCs w:val="24"/>
      <w:lang w:eastAsia="en-GB"/>
    </w:rPr>
  </w:style>
  <w:style w:type="character" w:customStyle="1" w:styleId="HeaderCoverPageChar">
    <w:name w:val="Header Cover Page Char"/>
    <w:link w:val="HeaderCoverPage"/>
    <w:rPr>
      <w:rFonts w:ascii="Times New Roman" w:eastAsia="Times New Roman" w:hAnsi="Times New Roman" w:cs="Times New Roman"/>
      <w:sz w:val="24"/>
      <w:szCs w:val="24"/>
      <w:lang w:val="en-GB"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val="en-GB" w:eastAsia="en-GB"/>
    </w:rPr>
  </w:style>
  <w:style w:type="paragraph" w:styleId="ListNumber4">
    <w:name w:val="List Number 4"/>
    <w:basedOn w:val="Normal"/>
    <w:pPr>
      <w:numPr>
        <w:numId w:val="10"/>
      </w:numPr>
      <w:contextualSpacing/>
    </w:pPr>
    <w:rPr>
      <w:rFonts w:eastAsia="Times New Roman"/>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3"/>
      </w:numPr>
      <w:contextualSpacing/>
    </w:pPr>
  </w:style>
  <w:style w:type="paragraph" w:styleId="ListNumber3">
    <w:name w:val="List Number 3"/>
    <w:basedOn w:val="Normal"/>
    <w:uiPriority w:val="99"/>
    <w:semiHidden/>
    <w:unhideWhenUsed/>
    <w:pPr>
      <w:numPr>
        <w:numId w:val="14"/>
      </w:numPr>
      <w:contextualSpacing/>
    </w:pPr>
  </w:style>
  <w:style w:type="paragraph" w:styleId="PlainText">
    <w:name w:val="Plain Text"/>
    <w:basedOn w:val="Normal"/>
    <w:link w:val="PlainTextChar"/>
    <w:uiPriority w:val="99"/>
    <w:semiHidden/>
    <w:unhideWhenUsed/>
    <w:pPr>
      <w:spacing w:before="0" w:after="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sz w:val="21"/>
      <w:szCs w:val="21"/>
      <w:lang w:val="en-GB"/>
    </w:rPr>
  </w:style>
  <w:style w:type="paragraph" w:styleId="Header">
    <w:name w:val="header"/>
    <w:basedOn w:val="Normal"/>
    <w:link w:val="HeaderChar"/>
    <w:uiPriority w:val="99"/>
    <w:unhideWhenUsed/>
    <w:rsid w:val="004D1F15"/>
    <w:pPr>
      <w:tabs>
        <w:tab w:val="center" w:pos="4535"/>
        <w:tab w:val="right" w:pos="9071"/>
      </w:tabs>
      <w:spacing w:before="0"/>
    </w:pPr>
  </w:style>
  <w:style w:type="character" w:customStyle="1" w:styleId="HeaderChar">
    <w:name w:val="Header Char"/>
    <w:basedOn w:val="DefaultParagraphFont"/>
    <w:link w:val="Header"/>
    <w:uiPriority w:val="99"/>
    <w:rsid w:val="004D1F15"/>
    <w:rPr>
      <w:rFonts w:ascii="Times New Roman" w:hAnsi="Times New Roman" w:cs="Times New Roman"/>
      <w:sz w:val="24"/>
      <w:lang w:val="en-GB"/>
    </w:rPr>
  </w:style>
  <w:style w:type="paragraph" w:styleId="Footer">
    <w:name w:val="footer"/>
    <w:basedOn w:val="Normal"/>
    <w:link w:val="FooterChar"/>
    <w:uiPriority w:val="99"/>
    <w:unhideWhenUsed/>
    <w:rsid w:val="004D1F15"/>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4D1F15"/>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4D1F15"/>
    <w:pPr>
      <w:tabs>
        <w:tab w:val="center" w:pos="7285"/>
        <w:tab w:val="right" w:pos="14003"/>
      </w:tabs>
      <w:spacing w:before="0"/>
    </w:pPr>
  </w:style>
  <w:style w:type="paragraph" w:customStyle="1" w:styleId="FooterLandscape">
    <w:name w:val="FooterLandscape"/>
    <w:basedOn w:val="Normal"/>
    <w:rsid w:val="004D1F15"/>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4D1F15"/>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4D1F15"/>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25750">
      <w:bodyDiv w:val="1"/>
      <w:marLeft w:val="0"/>
      <w:marRight w:val="0"/>
      <w:marTop w:val="0"/>
      <w:marBottom w:val="0"/>
      <w:divBdr>
        <w:top w:val="none" w:sz="0" w:space="0" w:color="auto"/>
        <w:left w:val="none" w:sz="0" w:space="0" w:color="auto"/>
        <w:bottom w:val="none" w:sz="0" w:space="0" w:color="auto"/>
        <w:right w:val="none" w:sz="0" w:space="0" w:color="auto"/>
      </w:divBdr>
    </w:div>
    <w:div w:id="270817444">
      <w:bodyDiv w:val="1"/>
      <w:marLeft w:val="0"/>
      <w:marRight w:val="0"/>
      <w:marTop w:val="0"/>
      <w:marBottom w:val="0"/>
      <w:divBdr>
        <w:top w:val="none" w:sz="0" w:space="0" w:color="auto"/>
        <w:left w:val="none" w:sz="0" w:space="0" w:color="auto"/>
        <w:bottom w:val="none" w:sz="0" w:space="0" w:color="auto"/>
        <w:right w:val="none" w:sz="0" w:space="0" w:color="auto"/>
      </w:divBdr>
    </w:div>
    <w:div w:id="318846891">
      <w:bodyDiv w:val="1"/>
      <w:marLeft w:val="0"/>
      <w:marRight w:val="0"/>
      <w:marTop w:val="0"/>
      <w:marBottom w:val="0"/>
      <w:divBdr>
        <w:top w:val="none" w:sz="0" w:space="0" w:color="auto"/>
        <w:left w:val="none" w:sz="0" w:space="0" w:color="auto"/>
        <w:bottom w:val="none" w:sz="0" w:space="0" w:color="auto"/>
        <w:right w:val="none" w:sz="0" w:space="0" w:color="auto"/>
      </w:divBdr>
    </w:div>
    <w:div w:id="560218275">
      <w:bodyDiv w:val="1"/>
      <w:marLeft w:val="0"/>
      <w:marRight w:val="0"/>
      <w:marTop w:val="0"/>
      <w:marBottom w:val="0"/>
      <w:divBdr>
        <w:top w:val="none" w:sz="0" w:space="0" w:color="auto"/>
        <w:left w:val="none" w:sz="0" w:space="0" w:color="auto"/>
        <w:bottom w:val="none" w:sz="0" w:space="0" w:color="auto"/>
        <w:right w:val="none" w:sz="0" w:space="0" w:color="auto"/>
      </w:divBdr>
    </w:div>
    <w:div w:id="938754671">
      <w:bodyDiv w:val="1"/>
      <w:marLeft w:val="0"/>
      <w:marRight w:val="0"/>
      <w:marTop w:val="0"/>
      <w:marBottom w:val="0"/>
      <w:divBdr>
        <w:top w:val="none" w:sz="0" w:space="0" w:color="auto"/>
        <w:left w:val="none" w:sz="0" w:space="0" w:color="auto"/>
        <w:bottom w:val="none" w:sz="0" w:space="0" w:color="auto"/>
        <w:right w:val="none" w:sz="0" w:space="0" w:color="auto"/>
      </w:divBdr>
    </w:div>
    <w:div w:id="994798631">
      <w:bodyDiv w:val="1"/>
      <w:marLeft w:val="0"/>
      <w:marRight w:val="0"/>
      <w:marTop w:val="0"/>
      <w:marBottom w:val="0"/>
      <w:divBdr>
        <w:top w:val="none" w:sz="0" w:space="0" w:color="auto"/>
        <w:left w:val="none" w:sz="0" w:space="0" w:color="auto"/>
        <w:bottom w:val="none" w:sz="0" w:space="0" w:color="auto"/>
        <w:right w:val="none" w:sz="0" w:space="0" w:color="auto"/>
      </w:divBdr>
    </w:div>
    <w:div w:id="1178933160">
      <w:bodyDiv w:val="1"/>
      <w:marLeft w:val="0"/>
      <w:marRight w:val="0"/>
      <w:marTop w:val="0"/>
      <w:marBottom w:val="0"/>
      <w:divBdr>
        <w:top w:val="none" w:sz="0" w:space="0" w:color="auto"/>
        <w:left w:val="none" w:sz="0" w:space="0" w:color="auto"/>
        <w:bottom w:val="none" w:sz="0" w:space="0" w:color="auto"/>
        <w:right w:val="none" w:sz="0" w:space="0" w:color="auto"/>
      </w:divBdr>
    </w:div>
    <w:div w:id="1410537909">
      <w:bodyDiv w:val="1"/>
      <w:marLeft w:val="0"/>
      <w:marRight w:val="0"/>
      <w:marTop w:val="0"/>
      <w:marBottom w:val="0"/>
      <w:divBdr>
        <w:top w:val="none" w:sz="0" w:space="0" w:color="auto"/>
        <w:left w:val="none" w:sz="0" w:space="0" w:color="auto"/>
        <w:bottom w:val="none" w:sz="0" w:space="0" w:color="auto"/>
        <w:right w:val="none" w:sz="0" w:space="0" w:color="auto"/>
      </w:divBdr>
    </w:div>
    <w:div w:id="15321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oter" Target="footer12.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eader" Target="header8.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oter" Target="footer9.xml"/><Relationship Id="rId36" Type="http://schemas.openxmlformats.org/officeDocument/2006/relationships/footer" Target="footer13.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footer" Target="footer10.xml"/><Relationship Id="rId35" Type="http://schemas.openxmlformats.org/officeDocument/2006/relationships/header" Target="header11.xml"/></Relationships>
</file>

<file path=word/_rels/footnotes.xml.rels><?xml version="1.0" encoding="UTF-8" standalone="yes"?>
<Relationships xmlns="http://schemas.openxmlformats.org/package/2006/relationships"><Relationship Id="rId3" Type="http://schemas.openxmlformats.org/officeDocument/2006/relationships/hyperlink" Target="https://myintracomm.ec.europa.eu/budgweb/EN/man/budgmanag/Pages/budgmanag.aspx" TargetMode="External"/><Relationship Id="rId2" Type="http://schemas.openxmlformats.org/officeDocument/2006/relationships/hyperlink" Target="https://eur-lex.europa.eu/legal-content/en/ALL/?uri=CELEX%3A52018DC0098" TargetMode="External"/><Relationship Id="rId1" Type="http://schemas.openxmlformats.org/officeDocument/2006/relationships/hyperlink" Target="https://eur-lex.europa.eu/legal-content/en/ALL/?uri=CELEX%3A52018DC009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9E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76220B9CDD5B4AA251AE0A4FB43EDD" ma:contentTypeVersion="0" ma:contentTypeDescription="Create a new document." ma:contentTypeScope="" ma:versionID="4a3ad58c74ce6b717f7c202ddeb4ce4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47155-FE20-48F1-89E8-C900C265456C}">
  <ds:schemaRefs>
    <ds:schemaRef ds:uri="http://schemas.microsoft.com/sharepoint/v3/contenttype/forms"/>
  </ds:schemaRefs>
</ds:datastoreItem>
</file>

<file path=customXml/itemProps2.xml><?xml version="1.0" encoding="utf-8"?>
<ds:datastoreItem xmlns:ds="http://schemas.openxmlformats.org/officeDocument/2006/customXml" ds:itemID="{DC85AF58-088D-4983-9D7B-633F54990D4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9F7638-20D2-42CF-8467-311761C1FF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D4C3315-463A-4363-AA2D-820ACEFD5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34</Pages>
  <Words>10839</Words>
  <Characters>60919</Characters>
  <Application>Microsoft Office Word</Application>
  <DocSecurity>0</DocSecurity>
  <Lines>1692</Lines>
  <Paragraphs>982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19</cp:revision>
  <cp:lastPrinted>2018-06-05T14:31:00Z</cp:lastPrinted>
  <dcterms:created xsi:type="dcterms:W3CDTF">2018-06-05T15:56:00Z</dcterms:created>
  <dcterms:modified xsi:type="dcterms:W3CDTF">2018-06-06T06:58:00Z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SJ-025</vt:lpwstr>
  </property>
  <property fmtid="{D5CDD505-2E9C-101B-9397-08002B2CF9AE}" pid="10" name="ContentTypeId">
    <vt:lpwstr>0x010100E276220B9CDD5B4AA251AE0A4FB43EDD</vt:lpwstr>
  </property>
  <property fmtid="{D5CDD505-2E9C-101B-9397-08002B2CF9AE}" pid="11" name="DQCStatus">
    <vt:lpwstr>Yellow (DQC version 03)</vt:lpwstr>
  </property>
</Properties>
</file>