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7B8EE69-5B33-4608-9DE9-435001CCE61D" style="width:450.25pt;height:383.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 II</w:t>
      </w:r>
    </w:p>
    <w:p>
      <w:pPr>
        <w:jc w:val="center"/>
        <w:rPr>
          <w:b/>
          <w:noProof/>
        </w:rPr>
      </w:pPr>
      <w:r>
        <w:rPr>
          <w:b/>
          <w:noProof/>
        </w:rPr>
        <w:t>ПОКАЗАТЕЛИ ЗА НАБЛЮДЕНИЕ ЗА ДОКЛАДВАНЕ И ПРЕГЛЕД</w:t>
      </w:r>
    </w:p>
    <w:p>
      <w:pPr>
        <w:rPr>
          <w:b/>
          <w:noProof/>
          <w:szCs w:val="24"/>
        </w:rPr>
      </w:pPr>
    </w:p>
    <w:p>
      <w:pPr>
        <w:rPr>
          <w:b/>
          <w:noProof/>
        </w:rPr>
      </w:pPr>
      <w:r>
        <w:rPr>
          <w:b/>
          <w:noProof/>
        </w:rPr>
        <w:t xml:space="preserve">1. Обхват </w:t>
      </w:r>
    </w:p>
    <w:p>
      <w:pPr>
        <w:rPr>
          <w:noProof/>
        </w:rPr>
      </w:pPr>
      <w:r>
        <w:rPr>
          <w:noProof/>
        </w:rPr>
        <w:t>Съгласно член 22 от регламента и параграфи 22 и 23 от Междуинституционалното споразумение за по-добро законотворчество от 13 април 2016 г. е необходимо да се направи оценка на регламента, за да се гарантира ефективна оценка на напредъка на регламента за постигането на целите, посочени в съображение 35 и член 1.</w:t>
      </w:r>
    </w:p>
    <w:p>
      <w:pPr>
        <w:rPr>
          <w:noProof/>
        </w:rPr>
      </w:pPr>
      <w:r>
        <w:rPr>
          <w:noProof/>
        </w:rPr>
        <w:t xml:space="preserve">Това ще се осъществи въз основа на информация, събрана чрез специфични изисквания за наблюдение, като същевременно се избягват излишното регулиране и административната тежест, по-специално за държавите членки. Когато е целесъобразно, тези изисквания могат да включват измерими показатели, които да служат за основа за оценяване на въздействието на регламента по места. </w:t>
      </w:r>
    </w:p>
    <w:p>
      <w:pPr>
        <w:rPr>
          <w:b/>
          <w:noProof/>
        </w:rPr>
      </w:pPr>
      <w:r>
        <w:rPr>
          <w:b/>
          <w:noProof/>
        </w:rPr>
        <w:t>2. Показатели</w:t>
      </w:r>
    </w:p>
    <w:p>
      <w:pPr>
        <w:rPr>
          <w:noProof/>
        </w:rPr>
      </w:pPr>
      <w:r>
        <w:rPr>
          <w:noProof/>
        </w:rPr>
        <w:t xml:space="preserve">Следните показатели за преглед и докладване относно напредъка на регламента за постигането на неговите цели могат да бъдат използвани от Комисията в контекста на прегледа и докладването, посочени в член 22: </w:t>
      </w:r>
    </w:p>
    <w:p>
      <w:pPr>
        <w:rPr>
          <w:noProof/>
        </w:rPr>
      </w:pPr>
      <w:r>
        <w:rPr>
          <w:noProof/>
        </w:rPr>
        <w:t>а) БВП;</w:t>
      </w:r>
    </w:p>
    <w:p>
      <w:pPr>
        <w:rPr>
          <w:noProof/>
        </w:rPr>
      </w:pPr>
      <w:r>
        <w:rPr>
          <w:noProof/>
        </w:rPr>
        <w:t>б) размер на разликата между фактическия и потенциалния БВП;</w:t>
      </w:r>
    </w:p>
    <w:p>
      <w:pPr>
        <w:rPr>
          <w:noProof/>
        </w:rPr>
      </w:pPr>
      <w:r>
        <w:rPr>
          <w:noProof/>
        </w:rPr>
        <w:t>в) условия за наемане, процент на безработица, процент на участие, показатели за заетост на непълно работно време, отработени часове;</w:t>
      </w:r>
    </w:p>
    <w:p>
      <w:pPr>
        <w:rPr>
          <w:noProof/>
        </w:rPr>
      </w:pPr>
      <w:r>
        <w:rPr>
          <w:noProof/>
        </w:rPr>
        <w:t>г) бруто образуване на основен капитал от сектор „Държавно управление“, включително данните за сектора;</w:t>
      </w:r>
    </w:p>
    <w:p>
      <w:pPr>
        <w:rPr>
          <w:noProof/>
        </w:rPr>
      </w:pPr>
      <w:r>
        <w:rPr>
          <w:noProof/>
        </w:rPr>
        <w:t>д) бруто образуване на основен капитал, финансиран от програми, подпомагани от Съюза в рамките на Европейския фонд за регионално развитие, Кохезионния фонд, Европейския социален фонд, Европейския фонд за морско дело и рибарство и Европейския земеделски фонд за развитие на селските райони;</w:t>
      </w:r>
    </w:p>
    <w:p>
      <w:pPr>
        <w:rPr>
          <w:noProof/>
        </w:rPr>
      </w:pPr>
      <w:r>
        <w:rPr>
          <w:noProof/>
        </w:rPr>
        <w:t xml:space="preserve">е) сметките на сектор „Държавно управление“, включително бюджетното салдо, коригираното спрямо фазата на икономическия цикъл бюджетно салдо, фискалната позиция, публичния дефицит, дългът, моделите на приходи, включително подобрението или влошаването на приходите, автоматичните стабилизатори, разходите за лихви; </w:t>
      </w:r>
    </w:p>
    <w:p>
      <w:pPr>
        <w:rPr>
          <w:noProof/>
        </w:rPr>
      </w:pPr>
      <w:r>
        <w:rPr>
          <w:noProof/>
        </w:rPr>
        <w:t>ж) данни за финансовия пазар, като например лихвените проценти на държавните облигации.</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7EF9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87CA1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6423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A8015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9287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6636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A28AD2"/>
    <w:lvl w:ilvl="0">
      <w:start w:val="1"/>
      <w:numFmt w:val="decimal"/>
      <w:pStyle w:val="ListNumber"/>
      <w:lvlText w:val="%1."/>
      <w:lvlJc w:val="left"/>
      <w:pPr>
        <w:tabs>
          <w:tab w:val="num" w:pos="360"/>
        </w:tabs>
        <w:ind w:left="360" w:hanging="360"/>
      </w:pPr>
    </w:lvl>
  </w:abstractNum>
  <w:abstractNum w:abstractNumId="7">
    <w:nsid w:val="FFFFFF89"/>
    <w:multiLevelType w:val="singleLevel"/>
    <w:tmpl w:val="D55230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6 16:23: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2"/>
    <w:docVar w:name="LW_ANNEX_NBR_LAST" w:val="2"/>
    <w:docVar w:name="LW_ANNEX_UNIQUE" w:val="0"/>
    <w:docVar w:name="LW_CORRIGENDUM" w:val="&lt;UNUSED&gt;"/>
    <w:docVar w:name="LW_COVERPAGE_EXISTS" w:val="True"/>
    <w:docVar w:name="LW_COVERPAGE_GUID" w:val="A7B8EE69-5B33-4608-9DE9-435001CCE61D"/>
    <w:docVar w:name="LW_COVERPAGE_TYPE" w:val="1"/>
    <w:docVar w:name="LW_CROSSREFERENCE" w:val="{SEC(2018) 277 final}_x000b_{SWD(2018) 297 final}_x000b_{SWD(2018) 298 final}"/>
    <w:docVar w:name="LW_DocType" w:val="ANNEX"/>
    <w:docVar w:name="LW_EMISSION" w:val="31.5.2018"/>
    <w:docVar w:name="LW_EMISSION_ISODATE" w:val="2018-05-31"/>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9?\u1098?\u1079?\u1076?\u1072?\u1074?\u1072?\u1085?\u1077?\u1090?\u1086? \u1085?\u1072? \u1045?\u1074?\u1088?\u1086?\u1087?\u1077?\u1081?\u1089?\u1082?\u1072? \u1092?\u1091?\u1085?\u1082?\u1094?\u1080?\u1103? \u1079?\u1072? \u1089?\u1090?\u1072?\u1073?\u1080?\u1083?\u1080?\u1079?\u1080?\u1088?\u1072?\u1085?\u1077? \u1085?\u1072? \u1080?\u1085?\u1074?\u1077?\u1089?\u1090?\u1080?\u1094?\u1080?\u1080?\u1090?\u1077?"/>
    <w:docVar w:name="LW_OBJETACTEPRINCIPAL.CP" w:val="\u1079?\u1072? \u1089?\u1098?\u1079?\u1076?\u1072?\u1074?\u1072?\u1085?\u1077?\u1090?\u1086? \u1085?\u1072? \u1045?\u1074?\u1088?\u1086?\u1087?\u1077?\u1081?\u1089?\u1082?\u1072? \u1092?\u1091?\u1085?\u1082?\u1094?\u1080?\u1103? \u1079?\u1072? \u1089?\u1090?\u1072?\u1073?\u1080?\u1083?\u1080?\u1079?\u1080?\u1088?\u1072?\u1085?\u1077? \u1085?\u1072? \u1080?\u1085?\u1074?\u1077?\u1089?\u1090?\u1080?\u1094?\u1080?\u1080?\u1090?\u1077?"/>
    <w:docVar w:name="LW_PART_NBR" w:val="1"/>
    <w:docVar w:name="LW_PART_NBR_TOTAL" w:val="1"/>
    <w:docVar w:name="LW_REF.INST.NEW" w:val="COM"/>
    <w:docVar w:name="LW_REF.INST.NEW_ADOPTED" w:val="final"/>
    <w:docVar w:name="LW_REF.INST.NEW_TEXT" w:val="(2018) 3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75?\u1083?\u1072?\u1084?\u1077?\u1085?\u1090? \u1085?\u1072? \u1045?\u1074?\u1088?\u1086?\u1087?\u1077?\u1081?\u1089?\u1082?\u1080?\u1103? \u1087?\u1072?\u1088?\u1083?\u1072?\u1084?\u1077?\u1085?\u1090? \u1080? \u1085?\u1072? \u1057?\u1098?\u1074?\u1077?\u1090?\u1072?"/>
    <w:docVar w:name="LW_TYPEACTEPRINCIPAL.CP" w:val="\u1055?\u1088?\u1077?\u1076?\u1083?\u1086?\u1078?\u1077?\u1085?\u1080?\u1077? \u1079?\u1072? \u1056?\u1077?\u1075?\u1083?\u1072?\u1084?\u1077?\u1085?\u1090? \u1085?\u1072? \u1045?\u1074?\u1088?\u1086?\u1087?\u1077?\u1081?\u1089?\u1082?\u1080?\u1103? \u1087?\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E3020-88C8-4B20-9B02-FF7B385D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Pages>
  <Words>278</Words>
  <Characters>1704</Characters>
  <Application>Microsoft Office Word</Application>
  <DocSecurity>0</DocSecurity>
  <Lines>36</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PARMENTIER Paola</dc:creator>
  <cp:lastModifiedBy>DIGIT/A3</cp:lastModifiedBy>
  <cp:revision>8</cp:revision>
  <cp:lastPrinted>2017-11-30T16:13:00Z</cp:lastPrinted>
  <dcterms:created xsi:type="dcterms:W3CDTF">2018-06-04T13:36:00Z</dcterms:created>
  <dcterms:modified xsi:type="dcterms:W3CDTF">2018-06-06T14:23:00Z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2</vt:lpwstr>
  </property>
  <property fmtid="{D5CDD505-2E9C-101B-9397-08002B2CF9AE}" pid="7" name="Last annex">
    <vt:lpwstr>2</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