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E1B6B3D-76E9-4FDB-B676-3D09D3BCBB57" style="width:450.75pt;height:397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>
      <w:pPr>
        <w:jc w:val="center"/>
        <w:rPr>
          <w:b/>
          <w:noProof/>
        </w:rPr>
      </w:pPr>
      <w:r>
        <w:rPr>
          <w:b/>
          <w:noProof/>
        </w:rPr>
        <w:t>МЕТОДОЛОГИЯ ЗА ОЦЕНЯВАНЕ НА КАЧЕСТВОТО НА СИСТЕМИТЕ И ПРАКТИКИТЕ ЗА УПРАВЛЕНИЕ НА ПУБЛИЧНИТЕ ИНВЕСТИЦИИ НА ДЪРЖАВИТЕ ЧЛЕНКИ</w:t>
      </w:r>
    </w:p>
    <w:p>
      <w:pPr>
        <w:rPr>
          <w:b/>
          <w:noProof/>
          <w:szCs w:val="24"/>
        </w:rPr>
      </w:pPr>
    </w:p>
    <w:p>
      <w:pPr>
        <w:rPr>
          <w:b/>
          <w:noProof/>
        </w:rPr>
      </w:pPr>
      <w:r>
        <w:rPr>
          <w:b/>
          <w:noProof/>
        </w:rPr>
        <w:t xml:space="preserve">1. Обхват </w:t>
      </w:r>
    </w:p>
    <w:p>
      <w:pPr>
        <w:rPr>
          <w:noProof/>
        </w:rPr>
      </w:pPr>
      <w:r>
        <w:rPr>
          <w:noProof/>
        </w:rPr>
        <w:t>С цел да се увеличи въздействието на публичните инвестиции и на всяка потенциална подкрепа по линия на ЕФСИ, оценката на качеството на системите и практиките за управление на публичните инвестиции на държавите членки допринася за тяхното високо качество. Тази оценка подпомага увеличаването на ефективното планиране, разпределянето и осъществяването на публични инвестиции на национално равнище.</w:t>
      </w:r>
    </w:p>
    <w:p>
      <w:pPr>
        <w:rPr>
          <w:noProof/>
        </w:rPr>
      </w:pPr>
      <w:r>
        <w:rPr>
          <w:noProof/>
        </w:rPr>
        <w:t>Показателите се основават на принципите, установени с настоящия регламент по отношение на целта и обхвата на ЕФСИ, критериите за допустимост и критериите за задействане.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>2. Показатели</w:t>
      </w:r>
    </w:p>
    <w:p>
      <w:pPr>
        <w:rPr>
          <w:noProof/>
        </w:rPr>
      </w:pPr>
      <w:r>
        <w:rPr>
          <w:noProof/>
        </w:rPr>
        <w:t xml:space="preserve">В контекста на оценката на качеството, посочена в член 1, Комисията разглежда петнадесет показателя по отношение на вземането на решения за публичните инвестиции на три различни етапа от цикъла на публичните инвестиции. </w:t>
      </w:r>
    </w:p>
    <w:p>
      <w:pPr>
        <w:rPr>
          <w:noProof/>
        </w:rPr>
      </w:pPr>
      <w:r>
        <w:rPr>
          <w:noProof/>
        </w:rPr>
        <w:t>Трите основни етапа от цикъла на публичните инвестиции са:</w:t>
      </w:r>
    </w:p>
    <w:p>
      <w:pPr>
        <w:rPr>
          <w:noProof/>
        </w:rPr>
      </w:pPr>
      <w:r>
        <w:rPr>
          <w:noProof/>
        </w:rPr>
        <w:t>1. планиране на публичните инвестиции в публичния сектор („етап на планиране“);</w:t>
      </w:r>
    </w:p>
    <w:p>
      <w:pPr>
        <w:rPr>
          <w:noProof/>
        </w:rPr>
      </w:pPr>
      <w:r>
        <w:rPr>
          <w:noProof/>
        </w:rPr>
        <w:t xml:space="preserve">2. разпределяне на публичните инвестиции по сектори и проекти („етап на разпределяне“); </w:t>
      </w:r>
    </w:p>
    <w:p>
      <w:pPr>
        <w:rPr>
          <w:noProof/>
        </w:rPr>
      </w:pPr>
      <w:r>
        <w:rPr>
          <w:noProof/>
        </w:rPr>
        <w:t xml:space="preserve">3. изпълнение на проекти в срок и в рамките на планирания бюджет („етап на изпълнение“). </w:t>
      </w:r>
    </w:p>
    <w:p>
      <w:pPr>
        <w:rPr>
          <w:noProof/>
        </w:rPr>
      </w:pPr>
      <w:r>
        <w:rPr>
          <w:noProof/>
        </w:rPr>
        <w:t xml:space="preserve">За оценка на </w:t>
      </w:r>
      <w:r>
        <w:rPr>
          <w:i/>
          <w:noProof/>
        </w:rPr>
        <w:t>етапа на планиране</w:t>
      </w:r>
      <w:r>
        <w:rPr>
          <w:noProof/>
        </w:rPr>
        <w:t xml:space="preserve"> се използват следните показатели:</w:t>
      </w:r>
    </w:p>
    <w:p>
      <w:pPr>
        <w:rPr>
          <w:noProof/>
        </w:rPr>
      </w:pPr>
      <w:r>
        <w:rPr>
          <w:noProof/>
        </w:rPr>
        <w:t>а) фискалните правила и принципи са предназначени да гарантират, че общите равнища на публичните инвестиции са адекватни, предсказуеми и устойчиви;</w:t>
      </w:r>
    </w:p>
    <w:p>
      <w:pPr>
        <w:rPr>
          <w:noProof/>
        </w:rPr>
      </w:pPr>
      <w:r>
        <w:rPr>
          <w:noProof/>
        </w:rPr>
        <w:t xml:space="preserve">б) секторните планове са предназначени да гарантират, че решенията за публични инвестиции се основават на ясни и реалистични приоритети, оценки на разходите и цели за всеки сектор; </w:t>
      </w:r>
    </w:p>
    <w:p>
      <w:pPr>
        <w:rPr>
          <w:noProof/>
        </w:rPr>
      </w:pPr>
      <w:r>
        <w:rPr>
          <w:noProof/>
        </w:rPr>
        <w:t>в) централните и местните механизми за координация гарантират, че плановете за публични инвестиции са интегрирани на различните нива на управление, гарантират сигурност за финансирането от страна на централното правителство и осигуряват устойчиво равнище на поднационално кредитиране;</w:t>
      </w:r>
    </w:p>
    <w:p>
      <w:pPr>
        <w:rPr>
          <w:noProof/>
        </w:rPr>
      </w:pPr>
      <w:r>
        <w:rPr>
          <w:noProof/>
        </w:rPr>
        <w:t xml:space="preserve">г) управлението на публично-частните партньорства (ПЧП) гарантира ефективна оценка, подбор и наблюдение на проектите и задълженията на ПЧП; </w:t>
      </w:r>
    </w:p>
    <w:p>
      <w:pPr>
        <w:rPr>
          <w:noProof/>
        </w:rPr>
      </w:pPr>
      <w:r>
        <w:rPr>
          <w:noProof/>
        </w:rPr>
        <w:t>д) разпоредбите, които регулират инфраструктурните дружества, гарантират отворени и конкурентни пазари за предоставяне на инфраструктурни услуги, обективно ценообразуване за инфраструктурни продукти и ефективен надзор върху инвестиционните планове на инфраструктурни предприятия.</w:t>
      </w:r>
    </w:p>
    <w:p>
      <w:pPr>
        <w:rPr>
          <w:noProof/>
        </w:rPr>
      </w:pPr>
      <w:r>
        <w:rPr>
          <w:noProof/>
        </w:rPr>
        <w:t xml:space="preserve">За оценка на </w:t>
      </w:r>
      <w:r>
        <w:rPr>
          <w:i/>
          <w:noProof/>
        </w:rPr>
        <w:t>етапа на разпределяне</w:t>
      </w:r>
      <w:r>
        <w:rPr>
          <w:noProof/>
        </w:rPr>
        <w:t xml:space="preserve"> се използват следните показатели: </w:t>
      </w:r>
    </w:p>
    <w:p>
      <w:pPr>
        <w:rPr>
          <w:noProof/>
        </w:rPr>
      </w:pPr>
      <w:r>
        <w:rPr>
          <w:noProof/>
        </w:rPr>
        <w:lastRenderedPageBreak/>
        <w:t>а) многогодишно бюджетиране, което гарантира прозрачност и предвидимост по отношение на равнищата на инвестиции от страна на министерства, програми и проекти в средносрочен план;</w:t>
      </w:r>
    </w:p>
    <w:p>
      <w:pPr>
        <w:rPr>
          <w:noProof/>
        </w:rPr>
      </w:pPr>
      <w:r>
        <w:rPr>
          <w:noProof/>
        </w:rPr>
        <w:t xml:space="preserve">б) пълнота на бюджета, която се отразява от факта, че всички публични инвестиции, независимо от канала за финансиране, са разрешени от законодателя и са оповестени в бюджетната документация; </w:t>
      </w:r>
    </w:p>
    <w:p>
      <w:pPr>
        <w:rPr>
          <w:noProof/>
        </w:rPr>
      </w:pPr>
      <w:r>
        <w:rPr>
          <w:noProof/>
        </w:rPr>
        <w:t xml:space="preserve">в) единство на бюджета, което се отразява от факта, че решенията относно отделните проекти отчитат както техния непосредствен капитал, така и бъдещите разходи за експлоатация и поддръжка; </w:t>
      </w:r>
    </w:p>
    <w:p>
      <w:pPr>
        <w:rPr>
          <w:noProof/>
        </w:rPr>
      </w:pPr>
      <w:r>
        <w:rPr>
          <w:noProof/>
        </w:rPr>
        <w:t xml:space="preserve">г) оценка на проекта, която се отразява от факта, че проектните предложения са предмет на публикувана оценка, като се използва стандартна методология и се взема предвид потенциалният риск; </w:t>
      </w:r>
    </w:p>
    <w:p>
      <w:pPr>
        <w:rPr>
          <w:noProof/>
        </w:rPr>
      </w:pPr>
      <w:r>
        <w:rPr>
          <w:noProof/>
        </w:rPr>
        <w:t xml:space="preserve">д) избор на проект, който се отразява от факта, че проектите системно се подбират и одобряват въз основа на прозрачни критерии и се включват в списъка от одобрени проекти за публични инвестиции. </w:t>
      </w:r>
    </w:p>
    <w:p>
      <w:pPr>
        <w:rPr>
          <w:noProof/>
        </w:rPr>
      </w:pPr>
      <w:r>
        <w:rPr>
          <w:noProof/>
        </w:rPr>
        <w:t xml:space="preserve">За оценка на </w:t>
      </w:r>
      <w:r>
        <w:rPr>
          <w:i/>
          <w:noProof/>
        </w:rPr>
        <w:t>етапа на изпълнение</w:t>
      </w:r>
      <w:r>
        <w:rPr>
          <w:noProof/>
        </w:rPr>
        <w:t xml:space="preserve"> се използват следните показатели: </w:t>
      </w:r>
    </w:p>
    <w:p>
      <w:pPr>
        <w:rPr>
          <w:noProof/>
        </w:rPr>
      </w:pPr>
      <w:r>
        <w:rPr>
          <w:noProof/>
        </w:rPr>
        <w:t>а) защитата на публичните инвестиции се отразява чрез бюджетни кредити за проекти, които са достатъчни за покриване на общите разходи по проекта и не могат да бъдат отклонявани по преценка на изпълнителния орган;</w:t>
      </w:r>
    </w:p>
    <w:p>
      <w:pPr>
        <w:rPr>
          <w:noProof/>
        </w:rPr>
      </w:pPr>
      <w:r>
        <w:rPr>
          <w:noProof/>
        </w:rPr>
        <w:t xml:space="preserve">б) наличност на финансиране, което дава възможност за планиране и поемане на ангажимент за инвестиционни проекти, въз основа на надеждни прогнози и навременни парични потоци от държавната хазна; </w:t>
      </w:r>
    </w:p>
    <w:p>
      <w:pPr>
        <w:rPr>
          <w:noProof/>
        </w:rPr>
      </w:pPr>
      <w:r>
        <w:rPr>
          <w:noProof/>
        </w:rPr>
        <w:t>в) прозрачност на изпълнението на бюджета: големите публични инвестиционни проекти се обявяват като обществена поръчка чрез конкурентна и прозрачна процедура, която се наблюдава по време на изпълнението на проекта и се подлага на независим одит;</w:t>
      </w:r>
    </w:p>
    <w:p>
      <w:pPr>
        <w:rPr>
          <w:noProof/>
        </w:rPr>
      </w:pPr>
      <w:r>
        <w:rPr>
          <w:noProof/>
        </w:rPr>
        <w:t>г) управление на проекти: установен е отговорен ръководител на проекта, който работи в съответствие с подобрените планове за изпълнение и осигурява стандартизирани процедури и насоки за корекции на проекта;</w:t>
      </w:r>
    </w:p>
    <w:p>
      <w:pPr>
        <w:rPr>
          <w:noProof/>
        </w:rPr>
      </w:pPr>
      <w:r>
        <w:rPr>
          <w:noProof/>
        </w:rPr>
        <w:t>д) наблюдение на публични активи: активите се признават, оценяват и докладват по подходящ начин, а амортизацията им се посочва във финансовите отчети с общо предназначение.</w:t>
      </w:r>
    </w:p>
    <w:p>
      <w:pPr>
        <w:rPr>
          <w:b/>
          <w:noProof/>
        </w:rPr>
      </w:pPr>
    </w:p>
    <w:p>
      <w:pPr>
        <w:rPr>
          <w:b/>
          <w:noProof/>
        </w:rPr>
      </w:pPr>
      <w:r>
        <w:rPr>
          <w:b/>
          <w:noProof/>
        </w:rPr>
        <w:t>3. Таблица с резултати и отчитане</w:t>
      </w:r>
    </w:p>
    <w:p>
      <w:pPr>
        <w:rPr>
          <w:noProof/>
        </w:rPr>
      </w:pPr>
      <w:r>
        <w:rPr>
          <w:noProof/>
        </w:rPr>
        <w:t>За всяка държава членка се изготвя таблица с показатели и резюме за целите на определянето на силните и слабите страни на системите и практиките за управление на публичните инвестиции по прозрачен начин.</w:t>
      </w:r>
    </w:p>
    <w:p>
      <w:pPr>
        <w:rPr>
          <w:noProof/>
        </w:rPr>
      </w:pPr>
      <w:r>
        <w:rPr>
          <w:noProof/>
        </w:rPr>
        <w:t xml:space="preserve">Комисията представя констатациите от своята оценка в доклад, адресиран до държавите членки. </w:t>
      </w:r>
    </w:p>
    <w:p>
      <w:pPr>
        <w:rPr>
          <w:b/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4. Препоръки </w:t>
      </w:r>
    </w:p>
    <w:p>
      <w:pPr>
        <w:rPr>
          <w:noProof/>
        </w:rPr>
      </w:pPr>
      <w:r>
        <w:rPr>
          <w:noProof/>
        </w:rPr>
        <w:lastRenderedPageBreak/>
        <w:t xml:space="preserve">Комисията може да отправи практически препоръки към държавите членки въз основа на своята оценка, за да даде възможност на съответната държава членка да повиши ефективността на своите системи и практики за управление на публичните инвестиции. </w:t>
      </w:r>
    </w:p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A7EF9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87CA1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56423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A8015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99287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B6636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5A28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5523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06 16:22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6E1B6B3D-76E9-4FDB-B676-3D09D3BCBB57"/>
    <w:docVar w:name="LW_COVERPAGE_TYPE" w:val="1"/>
    <w:docVar w:name="LW_CROSSREFERENCE" w:val="{SEC(2018) 277 final}_x000b_{SWD(2018) 297 final}_x000b_{SWD(2018) 298 final}"/>
    <w:docVar w:name="LW_DocType" w:val="ANNEX"/>
    <w:docVar w:name="LW_EMISSION" w:val="31.5.2018"/>
    <w:docVar w:name="LW_EMISSION_ISODATE" w:val="2018-05-3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\u1090?\u1086? \u1085?\u1072? \u1045?\u1074?\u1088?\u1086?\u1087?\u1077?\u1081?\u1089?\u1082?\u1072? \u1092?\u1091?\u1085?\u1082?\u1094?\u1080?\u1103? \u1079?\u1072? \u1089?\u1090?\u1072?\u1073?\u1080?\u1083?\u1080?\u1079?\u1080?\u1088?\u1072?\u1085?\u1077? \u1085?\u1072? \u1080?\u1085?\u1074?\u1077?\u1089?\u1090?\u1080?\u1094?\u1080?\u1080?\u1090?\u1077?"/>
    <w:docVar w:name="LW_OBJETACTEPRINCIPAL.CP" w:val="\u1079?\u1072? \u1089?\u1098?\u1079?\u1076?\u1072?\u1074?\u1072?\u1085?\u1077?\u1090?\u1086? \u1085?\u1072? \u1045?\u1074?\u1088?\u1086?\u1087?\u1077?\u1081?\u1089?\u1082?\u1072? \u1092?\u1091?\u1085?\u1082?\u1094?\u1080?\u1103? \u1079?\u1072? \u1089?\u1090?\u1072?\u1073?\u1080?\u1083?\u1080?\u1079?\u1080?\u1088?\u1072?\u1085?\u1077? \u1085?\u1072? \u1080?\u1085?\u1074?\u1077?\u1089?\u1090?\u1080?\u1094?\u1080?\u1080?\u1090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8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_x000b_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ti-art">
    <w:name w:val="sti-ar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  <w:rPr>
      <w:sz w:val="17"/>
      <w:szCs w:val="17"/>
      <w:vertAlign w:val="superscript"/>
    </w:rPr>
  </w:style>
  <w:style w:type="paragraph" w:customStyle="1" w:styleId="sti-art2">
    <w:name w:val="sti-art2"/>
    <w:basedOn w:val="Normal"/>
    <w:pPr>
      <w:spacing w:before="60" w:line="312" w:lineRule="atLeast"/>
      <w:jc w:val="center"/>
    </w:pPr>
    <w:rPr>
      <w:rFonts w:eastAsia="Times New Roman"/>
      <w:b/>
      <w:bCs/>
      <w:szCs w:val="24"/>
    </w:rPr>
  </w:style>
  <w:style w:type="paragraph" w:customStyle="1" w:styleId="normal2">
    <w:name w:val="normal2"/>
    <w:basedOn w:val="Normal"/>
    <w:pPr>
      <w:spacing w:after="0" w:line="312" w:lineRule="atLeast"/>
    </w:pPr>
    <w:rPr>
      <w:rFonts w:eastAsia="Times New Roman"/>
      <w:szCs w:val="24"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sti-art">
    <w:name w:val="sti-art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super">
    <w:name w:val="super"/>
    <w:basedOn w:val="DefaultParagraphFont"/>
    <w:rPr>
      <w:sz w:val="17"/>
      <w:szCs w:val="17"/>
      <w:vertAlign w:val="superscript"/>
    </w:rPr>
  </w:style>
  <w:style w:type="paragraph" w:customStyle="1" w:styleId="sti-art2">
    <w:name w:val="sti-art2"/>
    <w:basedOn w:val="Normal"/>
    <w:pPr>
      <w:spacing w:before="60" w:line="312" w:lineRule="atLeast"/>
      <w:jc w:val="center"/>
    </w:pPr>
    <w:rPr>
      <w:rFonts w:eastAsia="Times New Roman"/>
      <w:b/>
      <w:bCs/>
      <w:szCs w:val="24"/>
    </w:rPr>
  </w:style>
  <w:style w:type="paragraph" w:customStyle="1" w:styleId="normal2">
    <w:name w:val="normal2"/>
    <w:basedOn w:val="Normal"/>
    <w:pPr>
      <w:spacing w:after="0" w:line="312" w:lineRule="atLeast"/>
    </w:pPr>
    <w:rPr>
      <w:rFonts w:eastAsia="Times New Roman"/>
      <w:szCs w:val="24"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A714-AC55-420B-A994-7382C75F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721</Words>
  <Characters>4364</Characters>
  <Application>Microsoft Office Word</Application>
  <DocSecurity>0</DocSecurity>
  <Lines>89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8</cp:revision>
  <cp:lastPrinted>2017-11-30T16:13:00Z</cp:lastPrinted>
  <dcterms:created xsi:type="dcterms:W3CDTF">2018-06-04T12:29:00Z</dcterms:created>
  <dcterms:modified xsi:type="dcterms:W3CDTF">2018-06-06T14:22:00Z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