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A290FB08-0D94-40E2-A889-C40CE6DE3486" style="width:450.8pt;height:422.6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fmt="upperRoman" w:start="1"/>
          <w:cols w:space="720"/>
          <w:docGrid w:linePitch="326"/>
        </w:sectPr>
      </w:pPr>
    </w:p>
    <w:bookmarkStart w:id="1" w:name="_GoBack" w:displacedByCustomXml="next"/>
    <w:bookmarkEnd w:id="1" w:displacedByCustomXml="next"/>
    <w:sdt>
      <w:sdtPr>
        <w:rPr>
          <w:rFonts w:cs="Times New Roman"/>
          <w:b/>
          <w:noProof/>
          <w:szCs w:val="24"/>
        </w:rPr>
        <w:id w:val="1873650255"/>
        <w:docPartObj>
          <w:docPartGallery w:val="Table of Contents"/>
          <w:docPartUnique/>
        </w:docPartObj>
      </w:sdtPr>
      <w:sdtEndPr>
        <w:rPr>
          <w:bCs/>
        </w:rPr>
      </w:sdtEndPr>
      <w:sdtContent>
        <w:p>
          <w:pPr>
            <w:spacing w:line="264" w:lineRule="auto"/>
            <w:jc w:val="center"/>
            <w:rPr>
              <w:rFonts w:cs="Times New Roman"/>
              <w:b/>
              <w:noProof/>
              <w:sz w:val="20"/>
              <w:szCs w:val="20"/>
            </w:rPr>
          </w:pPr>
          <w:r>
            <w:rPr>
              <w:rFonts w:cs="Times New Roman"/>
              <w:b/>
              <w:noProof/>
              <w:sz w:val="20"/>
              <w:szCs w:val="20"/>
            </w:rPr>
            <w:t>Table of Contents</w:t>
          </w:r>
        </w:p>
        <w:p>
          <w:pPr>
            <w:pStyle w:val="TOC1"/>
            <w:rPr>
              <w:rFonts w:asciiTheme="minorHAnsi" w:eastAsiaTheme="minorEastAsia" w:hAnsiTheme="minorHAnsi" w:cstheme="minorBidi"/>
              <w:caps w:val="0"/>
              <w:noProof/>
              <w:lang w:eastAsia="en-GB"/>
            </w:rPr>
          </w:pPr>
          <w:r>
            <w:rPr>
              <w:caps w:val="0"/>
              <w:noProof/>
            </w:rPr>
            <w:fldChar w:fldCharType="begin"/>
          </w:r>
          <w:r>
            <w:rPr>
              <w:caps w:val="0"/>
              <w:noProof/>
            </w:rPr>
            <w:instrText xml:space="preserve"> TOC \o "1-2" \h \z \u </w:instrText>
          </w:r>
          <w:r>
            <w:rPr>
              <w:caps w:val="0"/>
              <w:noProof/>
            </w:rPr>
            <w:fldChar w:fldCharType="separate"/>
          </w:r>
          <w:hyperlink w:anchor="_Toc515348873" w:history="1">
            <w:r>
              <w:rPr>
                <w:rStyle w:val="Hyperlink"/>
                <w:noProof/>
              </w:rPr>
              <w:t>1</w:t>
            </w:r>
            <w:r>
              <w:rPr>
                <w:rFonts w:asciiTheme="minorHAnsi" w:eastAsiaTheme="minorEastAsia" w:hAnsiTheme="minorHAnsi" w:cstheme="minorBidi"/>
                <w:caps w:val="0"/>
                <w:noProof/>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_Toc515348873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74" w:history="1">
            <w:r>
              <w:rPr>
                <w:rStyle w:val="Hyperlink"/>
                <w:noProof/>
                <w:sz w:val="20"/>
              </w:rPr>
              <w:t>1.1</w:t>
            </w:r>
            <w:r>
              <w:rPr>
                <w:rFonts w:asciiTheme="minorHAnsi" w:eastAsiaTheme="minorEastAsia" w:hAnsiTheme="minorHAnsi" w:cstheme="minorBidi"/>
                <w:noProof/>
                <w:sz w:val="20"/>
                <w:lang w:eastAsia="en-GB"/>
              </w:rPr>
              <w:tab/>
            </w:r>
            <w:r>
              <w:rPr>
                <w:rStyle w:val="Hyperlink"/>
                <w:noProof/>
                <w:sz w:val="20"/>
              </w:rPr>
              <w:t>Scope and context</w:t>
            </w:r>
            <w:r>
              <w:rPr>
                <w:noProof/>
                <w:webHidden/>
                <w:sz w:val="20"/>
              </w:rPr>
              <w:tab/>
            </w:r>
            <w:r>
              <w:rPr>
                <w:noProof/>
                <w:webHidden/>
                <w:sz w:val="20"/>
              </w:rPr>
              <w:fldChar w:fldCharType="begin"/>
            </w:r>
            <w:r>
              <w:rPr>
                <w:noProof/>
                <w:webHidden/>
                <w:sz w:val="20"/>
              </w:rPr>
              <w:instrText xml:space="preserve"> PAGEREF _Toc515348874 \h </w:instrText>
            </w:r>
            <w:r>
              <w:rPr>
                <w:noProof/>
                <w:webHidden/>
                <w:sz w:val="20"/>
              </w:rPr>
            </w:r>
            <w:r>
              <w:rPr>
                <w:noProof/>
                <w:webHidden/>
                <w:sz w:val="20"/>
              </w:rPr>
              <w:fldChar w:fldCharType="separate"/>
            </w:r>
            <w:r>
              <w:rPr>
                <w:noProof/>
                <w:webHidden/>
                <w:sz w:val="20"/>
              </w:rPr>
              <w:t>1</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75" w:history="1">
            <w:r>
              <w:rPr>
                <w:rStyle w:val="Hyperlink"/>
                <w:noProof/>
                <w:sz w:val="20"/>
              </w:rPr>
              <w:t>1.2</w:t>
            </w:r>
            <w:r>
              <w:rPr>
                <w:rFonts w:asciiTheme="minorHAnsi" w:eastAsiaTheme="minorEastAsia" w:hAnsiTheme="minorHAnsi" w:cstheme="minorBidi"/>
                <w:noProof/>
                <w:sz w:val="20"/>
                <w:lang w:eastAsia="en-GB"/>
              </w:rPr>
              <w:tab/>
            </w:r>
            <w:r>
              <w:rPr>
                <w:rStyle w:val="Hyperlink"/>
                <w:noProof/>
                <w:sz w:val="20"/>
              </w:rPr>
              <w:t>Investment in a post-crisis economic environment</w:t>
            </w:r>
            <w:r>
              <w:rPr>
                <w:noProof/>
                <w:webHidden/>
                <w:sz w:val="20"/>
              </w:rPr>
              <w:tab/>
            </w:r>
            <w:r>
              <w:rPr>
                <w:noProof/>
                <w:webHidden/>
                <w:sz w:val="20"/>
              </w:rPr>
              <w:fldChar w:fldCharType="begin"/>
            </w:r>
            <w:r>
              <w:rPr>
                <w:noProof/>
                <w:webHidden/>
                <w:sz w:val="20"/>
              </w:rPr>
              <w:instrText xml:space="preserve"> PAGEREF _Toc515348875 \h </w:instrText>
            </w:r>
            <w:r>
              <w:rPr>
                <w:noProof/>
                <w:webHidden/>
                <w:sz w:val="20"/>
              </w:rPr>
            </w:r>
            <w:r>
              <w:rPr>
                <w:noProof/>
                <w:webHidden/>
                <w:sz w:val="20"/>
              </w:rPr>
              <w:fldChar w:fldCharType="separate"/>
            </w:r>
            <w:r>
              <w:rPr>
                <w:noProof/>
                <w:webHidden/>
                <w:sz w:val="20"/>
              </w:rPr>
              <w:t>3</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76" w:history="1">
            <w:r>
              <w:rPr>
                <w:rStyle w:val="Hyperlink"/>
                <w:noProof/>
                <w:sz w:val="20"/>
              </w:rPr>
              <w:t>1.3</w:t>
            </w:r>
            <w:r>
              <w:rPr>
                <w:rFonts w:asciiTheme="minorHAnsi" w:eastAsiaTheme="minorEastAsia" w:hAnsiTheme="minorHAnsi" w:cstheme="minorBidi"/>
                <w:noProof/>
                <w:sz w:val="20"/>
                <w:lang w:eastAsia="en-GB"/>
              </w:rPr>
              <w:tab/>
            </w:r>
            <w:r>
              <w:rPr>
                <w:rStyle w:val="Hyperlink"/>
                <w:noProof/>
                <w:sz w:val="20"/>
              </w:rPr>
              <w:t>Lessons learned from previous programmes</w:t>
            </w:r>
            <w:r>
              <w:rPr>
                <w:noProof/>
                <w:webHidden/>
                <w:sz w:val="20"/>
              </w:rPr>
              <w:tab/>
            </w:r>
            <w:r>
              <w:rPr>
                <w:noProof/>
                <w:webHidden/>
                <w:sz w:val="20"/>
              </w:rPr>
              <w:fldChar w:fldCharType="begin"/>
            </w:r>
            <w:r>
              <w:rPr>
                <w:noProof/>
                <w:webHidden/>
                <w:sz w:val="20"/>
              </w:rPr>
              <w:instrText xml:space="preserve"> PAGEREF _Toc515348876 \h </w:instrText>
            </w:r>
            <w:r>
              <w:rPr>
                <w:noProof/>
                <w:webHidden/>
                <w:sz w:val="20"/>
              </w:rPr>
            </w:r>
            <w:r>
              <w:rPr>
                <w:noProof/>
                <w:webHidden/>
                <w:sz w:val="20"/>
              </w:rPr>
              <w:fldChar w:fldCharType="separate"/>
            </w:r>
            <w:r>
              <w:rPr>
                <w:noProof/>
                <w:webHidden/>
                <w:sz w:val="20"/>
              </w:rPr>
              <w:t>12</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77" w:history="1">
            <w:r>
              <w:rPr>
                <w:rStyle w:val="Hyperlink"/>
                <w:noProof/>
                <w:sz w:val="20"/>
              </w:rPr>
              <w:t>1.4</w:t>
            </w:r>
            <w:r>
              <w:rPr>
                <w:rFonts w:asciiTheme="minorHAnsi" w:eastAsiaTheme="minorEastAsia" w:hAnsiTheme="minorHAnsi" w:cstheme="minorBidi"/>
                <w:noProof/>
                <w:sz w:val="20"/>
                <w:lang w:eastAsia="en-GB"/>
              </w:rPr>
              <w:tab/>
            </w:r>
            <w:r>
              <w:rPr>
                <w:rStyle w:val="Hyperlink"/>
                <w:noProof/>
                <w:sz w:val="20"/>
              </w:rPr>
              <w:t>The way forward: a single investment support instrument</w:t>
            </w:r>
            <w:r>
              <w:rPr>
                <w:noProof/>
                <w:webHidden/>
                <w:sz w:val="20"/>
              </w:rPr>
              <w:tab/>
            </w:r>
            <w:r>
              <w:rPr>
                <w:noProof/>
                <w:webHidden/>
                <w:sz w:val="20"/>
              </w:rPr>
              <w:fldChar w:fldCharType="begin"/>
            </w:r>
            <w:r>
              <w:rPr>
                <w:noProof/>
                <w:webHidden/>
                <w:sz w:val="20"/>
              </w:rPr>
              <w:instrText xml:space="preserve"> PAGEREF _Toc515348877 \h </w:instrText>
            </w:r>
            <w:r>
              <w:rPr>
                <w:noProof/>
                <w:webHidden/>
                <w:sz w:val="20"/>
              </w:rPr>
            </w:r>
            <w:r>
              <w:rPr>
                <w:noProof/>
                <w:webHidden/>
                <w:sz w:val="20"/>
              </w:rPr>
              <w:fldChar w:fldCharType="separate"/>
            </w:r>
            <w:r>
              <w:rPr>
                <w:noProof/>
                <w:webHidden/>
                <w:sz w:val="20"/>
              </w:rPr>
              <w:t>16</w:t>
            </w:r>
            <w:r>
              <w:rPr>
                <w:noProof/>
                <w:webHidden/>
                <w:sz w:val="20"/>
              </w:rPr>
              <w:fldChar w:fldCharType="end"/>
            </w:r>
          </w:hyperlink>
        </w:p>
        <w:p>
          <w:pPr>
            <w:pStyle w:val="TOC1"/>
            <w:rPr>
              <w:rFonts w:asciiTheme="minorHAnsi" w:eastAsiaTheme="minorEastAsia" w:hAnsiTheme="minorHAnsi" w:cstheme="minorBidi"/>
              <w:caps w:val="0"/>
              <w:noProof/>
              <w:lang w:eastAsia="en-GB"/>
            </w:rPr>
          </w:pPr>
          <w:hyperlink w:anchor="_Toc515348878" w:history="1">
            <w:r>
              <w:rPr>
                <w:rStyle w:val="Hyperlink"/>
                <w:noProof/>
              </w:rPr>
              <w:t>2</w:t>
            </w:r>
            <w:r>
              <w:rPr>
                <w:rFonts w:asciiTheme="minorHAnsi" w:eastAsiaTheme="minorEastAsia" w:hAnsiTheme="minorHAnsi" w:cstheme="minorBidi"/>
                <w:caps w:val="0"/>
                <w:noProof/>
                <w:lang w:eastAsia="en-GB"/>
              </w:rPr>
              <w:tab/>
            </w:r>
            <w:r>
              <w:rPr>
                <w:rStyle w:val="Hyperlink"/>
                <w:noProof/>
              </w:rPr>
              <w:t>The objectives</w:t>
            </w:r>
            <w:r>
              <w:rPr>
                <w:noProof/>
                <w:webHidden/>
              </w:rPr>
              <w:tab/>
            </w:r>
            <w:r>
              <w:rPr>
                <w:noProof/>
                <w:webHidden/>
              </w:rPr>
              <w:fldChar w:fldCharType="begin"/>
            </w:r>
            <w:r>
              <w:rPr>
                <w:noProof/>
                <w:webHidden/>
              </w:rPr>
              <w:instrText xml:space="preserve"> PAGEREF _Toc515348878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79" w:history="1">
            <w:r>
              <w:rPr>
                <w:rStyle w:val="Hyperlink"/>
                <w:noProof/>
                <w:sz w:val="20"/>
              </w:rPr>
              <w:t>2.1</w:t>
            </w:r>
            <w:r>
              <w:rPr>
                <w:rFonts w:asciiTheme="minorHAnsi" w:eastAsiaTheme="minorEastAsia" w:hAnsiTheme="minorHAnsi" w:cstheme="minorBidi"/>
                <w:noProof/>
                <w:sz w:val="20"/>
                <w:lang w:eastAsia="en-GB"/>
              </w:rPr>
              <w:tab/>
            </w:r>
            <w:r>
              <w:rPr>
                <w:rStyle w:val="Hyperlink"/>
                <w:noProof/>
                <w:sz w:val="20"/>
              </w:rPr>
              <w:t>General objectives of InvestEU Programme</w:t>
            </w:r>
            <w:r>
              <w:rPr>
                <w:noProof/>
                <w:webHidden/>
                <w:sz w:val="20"/>
              </w:rPr>
              <w:tab/>
            </w:r>
            <w:r>
              <w:rPr>
                <w:noProof/>
                <w:webHidden/>
                <w:sz w:val="20"/>
              </w:rPr>
              <w:fldChar w:fldCharType="begin"/>
            </w:r>
            <w:r>
              <w:rPr>
                <w:noProof/>
                <w:webHidden/>
                <w:sz w:val="20"/>
              </w:rPr>
              <w:instrText xml:space="preserve"> PAGEREF _Toc515348879 \h </w:instrText>
            </w:r>
            <w:r>
              <w:rPr>
                <w:noProof/>
                <w:webHidden/>
                <w:sz w:val="20"/>
              </w:rPr>
            </w:r>
            <w:r>
              <w:rPr>
                <w:noProof/>
                <w:webHidden/>
                <w:sz w:val="20"/>
              </w:rPr>
              <w:fldChar w:fldCharType="separate"/>
            </w:r>
            <w:r>
              <w:rPr>
                <w:noProof/>
                <w:webHidden/>
                <w:sz w:val="20"/>
              </w:rPr>
              <w:t>16</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0" w:history="1">
            <w:r>
              <w:rPr>
                <w:rStyle w:val="Hyperlink"/>
                <w:noProof/>
                <w:sz w:val="20"/>
              </w:rPr>
              <w:t>2.2</w:t>
            </w:r>
            <w:r>
              <w:rPr>
                <w:rFonts w:asciiTheme="minorHAnsi" w:eastAsiaTheme="minorEastAsia" w:hAnsiTheme="minorHAnsi" w:cstheme="minorBidi"/>
                <w:noProof/>
                <w:sz w:val="20"/>
                <w:lang w:eastAsia="en-GB"/>
              </w:rPr>
              <w:tab/>
            </w:r>
            <w:r>
              <w:rPr>
                <w:rStyle w:val="Hyperlink"/>
                <w:noProof/>
                <w:sz w:val="20"/>
              </w:rPr>
              <w:t>Specific objectives</w:t>
            </w:r>
            <w:r>
              <w:rPr>
                <w:noProof/>
                <w:webHidden/>
                <w:sz w:val="20"/>
              </w:rPr>
              <w:tab/>
            </w:r>
            <w:r>
              <w:rPr>
                <w:noProof/>
                <w:webHidden/>
                <w:sz w:val="20"/>
              </w:rPr>
              <w:fldChar w:fldCharType="begin"/>
            </w:r>
            <w:r>
              <w:rPr>
                <w:noProof/>
                <w:webHidden/>
                <w:sz w:val="20"/>
              </w:rPr>
              <w:instrText xml:space="preserve"> PAGEREF _Toc515348880 \h </w:instrText>
            </w:r>
            <w:r>
              <w:rPr>
                <w:noProof/>
                <w:webHidden/>
                <w:sz w:val="20"/>
              </w:rPr>
            </w:r>
            <w:r>
              <w:rPr>
                <w:noProof/>
                <w:webHidden/>
                <w:sz w:val="20"/>
              </w:rPr>
              <w:fldChar w:fldCharType="separate"/>
            </w:r>
            <w:r>
              <w:rPr>
                <w:noProof/>
                <w:webHidden/>
                <w:sz w:val="20"/>
              </w:rPr>
              <w:t>17</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1" w:history="1">
            <w:r>
              <w:rPr>
                <w:rStyle w:val="Hyperlink"/>
                <w:noProof/>
                <w:sz w:val="20"/>
              </w:rPr>
              <w:t>2.3</w:t>
            </w:r>
            <w:r>
              <w:rPr>
                <w:rFonts w:asciiTheme="minorHAnsi" w:eastAsiaTheme="minorEastAsia" w:hAnsiTheme="minorHAnsi" w:cstheme="minorBidi"/>
                <w:noProof/>
                <w:sz w:val="20"/>
                <w:lang w:eastAsia="en-GB"/>
              </w:rPr>
              <w:tab/>
            </w:r>
            <w:r>
              <w:rPr>
                <w:rStyle w:val="Hyperlink"/>
                <w:noProof/>
                <w:sz w:val="20"/>
              </w:rPr>
              <w:t>Simplification</w:t>
            </w:r>
            <w:r>
              <w:rPr>
                <w:noProof/>
                <w:webHidden/>
                <w:sz w:val="20"/>
              </w:rPr>
              <w:tab/>
            </w:r>
            <w:r>
              <w:rPr>
                <w:noProof/>
                <w:webHidden/>
                <w:sz w:val="20"/>
              </w:rPr>
              <w:fldChar w:fldCharType="begin"/>
            </w:r>
            <w:r>
              <w:rPr>
                <w:noProof/>
                <w:webHidden/>
                <w:sz w:val="20"/>
              </w:rPr>
              <w:instrText xml:space="preserve"> PAGEREF _Toc515348881 \h </w:instrText>
            </w:r>
            <w:r>
              <w:rPr>
                <w:noProof/>
                <w:webHidden/>
                <w:sz w:val="20"/>
              </w:rPr>
            </w:r>
            <w:r>
              <w:rPr>
                <w:noProof/>
                <w:webHidden/>
                <w:sz w:val="20"/>
              </w:rPr>
              <w:fldChar w:fldCharType="separate"/>
            </w:r>
            <w:r>
              <w:rPr>
                <w:noProof/>
                <w:webHidden/>
                <w:sz w:val="20"/>
              </w:rPr>
              <w:t>21</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2" w:history="1">
            <w:r>
              <w:rPr>
                <w:rStyle w:val="Hyperlink"/>
                <w:noProof/>
                <w:sz w:val="20"/>
              </w:rPr>
              <w:t>2.4</w:t>
            </w:r>
            <w:r>
              <w:rPr>
                <w:rFonts w:asciiTheme="minorHAnsi" w:eastAsiaTheme="minorEastAsia" w:hAnsiTheme="minorHAnsi" w:cstheme="minorBidi"/>
                <w:noProof/>
                <w:sz w:val="20"/>
                <w:lang w:eastAsia="en-GB"/>
              </w:rPr>
              <w:tab/>
            </w:r>
            <w:r>
              <w:rPr>
                <w:rStyle w:val="Hyperlink"/>
                <w:noProof/>
                <w:sz w:val="20"/>
              </w:rPr>
              <w:t>Enhanced flexibility</w:t>
            </w:r>
            <w:r>
              <w:rPr>
                <w:noProof/>
                <w:webHidden/>
                <w:sz w:val="20"/>
              </w:rPr>
              <w:tab/>
            </w:r>
            <w:r>
              <w:rPr>
                <w:noProof/>
                <w:webHidden/>
                <w:sz w:val="20"/>
              </w:rPr>
              <w:fldChar w:fldCharType="begin"/>
            </w:r>
            <w:r>
              <w:rPr>
                <w:noProof/>
                <w:webHidden/>
                <w:sz w:val="20"/>
              </w:rPr>
              <w:instrText xml:space="preserve"> PAGEREF _Toc515348882 \h </w:instrText>
            </w:r>
            <w:r>
              <w:rPr>
                <w:noProof/>
                <w:webHidden/>
                <w:sz w:val="20"/>
              </w:rPr>
            </w:r>
            <w:r>
              <w:rPr>
                <w:noProof/>
                <w:webHidden/>
                <w:sz w:val="20"/>
              </w:rPr>
              <w:fldChar w:fldCharType="separate"/>
            </w:r>
            <w:r>
              <w:rPr>
                <w:noProof/>
                <w:webHidden/>
                <w:sz w:val="20"/>
              </w:rPr>
              <w:t>22</w:t>
            </w:r>
            <w:r>
              <w:rPr>
                <w:noProof/>
                <w:webHidden/>
                <w:sz w:val="20"/>
              </w:rPr>
              <w:fldChar w:fldCharType="end"/>
            </w:r>
          </w:hyperlink>
        </w:p>
        <w:p>
          <w:pPr>
            <w:pStyle w:val="TOC1"/>
            <w:rPr>
              <w:rFonts w:asciiTheme="minorHAnsi" w:eastAsiaTheme="minorEastAsia" w:hAnsiTheme="minorHAnsi" w:cstheme="minorBidi"/>
              <w:caps w:val="0"/>
              <w:noProof/>
              <w:lang w:eastAsia="en-GB"/>
            </w:rPr>
          </w:pPr>
          <w:hyperlink w:anchor="_Toc515348883" w:history="1">
            <w:r>
              <w:rPr>
                <w:rStyle w:val="Hyperlink"/>
                <w:noProof/>
              </w:rPr>
              <w:t>3</w:t>
            </w:r>
            <w:r>
              <w:rPr>
                <w:rFonts w:asciiTheme="minorHAnsi" w:eastAsiaTheme="minorEastAsia" w:hAnsiTheme="minorHAnsi" w:cstheme="minorBidi"/>
                <w:caps w:val="0"/>
                <w:noProof/>
                <w:lang w:eastAsia="en-GB"/>
              </w:rPr>
              <w:tab/>
            </w:r>
            <w:r>
              <w:rPr>
                <w:rStyle w:val="Hyperlink"/>
                <w:noProof/>
              </w:rPr>
              <w:t>Programme structure and priorities</w:t>
            </w:r>
            <w:r>
              <w:rPr>
                <w:noProof/>
                <w:webHidden/>
              </w:rPr>
              <w:tab/>
            </w:r>
            <w:r>
              <w:rPr>
                <w:noProof/>
                <w:webHidden/>
              </w:rPr>
              <w:fldChar w:fldCharType="begin"/>
            </w:r>
            <w:r>
              <w:rPr>
                <w:noProof/>
                <w:webHidden/>
              </w:rPr>
              <w:instrText xml:space="preserve"> PAGEREF _Toc515348883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4" w:history="1">
            <w:r>
              <w:rPr>
                <w:rStyle w:val="Hyperlink"/>
                <w:noProof/>
                <w:sz w:val="20"/>
              </w:rPr>
              <w:t>3.1</w:t>
            </w:r>
            <w:r>
              <w:rPr>
                <w:rFonts w:asciiTheme="minorHAnsi" w:eastAsiaTheme="minorEastAsia" w:hAnsiTheme="minorHAnsi" w:cstheme="minorBidi"/>
                <w:noProof/>
                <w:sz w:val="20"/>
                <w:lang w:eastAsia="en-GB"/>
              </w:rPr>
              <w:tab/>
            </w:r>
            <w:r>
              <w:rPr>
                <w:rStyle w:val="Hyperlink"/>
                <w:noProof/>
                <w:sz w:val="20"/>
              </w:rPr>
              <w:t>InvestEU Fund structure</w:t>
            </w:r>
            <w:r>
              <w:rPr>
                <w:noProof/>
                <w:webHidden/>
                <w:sz w:val="20"/>
              </w:rPr>
              <w:tab/>
            </w:r>
            <w:r>
              <w:rPr>
                <w:noProof/>
                <w:webHidden/>
                <w:sz w:val="20"/>
              </w:rPr>
              <w:fldChar w:fldCharType="begin"/>
            </w:r>
            <w:r>
              <w:rPr>
                <w:noProof/>
                <w:webHidden/>
                <w:sz w:val="20"/>
              </w:rPr>
              <w:instrText xml:space="preserve"> PAGEREF _Toc515348884 \h </w:instrText>
            </w:r>
            <w:r>
              <w:rPr>
                <w:noProof/>
                <w:webHidden/>
                <w:sz w:val="20"/>
              </w:rPr>
            </w:r>
            <w:r>
              <w:rPr>
                <w:noProof/>
                <w:webHidden/>
                <w:sz w:val="20"/>
              </w:rPr>
              <w:fldChar w:fldCharType="separate"/>
            </w:r>
            <w:r>
              <w:rPr>
                <w:noProof/>
                <w:webHidden/>
                <w:sz w:val="20"/>
              </w:rPr>
              <w:t>27</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5" w:history="1">
            <w:r>
              <w:rPr>
                <w:rStyle w:val="Hyperlink"/>
                <w:noProof/>
                <w:sz w:val="20"/>
              </w:rPr>
              <w:t>3.2</w:t>
            </w:r>
            <w:r>
              <w:rPr>
                <w:rFonts w:asciiTheme="minorHAnsi" w:eastAsiaTheme="minorEastAsia" w:hAnsiTheme="minorHAnsi" w:cstheme="minorBidi"/>
                <w:noProof/>
                <w:sz w:val="20"/>
                <w:lang w:eastAsia="en-GB"/>
              </w:rPr>
              <w:tab/>
            </w:r>
            <w:r>
              <w:rPr>
                <w:rStyle w:val="Hyperlink"/>
                <w:noProof/>
                <w:sz w:val="20"/>
              </w:rPr>
              <w:t>Member State compartments</w:t>
            </w:r>
            <w:r>
              <w:rPr>
                <w:noProof/>
                <w:webHidden/>
                <w:sz w:val="20"/>
              </w:rPr>
              <w:tab/>
            </w:r>
            <w:r>
              <w:rPr>
                <w:noProof/>
                <w:webHidden/>
                <w:sz w:val="20"/>
              </w:rPr>
              <w:fldChar w:fldCharType="begin"/>
            </w:r>
            <w:r>
              <w:rPr>
                <w:noProof/>
                <w:webHidden/>
                <w:sz w:val="20"/>
              </w:rPr>
              <w:instrText xml:space="preserve"> PAGEREF _Toc515348885 \h </w:instrText>
            </w:r>
            <w:r>
              <w:rPr>
                <w:noProof/>
                <w:webHidden/>
                <w:sz w:val="20"/>
              </w:rPr>
            </w:r>
            <w:r>
              <w:rPr>
                <w:noProof/>
                <w:webHidden/>
                <w:sz w:val="20"/>
              </w:rPr>
              <w:fldChar w:fldCharType="separate"/>
            </w:r>
            <w:r>
              <w:rPr>
                <w:noProof/>
                <w:webHidden/>
                <w:sz w:val="20"/>
              </w:rPr>
              <w:t>28</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6" w:history="1">
            <w:r>
              <w:rPr>
                <w:rStyle w:val="Hyperlink"/>
                <w:noProof/>
                <w:sz w:val="20"/>
              </w:rPr>
              <w:t>3.3</w:t>
            </w:r>
            <w:r>
              <w:rPr>
                <w:rFonts w:asciiTheme="minorHAnsi" w:eastAsiaTheme="minorEastAsia" w:hAnsiTheme="minorHAnsi" w:cstheme="minorBidi"/>
                <w:noProof/>
                <w:sz w:val="20"/>
                <w:lang w:eastAsia="en-GB"/>
              </w:rPr>
              <w:tab/>
            </w:r>
            <w:r>
              <w:rPr>
                <w:rStyle w:val="Hyperlink"/>
                <w:noProof/>
                <w:sz w:val="20"/>
              </w:rPr>
              <w:t>EU added value</w:t>
            </w:r>
            <w:r>
              <w:rPr>
                <w:noProof/>
                <w:webHidden/>
                <w:sz w:val="20"/>
              </w:rPr>
              <w:tab/>
            </w:r>
            <w:r>
              <w:rPr>
                <w:noProof/>
                <w:webHidden/>
                <w:sz w:val="20"/>
              </w:rPr>
              <w:fldChar w:fldCharType="begin"/>
            </w:r>
            <w:r>
              <w:rPr>
                <w:noProof/>
                <w:webHidden/>
                <w:sz w:val="20"/>
              </w:rPr>
              <w:instrText xml:space="preserve"> PAGEREF _Toc515348886 \h </w:instrText>
            </w:r>
            <w:r>
              <w:rPr>
                <w:noProof/>
                <w:webHidden/>
                <w:sz w:val="20"/>
              </w:rPr>
            </w:r>
            <w:r>
              <w:rPr>
                <w:noProof/>
                <w:webHidden/>
                <w:sz w:val="20"/>
              </w:rPr>
              <w:fldChar w:fldCharType="separate"/>
            </w:r>
            <w:r>
              <w:rPr>
                <w:noProof/>
                <w:webHidden/>
                <w:sz w:val="20"/>
              </w:rPr>
              <w:t>30</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7" w:history="1">
            <w:r>
              <w:rPr>
                <w:rStyle w:val="Hyperlink"/>
                <w:noProof/>
                <w:sz w:val="20"/>
              </w:rPr>
              <w:t>3.4</w:t>
            </w:r>
            <w:r>
              <w:rPr>
                <w:rFonts w:asciiTheme="minorHAnsi" w:eastAsiaTheme="minorEastAsia" w:hAnsiTheme="minorHAnsi" w:cstheme="minorBidi"/>
                <w:noProof/>
                <w:sz w:val="20"/>
                <w:lang w:eastAsia="en-GB"/>
              </w:rPr>
              <w:tab/>
            </w:r>
            <w:r>
              <w:rPr>
                <w:rStyle w:val="Hyperlink"/>
                <w:noProof/>
                <w:sz w:val="20"/>
              </w:rPr>
              <w:t>Governance</w:t>
            </w:r>
            <w:r>
              <w:rPr>
                <w:noProof/>
                <w:webHidden/>
                <w:sz w:val="20"/>
              </w:rPr>
              <w:tab/>
            </w:r>
            <w:r>
              <w:rPr>
                <w:noProof/>
                <w:webHidden/>
                <w:sz w:val="20"/>
              </w:rPr>
              <w:fldChar w:fldCharType="begin"/>
            </w:r>
            <w:r>
              <w:rPr>
                <w:noProof/>
                <w:webHidden/>
                <w:sz w:val="20"/>
              </w:rPr>
              <w:instrText xml:space="preserve"> PAGEREF _Toc515348887 \h </w:instrText>
            </w:r>
            <w:r>
              <w:rPr>
                <w:noProof/>
                <w:webHidden/>
                <w:sz w:val="20"/>
              </w:rPr>
            </w:r>
            <w:r>
              <w:rPr>
                <w:noProof/>
                <w:webHidden/>
                <w:sz w:val="20"/>
              </w:rPr>
              <w:fldChar w:fldCharType="separate"/>
            </w:r>
            <w:r>
              <w:rPr>
                <w:noProof/>
                <w:webHidden/>
                <w:sz w:val="20"/>
              </w:rPr>
              <w:t>30</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8" w:history="1">
            <w:r>
              <w:rPr>
                <w:rStyle w:val="Hyperlink"/>
                <w:noProof/>
                <w:sz w:val="20"/>
              </w:rPr>
              <w:t>3.5</w:t>
            </w:r>
            <w:r>
              <w:rPr>
                <w:rFonts w:asciiTheme="minorHAnsi" w:eastAsiaTheme="minorEastAsia" w:hAnsiTheme="minorHAnsi" w:cstheme="minorBidi"/>
                <w:noProof/>
                <w:sz w:val="20"/>
                <w:lang w:eastAsia="en-GB"/>
              </w:rPr>
              <w:tab/>
            </w:r>
            <w:r>
              <w:rPr>
                <w:rStyle w:val="Hyperlink"/>
                <w:noProof/>
                <w:sz w:val="20"/>
              </w:rPr>
              <w:t>Avoiding overlaps among policy windows</w:t>
            </w:r>
            <w:r>
              <w:rPr>
                <w:noProof/>
                <w:webHidden/>
                <w:sz w:val="20"/>
              </w:rPr>
              <w:tab/>
            </w:r>
            <w:r>
              <w:rPr>
                <w:noProof/>
                <w:webHidden/>
                <w:sz w:val="20"/>
              </w:rPr>
              <w:fldChar w:fldCharType="begin"/>
            </w:r>
            <w:r>
              <w:rPr>
                <w:noProof/>
                <w:webHidden/>
                <w:sz w:val="20"/>
              </w:rPr>
              <w:instrText xml:space="preserve"> PAGEREF _Toc515348888 \h </w:instrText>
            </w:r>
            <w:r>
              <w:rPr>
                <w:noProof/>
                <w:webHidden/>
                <w:sz w:val="20"/>
              </w:rPr>
            </w:r>
            <w:r>
              <w:rPr>
                <w:noProof/>
                <w:webHidden/>
                <w:sz w:val="20"/>
              </w:rPr>
              <w:fldChar w:fldCharType="separate"/>
            </w:r>
            <w:r>
              <w:rPr>
                <w:noProof/>
                <w:webHidden/>
                <w:sz w:val="20"/>
              </w:rPr>
              <w:t>34</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89" w:history="1">
            <w:r>
              <w:rPr>
                <w:rStyle w:val="Hyperlink"/>
                <w:noProof/>
                <w:sz w:val="20"/>
              </w:rPr>
              <w:t>3.6</w:t>
            </w:r>
            <w:r>
              <w:rPr>
                <w:rFonts w:asciiTheme="minorHAnsi" w:eastAsiaTheme="minorEastAsia" w:hAnsiTheme="minorHAnsi" w:cstheme="minorBidi"/>
                <w:noProof/>
                <w:sz w:val="20"/>
                <w:lang w:eastAsia="en-GB"/>
              </w:rPr>
              <w:tab/>
            </w:r>
            <w:r>
              <w:rPr>
                <w:rStyle w:val="Hyperlink"/>
                <w:noProof/>
                <w:sz w:val="20"/>
              </w:rPr>
              <w:t>Geographical distribution</w:t>
            </w:r>
            <w:r>
              <w:rPr>
                <w:noProof/>
                <w:webHidden/>
                <w:sz w:val="20"/>
              </w:rPr>
              <w:tab/>
            </w:r>
            <w:r>
              <w:rPr>
                <w:noProof/>
                <w:webHidden/>
                <w:sz w:val="20"/>
              </w:rPr>
              <w:fldChar w:fldCharType="begin"/>
            </w:r>
            <w:r>
              <w:rPr>
                <w:noProof/>
                <w:webHidden/>
                <w:sz w:val="20"/>
              </w:rPr>
              <w:instrText xml:space="preserve"> PAGEREF _Toc515348889 \h </w:instrText>
            </w:r>
            <w:r>
              <w:rPr>
                <w:noProof/>
                <w:webHidden/>
                <w:sz w:val="20"/>
              </w:rPr>
            </w:r>
            <w:r>
              <w:rPr>
                <w:noProof/>
                <w:webHidden/>
                <w:sz w:val="20"/>
              </w:rPr>
              <w:fldChar w:fldCharType="separate"/>
            </w:r>
            <w:r>
              <w:rPr>
                <w:noProof/>
                <w:webHidden/>
                <w:sz w:val="20"/>
              </w:rPr>
              <w:t>35</w:t>
            </w:r>
            <w:r>
              <w:rPr>
                <w:noProof/>
                <w:webHidden/>
                <w:sz w:val="20"/>
              </w:rPr>
              <w:fldChar w:fldCharType="end"/>
            </w:r>
          </w:hyperlink>
        </w:p>
        <w:p>
          <w:pPr>
            <w:pStyle w:val="TOC1"/>
            <w:rPr>
              <w:rFonts w:asciiTheme="minorHAnsi" w:eastAsiaTheme="minorEastAsia" w:hAnsiTheme="minorHAnsi" w:cstheme="minorBidi"/>
              <w:caps w:val="0"/>
              <w:noProof/>
              <w:lang w:eastAsia="en-GB"/>
            </w:rPr>
          </w:pPr>
          <w:hyperlink w:anchor="_Toc515348890" w:history="1">
            <w:r>
              <w:rPr>
                <w:rStyle w:val="Hyperlink"/>
                <w:noProof/>
              </w:rPr>
              <w:t>4</w:t>
            </w:r>
            <w:r>
              <w:rPr>
                <w:rFonts w:asciiTheme="minorHAnsi" w:eastAsiaTheme="minorEastAsia" w:hAnsiTheme="minorHAnsi" w:cstheme="minorBidi"/>
                <w:caps w:val="0"/>
                <w:noProof/>
                <w:lang w:eastAsia="en-GB"/>
              </w:rPr>
              <w:tab/>
            </w:r>
            <w:r>
              <w:rPr>
                <w:rStyle w:val="Hyperlink"/>
                <w:noProof/>
              </w:rPr>
              <w:t>Target actions, financing products and beneficiaries</w:t>
            </w:r>
            <w:r>
              <w:rPr>
                <w:noProof/>
                <w:webHidden/>
              </w:rPr>
              <w:tab/>
            </w:r>
            <w:r>
              <w:rPr>
                <w:noProof/>
                <w:webHidden/>
              </w:rPr>
              <w:fldChar w:fldCharType="begin"/>
            </w:r>
            <w:r>
              <w:rPr>
                <w:noProof/>
                <w:webHidden/>
              </w:rPr>
              <w:instrText xml:space="preserve"> PAGEREF _Toc515348890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1" w:history="1">
            <w:r>
              <w:rPr>
                <w:rStyle w:val="Hyperlink"/>
                <w:noProof/>
                <w:sz w:val="20"/>
              </w:rPr>
              <w:t>4.2</w:t>
            </w:r>
            <w:r>
              <w:rPr>
                <w:rFonts w:asciiTheme="minorHAnsi" w:eastAsiaTheme="minorEastAsia" w:hAnsiTheme="minorHAnsi" w:cstheme="minorBidi"/>
                <w:noProof/>
                <w:sz w:val="20"/>
                <w:lang w:eastAsia="en-GB"/>
              </w:rPr>
              <w:tab/>
            </w:r>
            <w:r>
              <w:rPr>
                <w:rStyle w:val="Hyperlink"/>
                <w:noProof/>
                <w:sz w:val="20"/>
              </w:rPr>
              <w:t>Related programmes under preparation</w:t>
            </w:r>
            <w:r>
              <w:rPr>
                <w:noProof/>
                <w:webHidden/>
                <w:sz w:val="20"/>
              </w:rPr>
              <w:tab/>
            </w:r>
            <w:r>
              <w:rPr>
                <w:noProof/>
                <w:webHidden/>
                <w:sz w:val="20"/>
              </w:rPr>
              <w:fldChar w:fldCharType="begin"/>
            </w:r>
            <w:r>
              <w:rPr>
                <w:noProof/>
                <w:webHidden/>
                <w:sz w:val="20"/>
              </w:rPr>
              <w:instrText xml:space="preserve"> PAGEREF _Toc515348891 \h </w:instrText>
            </w:r>
            <w:r>
              <w:rPr>
                <w:noProof/>
                <w:webHidden/>
                <w:sz w:val="20"/>
              </w:rPr>
            </w:r>
            <w:r>
              <w:rPr>
                <w:noProof/>
                <w:webHidden/>
                <w:sz w:val="20"/>
              </w:rPr>
              <w:fldChar w:fldCharType="separate"/>
            </w:r>
            <w:r>
              <w:rPr>
                <w:noProof/>
                <w:webHidden/>
                <w:sz w:val="20"/>
              </w:rPr>
              <w:t>41</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2" w:history="1">
            <w:r>
              <w:rPr>
                <w:rStyle w:val="Hyperlink"/>
                <w:noProof/>
                <w:sz w:val="20"/>
              </w:rPr>
              <w:t>4.3</w:t>
            </w:r>
            <w:r>
              <w:rPr>
                <w:rFonts w:asciiTheme="minorHAnsi" w:eastAsiaTheme="minorEastAsia" w:hAnsiTheme="minorHAnsi" w:cstheme="minorBidi"/>
                <w:noProof/>
                <w:sz w:val="20"/>
                <w:lang w:eastAsia="en-GB"/>
              </w:rPr>
              <w:tab/>
            </w:r>
            <w:r>
              <w:rPr>
                <w:rStyle w:val="Hyperlink"/>
                <w:noProof/>
                <w:sz w:val="20"/>
              </w:rPr>
              <w:t>Blending and combinations</w:t>
            </w:r>
            <w:r>
              <w:rPr>
                <w:noProof/>
                <w:webHidden/>
                <w:sz w:val="20"/>
              </w:rPr>
              <w:tab/>
            </w:r>
            <w:r>
              <w:rPr>
                <w:noProof/>
                <w:webHidden/>
                <w:sz w:val="20"/>
              </w:rPr>
              <w:fldChar w:fldCharType="begin"/>
            </w:r>
            <w:r>
              <w:rPr>
                <w:noProof/>
                <w:webHidden/>
                <w:sz w:val="20"/>
              </w:rPr>
              <w:instrText xml:space="preserve"> PAGEREF _Toc515348892 \h </w:instrText>
            </w:r>
            <w:r>
              <w:rPr>
                <w:noProof/>
                <w:webHidden/>
                <w:sz w:val="20"/>
              </w:rPr>
            </w:r>
            <w:r>
              <w:rPr>
                <w:noProof/>
                <w:webHidden/>
                <w:sz w:val="20"/>
              </w:rPr>
              <w:fldChar w:fldCharType="separate"/>
            </w:r>
            <w:r>
              <w:rPr>
                <w:noProof/>
                <w:webHidden/>
                <w:sz w:val="20"/>
              </w:rPr>
              <w:t>42</w:t>
            </w:r>
            <w:r>
              <w:rPr>
                <w:noProof/>
                <w:webHidden/>
                <w:sz w:val="20"/>
              </w:rPr>
              <w:fldChar w:fldCharType="end"/>
            </w:r>
          </w:hyperlink>
        </w:p>
        <w:p>
          <w:pPr>
            <w:pStyle w:val="TOC1"/>
            <w:rPr>
              <w:rFonts w:asciiTheme="minorHAnsi" w:eastAsiaTheme="minorEastAsia" w:hAnsiTheme="minorHAnsi" w:cstheme="minorBidi"/>
              <w:caps w:val="0"/>
              <w:noProof/>
              <w:lang w:eastAsia="en-GB"/>
            </w:rPr>
          </w:pPr>
          <w:hyperlink w:anchor="_Toc515348893" w:history="1">
            <w:r>
              <w:rPr>
                <w:rStyle w:val="Hyperlink"/>
                <w:noProof/>
              </w:rPr>
              <w:t>5</w:t>
            </w:r>
            <w:r>
              <w:rPr>
                <w:rFonts w:asciiTheme="minorHAnsi" w:eastAsiaTheme="minorEastAsia" w:hAnsiTheme="minorHAnsi" w:cstheme="minorBidi"/>
                <w:caps w:val="0"/>
                <w:noProof/>
                <w:lang w:eastAsia="en-GB"/>
              </w:rPr>
              <w:tab/>
            </w:r>
            <w:r>
              <w:rPr>
                <w:rStyle w:val="Hyperlink"/>
                <w:noProof/>
              </w:rPr>
              <w:t>Delivery mechanisms of the intended funding</w:t>
            </w:r>
            <w:r>
              <w:rPr>
                <w:noProof/>
                <w:webHidden/>
              </w:rPr>
              <w:tab/>
            </w:r>
            <w:r>
              <w:rPr>
                <w:noProof/>
                <w:webHidden/>
              </w:rPr>
              <w:fldChar w:fldCharType="begin"/>
            </w:r>
            <w:r>
              <w:rPr>
                <w:noProof/>
                <w:webHidden/>
              </w:rPr>
              <w:instrText xml:space="preserve"> PAGEREF _Toc515348893 \h </w:instrText>
            </w:r>
            <w:r>
              <w:rPr>
                <w:noProof/>
                <w:webHidden/>
              </w:rPr>
            </w:r>
            <w:r>
              <w:rPr>
                <w:noProof/>
                <w:webHidden/>
              </w:rPr>
              <w:fldChar w:fldCharType="separate"/>
            </w:r>
            <w:r>
              <w:rPr>
                <w:noProof/>
                <w:webHidden/>
              </w:rPr>
              <w:t>43</w:t>
            </w:r>
            <w:r>
              <w:rPr>
                <w:noProof/>
                <w:webHidden/>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4" w:history="1">
            <w:r>
              <w:rPr>
                <w:rStyle w:val="Hyperlink"/>
                <w:noProof/>
                <w:sz w:val="20"/>
              </w:rPr>
              <w:t>5.1</w:t>
            </w:r>
            <w:r>
              <w:rPr>
                <w:rFonts w:asciiTheme="minorHAnsi" w:eastAsiaTheme="minorEastAsia" w:hAnsiTheme="minorHAnsi" w:cstheme="minorBidi"/>
                <w:noProof/>
                <w:sz w:val="20"/>
                <w:lang w:eastAsia="en-GB"/>
              </w:rPr>
              <w:tab/>
            </w:r>
            <w:r>
              <w:rPr>
                <w:rStyle w:val="Hyperlink"/>
                <w:noProof/>
                <w:sz w:val="20"/>
              </w:rPr>
              <w:t>Single fund</w:t>
            </w:r>
            <w:r>
              <w:rPr>
                <w:noProof/>
                <w:webHidden/>
                <w:sz w:val="20"/>
              </w:rPr>
              <w:tab/>
            </w:r>
            <w:r>
              <w:rPr>
                <w:noProof/>
                <w:webHidden/>
                <w:sz w:val="20"/>
              </w:rPr>
              <w:fldChar w:fldCharType="begin"/>
            </w:r>
            <w:r>
              <w:rPr>
                <w:noProof/>
                <w:webHidden/>
                <w:sz w:val="20"/>
              </w:rPr>
              <w:instrText xml:space="preserve"> PAGEREF _Toc515348894 \h </w:instrText>
            </w:r>
            <w:r>
              <w:rPr>
                <w:noProof/>
                <w:webHidden/>
                <w:sz w:val="20"/>
              </w:rPr>
            </w:r>
            <w:r>
              <w:rPr>
                <w:noProof/>
                <w:webHidden/>
                <w:sz w:val="20"/>
              </w:rPr>
              <w:fldChar w:fldCharType="separate"/>
            </w:r>
            <w:r>
              <w:rPr>
                <w:noProof/>
                <w:webHidden/>
                <w:sz w:val="20"/>
              </w:rPr>
              <w:t>43</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5" w:history="1">
            <w:r>
              <w:rPr>
                <w:rStyle w:val="Hyperlink"/>
                <w:noProof/>
                <w:sz w:val="20"/>
              </w:rPr>
              <w:t>5.2</w:t>
            </w:r>
            <w:r>
              <w:rPr>
                <w:rFonts w:asciiTheme="minorHAnsi" w:eastAsiaTheme="minorEastAsia" w:hAnsiTheme="minorHAnsi" w:cstheme="minorBidi"/>
                <w:noProof/>
                <w:sz w:val="20"/>
                <w:lang w:eastAsia="en-GB"/>
              </w:rPr>
              <w:tab/>
            </w:r>
            <w:r>
              <w:rPr>
                <w:rStyle w:val="Hyperlink"/>
                <w:noProof/>
                <w:sz w:val="20"/>
              </w:rPr>
              <w:t>Single budgetary guarantee</w:t>
            </w:r>
            <w:r>
              <w:rPr>
                <w:noProof/>
                <w:webHidden/>
                <w:sz w:val="20"/>
              </w:rPr>
              <w:tab/>
            </w:r>
            <w:r>
              <w:rPr>
                <w:noProof/>
                <w:webHidden/>
                <w:sz w:val="20"/>
              </w:rPr>
              <w:fldChar w:fldCharType="begin"/>
            </w:r>
            <w:r>
              <w:rPr>
                <w:noProof/>
                <w:webHidden/>
                <w:sz w:val="20"/>
              </w:rPr>
              <w:instrText xml:space="preserve"> PAGEREF _Toc515348895 \h </w:instrText>
            </w:r>
            <w:r>
              <w:rPr>
                <w:noProof/>
                <w:webHidden/>
                <w:sz w:val="20"/>
              </w:rPr>
            </w:r>
            <w:r>
              <w:rPr>
                <w:noProof/>
                <w:webHidden/>
                <w:sz w:val="20"/>
              </w:rPr>
              <w:fldChar w:fldCharType="separate"/>
            </w:r>
            <w:r>
              <w:rPr>
                <w:noProof/>
                <w:webHidden/>
                <w:sz w:val="20"/>
              </w:rPr>
              <w:t>43</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6" w:history="1">
            <w:r>
              <w:rPr>
                <w:rStyle w:val="Hyperlink"/>
                <w:noProof/>
                <w:sz w:val="20"/>
              </w:rPr>
              <w:t>5.3</w:t>
            </w:r>
            <w:r>
              <w:rPr>
                <w:rFonts w:asciiTheme="minorHAnsi" w:eastAsiaTheme="minorEastAsia" w:hAnsiTheme="minorHAnsi" w:cstheme="minorBidi"/>
                <w:noProof/>
                <w:sz w:val="20"/>
                <w:lang w:eastAsia="en-GB"/>
              </w:rPr>
              <w:tab/>
            </w:r>
            <w:r>
              <w:rPr>
                <w:rStyle w:val="Hyperlink"/>
                <w:noProof/>
                <w:sz w:val="20"/>
              </w:rPr>
              <w:t>Implementing partners</w:t>
            </w:r>
            <w:r>
              <w:rPr>
                <w:noProof/>
                <w:webHidden/>
                <w:sz w:val="20"/>
              </w:rPr>
              <w:tab/>
            </w:r>
            <w:r>
              <w:rPr>
                <w:noProof/>
                <w:webHidden/>
                <w:sz w:val="20"/>
              </w:rPr>
              <w:fldChar w:fldCharType="begin"/>
            </w:r>
            <w:r>
              <w:rPr>
                <w:noProof/>
                <w:webHidden/>
                <w:sz w:val="20"/>
              </w:rPr>
              <w:instrText xml:space="preserve"> PAGEREF _Toc515348896 \h </w:instrText>
            </w:r>
            <w:r>
              <w:rPr>
                <w:noProof/>
                <w:webHidden/>
                <w:sz w:val="20"/>
              </w:rPr>
            </w:r>
            <w:r>
              <w:rPr>
                <w:noProof/>
                <w:webHidden/>
                <w:sz w:val="20"/>
              </w:rPr>
              <w:fldChar w:fldCharType="separate"/>
            </w:r>
            <w:r>
              <w:rPr>
                <w:noProof/>
                <w:webHidden/>
                <w:sz w:val="20"/>
              </w:rPr>
              <w:t>44</w:t>
            </w:r>
            <w:r>
              <w:rPr>
                <w:noProof/>
                <w:webHidden/>
                <w:sz w:val="20"/>
              </w:rPr>
              <w:fldChar w:fldCharType="end"/>
            </w:r>
          </w:hyperlink>
        </w:p>
        <w:p>
          <w:pPr>
            <w:pStyle w:val="TOC2"/>
            <w:tabs>
              <w:tab w:val="left" w:pos="1077"/>
            </w:tabs>
            <w:rPr>
              <w:rFonts w:asciiTheme="minorHAnsi" w:eastAsiaTheme="minorEastAsia" w:hAnsiTheme="minorHAnsi" w:cstheme="minorBidi"/>
              <w:noProof/>
              <w:sz w:val="20"/>
              <w:lang w:eastAsia="en-GB"/>
            </w:rPr>
          </w:pPr>
          <w:hyperlink w:anchor="_Toc515348897" w:history="1">
            <w:r>
              <w:rPr>
                <w:rStyle w:val="Hyperlink"/>
                <w:noProof/>
                <w:sz w:val="20"/>
              </w:rPr>
              <w:t>5.4</w:t>
            </w:r>
            <w:r>
              <w:rPr>
                <w:rFonts w:asciiTheme="minorHAnsi" w:eastAsiaTheme="minorEastAsia" w:hAnsiTheme="minorHAnsi" w:cstheme="minorBidi"/>
                <w:noProof/>
                <w:sz w:val="20"/>
                <w:lang w:eastAsia="en-GB"/>
              </w:rPr>
              <w:tab/>
            </w:r>
            <w:r>
              <w:rPr>
                <w:rStyle w:val="Hyperlink"/>
                <w:noProof/>
                <w:sz w:val="20"/>
              </w:rPr>
              <w:t>Technical assistance (InvestEU Advisory)</w:t>
            </w:r>
            <w:r>
              <w:rPr>
                <w:noProof/>
                <w:webHidden/>
                <w:sz w:val="20"/>
              </w:rPr>
              <w:tab/>
            </w:r>
            <w:r>
              <w:rPr>
                <w:noProof/>
                <w:webHidden/>
                <w:sz w:val="20"/>
              </w:rPr>
              <w:fldChar w:fldCharType="begin"/>
            </w:r>
            <w:r>
              <w:rPr>
                <w:noProof/>
                <w:webHidden/>
                <w:sz w:val="20"/>
              </w:rPr>
              <w:instrText xml:space="preserve"> PAGEREF _Toc515348897 \h </w:instrText>
            </w:r>
            <w:r>
              <w:rPr>
                <w:noProof/>
                <w:webHidden/>
                <w:sz w:val="20"/>
              </w:rPr>
            </w:r>
            <w:r>
              <w:rPr>
                <w:noProof/>
                <w:webHidden/>
                <w:sz w:val="20"/>
              </w:rPr>
              <w:fldChar w:fldCharType="separate"/>
            </w:r>
            <w:r>
              <w:rPr>
                <w:noProof/>
                <w:webHidden/>
                <w:sz w:val="20"/>
              </w:rPr>
              <w:t>46</w:t>
            </w:r>
            <w:r>
              <w:rPr>
                <w:noProof/>
                <w:webHidden/>
                <w:sz w:val="20"/>
              </w:rPr>
              <w:fldChar w:fldCharType="end"/>
            </w:r>
          </w:hyperlink>
        </w:p>
        <w:p>
          <w:pPr>
            <w:pStyle w:val="TOC1"/>
            <w:rPr>
              <w:rFonts w:asciiTheme="minorHAnsi" w:eastAsiaTheme="minorEastAsia" w:hAnsiTheme="minorHAnsi" w:cstheme="minorBidi"/>
              <w:caps w:val="0"/>
              <w:noProof/>
              <w:lang w:eastAsia="en-GB"/>
            </w:rPr>
          </w:pPr>
          <w:hyperlink w:anchor="_Toc515348898" w:history="1">
            <w:r>
              <w:rPr>
                <w:rStyle w:val="Hyperlink"/>
                <w:noProof/>
              </w:rPr>
              <w:t>6</w:t>
            </w:r>
            <w:r>
              <w:rPr>
                <w:rFonts w:asciiTheme="minorHAnsi" w:eastAsiaTheme="minorEastAsia" w:hAnsiTheme="minorHAnsi" w:cstheme="minorBidi"/>
                <w:caps w:val="0"/>
                <w:noProof/>
                <w:lang w:eastAsia="en-GB"/>
              </w:rPr>
              <w:tab/>
            </w:r>
            <w:r>
              <w:rPr>
                <w:rStyle w:val="Hyperlink"/>
                <w:noProof/>
              </w:rPr>
              <w:t>How will performance be monitored and evaluated?</w:t>
            </w:r>
            <w:r>
              <w:rPr>
                <w:noProof/>
                <w:webHidden/>
              </w:rPr>
              <w:tab/>
            </w:r>
            <w:r>
              <w:rPr>
                <w:noProof/>
                <w:webHidden/>
              </w:rPr>
              <w:fldChar w:fldCharType="begin"/>
            </w:r>
            <w:r>
              <w:rPr>
                <w:noProof/>
                <w:webHidden/>
              </w:rPr>
              <w:instrText xml:space="preserve"> PAGEREF _Toc515348898 \h </w:instrText>
            </w:r>
            <w:r>
              <w:rPr>
                <w:noProof/>
                <w:webHidden/>
              </w:rPr>
            </w:r>
            <w:r>
              <w:rPr>
                <w:noProof/>
                <w:webHidden/>
              </w:rPr>
              <w:fldChar w:fldCharType="separate"/>
            </w:r>
            <w:r>
              <w:rPr>
                <w:noProof/>
                <w:webHidden/>
              </w:rPr>
              <w:t>48</w:t>
            </w:r>
            <w:r>
              <w:rPr>
                <w:noProof/>
                <w:webHidden/>
              </w:rPr>
              <w:fldChar w:fldCharType="end"/>
            </w:r>
          </w:hyperlink>
        </w:p>
        <w:p>
          <w:pPr>
            <w:pStyle w:val="TOC1"/>
            <w:rPr>
              <w:rStyle w:val="Hyperlink"/>
              <w:noProof/>
            </w:rPr>
          </w:pPr>
        </w:p>
        <w:p>
          <w:pPr>
            <w:pStyle w:val="TOC1"/>
            <w:rPr>
              <w:rFonts w:asciiTheme="minorHAnsi" w:eastAsiaTheme="minorEastAsia" w:hAnsiTheme="minorHAnsi" w:cstheme="minorBidi"/>
              <w:caps w:val="0"/>
              <w:noProof/>
              <w:lang w:eastAsia="en-GB"/>
            </w:rPr>
          </w:pPr>
          <w:hyperlink w:anchor="_Toc515348899" w:history="1">
            <w:r>
              <w:rPr>
                <w:rStyle w:val="Hyperlink"/>
                <w:noProof/>
              </w:rPr>
              <w:t>Annex 1: Procedural information</w:t>
            </w:r>
            <w:r>
              <w:rPr>
                <w:noProof/>
                <w:webHidden/>
              </w:rPr>
              <w:tab/>
            </w:r>
            <w:r>
              <w:rPr>
                <w:noProof/>
                <w:webHidden/>
              </w:rPr>
              <w:fldChar w:fldCharType="begin"/>
            </w:r>
            <w:r>
              <w:rPr>
                <w:noProof/>
                <w:webHidden/>
              </w:rPr>
              <w:instrText xml:space="preserve"> PAGEREF _Toc515348899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0" w:history="1">
            <w:r>
              <w:rPr>
                <w:rStyle w:val="Hyperlink"/>
                <w:noProof/>
              </w:rPr>
              <w:t>Annex 2: Stakeholder consultation</w:t>
            </w:r>
            <w:r>
              <w:rPr>
                <w:noProof/>
                <w:webHidden/>
              </w:rPr>
              <w:tab/>
            </w:r>
            <w:r>
              <w:rPr>
                <w:noProof/>
                <w:webHidden/>
              </w:rPr>
              <w:fldChar w:fldCharType="begin"/>
            </w:r>
            <w:r>
              <w:rPr>
                <w:noProof/>
                <w:webHidden/>
              </w:rPr>
              <w:instrText xml:space="preserve"> PAGEREF _Toc515348900 \h </w:instrText>
            </w:r>
            <w:r>
              <w:rPr>
                <w:noProof/>
                <w:webHidden/>
              </w:rPr>
            </w:r>
            <w:r>
              <w:rPr>
                <w:noProof/>
                <w:webHidden/>
              </w:rPr>
              <w:fldChar w:fldCharType="separate"/>
            </w:r>
            <w:r>
              <w:rPr>
                <w:noProof/>
                <w:webHidden/>
              </w:rPr>
              <w:t>57</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1" w:history="1">
            <w:r>
              <w:rPr>
                <w:rStyle w:val="Hyperlink"/>
                <w:noProof/>
              </w:rPr>
              <w:t>Annex 3: Evaluation results</w:t>
            </w:r>
            <w:r>
              <w:rPr>
                <w:noProof/>
                <w:webHidden/>
              </w:rPr>
              <w:tab/>
            </w:r>
            <w:r>
              <w:rPr>
                <w:noProof/>
                <w:webHidden/>
              </w:rPr>
              <w:fldChar w:fldCharType="begin"/>
            </w:r>
            <w:r>
              <w:rPr>
                <w:noProof/>
                <w:webHidden/>
              </w:rPr>
              <w:instrText xml:space="preserve"> PAGEREF _Toc515348901 \h </w:instrText>
            </w:r>
            <w:r>
              <w:rPr>
                <w:noProof/>
                <w:webHidden/>
              </w:rPr>
            </w:r>
            <w:r>
              <w:rPr>
                <w:noProof/>
                <w:webHidden/>
              </w:rPr>
              <w:fldChar w:fldCharType="separate"/>
            </w:r>
            <w:r>
              <w:rPr>
                <w:noProof/>
                <w:webHidden/>
              </w:rPr>
              <w:t>64</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2" w:history="1">
            <w:r>
              <w:rPr>
                <w:rStyle w:val="Hyperlink"/>
                <w:noProof/>
              </w:rPr>
              <w:t>Annex 4: Scoping papers</w:t>
            </w:r>
            <w:r>
              <w:rPr>
                <w:noProof/>
                <w:webHidden/>
              </w:rPr>
              <w:tab/>
            </w:r>
            <w:r>
              <w:rPr>
                <w:noProof/>
                <w:webHidden/>
              </w:rPr>
              <w:fldChar w:fldCharType="begin"/>
            </w:r>
            <w:r>
              <w:rPr>
                <w:noProof/>
                <w:webHidden/>
              </w:rPr>
              <w:instrText xml:space="preserve"> PAGEREF _Toc515348902 \h </w:instrText>
            </w:r>
            <w:r>
              <w:rPr>
                <w:noProof/>
                <w:webHidden/>
              </w:rPr>
            </w:r>
            <w:r>
              <w:rPr>
                <w:noProof/>
                <w:webHidden/>
              </w:rPr>
              <w:fldChar w:fldCharType="separate"/>
            </w:r>
            <w:r>
              <w:rPr>
                <w:noProof/>
                <w:webHidden/>
              </w:rPr>
              <w:t>80</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3" w:history="1">
            <w:r>
              <w:rPr>
                <w:rStyle w:val="Hyperlink"/>
                <w:noProof/>
              </w:rPr>
              <w:t>Annex 5: List of Financial Instruments and EFSI under the current MFF</w:t>
            </w:r>
            <w:r>
              <w:rPr>
                <w:noProof/>
                <w:webHidden/>
              </w:rPr>
              <w:tab/>
            </w:r>
            <w:r>
              <w:rPr>
                <w:noProof/>
                <w:webHidden/>
              </w:rPr>
              <w:fldChar w:fldCharType="begin"/>
            </w:r>
            <w:r>
              <w:rPr>
                <w:noProof/>
                <w:webHidden/>
              </w:rPr>
              <w:instrText xml:space="preserve"> PAGEREF _Toc515348903 \h </w:instrText>
            </w:r>
            <w:r>
              <w:rPr>
                <w:noProof/>
                <w:webHidden/>
              </w:rPr>
            </w:r>
            <w:r>
              <w:rPr>
                <w:noProof/>
                <w:webHidden/>
              </w:rPr>
              <w:fldChar w:fldCharType="separate"/>
            </w:r>
            <w:r>
              <w:rPr>
                <w:noProof/>
                <w:webHidden/>
              </w:rPr>
              <w:t>121</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4" w:history="1">
            <w:r>
              <w:rPr>
                <w:rStyle w:val="Hyperlink"/>
                <w:noProof/>
              </w:rPr>
              <w:t>Annex 6: Technical Assistance</w:t>
            </w:r>
            <w:r>
              <w:rPr>
                <w:noProof/>
                <w:webHidden/>
              </w:rPr>
              <w:tab/>
            </w:r>
            <w:r>
              <w:rPr>
                <w:noProof/>
                <w:webHidden/>
              </w:rPr>
              <w:fldChar w:fldCharType="begin"/>
            </w:r>
            <w:r>
              <w:rPr>
                <w:noProof/>
                <w:webHidden/>
              </w:rPr>
              <w:instrText xml:space="preserve"> PAGEREF _Toc515348904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5" w:history="1">
            <w:r>
              <w:rPr>
                <w:rStyle w:val="Hyperlink"/>
                <w:noProof/>
              </w:rPr>
              <w:t>Annex 7: List of potential indicators for the InvestEU Fund</w:t>
            </w:r>
            <w:r>
              <w:rPr>
                <w:noProof/>
                <w:webHidden/>
              </w:rPr>
              <w:tab/>
            </w:r>
            <w:r>
              <w:rPr>
                <w:noProof/>
                <w:webHidden/>
              </w:rPr>
              <w:fldChar w:fldCharType="begin"/>
            </w:r>
            <w:r>
              <w:rPr>
                <w:noProof/>
                <w:webHidden/>
              </w:rPr>
              <w:instrText xml:space="preserve"> PAGEREF _Toc515348905 \h </w:instrText>
            </w:r>
            <w:r>
              <w:rPr>
                <w:noProof/>
                <w:webHidden/>
              </w:rPr>
            </w:r>
            <w:r>
              <w:rPr>
                <w:noProof/>
                <w:webHidden/>
              </w:rPr>
              <w:fldChar w:fldCharType="separate"/>
            </w:r>
            <w:r>
              <w:rPr>
                <w:noProof/>
                <w:webHidden/>
              </w:rPr>
              <w:t>128</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6" w:history="1">
            <w:r>
              <w:rPr>
                <w:rStyle w:val="Hyperlink"/>
                <w:noProof/>
              </w:rPr>
              <w:t>Annex 8: Examples of indicators for the SME Window</w:t>
            </w:r>
            <w:r>
              <w:rPr>
                <w:noProof/>
                <w:webHidden/>
              </w:rPr>
              <w:tab/>
            </w:r>
            <w:r>
              <w:rPr>
                <w:noProof/>
                <w:webHidden/>
              </w:rPr>
              <w:fldChar w:fldCharType="begin"/>
            </w:r>
            <w:r>
              <w:rPr>
                <w:noProof/>
                <w:webHidden/>
              </w:rPr>
              <w:instrText xml:space="preserve"> PAGEREF _Toc515348906 \h </w:instrText>
            </w:r>
            <w:r>
              <w:rPr>
                <w:noProof/>
                <w:webHidden/>
              </w:rPr>
            </w:r>
            <w:r>
              <w:rPr>
                <w:noProof/>
                <w:webHidden/>
              </w:rPr>
              <w:fldChar w:fldCharType="separate"/>
            </w:r>
            <w:r>
              <w:rPr>
                <w:noProof/>
                <w:webHidden/>
              </w:rPr>
              <w:t>129</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7" w:history="1">
            <w:r>
              <w:rPr>
                <w:rStyle w:val="Hyperlink"/>
                <w:noProof/>
              </w:rPr>
              <w:t>Annex 9: Examples of indicators for Social Investment and Skills Window</w:t>
            </w:r>
            <w:r>
              <w:rPr>
                <w:noProof/>
                <w:webHidden/>
              </w:rPr>
              <w:tab/>
            </w:r>
            <w:r>
              <w:rPr>
                <w:noProof/>
                <w:webHidden/>
              </w:rPr>
              <w:fldChar w:fldCharType="begin"/>
            </w:r>
            <w:r>
              <w:rPr>
                <w:noProof/>
                <w:webHidden/>
              </w:rPr>
              <w:instrText xml:space="preserve"> PAGEREF _Toc515348907 \h </w:instrText>
            </w:r>
            <w:r>
              <w:rPr>
                <w:noProof/>
                <w:webHidden/>
              </w:rPr>
            </w:r>
            <w:r>
              <w:rPr>
                <w:noProof/>
                <w:webHidden/>
              </w:rPr>
              <w:fldChar w:fldCharType="separate"/>
            </w:r>
            <w:r>
              <w:rPr>
                <w:noProof/>
                <w:webHidden/>
              </w:rPr>
              <w:t>133</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8" w:history="1">
            <w:r>
              <w:rPr>
                <w:rStyle w:val="Hyperlink"/>
                <w:noProof/>
              </w:rPr>
              <w:t>Annex 10: Defining and assessing additionality</w:t>
            </w:r>
            <w:r>
              <w:rPr>
                <w:noProof/>
                <w:webHidden/>
              </w:rPr>
              <w:tab/>
            </w:r>
            <w:r>
              <w:rPr>
                <w:noProof/>
                <w:webHidden/>
              </w:rPr>
              <w:fldChar w:fldCharType="begin"/>
            </w:r>
            <w:r>
              <w:rPr>
                <w:noProof/>
                <w:webHidden/>
              </w:rPr>
              <w:instrText xml:space="preserve"> PAGEREF _Toc515348908 \h </w:instrText>
            </w:r>
            <w:r>
              <w:rPr>
                <w:noProof/>
                <w:webHidden/>
              </w:rPr>
            </w:r>
            <w:r>
              <w:rPr>
                <w:noProof/>
                <w:webHidden/>
              </w:rPr>
              <w:fldChar w:fldCharType="separate"/>
            </w:r>
            <w:r>
              <w:rPr>
                <w:noProof/>
                <w:webHidden/>
              </w:rPr>
              <w:t>138</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09" w:history="1">
            <w:r>
              <w:rPr>
                <w:rStyle w:val="Hyperlink"/>
                <w:noProof/>
              </w:rPr>
              <w:t>Annex 11: Access of non-EU Member States to EU financial instruments</w:t>
            </w:r>
            <w:r>
              <w:rPr>
                <w:noProof/>
                <w:webHidden/>
              </w:rPr>
              <w:tab/>
            </w:r>
            <w:r>
              <w:rPr>
                <w:noProof/>
                <w:webHidden/>
              </w:rPr>
              <w:fldChar w:fldCharType="begin"/>
            </w:r>
            <w:r>
              <w:rPr>
                <w:noProof/>
                <w:webHidden/>
              </w:rPr>
              <w:instrText xml:space="preserve"> PAGEREF _Toc515348909 \h </w:instrText>
            </w:r>
            <w:r>
              <w:rPr>
                <w:noProof/>
                <w:webHidden/>
              </w:rPr>
            </w:r>
            <w:r>
              <w:rPr>
                <w:noProof/>
                <w:webHidden/>
              </w:rPr>
              <w:fldChar w:fldCharType="separate"/>
            </w:r>
            <w:r>
              <w:rPr>
                <w:noProof/>
                <w:webHidden/>
              </w:rPr>
              <w:t>144</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10" w:history="1">
            <w:r>
              <w:rPr>
                <w:rStyle w:val="Hyperlink"/>
                <w:noProof/>
              </w:rPr>
              <w:t>Annex 12: Assessment of duplication, synergies and overlaps</w:t>
            </w:r>
            <w:r>
              <w:rPr>
                <w:noProof/>
                <w:webHidden/>
              </w:rPr>
              <w:tab/>
            </w:r>
            <w:r>
              <w:rPr>
                <w:noProof/>
                <w:webHidden/>
              </w:rPr>
              <w:fldChar w:fldCharType="begin"/>
            </w:r>
            <w:r>
              <w:rPr>
                <w:noProof/>
                <w:webHidden/>
              </w:rPr>
              <w:instrText xml:space="preserve"> PAGEREF _Toc515348910 \h </w:instrText>
            </w:r>
            <w:r>
              <w:rPr>
                <w:noProof/>
                <w:webHidden/>
              </w:rPr>
            </w:r>
            <w:r>
              <w:rPr>
                <w:noProof/>
                <w:webHidden/>
              </w:rPr>
              <w:fldChar w:fldCharType="separate"/>
            </w:r>
            <w:r>
              <w:rPr>
                <w:noProof/>
                <w:webHidden/>
              </w:rPr>
              <w:t>146</w:t>
            </w:r>
            <w:r>
              <w:rPr>
                <w:noProof/>
                <w:webHidden/>
              </w:rPr>
              <w:fldChar w:fldCharType="end"/>
            </w:r>
          </w:hyperlink>
        </w:p>
        <w:p>
          <w:pPr>
            <w:pStyle w:val="TOC1"/>
            <w:rPr>
              <w:rFonts w:asciiTheme="minorHAnsi" w:eastAsiaTheme="minorEastAsia" w:hAnsiTheme="minorHAnsi" w:cstheme="minorBidi"/>
              <w:caps w:val="0"/>
              <w:noProof/>
              <w:lang w:eastAsia="en-GB"/>
            </w:rPr>
          </w:pPr>
          <w:hyperlink w:anchor="_Toc515348911" w:history="1">
            <w:r>
              <w:rPr>
                <w:rStyle w:val="Hyperlink"/>
                <w:noProof/>
              </w:rPr>
              <w:t>Annex 13: InvestEU Fund – Governance</w:t>
            </w:r>
            <w:r>
              <w:rPr>
                <w:noProof/>
                <w:webHidden/>
              </w:rPr>
              <w:tab/>
            </w:r>
            <w:r>
              <w:rPr>
                <w:noProof/>
                <w:webHidden/>
              </w:rPr>
              <w:fldChar w:fldCharType="begin"/>
            </w:r>
            <w:r>
              <w:rPr>
                <w:noProof/>
                <w:webHidden/>
              </w:rPr>
              <w:instrText xml:space="preserve"> PAGEREF _Toc515348911 \h </w:instrText>
            </w:r>
            <w:r>
              <w:rPr>
                <w:noProof/>
                <w:webHidden/>
              </w:rPr>
            </w:r>
            <w:r>
              <w:rPr>
                <w:noProof/>
                <w:webHidden/>
              </w:rPr>
              <w:fldChar w:fldCharType="separate"/>
            </w:r>
            <w:r>
              <w:rPr>
                <w:noProof/>
                <w:webHidden/>
              </w:rPr>
              <w:t>150</w:t>
            </w:r>
            <w:r>
              <w:rPr>
                <w:noProof/>
                <w:webHidden/>
              </w:rPr>
              <w:fldChar w:fldCharType="end"/>
            </w:r>
          </w:hyperlink>
        </w:p>
        <w:p>
          <w:pPr>
            <w:spacing w:line="252" w:lineRule="auto"/>
            <w:rPr>
              <w:rFonts w:cs="Times New Roman"/>
              <w:noProof/>
              <w:szCs w:val="24"/>
            </w:rPr>
          </w:pPr>
          <w:r>
            <w:rPr>
              <w:rFonts w:eastAsia="Times New Roman" w:cs="Times New Roman"/>
              <w:caps/>
              <w:noProof/>
              <w:sz w:val="20"/>
              <w:szCs w:val="20"/>
            </w:rPr>
            <w:fldChar w:fldCharType="end"/>
          </w:r>
        </w:p>
      </w:sdtContent>
    </w:sdt>
    <w:p>
      <w:pPr>
        <w:spacing w:after="200" w:line="276" w:lineRule="auto"/>
        <w:jc w:val="left"/>
        <w:rPr>
          <w:rFonts w:cs="Times New Roman"/>
          <w:b/>
          <w:noProof/>
          <w:szCs w:val="24"/>
        </w:rPr>
      </w:pPr>
      <w:r>
        <w:rPr>
          <w:rFonts w:cs="Times New Roman"/>
          <w:b/>
          <w:noProof/>
          <w:szCs w:val="24"/>
        </w:rPr>
        <w:t>List of Figures</w:t>
      </w:r>
    </w:p>
    <w:p>
      <w:pPr>
        <w:pStyle w:val="TableofFigures"/>
        <w:tabs>
          <w:tab w:val="right" w:leader="dot" w:pos="8608"/>
        </w:tabs>
        <w:rPr>
          <w:rFonts w:asciiTheme="minorHAnsi" w:eastAsiaTheme="minorEastAsia" w:hAnsiTheme="minorHAnsi"/>
          <w:noProof/>
          <w:sz w:val="20"/>
          <w:lang w:eastAsia="en-GB"/>
        </w:rPr>
      </w:pPr>
      <w:r>
        <w:rPr>
          <w:rFonts w:cs="Times New Roman"/>
          <w:b/>
          <w:noProof/>
          <w:sz w:val="22"/>
          <w:szCs w:val="20"/>
        </w:rPr>
        <w:fldChar w:fldCharType="begin"/>
      </w:r>
      <w:r>
        <w:rPr>
          <w:rFonts w:cs="Times New Roman"/>
          <w:b/>
          <w:noProof/>
          <w:sz w:val="22"/>
          <w:szCs w:val="20"/>
        </w:rPr>
        <w:instrText xml:space="preserve"> TOC \h \z \c "Figure" </w:instrText>
      </w:r>
      <w:r>
        <w:rPr>
          <w:rFonts w:cs="Times New Roman"/>
          <w:b/>
          <w:noProof/>
          <w:sz w:val="22"/>
          <w:szCs w:val="20"/>
        </w:rPr>
        <w:fldChar w:fldCharType="separate"/>
      </w:r>
      <w:hyperlink w:anchor="_Toc515348912" w:history="1">
        <w:r>
          <w:rPr>
            <w:rStyle w:val="Hyperlink"/>
            <w:rFonts w:cs="Times New Roman"/>
            <w:noProof/>
            <w:sz w:val="22"/>
          </w:rPr>
          <w:t>Figure 1 - GDP per capita at current prices, 2006 and 2016 (EU-28 = 100)</w:t>
        </w:r>
        <w:r>
          <w:rPr>
            <w:noProof/>
            <w:webHidden/>
            <w:sz w:val="22"/>
          </w:rPr>
          <w:tab/>
        </w:r>
        <w:r>
          <w:rPr>
            <w:noProof/>
            <w:webHidden/>
            <w:sz w:val="22"/>
          </w:rPr>
          <w:fldChar w:fldCharType="begin"/>
        </w:r>
        <w:r>
          <w:rPr>
            <w:noProof/>
            <w:webHidden/>
            <w:sz w:val="22"/>
          </w:rPr>
          <w:instrText xml:space="preserve"> PAGEREF _Toc515348912 \h </w:instrText>
        </w:r>
        <w:r>
          <w:rPr>
            <w:noProof/>
            <w:webHidden/>
            <w:sz w:val="22"/>
          </w:rPr>
        </w:r>
        <w:r>
          <w:rPr>
            <w:noProof/>
            <w:webHidden/>
            <w:sz w:val="22"/>
          </w:rPr>
          <w:fldChar w:fldCharType="separate"/>
        </w:r>
        <w:r>
          <w:rPr>
            <w:noProof/>
            <w:webHidden/>
            <w:sz w:val="22"/>
          </w:rPr>
          <w:t>3</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3" w:history="1">
        <w:r>
          <w:rPr>
            <w:rStyle w:val="Hyperlink"/>
            <w:rFonts w:cs="Times New Roman"/>
            <w:noProof/>
            <w:sz w:val="22"/>
          </w:rPr>
          <w:t>Figure 2 - Investment (% GDP) in EU28</w:t>
        </w:r>
        <w:r>
          <w:rPr>
            <w:noProof/>
            <w:webHidden/>
            <w:sz w:val="22"/>
          </w:rPr>
          <w:tab/>
        </w:r>
        <w:r>
          <w:rPr>
            <w:noProof/>
            <w:webHidden/>
            <w:sz w:val="22"/>
          </w:rPr>
          <w:fldChar w:fldCharType="begin"/>
        </w:r>
        <w:r>
          <w:rPr>
            <w:noProof/>
            <w:webHidden/>
            <w:sz w:val="22"/>
          </w:rPr>
          <w:instrText xml:space="preserve"> PAGEREF _Toc515348913 \h </w:instrText>
        </w:r>
        <w:r>
          <w:rPr>
            <w:noProof/>
            <w:webHidden/>
            <w:sz w:val="22"/>
          </w:rPr>
        </w:r>
        <w:r>
          <w:rPr>
            <w:noProof/>
            <w:webHidden/>
            <w:sz w:val="22"/>
          </w:rPr>
          <w:fldChar w:fldCharType="separate"/>
        </w:r>
        <w:r>
          <w:rPr>
            <w:noProof/>
            <w:webHidden/>
            <w:sz w:val="22"/>
          </w:rPr>
          <w:t>4</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4" w:history="1">
        <w:r>
          <w:rPr>
            <w:rStyle w:val="Hyperlink"/>
            <w:rFonts w:cs="Times New Roman"/>
            <w:noProof/>
            <w:sz w:val="22"/>
          </w:rPr>
          <w:t>Figure 3 - Infrastructure investment by sector and by source, 2005-2016 (in % of GDP)</w:t>
        </w:r>
        <w:r>
          <w:rPr>
            <w:noProof/>
            <w:webHidden/>
            <w:sz w:val="22"/>
          </w:rPr>
          <w:tab/>
        </w:r>
        <w:r>
          <w:rPr>
            <w:noProof/>
            <w:webHidden/>
            <w:sz w:val="22"/>
          </w:rPr>
          <w:fldChar w:fldCharType="begin"/>
        </w:r>
        <w:r>
          <w:rPr>
            <w:noProof/>
            <w:webHidden/>
            <w:sz w:val="22"/>
          </w:rPr>
          <w:instrText xml:space="preserve"> PAGEREF _Toc515348914 \h </w:instrText>
        </w:r>
        <w:r>
          <w:rPr>
            <w:noProof/>
            <w:webHidden/>
            <w:sz w:val="22"/>
          </w:rPr>
        </w:r>
        <w:r>
          <w:rPr>
            <w:noProof/>
            <w:webHidden/>
            <w:sz w:val="22"/>
          </w:rPr>
          <w:fldChar w:fldCharType="separate"/>
        </w:r>
        <w:r>
          <w:rPr>
            <w:noProof/>
            <w:webHidden/>
            <w:sz w:val="22"/>
          </w:rPr>
          <w:t>5</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5" w:history="1">
        <w:r>
          <w:rPr>
            <w:rStyle w:val="Hyperlink"/>
            <w:noProof/>
            <w:sz w:val="22"/>
          </w:rPr>
          <w:t>Figure 4 - Annual Investment needs (current levels and gaps) for sustainable infrastructure</w:t>
        </w:r>
        <w:r>
          <w:rPr>
            <w:noProof/>
            <w:webHidden/>
            <w:sz w:val="22"/>
          </w:rPr>
          <w:tab/>
        </w:r>
        <w:r>
          <w:rPr>
            <w:noProof/>
            <w:webHidden/>
            <w:sz w:val="22"/>
          </w:rPr>
          <w:fldChar w:fldCharType="begin"/>
        </w:r>
        <w:r>
          <w:rPr>
            <w:noProof/>
            <w:webHidden/>
            <w:sz w:val="22"/>
          </w:rPr>
          <w:instrText xml:space="preserve"> PAGEREF _Toc515348915 \h </w:instrText>
        </w:r>
        <w:r>
          <w:rPr>
            <w:noProof/>
            <w:webHidden/>
            <w:sz w:val="22"/>
          </w:rPr>
        </w:r>
        <w:r>
          <w:rPr>
            <w:noProof/>
            <w:webHidden/>
            <w:sz w:val="22"/>
          </w:rPr>
          <w:fldChar w:fldCharType="separate"/>
        </w:r>
        <w:r>
          <w:rPr>
            <w:noProof/>
            <w:webHidden/>
            <w:sz w:val="22"/>
          </w:rPr>
          <w:t>5</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6" w:history="1">
        <w:r>
          <w:rPr>
            <w:rStyle w:val="Hyperlink"/>
            <w:rFonts w:cs="Times New Roman"/>
            <w:noProof/>
            <w:sz w:val="22"/>
          </w:rPr>
          <w:t>Figure 5 - Total annual venture capital funding by continent (USD billion)</w:t>
        </w:r>
        <w:r>
          <w:rPr>
            <w:noProof/>
            <w:webHidden/>
            <w:sz w:val="22"/>
          </w:rPr>
          <w:tab/>
        </w:r>
        <w:r>
          <w:rPr>
            <w:noProof/>
            <w:webHidden/>
            <w:sz w:val="22"/>
          </w:rPr>
          <w:fldChar w:fldCharType="begin"/>
        </w:r>
        <w:r>
          <w:rPr>
            <w:noProof/>
            <w:webHidden/>
            <w:sz w:val="22"/>
          </w:rPr>
          <w:instrText xml:space="preserve"> PAGEREF _Toc515348916 \h </w:instrText>
        </w:r>
        <w:r>
          <w:rPr>
            <w:noProof/>
            <w:webHidden/>
            <w:sz w:val="22"/>
          </w:rPr>
        </w:r>
        <w:r>
          <w:rPr>
            <w:noProof/>
            <w:webHidden/>
            <w:sz w:val="22"/>
          </w:rPr>
          <w:fldChar w:fldCharType="separate"/>
        </w:r>
        <w:r>
          <w:rPr>
            <w:noProof/>
            <w:webHidden/>
            <w:sz w:val="22"/>
          </w:rPr>
          <w:t>9</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7" w:history="1">
        <w:r>
          <w:rPr>
            <w:rStyle w:val="Hyperlink"/>
            <w:noProof/>
            <w:sz w:val="22"/>
          </w:rPr>
          <w:t>Figure 6 - 448 emerging, current &amp; exited tech companies valued at more than $500m</w:t>
        </w:r>
        <w:r>
          <w:rPr>
            <w:noProof/>
            <w:webHidden/>
            <w:sz w:val="22"/>
          </w:rPr>
          <w:tab/>
        </w:r>
        <w:r>
          <w:rPr>
            <w:noProof/>
            <w:webHidden/>
            <w:sz w:val="22"/>
          </w:rPr>
          <w:fldChar w:fldCharType="begin"/>
        </w:r>
        <w:r>
          <w:rPr>
            <w:noProof/>
            <w:webHidden/>
            <w:sz w:val="22"/>
          </w:rPr>
          <w:instrText xml:space="preserve"> PAGEREF _Toc515348917 \h </w:instrText>
        </w:r>
        <w:r>
          <w:rPr>
            <w:noProof/>
            <w:webHidden/>
            <w:sz w:val="22"/>
          </w:rPr>
        </w:r>
        <w:r>
          <w:rPr>
            <w:noProof/>
            <w:webHidden/>
            <w:sz w:val="22"/>
          </w:rPr>
          <w:fldChar w:fldCharType="separate"/>
        </w:r>
        <w:r>
          <w:rPr>
            <w:noProof/>
            <w:webHidden/>
            <w:sz w:val="22"/>
          </w:rPr>
          <w:t>10</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8" w:history="1">
        <w:r>
          <w:rPr>
            <w:rStyle w:val="Hyperlink"/>
            <w:rFonts w:cs="Times New Roman"/>
            <w:noProof/>
            <w:sz w:val="22"/>
          </w:rPr>
          <w:t>Figure 7 - Correspondence between existing instruments &amp; proposed InvestEU Windows</w:t>
        </w:r>
        <w:r>
          <w:rPr>
            <w:noProof/>
            <w:webHidden/>
            <w:sz w:val="22"/>
          </w:rPr>
          <w:tab/>
        </w:r>
        <w:r>
          <w:rPr>
            <w:noProof/>
            <w:webHidden/>
            <w:sz w:val="22"/>
          </w:rPr>
          <w:fldChar w:fldCharType="begin"/>
        </w:r>
        <w:r>
          <w:rPr>
            <w:noProof/>
            <w:webHidden/>
            <w:sz w:val="22"/>
          </w:rPr>
          <w:instrText xml:space="preserve"> PAGEREF _Toc515348918 \h </w:instrText>
        </w:r>
        <w:r>
          <w:rPr>
            <w:noProof/>
            <w:webHidden/>
            <w:sz w:val="22"/>
          </w:rPr>
        </w:r>
        <w:r>
          <w:rPr>
            <w:noProof/>
            <w:webHidden/>
            <w:sz w:val="22"/>
          </w:rPr>
          <w:fldChar w:fldCharType="separate"/>
        </w:r>
        <w:r>
          <w:rPr>
            <w:noProof/>
            <w:webHidden/>
            <w:sz w:val="22"/>
          </w:rPr>
          <w:t>24</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19" w:history="1">
        <w:r>
          <w:rPr>
            <w:rStyle w:val="Hyperlink"/>
            <w:rFonts w:cs="Times New Roman"/>
            <w:noProof/>
            <w:sz w:val="22"/>
          </w:rPr>
          <w:t>Figure 8 - Current governance for EFSI and FIs vs the proposed governance under InvestEU</w:t>
        </w:r>
        <w:r>
          <w:rPr>
            <w:noProof/>
            <w:webHidden/>
            <w:sz w:val="22"/>
          </w:rPr>
          <w:tab/>
        </w:r>
        <w:r>
          <w:rPr>
            <w:noProof/>
            <w:webHidden/>
            <w:sz w:val="22"/>
          </w:rPr>
          <w:fldChar w:fldCharType="begin"/>
        </w:r>
        <w:r>
          <w:rPr>
            <w:noProof/>
            <w:webHidden/>
            <w:sz w:val="22"/>
          </w:rPr>
          <w:instrText xml:space="preserve"> PAGEREF _Toc515348919 \h </w:instrText>
        </w:r>
        <w:r>
          <w:rPr>
            <w:noProof/>
            <w:webHidden/>
            <w:sz w:val="22"/>
          </w:rPr>
        </w:r>
        <w:r>
          <w:rPr>
            <w:noProof/>
            <w:webHidden/>
            <w:sz w:val="22"/>
          </w:rPr>
          <w:fldChar w:fldCharType="separate"/>
        </w:r>
        <w:r>
          <w:rPr>
            <w:noProof/>
            <w:webHidden/>
            <w:sz w:val="22"/>
          </w:rPr>
          <w:t>32</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20" w:history="1">
        <w:r>
          <w:rPr>
            <w:rStyle w:val="Hyperlink"/>
            <w:rFonts w:cs="Times New Roman"/>
            <w:noProof/>
            <w:sz w:val="22"/>
          </w:rPr>
          <w:t>Figure 9 - TA component (InvestEU Advisory) under InvestEU</w:t>
        </w:r>
        <w:r>
          <w:rPr>
            <w:noProof/>
            <w:webHidden/>
            <w:sz w:val="22"/>
          </w:rPr>
          <w:tab/>
        </w:r>
        <w:r>
          <w:rPr>
            <w:noProof/>
            <w:webHidden/>
            <w:sz w:val="22"/>
          </w:rPr>
          <w:fldChar w:fldCharType="begin"/>
        </w:r>
        <w:r>
          <w:rPr>
            <w:noProof/>
            <w:webHidden/>
            <w:sz w:val="22"/>
          </w:rPr>
          <w:instrText xml:space="preserve"> PAGEREF _Toc515348920 \h </w:instrText>
        </w:r>
        <w:r>
          <w:rPr>
            <w:noProof/>
            <w:webHidden/>
            <w:sz w:val="22"/>
          </w:rPr>
        </w:r>
        <w:r>
          <w:rPr>
            <w:noProof/>
            <w:webHidden/>
            <w:sz w:val="22"/>
          </w:rPr>
          <w:fldChar w:fldCharType="separate"/>
        </w:r>
        <w:r>
          <w:rPr>
            <w:noProof/>
            <w:webHidden/>
            <w:sz w:val="22"/>
          </w:rPr>
          <w:t>47</w:t>
        </w:r>
        <w:r>
          <w:rPr>
            <w:noProof/>
            <w:webHidden/>
            <w:sz w:val="22"/>
          </w:rPr>
          <w:fldChar w:fldCharType="end"/>
        </w:r>
      </w:hyperlink>
    </w:p>
    <w:p>
      <w:pPr>
        <w:spacing w:after="200" w:line="276" w:lineRule="auto"/>
        <w:jc w:val="left"/>
        <w:rPr>
          <w:rFonts w:cs="Times New Roman"/>
          <w:b/>
          <w:noProof/>
          <w:szCs w:val="24"/>
        </w:rPr>
      </w:pPr>
      <w:r>
        <w:rPr>
          <w:rFonts w:cs="Times New Roman"/>
          <w:b/>
          <w:noProof/>
          <w:sz w:val="22"/>
          <w:szCs w:val="20"/>
        </w:rPr>
        <w:fldChar w:fldCharType="end"/>
      </w:r>
    </w:p>
    <w:p>
      <w:pPr>
        <w:spacing w:after="200" w:line="276" w:lineRule="auto"/>
        <w:jc w:val="left"/>
        <w:rPr>
          <w:rFonts w:cs="Times New Roman"/>
          <w:b/>
          <w:noProof/>
          <w:szCs w:val="24"/>
        </w:rPr>
      </w:pPr>
      <w:r>
        <w:rPr>
          <w:rFonts w:cs="Times New Roman"/>
          <w:b/>
          <w:noProof/>
          <w:szCs w:val="24"/>
        </w:rPr>
        <w:t>List of Tables</w:t>
      </w:r>
    </w:p>
    <w:p>
      <w:pPr>
        <w:pStyle w:val="TableofFigures"/>
        <w:tabs>
          <w:tab w:val="right" w:leader="dot" w:pos="8608"/>
        </w:tabs>
        <w:rPr>
          <w:rFonts w:asciiTheme="minorHAnsi" w:eastAsiaTheme="minorEastAsia" w:hAnsiTheme="minorHAnsi"/>
          <w:noProof/>
          <w:sz w:val="20"/>
          <w:lang w:eastAsia="en-GB"/>
        </w:rPr>
      </w:pPr>
      <w:r>
        <w:rPr>
          <w:rFonts w:cs="Times New Roman"/>
          <w:b/>
          <w:noProof/>
          <w:sz w:val="22"/>
          <w:szCs w:val="20"/>
        </w:rPr>
        <w:fldChar w:fldCharType="begin"/>
      </w:r>
      <w:r>
        <w:rPr>
          <w:rFonts w:cs="Times New Roman"/>
          <w:b/>
          <w:noProof/>
          <w:sz w:val="22"/>
          <w:szCs w:val="20"/>
        </w:rPr>
        <w:instrText xml:space="preserve"> TOC \h \z \c "Table" </w:instrText>
      </w:r>
      <w:r>
        <w:rPr>
          <w:rFonts w:cs="Times New Roman"/>
          <w:b/>
          <w:noProof/>
          <w:sz w:val="22"/>
          <w:szCs w:val="20"/>
        </w:rPr>
        <w:fldChar w:fldCharType="separate"/>
      </w:r>
      <w:hyperlink w:anchor="_Toc515348921" w:history="1">
        <w:r>
          <w:rPr>
            <w:rStyle w:val="Hyperlink"/>
            <w:rFonts w:cs="Times New Roman"/>
            <w:noProof/>
            <w:sz w:val="22"/>
          </w:rPr>
          <w:t>Table 1 - Minimum estimate of the gap in s</w:t>
        </w:r>
        <w:r>
          <w:rPr>
            <w:rStyle w:val="Hyperlink"/>
            <w:rFonts w:cs="Times New Roman"/>
            <w:noProof/>
            <w:sz w:val="22"/>
            <w:lang w:eastAsia="ja-JP"/>
          </w:rPr>
          <w:t xml:space="preserve">ocial </w:t>
        </w:r>
        <w:r>
          <w:rPr>
            <w:rStyle w:val="Hyperlink"/>
            <w:rFonts w:cs="Times New Roman"/>
            <w:noProof/>
            <w:sz w:val="22"/>
          </w:rPr>
          <w:t>i</w:t>
        </w:r>
        <w:r>
          <w:rPr>
            <w:rStyle w:val="Hyperlink"/>
            <w:rFonts w:cs="Times New Roman"/>
            <w:noProof/>
            <w:sz w:val="22"/>
            <w:lang w:eastAsia="ja-JP"/>
          </w:rPr>
          <w:t xml:space="preserve">nfrastructure </w:t>
        </w:r>
        <w:r>
          <w:rPr>
            <w:rStyle w:val="Hyperlink"/>
            <w:rFonts w:cs="Times New Roman"/>
            <w:noProof/>
            <w:sz w:val="22"/>
          </w:rPr>
          <w:t>i</w:t>
        </w:r>
        <w:r>
          <w:rPr>
            <w:rStyle w:val="Hyperlink"/>
            <w:rFonts w:cs="Times New Roman"/>
            <w:noProof/>
            <w:sz w:val="22"/>
            <w:lang w:eastAsia="ja-JP"/>
          </w:rPr>
          <w:t>nvestments</w:t>
        </w:r>
        <w:r>
          <w:rPr>
            <w:noProof/>
            <w:webHidden/>
            <w:sz w:val="22"/>
          </w:rPr>
          <w:tab/>
        </w:r>
        <w:r>
          <w:rPr>
            <w:noProof/>
            <w:webHidden/>
            <w:sz w:val="22"/>
          </w:rPr>
          <w:fldChar w:fldCharType="begin"/>
        </w:r>
        <w:r>
          <w:rPr>
            <w:noProof/>
            <w:webHidden/>
            <w:sz w:val="22"/>
          </w:rPr>
          <w:instrText xml:space="preserve"> PAGEREF _Toc515348921 \h </w:instrText>
        </w:r>
        <w:r>
          <w:rPr>
            <w:noProof/>
            <w:webHidden/>
            <w:sz w:val="22"/>
          </w:rPr>
        </w:r>
        <w:r>
          <w:rPr>
            <w:noProof/>
            <w:webHidden/>
            <w:sz w:val="22"/>
          </w:rPr>
          <w:fldChar w:fldCharType="separate"/>
        </w:r>
        <w:r>
          <w:rPr>
            <w:noProof/>
            <w:webHidden/>
            <w:sz w:val="22"/>
          </w:rPr>
          <w:t>11</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22" w:history="1">
        <w:r>
          <w:rPr>
            <w:rStyle w:val="Hyperlink"/>
            <w:noProof/>
            <w:sz w:val="22"/>
          </w:rPr>
          <w:t>Table 2 - Overview of budget allocations and estimated investments to be mobilised in the current MFF and under the InvestEU Fund</w:t>
        </w:r>
        <w:r>
          <w:rPr>
            <w:noProof/>
            <w:webHidden/>
            <w:sz w:val="22"/>
          </w:rPr>
          <w:tab/>
        </w:r>
        <w:r>
          <w:rPr>
            <w:noProof/>
            <w:webHidden/>
            <w:sz w:val="22"/>
          </w:rPr>
          <w:fldChar w:fldCharType="begin"/>
        </w:r>
        <w:r>
          <w:rPr>
            <w:noProof/>
            <w:webHidden/>
            <w:sz w:val="22"/>
          </w:rPr>
          <w:instrText xml:space="preserve"> PAGEREF _Toc515348922 \h </w:instrText>
        </w:r>
        <w:r>
          <w:rPr>
            <w:noProof/>
            <w:webHidden/>
            <w:sz w:val="22"/>
          </w:rPr>
        </w:r>
        <w:r>
          <w:rPr>
            <w:noProof/>
            <w:webHidden/>
            <w:sz w:val="22"/>
          </w:rPr>
          <w:fldChar w:fldCharType="separate"/>
        </w:r>
        <w:r>
          <w:rPr>
            <w:noProof/>
            <w:webHidden/>
            <w:sz w:val="22"/>
          </w:rPr>
          <w:t>23</w:t>
        </w:r>
        <w:r>
          <w:rPr>
            <w:noProof/>
            <w:webHidden/>
            <w:sz w:val="22"/>
          </w:rPr>
          <w:fldChar w:fldCharType="end"/>
        </w:r>
      </w:hyperlink>
    </w:p>
    <w:p>
      <w:pPr>
        <w:pStyle w:val="TableofFigures"/>
        <w:tabs>
          <w:tab w:val="right" w:leader="dot" w:pos="8608"/>
        </w:tabs>
        <w:rPr>
          <w:rFonts w:asciiTheme="minorHAnsi" w:eastAsiaTheme="minorEastAsia" w:hAnsiTheme="minorHAnsi"/>
          <w:noProof/>
          <w:sz w:val="20"/>
          <w:lang w:eastAsia="en-GB"/>
        </w:rPr>
      </w:pPr>
      <w:hyperlink w:anchor="_Toc515348923" w:history="1">
        <w:r>
          <w:rPr>
            <w:rStyle w:val="Hyperlink"/>
            <w:rFonts w:cs="Times New Roman"/>
            <w:noProof/>
            <w:sz w:val="22"/>
          </w:rPr>
          <w:t>Table 3 - From the EFSI and financial instruments (2014-2020) to the InvestEU Fund</w:t>
        </w:r>
        <w:r>
          <w:rPr>
            <w:noProof/>
            <w:webHidden/>
            <w:sz w:val="22"/>
          </w:rPr>
          <w:tab/>
        </w:r>
        <w:r>
          <w:rPr>
            <w:noProof/>
            <w:webHidden/>
            <w:sz w:val="22"/>
          </w:rPr>
          <w:fldChar w:fldCharType="begin"/>
        </w:r>
        <w:r>
          <w:rPr>
            <w:noProof/>
            <w:webHidden/>
            <w:sz w:val="22"/>
          </w:rPr>
          <w:instrText xml:space="preserve"> PAGEREF _Toc515348923 \h </w:instrText>
        </w:r>
        <w:r>
          <w:rPr>
            <w:noProof/>
            <w:webHidden/>
            <w:sz w:val="22"/>
          </w:rPr>
        </w:r>
        <w:r>
          <w:rPr>
            <w:noProof/>
            <w:webHidden/>
            <w:sz w:val="22"/>
          </w:rPr>
          <w:fldChar w:fldCharType="separate"/>
        </w:r>
        <w:r>
          <w:rPr>
            <w:noProof/>
            <w:webHidden/>
            <w:sz w:val="22"/>
          </w:rPr>
          <w:t>26</w:t>
        </w:r>
        <w:r>
          <w:rPr>
            <w:noProof/>
            <w:webHidden/>
            <w:sz w:val="22"/>
          </w:rPr>
          <w:fldChar w:fldCharType="end"/>
        </w:r>
      </w:hyperlink>
    </w:p>
    <w:p>
      <w:pPr>
        <w:spacing w:after="200" w:line="276" w:lineRule="auto"/>
        <w:jc w:val="left"/>
        <w:rPr>
          <w:rFonts w:cs="Times New Roman"/>
          <w:b/>
          <w:noProof/>
          <w:szCs w:val="24"/>
        </w:rPr>
      </w:pPr>
      <w:r>
        <w:rPr>
          <w:rFonts w:cs="Times New Roman"/>
          <w:b/>
          <w:noProof/>
          <w:sz w:val="22"/>
          <w:szCs w:val="20"/>
        </w:rPr>
        <w:fldChar w:fldCharType="end"/>
      </w:r>
    </w:p>
    <w:p>
      <w:pPr>
        <w:spacing w:after="200" w:line="276" w:lineRule="auto"/>
        <w:jc w:val="left"/>
        <w:rPr>
          <w:rFonts w:cs="Times New Roman"/>
          <w:b/>
          <w:noProof/>
          <w:szCs w:val="24"/>
        </w:rPr>
      </w:pPr>
      <w:r>
        <w:rPr>
          <w:rFonts w:cs="Times New Roman"/>
          <w:b/>
          <w:noProof/>
          <w:szCs w:val="24"/>
        </w:rPr>
        <w:br w:type="page"/>
      </w:r>
    </w:p>
    <w:p>
      <w:pPr>
        <w:spacing w:after="120" w:line="264" w:lineRule="auto"/>
        <w:jc w:val="center"/>
        <w:rPr>
          <w:rFonts w:cs="Times New Roman"/>
          <w:b/>
          <w:noProof/>
          <w:szCs w:val="24"/>
        </w:rPr>
      </w:pPr>
      <w:r>
        <w:rPr>
          <w:rFonts w:cs="Times New Roman"/>
          <w:b/>
          <w:noProof/>
          <w:szCs w:val="24"/>
        </w:rPr>
        <w:lastRenderedPageBreak/>
        <w:t xml:space="preserve">Glossary </w:t>
      </w:r>
    </w:p>
    <w:p>
      <w:pPr>
        <w:spacing w:after="120" w:line="264" w:lineRule="auto"/>
        <w:jc w:val="left"/>
        <w:rPr>
          <w:rFonts w:cs="Times New Roman"/>
          <w:b/>
          <w:noProof/>
          <w:szCs w:val="24"/>
        </w:rPr>
      </w:pPr>
    </w:p>
    <w:tbl>
      <w:tblPr>
        <w:tblStyle w:val="GridTable4-Accent11"/>
        <w:tblW w:w="0" w:type="auto"/>
        <w:tblLook w:val="04A0" w:firstRow="1" w:lastRow="0" w:firstColumn="1" w:lastColumn="0" w:noHBand="0" w:noVBand="1"/>
      </w:tblPr>
      <w:tblGrid>
        <w:gridCol w:w="2182"/>
        <w:gridCol w:w="665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Term</w:t>
            </w:r>
          </w:p>
        </w:tc>
        <w:tc>
          <w:tcPr>
            <w:tcW w:w="6652" w:type="dxa"/>
          </w:tcPr>
          <w:p>
            <w:pPr>
              <w:spacing w:line="264" w:lineRule="auto"/>
              <w:cnfStyle w:val="100000000000" w:firstRow="1"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Definition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Blending facilities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bCs/>
                <w:noProof/>
                <w:sz w:val="22"/>
                <w:szCs w:val="24"/>
              </w:rPr>
            </w:pPr>
            <w:r>
              <w:rPr>
                <w:rFonts w:cs="Times New Roman"/>
                <w:bCs/>
                <w:noProof/>
                <w:sz w:val="22"/>
                <w:szCs w:val="24"/>
              </w:rPr>
              <w:t xml:space="preserve">A cooperation framework established between the Commission and development or other public finance institutions with a view to combining non-repayable forms of support and/or financial instruments from the EU budget and financial instruments from development or other public finance institutions as well as from commercial finance institutions and investors. </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Contingent liability</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bCs/>
                <w:noProof/>
                <w:sz w:val="22"/>
                <w:szCs w:val="24"/>
              </w:rPr>
            </w:pPr>
            <w:r>
              <w:rPr>
                <w:rFonts w:cs="Times New Roman"/>
                <w:noProof/>
                <w:sz w:val="22"/>
                <w:szCs w:val="24"/>
              </w:rPr>
              <w:t xml:space="preserve"> A potential financial obligation that may be incurred depending on the outcome of a future event.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Equity investment</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Provision of capital to a firm, invested directly or indirectly in return for total or partial ownership of that firm and where the equity investor may assume some management control of the firm and may share the firm's profits.</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Budgetary guarantee</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Guarantee provided by the Union budget, pursuant to a legal commitment to support a programme of actions, representing a financial obligation that can be called upon if a specified event materialises during the programme implementation, and that remains valid for the duration of the programme.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Financial instruments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Union measures of financial support provided from the EU budget to address one or more specific policy objectives of the Union. Such instruments may take the form of equity or quasi-equity investments, loans or guarantees, or other risk-sharing instruments, and may, where appropriate, be combined with other forms of financial support or with funds under shared management or funds of the European Development Fund.</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Financial product</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Financial mechanism or arrangement agreed between the Commission and the implementing partner under the terms of which the implementing partner provides direct or intermediated financing to final recipients mainly in the forms of debt or equity.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jc w:val="left"/>
              <w:rPr>
                <w:rFonts w:cs="Times New Roman"/>
                <w:noProof/>
                <w:sz w:val="22"/>
                <w:szCs w:val="24"/>
              </w:rPr>
            </w:pPr>
            <w:r>
              <w:rPr>
                <w:rFonts w:cs="Times New Roman"/>
                <w:noProof/>
                <w:sz w:val="22"/>
                <w:szCs w:val="24"/>
              </w:rPr>
              <w:t>Financing and/or investment operations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Operations to provide finance directly or indirectly to final recipients, carried out by an implementing partner in its own name, provided by it in accordance with its internal rules and accounted for in its own financial statements.</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Guarantee agreement</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Legal instrument whereby the Commission and an implementing partner specify the conditions for proposing financing or investment operations to be granted the benefit of the EU guarantee, for providing the budgetary guarantee for those operations and for implementing them.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Implementing partner</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Eligible counterpart such as a financial institution or other intermediary with whom the Commission signs an agreement to implement the Union funds.</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Quasi-equity investment</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 xml:space="preserve">Type of financing that ranks between equity and debt, having a higher risk than senior debt and a lower risk than common equity and that can be structured as debt, typically unsecured and subordinated and in some </w:t>
            </w:r>
            <w:r>
              <w:rPr>
                <w:rFonts w:cs="Times New Roman"/>
                <w:noProof/>
                <w:sz w:val="22"/>
                <w:szCs w:val="24"/>
              </w:rPr>
              <w:lastRenderedPageBreak/>
              <w:t>cases convertible into equity, or into preferred equity.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jc w:val="left"/>
              <w:rPr>
                <w:rFonts w:cs="Times New Roman"/>
                <w:noProof/>
                <w:sz w:val="22"/>
                <w:szCs w:val="24"/>
              </w:rPr>
            </w:pPr>
            <w:r>
              <w:rPr>
                <w:rFonts w:cs="Times New Roman"/>
                <w:noProof/>
                <w:sz w:val="22"/>
                <w:szCs w:val="24"/>
              </w:rPr>
              <w:lastRenderedPageBreak/>
              <w:t>Mid cap companies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Entities having up to 3 000 employees that are not SMEs or small mid</w:t>
            </w:r>
            <w:r>
              <w:rPr>
                <w:rFonts w:cs="Times New Roman"/>
                <w:noProof/>
                <w:sz w:val="22"/>
                <w:szCs w:val="24"/>
              </w:rPr>
              <w:noBreakHyphen/>
              <w:t>cap companies.</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Multiplier effect</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Investment by eligible final recipients divided by the amount of the Union contribution.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National promotional banks or institutions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noProof/>
                <w:sz w:val="22"/>
              </w:rPr>
              <w:t>Legal entities carrying out financial activities on a professional basis which are given mandate by a Member State or a Member State's entity at central, regional or local level, to carry out development or promotional activities</w:t>
            </w:r>
            <w:r>
              <w:rPr>
                <w:rFonts w:cs="Times New Roman"/>
                <w:noProof/>
                <w:sz w:val="22"/>
                <w:szCs w:val="24"/>
              </w:rPr>
              <w:t>.</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Risk-sharing instrument</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Financial instrument which allows for the sharing of a defined risk between two or more entities, where appropriate in exchange for an agreed remuneration.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jc w:val="left"/>
              <w:rPr>
                <w:rFonts w:cs="Times New Roman"/>
                <w:noProof/>
                <w:sz w:val="22"/>
                <w:szCs w:val="24"/>
              </w:rPr>
            </w:pPr>
            <w:r>
              <w:rPr>
                <w:rFonts w:cs="Times New Roman"/>
                <w:noProof/>
                <w:sz w:val="22"/>
                <w:szCs w:val="24"/>
              </w:rPr>
              <w:t>Small and medium</w:t>
            </w:r>
            <w:r>
              <w:rPr>
                <w:rFonts w:cs="Times New Roman"/>
                <w:noProof/>
                <w:sz w:val="22"/>
                <w:szCs w:val="24"/>
              </w:rPr>
              <w:noBreakHyphen/>
              <w:t>sized enterprises (SMEs)</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Micro, small and medium</w:t>
            </w:r>
            <w:r>
              <w:rPr>
                <w:rFonts w:cs="Times New Roman"/>
                <w:noProof/>
                <w:sz w:val="22"/>
                <w:szCs w:val="24"/>
              </w:rPr>
              <w:noBreakHyphen/>
              <w:t>sized enterprises as defined in Article 2 of the Annex to Commission Recommendation 2003/361/EC</w:t>
            </w:r>
            <w:r>
              <w:rPr>
                <w:rFonts w:cs="Times New Roman"/>
                <w:b/>
                <w:noProof/>
                <w:sz w:val="22"/>
                <w:szCs w:val="24"/>
                <w:vertAlign w:val="superscript"/>
              </w:rPr>
              <w:footnoteReference w:id="2"/>
            </w:r>
            <w:r>
              <w:rPr>
                <w:rFonts w:cs="Times New Roman"/>
                <w:noProof/>
                <w:sz w:val="22"/>
                <w:szCs w:val="24"/>
              </w:rPr>
              <w:t>.</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jc w:val="left"/>
              <w:rPr>
                <w:rFonts w:cs="Times New Roman"/>
                <w:noProof/>
                <w:sz w:val="22"/>
                <w:szCs w:val="24"/>
              </w:rPr>
            </w:pPr>
            <w:r>
              <w:rPr>
                <w:rFonts w:cs="Times New Roman"/>
                <w:noProof/>
                <w:sz w:val="22"/>
                <w:szCs w:val="24"/>
              </w:rPr>
              <w:t>Small mid</w:t>
            </w:r>
            <w:r>
              <w:rPr>
                <w:rFonts w:cs="Times New Roman"/>
                <w:noProof/>
                <w:sz w:val="22"/>
                <w:szCs w:val="24"/>
              </w:rPr>
              <w:noBreakHyphen/>
              <w:t>cap companies</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Entities having up to 499 employees that are not SMEs.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Technical Assistance</w:t>
            </w:r>
          </w:p>
        </w:tc>
        <w:tc>
          <w:tcPr>
            <w:tcW w:w="6652" w:type="dxa"/>
          </w:tcPr>
          <w:p>
            <w:pPr>
              <w:spacing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 xml:space="preserve">Advisory support for the identification, preparation, development, structuring, procuring and implementation of investment projects, or enhance the capacity of promoters and financial intermediaries to implement financing and investment operations. Its support may cover any stage of the life-cycle of a project or financing of a supported entity, as appropriate.  </w:t>
            </w:r>
          </w:p>
        </w:tc>
      </w:tr>
      <w:tr>
        <w:tc>
          <w:tcPr>
            <w:cnfStyle w:val="001000000000" w:firstRow="0" w:lastRow="0" w:firstColumn="1" w:lastColumn="0" w:oddVBand="0" w:evenVBand="0" w:oddHBand="0" w:evenHBand="0" w:firstRowFirstColumn="0" w:firstRowLastColumn="0" w:lastRowFirstColumn="0" w:lastRowLastColumn="0"/>
            <w:tcW w:w="2182" w:type="dxa"/>
          </w:tcPr>
          <w:p>
            <w:pPr>
              <w:spacing w:line="264" w:lineRule="auto"/>
              <w:rPr>
                <w:rFonts w:cs="Times New Roman"/>
                <w:noProof/>
                <w:sz w:val="22"/>
                <w:szCs w:val="24"/>
              </w:rPr>
            </w:pPr>
            <w:r>
              <w:rPr>
                <w:rFonts w:cs="Times New Roman"/>
                <w:noProof/>
                <w:sz w:val="22"/>
                <w:szCs w:val="24"/>
              </w:rPr>
              <w:t>Third country</w:t>
            </w:r>
          </w:p>
        </w:tc>
        <w:tc>
          <w:tcPr>
            <w:tcW w:w="6652" w:type="dxa"/>
          </w:tcPr>
          <w:p>
            <w:pPr>
              <w:spacing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Country that is not member of the European Union.</w:t>
            </w:r>
          </w:p>
        </w:tc>
      </w:tr>
    </w:tbl>
    <w:p>
      <w:pPr>
        <w:spacing w:line="264" w:lineRule="auto"/>
        <w:rPr>
          <w:rFonts w:cs="Times New Roman"/>
          <w:noProof/>
          <w:szCs w:val="24"/>
        </w:rPr>
      </w:pPr>
    </w:p>
    <w:p>
      <w:pPr>
        <w:spacing w:after="200" w:line="264" w:lineRule="auto"/>
        <w:jc w:val="left"/>
        <w:rPr>
          <w:rFonts w:cs="Times New Roman"/>
          <w:b/>
          <w:noProof/>
          <w:szCs w:val="24"/>
        </w:rPr>
      </w:pPr>
      <w:r>
        <w:rPr>
          <w:rFonts w:cs="Times New Roman"/>
          <w:b/>
          <w:noProof/>
          <w:szCs w:val="24"/>
        </w:rPr>
        <w:br w:type="page"/>
      </w:r>
    </w:p>
    <w:p>
      <w:pPr>
        <w:spacing w:after="120" w:line="264" w:lineRule="auto"/>
        <w:jc w:val="center"/>
        <w:rPr>
          <w:rFonts w:cs="Times New Roman"/>
          <w:b/>
          <w:noProof/>
          <w:szCs w:val="24"/>
        </w:rPr>
      </w:pPr>
      <w:r>
        <w:rPr>
          <w:rFonts w:cs="Times New Roman"/>
          <w:b/>
          <w:noProof/>
          <w:szCs w:val="24"/>
        </w:rPr>
        <w:lastRenderedPageBreak/>
        <w:t>Acronyms</w:t>
      </w:r>
    </w:p>
    <w:p>
      <w:pPr>
        <w:spacing w:after="120" w:line="264" w:lineRule="auto"/>
        <w:jc w:val="center"/>
        <w:rPr>
          <w:rFonts w:cs="Times New Roman"/>
          <w:b/>
          <w:noProof/>
          <w:szCs w:val="24"/>
        </w:rPr>
      </w:pPr>
    </w:p>
    <w:tbl>
      <w:tblPr>
        <w:tblStyle w:val="GridTable4-Accent11"/>
        <w:tblW w:w="0" w:type="auto"/>
        <w:tblLook w:val="04A0" w:firstRow="1" w:lastRow="0" w:firstColumn="1" w:lastColumn="0" w:noHBand="0" w:noVBand="1"/>
      </w:tblPr>
      <w:tblGrid>
        <w:gridCol w:w="3227"/>
        <w:gridCol w:w="560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rPr>
                <w:rFonts w:cs="Times New Roman"/>
                <w:b w:val="0"/>
                <w:i/>
                <w:noProof/>
                <w:sz w:val="22"/>
                <w:szCs w:val="24"/>
              </w:rPr>
            </w:pPr>
            <w:r>
              <w:rPr>
                <w:rFonts w:cs="Times New Roman"/>
                <w:i/>
                <w:noProof/>
                <w:sz w:val="22"/>
                <w:szCs w:val="24"/>
              </w:rPr>
              <w:t>Acronym</w:t>
            </w:r>
          </w:p>
        </w:tc>
        <w:tc>
          <w:tcPr>
            <w:tcW w:w="5607" w:type="dxa"/>
          </w:tcPr>
          <w:p>
            <w:pPr>
              <w:spacing w:after="120" w:line="264" w:lineRule="auto"/>
              <w:cnfStyle w:val="100000000000" w:firstRow="1" w:lastRow="0" w:firstColumn="0" w:lastColumn="0" w:oddVBand="0" w:evenVBand="0" w:oddHBand="0" w:evenHBand="0" w:firstRowFirstColumn="0" w:firstRowLastColumn="0" w:lastRowFirstColumn="0" w:lastRowLastColumn="0"/>
              <w:rPr>
                <w:rFonts w:cs="Times New Roman"/>
                <w:b w:val="0"/>
                <w:i/>
                <w:noProof/>
                <w:sz w:val="22"/>
                <w:szCs w:val="24"/>
              </w:rPr>
            </w:pPr>
            <w:r>
              <w:rPr>
                <w:rFonts w:cs="Times New Roman"/>
                <w:i/>
                <w:noProof/>
                <w:sz w:val="22"/>
                <w:szCs w:val="24"/>
              </w:rPr>
              <w:t>Meaning</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BG</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Budgetary Guarantee</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CCS</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Cultural and Creative Sectors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CEF</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Connecting Europe Facility</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CEO</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Chief executive officer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bCs w:val="0"/>
                <w:noProof/>
                <w:color w:val="000000"/>
                <w:sz w:val="22"/>
                <w:szCs w:val="24"/>
              </w:rPr>
              <w:t>CMU</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Capital Markets Union</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COSME</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Competitiveness of Enterprises and Small and Medium-sized Enterprises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COSME +</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Europe’s programme for small and medium-sized enterprises</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CRD IV</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Capital Requirements Directive IV</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CRR</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Capital Requirements Regulation</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EaSI</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Employment and Social Innovation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EC</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European Commission</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ECB</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European Central Bank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EDP</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InnovFin Thematic Products - Energy Demo Projects</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EFSI</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European Fund for Strategic Investments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EIAH</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European Investment Advisory Hub</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EIB</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European Investment Bank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EIF</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European Investment Fund</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EIPP</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European Investment Project Portal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ERC</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hyperlink r:id="rId19" w:history="1">
              <w:r>
                <w:rPr>
                  <w:rFonts w:cs="Times New Roman"/>
                  <w:noProof/>
                  <w:sz w:val="22"/>
                  <w:szCs w:val="24"/>
                </w:rPr>
                <w:t>European Research Council</w:t>
              </w:r>
            </w:hyperlink>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ESI Funds/ ESIF</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European Structural and Investment Funds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FI</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Financial Instrument</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FR</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Financial Regulation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color w:val="000000"/>
                <w:sz w:val="22"/>
                <w:szCs w:val="24"/>
                <w:u w:color="000000"/>
              </w:rPr>
            </w:pPr>
            <w:r>
              <w:rPr>
                <w:rFonts w:cs="Times New Roman"/>
                <w:noProof/>
                <w:color w:val="000000"/>
                <w:sz w:val="22"/>
                <w:szCs w:val="24"/>
                <w:u w:color="000000"/>
              </w:rPr>
              <w:t>IFI</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International Financial Institution</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INEA</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The Innovation and Networks Executive Agency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IPE</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Investment Plan for Europe</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IPO</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Initial Public Offering</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MDB</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Multilateral Development Bank</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MFF</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Multiannual Financial Framework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MS</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Member State</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lastRenderedPageBreak/>
              <w:t>NCFF</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Natural Capital Financing Facility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NPB</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National Promotional Bank</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OPC</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Open Public Consultation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PBI</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Project Bond Initiative</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PbR</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Payment-by-Results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PF4EE</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Private Finance for Energy Efficiency</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PPP</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Public–private partnership</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R&amp;D</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Research and Development</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R&amp;I</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Research and Innovation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RSB</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Regulatory Scrutiny Board</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 xml:space="preserve">SPV </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Special Purpose Vehicle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TA</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Technical Assistance</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TEN</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Trans-European Networks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bCs w:val="0"/>
                <w:noProof/>
                <w:color w:val="000000"/>
                <w:sz w:val="22"/>
                <w:szCs w:val="24"/>
              </w:rPr>
              <w:t>TEN-E</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Trans-European Energy Networks</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bCs w:val="0"/>
                <w:noProof/>
                <w:color w:val="000000"/>
                <w:sz w:val="22"/>
                <w:szCs w:val="24"/>
              </w:rPr>
              <w:t>TEN-T</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Trans-European Transport Network</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color w:val="000000"/>
                <w:sz w:val="22"/>
                <w:szCs w:val="24"/>
                <w:u w:color="000000"/>
              </w:rPr>
              <w:t>TFEU</w:t>
            </w:r>
          </w:p>
        </w:tc>
        <w:tc>
          <w:tcPr>
            <w:tcW w:w="5607" w:type="dxa"/>
          </w:tcPr>
          <w:p>
            <w:pPr>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sz w:val="22"/>
                <w:szCs w:val="24"/>
              </w:rPr>
            </w:pPr>
            <w:r>
              <w:rPr>
                <w:rFonts w:cs="Times New Roman"/>
                <w:noProof/>
                <w:sz w:val="22"/>
                <w:szCs w:val="24"/>
              </w:rPr>
              <w:t>Treaty on the Functioning of the European Union</w:t>
            </w:r>
          </w:p>
        </w:tc>
      </w:tr>
      <w:tr>
        <w:tc>
          <w:tcPr>
            <w:cnfStyle w:val="001000000000" w:firstRow="0" w:lastRow="0" w:firstColumn="1" w:lastColumn="0" w:oddVBand="0" w:evenVBand="0" w:oddHBand="0" w:evenHBand="0" w:firstRowFirstColumn="0" w:firstRowLastColumn="0" w:lastRowFirstColumn="0" w:lastRowLastColumn="0"/>
            <w:tcW w:w="3227" w:type="dxa"/>
          </w:tcPr>
          <w:p>
            <w:pPr>
              <w:spacing w:after="120" w:line="264" w:lineRule="auto"/>
              <w:jc w:val="left"/>
              <w:rPr>
                <w:rFonts w:cs="Times New Roman"/>
                <w:noProof/>
                <w:sz w:val="22"/>
                <w:szCs w:val="24"/>
              </w:rPr>
            </w:pPr>
            <w:r>
              <w:rPr>
                <w:rFonts w:cs="Times New Roman"/>
                <w:noProof/>
                <w:sz w:val="22"/>
                <w:szCs w:val="24"/>
              </w:rPr>
              <w:t>VC</w:t>
            </w:r>
          </w:p>
        </w:tc>
        <w:tc>
          <w:tcPr>
            <w:tcW w:w="5607" w:type="dxa"/>
          </w:tcPr>
          <w:p>
            <w:pPr>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4"/>
              </w:rPr>
            </w:pPr>
            <w:r>
              <w:rPr>
                <w:rFonts w:cs="Times New Roman"/>
                <w:noProof/>
                <w:sz w:val="22"/>
                <w:szCs w:val="24"/>
              </w:rPr>
              <w:t>Venture Capital</w:t>
            </w:r>
          </w:p>
        </w:tc>
      </w:tr>
    </w:tbl>
    <w:p>
      <w:pPr>
        <w:spacing w:after="120" w:line="264" w:lineRule="auto"/>
        <w:rPr>
          <w:rFonts w:cs="Times New Roman"/>
          <w:noProof/>
          <w:szCs w:val="24"/>
        </w:rPr>
        <w:sectPr>
          <w:headerReference w:type="even" r:id="rId20"/>
          <w:headerReference w:type="default" r:id="rId21"/>
          <w:footerReference w:type="even" r:id="rId22"/>
          <w:footerReference w:type="default" r:id="rId23"/>
          <w:headerReference w:type="first" r:id="rId24"/>
          <w:footerReference w:type="first" r:id="rId25"/>
          <w:pgSz w:w="11906" w:h="16838"/>
          <w:pgMar w:top="1020" w:right="1701" w:bottom="1020" w:left="1587" w:header="601" w:footer="1077" w:gutter="0"/>
          <w:pgNumType w:fmt="upperRoman" w:start="1"/>
          <w:cols w:space="720"/>
          <w:titlePg/>
        </w:sectPr>
      </w:pPr>
      <w:bookmarkStart w:id="2" w:name="_Toc508287383"/>
      <w:bookmarkStart w:id="3" w:name="_Toc509323598"/>
      <w:bookmarkStart w:id="4" w:name="_Toc509326472"/>
      <w:bookmarkStart w:id="5" w:name="_Toc508724888"/>
      <w:bookmarkStart w:id="6" w:name="_Toc508733431"/>
      <w:bookmarkStart w:id="7" w:name="_Toc508735064"/>
      <w:bookmarkStart w:id="8" w:name="_Toc508809655"/>
      <w:bookmarkStart w:id="9" w:name="_Toc509069029"/>
      <w:bookmarkStart w:id="10" w:name="_Toc509313227"/>
    </w:p>
    <w:p>
      <w:pPr>
        <w:pStyle w:val="Heading1"/>
        <w:spacing w:line="264" w:lineRule="auto"/>
        <w:rPr>
          <w:noProof/>
          <w:szCs w:val="24"/>
        </w:rPr>
      </w:pPr>
      <w:bookmarkStart w:id="11" w:name="_Toc509332705"/>
      <w:bookmarkStart w:id="12" w:name="_Toc509337661"/>
      <w:bookmarkStart w:id="13" w:name="_Toc510517511"/>
      <w:bookmarkStart w:id="14" w:name="_Toc510612601"/>
      <w:bookmarkStart w:id="15" w:name="_Toc510683702"/>
      <w:bookmarkStart w:id="16" w:name="_Toc515348873"/>
      <w:bookmarkStart w:id="17" w:name="_Toc509334663"/>
      <w:r>
        <w:rPr>
          <w:noProof/>
          <w:szCs w:val="24"/>
        </w:rPr>
        <w:lastRenderedPageBreak/>
        <w:t>Introduction: political and legal context</w:t>
      </w:r>
      <w:bookmarkEnd w:id="2"/>
      <w:bookmarkEnd w:id="3"/>
      <w:bookmarkEnd w:id="4"/>
      <w:bookmarkEnd w:id="11"/>
      <w:bookmarkEnd w:id="12"/>
      <w:bookmarkEnd w:id="13"/>
      <w:bookmarkEnd w:id="14"/>
      <w:bookmarkEnd w:id="15"/>
      <w:bookmarkEnd w:id="16"/>
      <w:r>
        <w:rPr>
          <w:noProof/>
          <w:szCs w:val="24"/>
        </w:rPr>
        <w:t xml:space="preserve"> </w:t>
      </w:r>
      <w:bookmarkEnd w:id="5"/>
      <w:bookmarkEnd w:id="6"/>
      <w:bookmarkEnd w:id="7"/>
      <w:bookmarkEnd w:id="8"/>
      <w:bookmarkEnd w:id="9"/>
      <w:bookmarkEnd w:id="10"/>
      <w:bookmarkEnd w:id="17"/>
    </w:p>
    <w:p>
      <w:pPr>
        <w:pStyle w:val="Heading2"/>
        <w:tabs>
          <w:tab w:val="left" w:pos="709"/>
        </w:tabs>
        <w:spacing w:before="0" w:after="120" w:line="264" w:lineRule="auto"/>
        <w:rPr>
          <w:noProof/>
          <w:szCs w:val="24"/>
        </w:rPr>
      </w:pPr>
      <w:bookmarkStart w:id="18" w:name="_Toc508287384"/>
      <w:bookmarkStart w:id="19" w:name="_Toc509313228"/>
      <w:bookmarkStart w:id="20" w:name="_Toc509323599"/>
      <w:bookmarkStart w:id="21" w:name="_Toc509326473"/>
      <w:bookmarkStart w:id="22" w:name="_Toc509332706"/>
      <w:bookmarkStart w:id="23" w:name="_Toc509334664"/>
      <w:bookmarkStart w:id="24" w:name="_Toc509337662"/>
      <w:bookmarkStart w:id="25" w:name="_Toc510517512"/>
      <w:bookmarkStart w:id="26" w:name="_Toc510612602"/>
      <w:bookmarkStart w:id="27" w:name="_Toc510683703"/>
      <w:bookmarkStart w:id="28" w:name="_Toc515348874"/>
      <w:bookmarkStart w:id="29" w:name="_Toc508724889"/>
      <w:bookmarkStart w:id="30" w:name="_Toc508733432"/>
      <w:bookmarkStart w:id="31" w:name="_Toc508735065"/>
      <w:bookmarkStart w:id="32" w:name="_Toc508809656"/>
      <w:bookmarkStart w:id="33" w:name="_Toc509069030"/>
      <w:r>
        <w:rPr>
          <w:noProof/>
          <w:szCs w:val="24"/>
        </w:rPr>
        <w:t>Scope and context</w:t>
      </w:r>
      <w:bookmarkEnd w:id="18"/>
      <w:bookmarkEnd w:id="19"/>
      <w:bookmarkEnd w:id="20"/>
      <w:bookmarkEnd w:id="21"/>
      <w:bookmarkEnd w:id="22"/>
      <w:bookmarkEnd w:id="23"/>
      <w:bookmarkEnd w:id="24"/>
      <w:bookmarkEnd w:id="25"/>
      <w:bookmarkEnd w:id="26"/>
      <w:bookmarkEnd w:id="27"/>
      <w:bookmarkEnd w:id="28"/>
      <w:r>
        <w:rPr>
          <w:noProof/>
          <w:szCs w:val="24"/>
        </w:rPr>
        <w:t xml:space="preserve"> </w:t>
      </w:r>
      <w:bookmarkEnd w:id="29"/>
      <w:bookmarkEnd w:id="30"/>
      <w:bookmarkEnd w:id="31"/>
      <w:bookmarkEnd w:id="32"/>
      <w:bookmarkEnd w:id="33"/>
    </w:p>
    <w:p>
      <w:pPr>
        <w:spacing w:after="120" w:line="264" w:lineRule="auto"/>
        <w:rPr>
          <w:rFonts w:cs="Times New Roman"/>
          <w:noProof/>
          <w:szCs w:val="24"/>
        </w:rPr>
      </w:pPr>
      <w:r>
        <w:rPr>
          <w:rFonts w:cs="Times New Roman"/>
          <w:noProof/>
          <w:szCs w:val="24"/>
        </w:rPr>
        <w:t>In line with the political orientation and guidance note of the College on the next Multiannual Financial Framework (MFF), there is a need to explore ways to incorporate the cross-cutting objectives of the new MFF in the future EU investment programme, particularly with regards to simplification, flexibility, synergies and ensuring coherence with other EU programmes. The considerations put forward in the Commission's Reflection Paper</w:t>
      </w:r>
      <w:r>
        <w:rPr>
          <w:rStyle w:val="FootnoteReference"/>
          <w:rFonts w:cs="Times New Roman"/>
          <w:noProof/>
          <w:szCs w:val="24"/>
        </w:rPr>
        <w:footnoteReference w:id="3"/>
      </w:r>
      <w:r>
        <w:rPr>
          <w:rFonts w:cs="Times New Roman"/>
          <w:noProof/>
          <w:szCs w:val="24"/>
        </w:rPr>
        <w:t xml:space="preserve"> on the future of EU finances highlight the need "</w:t>
      </w:r>
      <w:r>
        <w:rPr>
          <w:rFonts w:cs="Times New Roman"/>
          <w:i/>
          <w:noProof/>
          <w:szCs w:val="24"/>
        </w:rPr>
        <w:t>to do more with less</w:t>
      </w:r>
      <w:r>
        <w:rPr>
          <w:rFonts w:cs="Times New Roman"/>
          <w:noProof/>
          <w:szCs w:val="24"/>
        </w:rPr>
        <w:t>" and leverage the EU budget at a time of budgetary constraints. To address the overlaps inherent in the current multitude of EU-level financial instruments (FIs) and applicable rules, the Reflection Paper suggests as a possible solution their integration in a single fund. This single fund would provide support via a wide variety of financial products while having a strengthened focus on policy areas and objectives. It also requests EU-level financial instruments and those managed by Member States under cohesion policy to be complementary.</w:t>
      </w:r>
    </w:p>
    <w:p>
      <w:pPr>
        <w:tabs>
          <w:tab w:val="left" w:pos="709"/>
        </w:tabs>
        <w:spacing w:after="120" w:line="264" w:lineRule="auto"/>
        <w:rPr>
          <w:rFonts w:cs="Times New Roman"/>
          <w:noProof/>
          <w:szCs w:val="24"/>
        </w:rPr>
      </w:pPr>
      <w:r>
        <w:rPr>
          <w:rFonts w:cs="Times New Roman"/>
          <w:noProof/>
          <w:szCs w:val="24"/>
        </w:rPr>
        <w:t>EU financial instruments and budgetary guarantees (BGs) are financial tools aimed to support investment and to achieve EU policy objectives. Financial instruments can take the form of debt, guarantees, equity, etc. Budgetary guarantees back financial products provided by implementing partners.</w:t>
      </w:r>
    </w:p>
    <w:p>
      <w:pPr>
        <w:spacing w:after="120" w:line="264" w:lineRule="auto"/>
        <w:rPr>
          <w:rFonts w:cs="Times New Roman"/>
          <w:noProof/>
          <w:color w:val="FF0000"/>
          <w:szCs w:val="24"/>
        </w:rPr>
      </w:pPr>
      <w:r>
        <w:rPr>
          <w:rFonts w:cs="Times New Roman"/>
          <w:noProof/>
          <w:szCs w:val="24"/>
        </w:rPr>
        <w:t xml:space="preserve">Their main objective is to address market failures and suboptimal investment situations related to the supply of financing to economic actors with a risk profile that private financiers are not always able or willing to address. The reasons can range from asymmetry of information to risk averseness of private investors, underdeveloped financial markets and liquidity problems. </w:t>
      </w:r>
    </w:p>
    <w:p>
      <w:pPr>
        <w:spacing w:after="120" w:line="264" w:lineRule="auto"/>
        <w:rPr>
          <w:rFonts w:cs="Times New Roman"/>
          <w:noProof/>
          <w:szCs w:val="24"/>
        </w:rPr>
      </w:pPr>
      <w:r>
        <w:rPr>
          <w:rFonts w:cs="Times New Roman"/>
          <w:noProof/>
          <w:szCs w:val="24"/>
        </w:rPr>
        <w:t xml:space="preserve">This lack of financing provided by the market may have negative externalities that hinder economic growth, job creation, innovation, the pursuit of long term objectives, the emergence of more sustainable economic models and the resilience of the financial system. In these cases, financial public support may be justified. </w:t>
      </w:r>
    </w:p>
    <w:p>
      <w:pPr>
        <w:spacing w:after="120" w:line="264" w:lineRule="auto"/>
        <w:rPr>
          <w:rFonts w:cs="Times New Roman"/>
          <w:noProof/>
          <w:szCs w:val="24"/>
        </w:rPr>
      </w:pPr>
      <w:r>
        <w:rPr>
          <w:rFonts w:cs="Times New Roman"/>
          <w:noProof/>
          <w:szCs w:val="24"/>
        </w:rPr>
        <w:t>The public support may be provided in the form of grants or repayable instruments. For economically viable projects with a revenue generating capacity, a more systemic use of financial instruments and budgetary guarantees can help increase the impact of public funds.</w:t>
      </w:r>
    </w:p>
    <w:p>
      <w:pPr>
        <w:spacing w:after="120" w:line="264" w:lineRule="auto"/>
        <w:rPr>
          <w:rFonts w:cs="Times New Roman"/>
          <w:noProof/>
          <w:szCs w:val="24"/>
        </w:rPr>
      </w:pPr>
      <w:r>
        <w:rPr>
          <w:rFonts w:cs="Times New Roman"/>
          <w:noProof/>
          <w:szCs w:val="24"/>
        </w:rPr>
        <w:t>The EU has been successfully addressing investment gaps related to market failures with EU financial instruments since the mid-1990s. The EU's first budgetary guarantee, the External Lending Mandate, was created in the 1970s and is still used today to support EIB’s lending activities outside the EU. The New Community Instrument, mobilising investments by the EU budget in the form of loans "to stimulate an economic upturn and support common policies", was created in 1978.</w:t>
      </w:r>
    </w:p>
    <w:p>
      <w:pPr>
        <w:spacing w:after="120" w:line="264" w:lineRule="auto"/>
        <w:rPr>
          <w:rFonts w:cs="Times New Roman"/>
          <w:noProof/>
          <w:szCs w:val="24"/>
        </w:rPr>
      </w:pPr>
      <w:r>
        <w:rPr>
          <w:rStyle w:val="Aucun"/>
          <w:rFonts w:cs="Times New Roman"/>
          <w:noProof/>
          <w:szCs w:val="24"/>
          <w:lang w:val="en-GB"/>
        </w:rPr>
        <w:t xml:space="preserve">Under the current and previous MFFs, financial instruments have been expanding under a variety of programmes. </w:t>
      </w:r>
      <w:r>
        <w:rPr>
          <w:rFonts w:cs="Times New Roman"/>
          <w:noProof/>
          <w:szCs w:val="24"/>
        </w:rPr>
        <w:t>During the 2014-2020 MFF, the Commission established 16 centrally managed FIs</w:t>
      </w:r>
      <w:r>
        <w:rPr>
          <w:rStyle w:val="FootnoteReference"/>
          <w:rFonts w:cs="Times New Roman"/>
          <w:noProof/>
          <w:szCs w:val="24"/>
        </w:rPr>
        <w:footnoteReference w:id="4"/>
      </w:r>
      <w:r>
        <w:rPr>
          <w:rFonts w:cs="Times New Roman"/>
          <w:noProof/>
          <w:szCs w:val="24"/>
        </w:rPr>
        <w:t>.</w:t>
      </w:r>
      <w:r>
        <w:rPr>
          <w:rStyle w:val="Aucun"/>
          <w:rFonts w:cs="Times New Roman"/>
          <w:noProof/>
          <w:szCs w:val="24"/>
          <w:lang w:val="en-GB"/>
        </w:rPr>
        <w:t xml:space="preserve"> The budget allocation for these instruments for internal action currently amounts to EUR </w:t>
      </w:r>
      <w:r>
        <w:rPr>
          <w:rStyle w:val="Aucun"/>
          <w:rFonts w:cs="Times New Roman"/>
          <w:noProof/>
          <w:szCs w:val="24"/>
          <w:lang w:val="en-GB"/>
        </w:rPr>
        <w:lastRenderedPageBreak/>
        <w:t>5.4 billion</w:t>
      </w:r>
      <w:r>
        <w:rPr>
          <w:rStyle w:val="FootnoteReference"/>
          <w:rFonts w:cs="Times New Roman"/>
          <w:noProof/>
          <w:szCs w:val="24"/>
        </w:rPr>
        <w:footnoteReference w:id="5"/>
      </w:r>
      <w:r>
        <w:rPr>
          <w:rStyle w:val="Aucun"/>
          <w:rFonts w:cs="Times New Roman"/>
          <w:noProof/>
          <w:szCs w:val="24"/>
          <w:lang w:val="en-GB"/>
        </w:rPr>
        <w:t xml:space="preserve">. </w:t>
      </w:r>
      <w:r>
        <w:rPr>
          <w:rFonts w:cs="Times New Roman"/>
          <w:noProof/>
          <w:szCs w:val="24"/>
        </w:rPr>
        <w:t xml:space="preserve">These instruments aim at supporting investments in different policy areas, like Research and Innovation (R&amp;I), small and medium size enterprises (SME) financing, infrastructure, cultural sectors as well as promoting environmental and social sustainability (see Annex 5 for a complete list of 2014-2020 centrally managed financial instruments and budgetary guarantee for internal action). </w:t>
      </w:r>
    </w:p>
    <w:p>
      <w:pPr>
        <w:spacing w:after="120" w:line="264" w:lineRule="auto"/>
        <w:rPr>
          <w:rFonts w:cs="Times New Roman"/>
          <w:noProof/>
          <w:szCs w:val="24"/>
        </w:rPr>
      </w:pPr>
      <w:r>
        <w:rPr>
          <w:rFonts w:cs="Times New Roman"/>
          <w:noProof/>
          <w:szCs w:val="24"/>
        </w:rPr>
        <w:t xml:space="preserve">Financial instruments are also a delivery mechanism for the European Structural and Investment Funds' (ESI Funds) programmes delivered under shared management. These instruments address specific Member States and regions and they are managed by the relevant Managing Authorities. The total budget planned to be delivered through financial instruments under shared management for the 2024-2020 period amounts to approximately EUR 21 billion. </w:t>
      </w:r>
    </w:p>
    <w:p>
      <w:pPr>
        <w:spacing w:after="120" w:line="264" w:lineRule="auto"/>
        <w:rPr>
          <w:rFonts w:cs="Times New Roman"/>
          <w:bCs/>
          <w:iCs/>
          <w:noProof/>
          <w:szCs w:val="24"/>
        </w:rPr>
      </w:pPr>
      <w:r>
        <w:rPr>
          <w:rFonts w:cs="Times New Roman"/>
          <w:noProof/>
          <w:szCs w:val="24"/>
        </w:rPr>
        <w:t>Moreover, in the aftermath of the financial and sovereign debt crisis, boosting jobs, growth, and investment has become one of the top 10 priorities of the Juncker Commission</w:t>
      </w:r>
      <w:r>
        <w:rPr>
          <w:rStyle w:val="FootnoteReference"/>
          <w:rFonts w:cs="Times New Roman"/>
          <w:noProof/>
          <w:szCs w:val="24"/>
        </w:rPr>
        <w:footnoteReference w:id="6"/>
      </w:r>
      <w:r>
        <w:rPr>
          <w:rFonts w:cs="Times New Roman"/>
          <w:noProof/>
          <w:szCs w:val="24"/>
        </w:rPr>
        <w:t>. As a response to the subdued investment levels, the Commission launched in November 2014 the Investment Plan for Europe</w:t>
      </w:r>
      <w:r>
        <w:rPr>
          <w:rStyle w:val="FootnoteReference"/>
          <w:rFonts w:cs="Times New Roman"/>
          <w:noProof/>
          <w:szCs w:val="24"/>
        </w:rPr>
        <w:footnoteReference w:id="7"/>
      </w:r>
      <w:r>
        <w:rPr>
          <w:rFonts w:cs="Times New Roman"/>
          <w:noProof/>
          <w:szCs w:val="24"/>
        </w:rPr>
        <w:t>. It focuses on removing obstacles to investment and seeks to deliver jobs, growth, and innovation in Europe. One of its key actions is the European Fund for Strategic Investments (EFSI)</w:t>
      </w:r>
      <w:r>
        <w:rPr>
          <w:rStyle w:val="FootnoteReference"/>
          <w:rFonts w:cs="Times New Roman"/>
          <w:noProof/>
          <w:szCs w:val="24"/>
        </w:rPr>
        <w:footnoteReference w:id="8"/>
      </w:r>
      <w:r>
        <w:rPr>
          <w:rFonts w:cs="Times New Roman"/>
          <w:noProof/>
          <w:szCs w:val="24"/>
        </w:rPr>
        <w:t xml:space="preserve">, which aims at mobilising EUR 500 billion of additional investment through support via an Infrastructure and Innovation Window, and an SME Window by end-2020. EFSI provides a budgetary guarantee of EUR 26 billion underpinned by provisioning of budgetary resources of EUR 9.1 billion. Moreover, the EIB provided additional risk-bearing capacity of EUR 7.5 billion. </w:t>
      </w:r>
    </w:p>
    <w:p>
      <w:pPr>
        <w:spacing w:line="264" w:lineRule="auto"/>
        <w:rPr>
          <w:rFonts w:cs="Times New Roman"/>
          <w:noProof/>
          <w:szCs w:val="24"/>
        </w:rPr>
      </w:pPr>
      <w:r>
        <w:rPr>
          <w:rFonts w:cs="Times New Roman"/>
          <w:noProof/>
          <w:szCs w:val="24"/>
        </w:rPr>
        <w:t xml:space="preserve">Other actions include the European Investment Advisory Hub (EIAH) that provides technical assistance to private and public project promoters, as well as the European Investment Project Portal (EIPP) that is an online platform connecting project promoters and investors. </w:t>
      </w:r>
    </w:p>
    <w:p>
      <w:pPr>
        <w:spacing w:after="120" w:line="264" w:lineRule="auto"/>
        <w:rPr>
          <w:rFonts w:cs="Times New Roman"/>
          <w:noProof/>
          <w:szCs w:val="24"/>
        </w:rPr>
      </w:pPr>
      <w:r>
        <w:rPr>
          <w:rFonts w:cs="Times New Roman"/>
          <w:noProof/>
          <w:szCs w:val="24"/>
        </w:rPr>
        <w:t>The conditions for an uptake of investment have improved</w:t>
      </w:r>
      <w:r>
        <w:rPr>
          <w:rFonts w:cs="Times New Roman"/>
          <w:bCs/>
          <w:noProof/>
          <w:szCs w:val="24"/>
        </w:rPr>
        <w:t xml:space="preserve"> since 2014, thanks to the improvement of the economic conditions and also due to the public intervention such as the EFSI. However, important investment gaps </w:t>
      </w:r>
      <w:r>
        <w:rPr>
          <w:rFonts w:cs="Times New Roman"/>
          <w:noProof/>
          <w:szCs w:val="24"/>
        </w:rPr>
        <w:t>have been observed in different policy areas often held back by persistent market failures.</w:t>
      </w:r>
    </w:p>
    <w:p>
      <w:pPr>
        <w:spacing w:after="120" w:line="264" w:lineRule="auto"/>
        <w:rPr>
          <w:rStyle w:val="Aucun"/>
          <w:rFonts w:cs="Times New Roman"/>
          <w:noProof/>
          <w:szCs w:val="24"/>
          <w:lang w:val="en-GB"/>
        </w:rPr>
      </w:pPr>
      <w:r>
        <w:rPr>
          <w:rFonts w:cs="Times New Roman"/>
          <w:noProof/>
          <w:szCs w:val="24"/>
        </w:rPr>
        <w:t xml:space="preserve">Based on the public consultation for the next MFF and the mid-term evaluations of the EU centrally-managed financial instruments and the EFSI, the Commission intends to propose the creation of the InvestEU Programme, a single EU investment support mechanism for internal action for the 2021-2027 MFF. The Programme would include an InvestEU Fund, InvestEU Advisory as well as the InvestEU Portal. The InvestEU Fund would be the successor programme to the EFSI and the current centrally managed financial instruments (excluding external action financial instruments). The InvestEU Advisory would be the successor mechanism to the EIAH and current centrally managed technical assistance initiatives. The InvestEU Portal is the successor of the European Investment Project Portal. </w:t>
      </w:r>
    </w:p>
    <w:p>
      <w:pPr>
        <w:spacing w:after="120" w:line="264" w:lineRule="auto"/>
        <w:rPr>
          <w:rFonts w:cs="Times New Roman"/>
          <w:noProof/>
          <w:szCs w:val="24"/>
        </w:rPr>
      </w:pPr>
      <w:r>
        <w:rPr>
          <w:rFonts w:cs="Times New Roman"/>
          <w:noProof/>
          <w:szCs w:val="24"/>
        </w:rPr>
        <w:t xml:space="preserve">The </w:t>
      </w:r>
      <w:r>
        <w:rPr>
          <w:rStyle w:val="Aucun"/>
          <w:rFonts w:cs="Times New Roman"/>
          <w:noProof/>
          <w:szCs w:val="24"/>
          <w:lang w:val="en-GB"/>
        </w:rPr>
        <w:t xml:space="preserve">InvestEU Fund will consist of providing an EU budget guarantee that will back the financial products provided by the implementing partners. It would target EU added-value priority </w:t>
      </w:r>
      <w:r>
        <w:rPr>
          <w:rStyle w:val="Aucun"/>
          <w:rFonts w:cs="Times New Roman"/>
          <w:noProof/>
          <w:szCs w:val="24"/>
          <w:lang w:val="en-GB"/>
        </w:rPr>
        <w:lastRenderedPageBreak/>
        <w:t xml:space="preserve">projects and promote a coherent approach to financing EU policy objectives. It would use an effective and efficient mix of EU financing tools for specific policy areas and would target cross-sector needs and emerging priorities. </w:t>
      </w:r>
      <w:r>
        <w:rPr>
          <w:rFonts w:cs="Times New Roman"/>
          <w:noProof/>
          <w:szCs w:val="24"/>
        </w:rPr>
        <w:t>It will also improve complementarity between different EU investment financing instruments by avoiding duplications and overlaps.</w:t>
      </w:r>
    </w:p>
    <w:p>
      <w:pPr>
        <w:spacing w:after="120" w:line="264" w:lineRule="auto"/>
        <w:rPr>
          <w:rFonts w:cs="Times New Roman"/>
          <w:noProof/>
          <w:szCs w:val="24"/>
        </w:rPr>
      </w:pPr>
      <w:r>
        <w:rPr>
          <w:rFonts w:cs="Times New Roman"/>
          <w:noProof/>
          <w:szCs w:val="24"/>
        </w:rPr>
        <w:t>The InvestEU Fund would also be accompanied by technical assistance (TA), the InvestEU Advisory, aimed at preparing, developing and implementing a robust investment pipeline. The InvestEU Advisory will build on existing initiatives (e.g. EIAH, ELENA, InnovFin Advisory) and provide support where possible and appropriate within InvestEU Fund objectives. Such TA support will also promote environmental and social sustainability that are important cross-cutting objectives.</w:t>
      </w:r>
    </w:p>
    <w:p>
      <w:pPr>
        <w:spacing w:after="120" w:line="264" w:lineRule="auto"/>
        <w:rPr>
          <w:rFonts w:cs="Times New Roman"/>
          <w:noProof/>
          <w:szCs w:val="24"/>
        </w:rPr>
      </w:pPr>
      <w:r>
        <w:rPr>
          <w:rFonts w:cs="Times New Roman"/>
          <w:noProof/>
          <w:szCs w:val="24"/>
        </w:rPr>
        <w:t xml:space="preserve">The envisaged scope of this impact assessment relates to identifying the main challenges to be addressed by this support mechanism with a focus on the main improvements and possible disadvantages in terms of budgetary efficiency, synergies, simplification, flexibility and policy impacts that it can bring compared to the current interventions from the EU budget in the form of financial instruments and budgetary guarantee. </w:t>
      </w:r>
    </w:p>
    <w:p>
      <w:pPr>
        <w:spacing w:line="264" w:lineRule="auto"/>
        <w:rPr>
          <w:rFonts w:cs="Times New Roman"/>
          <w:noProof/>
          <w:szCs w:val="24"/>
        </w:rPr>
      </w:pPr>
      <w:r>
        <w:rPr>
          <w:rFonts w:cs="Times New Roman"/>
          <w:noProof/>
          <w:szCs w:val="24"/>
        </w:rPr>
        <w:t>The baseline for the InvestEU Fund is built on the budgetary allocations under the current MFF for centrally managed financial instruments and the EFSI (more details in section 3 and Annex 5)</w:t>
      </w:r>
    </w:p>
    <w:p>
      <w:pPr>
        <w:spacing w:line="264" w:lineRule="auto"/>
        <w:rPr>
          <w:rFonts w:cs="Times New Roman"/>
          <w:noProof/>
          <w:szCs w:val="24"/>
        </w:rPr>
      </w:pPr>
      <w:r>
        <w:rPr>
          <w:rFonts w:cs="Times New Roman"/>
          <w:noProof/>
          <w:szCs w:val="24"/>
        </w:rPr>
        <w:t>This impact assessment constitutes an ex-ante evaluation in the sense of the requirements of the Financial Regulation for the creation of the InvestEU Fund and its budgetary guarantee.</w:t>
      </w:r>
    </w:p>
    <w:p>
      <w:pPr>
        <w:pStyle w:val="Heading2"/>
        <w:spacing w:line="264" w:lineRule="auto"/>
        <w:rPr>
          <w:noProof/>
          <w:szCs w:val="24"/>
        </w:rPr>
      </w:pPr>
      <w:bookmarkStart w:id="34" w:name="_Toc510206781"/>
      <w:bookmarkStart w:id="35" w:name="_Toc510207573"/>
      <w:bookmarkStart w:id="36" w:name="_Toc510517195"/>
      <w:bookmarkStart w:id="37" w:name="_Toc510517354"/>
      <w:bookmarkStart w:id="38" w:name="_Toc510517513"/>
      <w:bookmarkStart w:id="39" w:name="_Toc510517884"/>
      <w:bookmarkStart w:id="40" w:name="_Toc510593458"/>
      <w:bookmarkStart w:id="41" w:name="_Toc510593835"/>
      <w:bookmarkStart w:id="42" w:name="_Toc510606435"/>
      <w:bookmarkStart w:id="43" w:name="_Toc510606859"/>
      <w:bookmarkStart w:id="44" w:name="_Toc510608327"/>
      <w:bookmarkStart w:id="45" w:name="_Toc510609290"/>
      <w:bookmarkStart w:id="46" w:name="_Toc510609521"/>
      <w:bookmarkStart w:id="47" w:name="_Toc510610275"/>
      <w:bookmarkStart w:id="48" w:name="_Toc510612603"/>
      <w:bookmarkStart w:id="49" w:name="_Toc510615375"/>
      <w:bookmarkStart w:id="50" w:name="_Toc510616557"/>
      <w:bookmarkStart w:id="51" w:name="_Toc510517514"/>
      <w:bookmarkStart w:id="52" w:name="_Ref510594779"/>
      <w:bookmarkStart w:id="53" w:name="_Toc510612604"/>
      <w:bookmarkStart w:id="54" w:name="_Toc510683704"/>
      <w:bookmarkStart w:id="55" w:name="_Toc51534887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noProof/>
          <w:szCs w:val="24"/>
        </w:rPr>
        <w:t>Investment in a post-crisis economic environment</w:t>
      </w:r>
      <w:bookmarkEnd w:id="51"/>
      <w:bookmarkEnd w:id="52"/>
      <w:bookmarkEnd w:id="53"/>
      <w:bookmarkEnd w:id="54"/>
      <w:bookmarkEnd w:id="55"/>
    </w:p>
    <w:p>
      <w:pPr>
        <w:spacing w:after="120" w:line="264" w:lineRule="auto"/>
        <w:rPr>
          <w:rFonts w:cs="Times New Roman"/>
          <w:noProof/>
          <w:szCs w:val="24"/>
        </w:rPr>
      </w:pPr>
      <w:r>
        <w:rPr>
          <w:rFonts w:cs="Times New Roman"/>
          <w:noProof/>
          <w:szCs w:val="24"/>
        </w:rPr>
        <w:t xml:space="preserve">Since 2008, the crisis has motivated specific initiatives aiming at promoting economic activity in order to support jobs and growth and/or mitigate the effects of the crisis: the European Economic Recovery Plan (2009-2010), the Marguerite Fund (launched in 2010), Progress-Microfinance (launched in 2011), the SME Initiative (launched in 2014) and the EFSI (launched in 2015). </w:t>
      </w:r>
    </w:p>
    <w:p>
      <w:pPr>
        <w:pStyle w:val="Caption"/>
        <w:keepNext/>
        <w:keepLines/>
        <w:spacing w:line="264" w:lineRule="auto"/>
        <w:rPr>
          <w:rFonts w:cs="Times New Roman"/>
          <w:noProof/>
          <w:szCs w:val="24"/>
        </w:rPr>
      </w:pPr>
      <w:bookmarkStart w:id="56" w:name="_Toc515348912"/>
      <w:r>
        <w:rPr>
          <w:rFonts w:cs="Times New Roman"/>
          <w:noProof/>
          <w:szCs w:val="24"/>
        </w:rPr>
        <w:lastRenderedPageBreak/>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1</w:t>
      </w:r>
      <w:r>
        <w:rPr>
          <w:rFonts w:cs="Times New Roman"/>
          <w:noProof/>
          <w:szCs w:val="24"/>
        </w:rPr>
        <w:fldChar w:fldCharType="end"/>
      </w:r>
      <w:r>
        <w:rPr>
          <w:rFonts w:cs="Times New Roman"/>
          <w:noProof/>
          <w:szCs w:val="24"/>
        </w:rPr>
        <w:t xml:space="preserve"> </w:t>
      </w:r>
      <w:r>
        <w:rPr>
          <w:rFonts w:cs="Times New Roman"/>
          <w:b w:val="0"/>
          <w:noProof/>
          <w:szCs w:val="24"/>
        </w:rPr>
        <w:t xml:space="preserve">- </w:t>
      </w:r>
      <w:r>
        <w:rPr>
          <w:rFonts w:cs="Times New Roman"/>
          <w:noProof/>
          <w:szCs w:val="24"/>
        </w:rPr>
        <w:t>GDP per capita at current prices, 2006 and 2016 (EU-28 = 100)</w:t>
      </w:r>
      <w:bookmarkEnd w:id="56"/>
    </w:p>
    <w:p>
      <w:pPr>
        <w:keepNext/>
        <w:keepLines/>
        <w:spacing w:after="120" w:line="264" w:lineRule="auto"/>
        <w:rPr>
          <w:rFonts w:cs="Times New Roman"/>
          <w:noProof/>
          <w:szCs w:val="24"/>
        </w:rPr>
      </w:pPr>
      <w:r>
        <w:rPr>
          <w:rFonts w:cs="Times New Roman"/>
          <w:noProof/>
          <w:szCs w:val="24"/>
          <w:lang w:val="en-US"/>
        </w:rPr>
        <w:drawing>
          <wp:anchor distT="0" distB="0" distL="114300" distR="114300" simplePos="0" relativeHeight="251658240" behindDoc="0" locked="0" layoutInCell="1" allowOverlap="1">
            <wp:simplePos x="0" y="0"/>
            <wp:positionH relativeFrom="column">
              <wp:posOffset>1842770</wp:posOffset>
            </wp:positionH>
            <wp:positionV relativeFrom="paragraph">
              <wp:posOffset>199164</wp:posOffset>
            </wp:positionV>
            <wp:extent cx="900752" cy="1924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98074" cy="191896"/>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lang w:val="en-US"/>
        </w:rPr>
        <w:drawing>
          <wp:inline distT="0" distB="0" distL="0" distR="0">
            <wp:extent cx="4068408" cy="2811439"/>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68408" cy="2811439"/>
                    </a:xfrm>
                    <a:prstGeom prst="rect">
                      <a:avLst/>
                    </a:prstGeom>
                  </pic:spPr>
                </pic:pic>
              </a:graphicData>
            </a:graphic>
          </wp:inline>
        </w:drawing>
      </w:r>
    </w:p>
    <w:p>
      <w:pPr>
        <w:keepNext/>
        <w:keepLines/>
        <w:spacing w:after="120" w:line="264" w:lineRule="auto"/>
        <w:jc w:val="left"/>
        <w:rPr>
          <w:rFonts w:cs="Times New Roman"/>
          <w:noProof/>
          <w:sz w:val="22"/>
        </w:rPr>
      </w:pPr>
      <w:r>
        <w:rPr>
          <w:rFonts w:cs="Times New Roman"/>
          <w:b/>
          <w:noProof/>
          <w:sz w:val="22"/>
        </w:rPr>
        <w:t>Source</w:t>
      </w:r>
      <w:r>
        <w:rPr>
          <w:rFonts w:cs="Times New Roman"/>
          <w:noProof/>
          <w:sz w:val="22"/>
        </w:rPr>
        <w:t xml:space="preserve">: Eurostat </w:t>
      </w:r>
    </w:p>
    <w:p>
      <w:pPr>
        <w:spacing w:after="120" w:line="264" w:lineRule="auto"/>
        <w:rPr>
          <w:rFonts w:cs="Times New Roman"/>
          <w:noProof/>
          <w:szCs w:val="24"/>
        </w:rPr>
      </w:pPr>
      <w:r>
        <w:rPr>
          <w:rFonts w:cs="Times New Roman"/>
          <w:noProof/>
          <w:szCs w:val="24"/>
        </w:rPr>
        <w:t>According to the last Commission economic forecasts</w:t>
      </w:r>
      <w:r>
        <w:rPr>
          <w:rStyle w:val="FootnoteReference"/>
          <w:rFonts w:cs="Times New Roman"/>
          <w:noProof/>
          <w:szCs w:val="24"/>
        </w:rPr>
        <w:footnoteReference w:id="9"/>
      </w:r>
      <w:r>
        <w:rPr>
          <w:rFonts w:cs="Times New Roman"/>
          <w:noProof/>
          <w:szCs w:val="24"/>
        </w:rPr>
        <w:t>, the expansion is making its headway. Lending to non-financial corporations grew by 2.9% in 2017 and investment should continue to grow at a robust pace in 2018 and 2019. Over the forecast horizon, the expansion is expected to remain solid. By 2021, Member States are expected to have recovered their pre-crisis GDP level, with very few exceptions.</w:t>
      </w:r>
    </w:p>
    <w:p>
      <w:pPr>
        <w:spacing w:after="120" w:line="264" w:lineRule="auto"/>
        <w:rPr>
          <w:rFonts w:cs="Times New Roman"/>
          <w:noProof/>
          <w:szCs w:val="24"/>
        </w:rPr>
      </w:pPr>
      <w:r>
        <w:rPr>
          <w:rFonts w:cs="Times New Roman"/>
          <w:bCs/>
          <w:noProof/>
          <w:szCs w:val="24"/>
        </w:rPr>
        <w:t xml:space="preserve">However, </w:t>
      </w:r>
      <w:r>
        <w:rPr>
          <w:rFonts w:cs="Times New Roman"/>
          <w:noProof/>
          <w:szCs w:val="24"/>
        </w:rPr>
        <w:t xml:space="preserve">persistent market gaps holding back investment are still observed in different policy areas. The recent acceleration of investment in the EU has not managed to bring investment rates up to historical averages. Efforts will therefore need to continue beyond 2020 to bring investment back to its long-term sustainable trend with particular focus on current and emerging EU policy priorities. </w:t>
      </w:r>
    </w:p>
    <w:p>
      <w:pPr>
        <w:pStyle w:val="Caption"/>
        <w:keepNext/>
        <w:keepLines/>
        <w:spacing w:line="264" w:lineRule="auto"/>
        <w:rPr>
          <w:rFonts w:cs="Times New Roman"/>
          <w:noProof/>
          <w:szCs w:val="24"/>
        </w:rPr>
      </w:pPr>
      <w:bookmarkStart w:id="57" w:name="_Ref510193301"/>
      <w:bookmarkStart w:id="58" w:name="_Toc515348913"/>
      <w:r>
        <w:rPr>
          <w:rFonts w:cs="Times New Roman"/>
          <w:noProof/>
          <w:szCs w:val="24"/>
        </w:rPr>
        <w:lastRenderedPageBreak/>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2</w:t>
      </w:r>
      <w:r>
        <w:rPr>
          <w:rFonts w:cs="Times New Roman"/>
          <w:noProof/>
          <w:szCs w:val="24"/>
        </w:rPr>
        <w:fldChar w:fldCharType="end"/>
      </w:r>
      <w:bookmarkEnd w:id="57"/>
      <w:r>
        <w:rPr>
          <w:rFonts w:cs="Times New Roman"/>
          <w:noProof/>
          <w:szCs w:val="24"/>
        </w:rPr>
        <w:t xml:space="preserve"> - Investment (% GDP) in EU28</w:t>
      </w:r>
      <w:bookmarkEnd w:id="58"/>
    </w:p>
    <w:p>
      <w:pPr>
        <w:keepNext/>
        <w:keepLines/>
        <w:spacing w:after="120" w:line="264" w:lineRule="auto"/>
        <w:jc w:val="left"/>
        <w:rPr>
          <w:rFonts w:cs="Times New Roman"/>
          <w:noProof/>
          <w:szCs w:val="24"/>
          <w:lang w:eastAsia="en-GB"/>
        </w:rPr>
      </w:pPr>
      <w:r>
        <w:rPr>
          <w:rFonts w:cs="Times New Roman"/>
          <w:noProof/>
          <w:szCs w:val="24"/>
          <w:lang w:val="en-US"/>
        </w:rPr>
        <w:drawing>
          <wp:inline distT="0" distB="0" distL="0" distR="0">
            <wp:extent cx="4747564" cy="246914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6392" cy="2468534"/>
                    </a:xfrm>
                    <a:prstGeom prst="rect">
                      <a:avLst/>
                    </a:prstGeom>
                    <a:noFill/>
                  </pic:spPr>
                </pic:pic>
              </a:graphicData>
            </a:graphic>
          </wp:inline>
        </w:drawing>
      </w:r>
    </w:p>
    <w:p>
      <w:pPr>
        <w:keepNext/>
        <w:keepLines/>
        <w:spacing w:after="120" w:line="264" w:lineRule="auto"/>
        <w:rPr>
          <w:rFonts w:cs="Times New Roman"/>
          <w:noProof/>
          <w:sz w:val="22"/>
          <w:szCs w:val="24"/>
        </w:rPr>
      </w:pPr>
      <w:r>
        <w:rPr>
          <w:rFonts w:cs="Times New Roman"/>
          <w:b/>
          <w:noProof/>
          <w:sz w:val="22"/>
          <w:szCs w:val="24"/>
        </w:rPr>
        <w:t xml:space="preserve"> Source</w:t>
      </w:r>
      <w:r>
        <w:rPr>
          <w:rFonts w:cs="Times New Roman"/>
          <w:noProof/>
          <w:sz w:val="22"/>
          <w:szCs w:val="24"/>
        </w:rPr>
        <w:t>: AMECO and ECFIN calculations</w:t>
      </w:r>
    </w:p>
    <w:p>
      <w:pPr>
        <w:spacing w:after="120" w:line="264" w:lineRule="auto"/>
        <w:rPr>
          <w:rStyle w:val="Aucun"/>
          <w:rFonts w:cs="Times New Roman"/>
          <w:noProof/>
          <w:szCs w:val="24"/>
          <w:lang w:val="en-GB"/>
        </w:rPr>
      </w:pPr>
      <w:r>
        <w:rPr>
          <w:rStyle w:val="Aucun"/>
          <w:rFonts w:cs="Times New Roman"/>
          <w:noProof/>
          <w:szCs w:val="24"/>
          <w:lang w:val="en-GB"/>
        </w:rPr>
        <w:t xml:space="preserve">Against this background, the InvestEU Fund will be designed by refocusing the EU investment support intervention in a more policy-oriented way, addressing the challenges identified below. </w:t>
      </w:r>
    </w:p>
    <w:p>
      <w:pPr>
        <w:pStyle w:val="Heading3"/>
        <w:spacing w:after="120" w:line="264" w:lineRule="auto"/>
        <w:rPr>
          <w:noProof/>
          <w:szCs w:val="24"/>
        </w:rPr>
      </w:pPr>
      <w:r>
        <w:rPr>
          <w:noProof/>
          <w:szCs w:val="24"/>
        </w:rPr>
        <w:t>Sustainable infrastructure</w:t>
      </w:r>
      <w:r>
        <w:rPr>
          <w:rStyle w:val="FootnoteReference"/>
          <w:noProof/>
          <w:szCs w:val="24"/>
        </w:rPr>
        <w:footnoteReference w:id="10"/>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Infrastructure investment activities in the EU in 2016 were about 20% below investment rates before the global financial crisis. Investment rates in 2016 represented 1.8% of EU GDP, down from 2.2% in 2009</w:t>
      </w:r>
      <w:r>
        <w:rPr>
          <w:rFonts w:eastAsia="Times New Roman" w:cs="Times New Roman"/>
          <w:bCs/>
          <w:noProof/>
          <w:color w:val="000000"/>
          <w:szCs w:val="24"/>
          <w:vertAlign w:val="superscript"/>
        </w:rPr>
        <w:footnoteReference w:id="11"/>
      </w:r>
      <w:r>
        <w:rPr>
          <w:rFonts w:eastAsia="Times New Roman" w:cs="Times New Roman"/>
          <w:bCs/>
          <w:noProof/>
          <w:color w:val="000000"/>
          <w:szCs w:val="24"/>
        </w:rPr>
        <w:t xml:space="preserve">. Compared to 2009, current infrastructure investment in Europe declined most in the transport sector. </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The Commission has estimated investment needs in several key policy areas. For example: </w:t>
      </w:r>
    </w:p>
    <w:p>
      <w:pPr>
        <w:pStyle w:val="Bulet"/>
        <w:spacing w:line="264" w:lineRule="auto"/>
        <w:rPr>
          <w:noProof/>
          <w:szCs w:val="24"/>
        </w:rPr>
      </w:pPr>
      <w:r>
        <w:rPr>
          <w:noProof/>
          <w:szCs w:val="24"/>
        </w:rPr>
        <w:t>To reach the EU’s 2030 climate and energy target, about EUR 379 billion investments are needed annually over the 2020-2030 period, mostly in energy efficiency, renewable energy sources, and infrastructure</w:t>
      </w:r>
      <w:r>
        <w:rPr>
          <w:rStyle w:val="FootnoteReference"/>
          <w:noProof/>
          <w:szCs w:val="24"/>
        </w:rPr>
        <w:footnoteReference w:id="12"/>
      </w:r>
      <w:r>
        <w:rPr>
          <w:noProof/>
          <w:szCs w:val="24"/>
        </w:rPr>
        <w:t xml:space="preserve"> – excluding transport infrastructure. </w:t>
      </w:r>
    </w:p>
    <w:p>
      <w:pPr>
        <w:pStyle w:val="Bulet"/>
        <w:spacing w:line="264" w:lineRule="auto"/>
        <w:rPr>
          <w:i/>
          <w:noProof/>
          <w:szCs w:val="24"/>
        </w:rPr>
      </w:pPr>
      <w:r>
        <w:rPr>
          <w:noProof/>
          <w:szCs w:val="24"/>
        </w:rPr>
        <w:t>Circa EUR 500 billion will be needed to complete the TEN-T core network</w:t>
      </w:r>
      <w:r>
        <w:rPr>
          <w:rStyle w:val="FootnoteReference"/>
          <w:noProof/>
          <w:szCs w:val="24"/>
        </w:rPr>
        <w:footnoteReference w:id="13"/>
      </w:r>
      <w:r>
        <w:rPr>
          <w:noProof/>
          <w:szCs w:val="24"/>
        </w:rPr>
        <w:t xml:space="preserve"> during 2021-2030 and up to EUR 1.5 trillion, if the TEN-T comprehensive network and other transport investments are included. In case of the TEN-E (i.e. energy transmission projects with cross-border relevance), it is projected that EUR 179 billion will need to be invested during 2021-2030</w:t>
      </w:r>
      <w:r>
        <w:rPr>
          <w:rStyle w:val="FootnoteReference"/>
          <w:noProof/>
          <w:szCs w:val="24"/>
        </w:rPr>
        <w:footnoteReference w:id="14"/>
      </w:r>
      <w:r>
        <w:rPr>
          <w:noProof/>
          <w:szCs w:val="24"/>
        </w:rPr>
        <w:t>. These include investments that can enable important CO</w:t>
      </w:r>
      <w:r>
        <w:rPr>
          <w:noProof/>
          <w:szCs w:val="24"/>
          <w:vertAlign w:val="subscript"/>
        </w:rPr>
        <w:t>2</w:t>
      </w:r>
      <w:r>
        <w:rPr>
          <w:noProof/>
          <w:szCs w:val="24"/>
        </w:rPr>
        <w:t xml:space="preserve"> reductions as well as other priority air pollutants, and/or provide alternatives for infrastructure with large impacts on natural capital. </w:t>
      </w:r>
    </w:p>
    <w:p>
      <w:pPr>
        <w:pStyle w:val="Bulet"/>
        <w:spacing w:line="264" w:lineRule="auto"/>
        <w:rPr>
          <w:noProof/>
          <w:szCs w:val="24"/>
        </w:rPr>
      </w:pPr>
      <w:r>
        <w:rPr>
          <w:noProof/>
          <w:szCs w:val="24"/>
        </w:rPr>
        <w:t>The estimated investment required to achieve the objectives stated in the EU Urban Waste Water Directive ranged between EUR 22 and 25 billion, according to the information gathered under the last article 17 Report from EU Member States forecasts</w:t>
      </w:r>
      <w:r>
        <w:rPr>
          <w:rStyle w:val="FootnoteReference"/>
          <w:noProof/>
          <w:szCs w:val="24"/>
        </w:rPr>
        <w:footnoteReference w:id="15"/>
      </w:r>
      <w:r>
        <w:rPr>
          <w:noProof/>
          <w:szCs w:val="24"/>
        </w:rPr>
        <w:t xml:space="preserve">. Investments </w:t>
      </w:r>
      <w:r>
        <w:rPr>
          <w:noProof/>
          <w:szCs w:val="24"/>
        </w:rPr>
        <w:lastRenderedPageBreak/>
        <w:t xml:space="preserve">forecasted increasingly relate to the renewal, improvement and extension of the existing infrastructure. </w:t>
      </w:r>
    </w:p>
    <w:p>
      <w:pPr>
        <w:pStyle w:val="Caption"/>
        <w:keepNext/>
        <w:keepLines/>
        <w:spacing w:line="264" w:lineRule="auto"/>
        <w:rPr>
          <w:rFonts w:cs="Times New Roman"/>
          <w:noProof/>
          <w:szCs w:val="24"/>
        </w:rPr>
      </w:pPr>
      <w:bookmarkStart w:id="59" w:name="_Toc515348914"/>
      <w:r>
        <w:rPr>
          <w:rFonts w:cs="Times New Roman"/>
          <w:noProof/>
          <w:szCs w:val="24"/>
        </w:rPr>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3</w:t>
      </w:r>
      <w:r>
        <w:rPr>
          <w:rFonts w:cs="Times New Roman"/>
          <w:noProof/>
          <w:szCs w:val="24"/>
        </w:rPr>
        <w:fldChar w:fldCharType="end"/>
      </w:r>
      <w:r>
        <w:rPr>
          <w:rFonts w:cs="Times New Roman"/>
          <w:noProof/>
          <w:szCs w:val="24"/>
        </w:rPr>
        <w:t xml:space="preserve"> - Infrastructure investment by sector and by source, 2005-2016 (in % of GDP)</w:t>
      </w:r>
      <w:bookmarkEnd w:id="59"/>
    </w:p>
    <w:p>
      <w:pPr>
        <w:pStyle w:val="ListParagraph"/>
        <w:keepNext/>
        <w:keepLines/>
        <w:tabs>
          <w:tab w:val="left" w:pos="426"/>
        </w:tabs>
        <w:spacing w:after="120" w:line="264" w:lineRule="auto"/>
        <w:ind w:left="142"/>
        <w:jc w:val="left"/>
        <w:rPr>
          <w:rFonts w:eastAsiaTheme="minorEastAsia" w:cs="Times New Roman"/>
          <w:noProof/>
          <w:szCs w:val="24"/>
          <w:lang w:eastAsia="ja-JP"/>
        </w:rPr>
      </w:pPr>
      <w:r>
        <w:rPr>
          <w:rFonts w:cs="Times New Roman"/>
          <w:noProof/>
          <w:szCs w:val="24"/>
          <w:lang w:val="en-US"/>
        </w:rPr>
        <w:drawing>
          <wp:inline distT="0" distB="0" distL="0" distR="0">
            <wp:extent cx="4696358" cy="2403053"/>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14771" cy="2412475"/>
                    </a:xfrm>
                    <a:prstGeom prst="rect">
                      <a:avLst/>
                    </a:prstGeom>
                  </pic:spPr>
                </pic:pic>
              </a:graphicData>
            </a:graphic>
          </wp:inline>
        </w:drawing>
      </w:r>
    </w:p>
    <w:p>
      <w:pPr>
        <w:tabs>
          <w:tab w:val="left" w:pos="426"/>
        </w:tabs>
        <w:spacing w:after="120" w:line="264" w:lineRule="auto"/>
        <w:jc w:val="left"/>
        <w:rPr>
          <w:rFonts w:eastAsiaTheme="minorEastAsia" w:cs="Times New Roman"/>
          <w:noProof/>
          <w:sz w:val="22"/>
          <w:szCs w:val="24"/>
          <w:lang w:eastAsia="ja-JP"/>
        </w:rPr>
      </w:pPr>
      <w:r>
        <w:rPr>
          <w:rFonts w:eastAsiaTheme="minorEastAsia" w:cs="Times New Roman"/>
          <w:b/>
          <w:noProof/>
          <w:sz w:val="22"/>
          <w:szCs w:val="24"/>
          <w:lang w:eastAsia="ja-JP"/>
        </w:rPr>
        <w:t>Source</w:t>
      </w:r>
      <w:r>
        <w:rPr>
          <w:rFonts w:eastAsiaTheme="minorEastAsia" w:cs="Times New Roman"/>
          <w:noProof/>
          <w:sz w:val="22"/>
          <w:szCs w:val="24"/>
          <w:lang w:eastAsia="ja-JP"/>
        </w:rPr>
        <w:t>: Eurostat, Projectware, EPEC</w:t>
      </w:r>
    </w:p>
    <w:p>
      <w:pPr>
        <w:tabs>
          <w:tab w:val="left" w:pos="426"/>
        </w:tabs>
        <w:spacing w:after="120" w:line="264" w:lineRule="auto"/>
        <w:rPr>
          <w:rFonts w:eastAsiaTheme="minorEastAsia" w:cs="Times New Roman"/>
          <w:noProof/>
          <w:szCs w:val="24"/>
          <w:lang w:eastAsia="ja-JP"/>
        </w:rPr>
      </w:pPr>
      <w:r>
        <w:rPr>
          <w:rFonts w:eastAsia="Times New Roman" w:cs="Times New Roman"/>
          <w:bCs/>
          <w:noProof/>
          <w:color w:val="000000"/>
          <w:szCs w:val="24"/>
        </w:rPr>
        <w:t>The weak infrastructure investment in Europe has been largely attributed to a decline in investment activities by governments (primarily regional or local authorities).</w:t>
      </w:r>
      <w:r>
        <w:rPr>
          <w:rFonts w:eastAsiaTheme="minorEastAsia" w:cs="Times New Roman"/>
          <w:noProof/>
          <w:szCs w:val="24"/>
          <w:lang w:eastAsia="ja-JP"/>
        </w:rPr>
        <w:t xml:space="preserve"> Fiscal constraints, regulatory or political instability and investment decisions driven by political choices have been identified as the main challenges to infrastructure investment. According to EIB estimates, the overall investment gap in transport, energy and resource management infrastructure has reached a yearly figure of EUR 270 billion</w:t>
      </w:r>
      <w:r>
        <w:rPr>
          <w:rStyle w:val="FootnoteReference"/>
          <w:rFonts w:eastAsiaTheme="minorEastAsia" w:cs="Times New Roman"/>
          <w:noProof/>
          <w:szCs w:val="24"/>
          <w:lang w:eastAsia="ja-JP"/>
        </w:rPr>
        <w:footnoteReference w:id="16"/>
      </w:r>
      <w:r>
        <w:rPr>
          <w:rFonts w:eastAsiaTheme="minorEastAsia" w:cs="Times New Roman"/>
          <w:noProof/>
          <w:szCs w:val="24"/>
          <w:lang w:eastAsia="ja-JP"/>
        </w:rPr>
        <w:t xml:space="preserve">. </w:t>
      </w:r>
    </w:p>
    <w:p>
      <w:pPr>
        <w:pStyle w:val="Caption"/>
        <w:rPr>
          <w:rFonts w:eastAsiaTheme="minorEastAsia" w:cs="Times New Roman"/>
          <w:noProof/>
          <w:szCs w:val="24"/>
          <w:lang w:eastAsia="ja-JP"/>
        </w:rPr>
      </w:pPr>
      <w:bookmarkStart w:id="60" w:name="_Toc515348915"/>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 Annual Investment needs (current levels and gaps) for sustainable infrastructure</w:t>
      </w:r>
      <w:bookmarkEnd w:id="60"/>
    </w:p>
    <w:p>
      <w:pPr>
        <w:tabs>
          <w:tab w:val="left" w:pos="426"/>
        </w:tabs>
        <w:spacing w:after="120" w:line="264" w:lineRule="auto"/>
        <w:jc w:val="left"/>
        <w:rPr>
          <w:rFonts w:cs="Times New Roman"/>
          <w:noProof/>
          <w:szCs w:val="24"/>
        </w:rPr>
      </w:pPr>
      <w:r>
        <w:rPr>
          <w:rFonts w:cs="Times New Roman"/>
          <w:noProof/>
          <w:szCs w:val="24"/>
          <w:lang w:val="en-US"/>
        </w:rPr>
        <w:drawing>
          <wp:inline distT="0" distB="0" distL="0" distR="0">
            <wp:extent cx="4550054" cy="1704077"/>
            <wp:effectExtent l="0" t="0" r="3175" b="0"/>
            <wp:docPr id="20" name="Picture 20" descr="C:\Users\tanasal\AppData\Local\Microsoft\Windows\Temporary Internet Files\Content.Outlook\2JZCQ8K5\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nasal\AppData\Local\Microsoft\Windows\Temporary Internet Files\Content.Outlook\2JZCQ8K5\SnipIm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024" cy="1707436"/>
                    </a:xfrm>
                    <a:prstGeom prst="rect">
                      <a:avLst/>
                    </a:prstGeom>
                    <a:noFill/>
                    <a:ln>
                      <a:noFill/>
                    </a:ln>
                  </pic:spPr>
                </pic:pic>
              </a:graphicData>
            </a:graphic>
          </wp:inline>
        </w:drawing>
      </w:r>
    </w:p>
    <w:p>
      <w:pPr>
        <w:tabs>
          <w:tab w:val="left" w:pos="426"/>
        </w:tabs>
        <w:spacing w:after="120" w:line="264" w:lineRule="auto"/>
        <w:rPr>
          <w:rFonts w:cs="Times New Roman"/>
          <w:i/>
          <w:noProof/>
          <w:sz w:val="22"/>
          <w:szCs w:val="24"/>
        </w:rPr>
      </w:pPr>
      <w:r>
        <w:rPr>
          <w:rFonts w:cs="Times New Roman"/>
          <w:b/>
          <w:noProof/>
          <w:sz w:val="22"/>
          <w:szCs w:val="24"/>
        </w:rPr>
        <w:t>Source</w:t>
      </w:r>
      <w:r>
        <w:rPr>
          <w:rFonts w:cs="Times New Roman"/>
          <w:i/>
          <w:noProof/>
          <w:sz w:val="22"/>
          <w:szCs w:val="24"/>
        </w:rPr>
        <w:t xml:space="preserve">: </w:t>
      </w:r>
      <w:r>
        <w:rPr>
          <w:rFonts w:cs="Times New Roman"/>
          <w:noProof/>
          <w:sz w:val="22"/>
          <w:szCs w:val="24"/>
        </w:rPr>
        <w:t>Action Plan: Financing Sustainable Growth, COM (2018)97 final</w:t>
      </w:r>
    </w:p>
    <w:p>
      <w:pPr>
        <w:tabs>
          <w:tab w:val="left" w:pos="426"/>
        </w:tabs>
        <w:spacing w:after="120" w:line="264" w:lineRule="auto"/>
        <w:rPr>
          <w:rFonts w:cs="Times New Roman"/>
          <w:noProof/>
          <w:szCs w:val="24"/>
        </w:rPr>
      </w:pPr>
      <w:r>
        <w:rPr>
          <w:rFonts w:cs="Times New Roman"/>
          <w:noProof/>
          <w:szCs w:val="24"/>
        </w:rPr>
        <w:t>In the field of telecommunications, the investment gap is approximately EUR 65 billion to reach the global benchmark for broadband services and to match US investments in cyber security and data centre capacity</w:t>
      </w:r>
      <w:r>
        <w:rPr>
          <w:rStyle w:val="FootnoteReference"/>
          <w:rFonts w:cs="Times New Roman"/>
          <w:noProof/>
          <w:szCs w:val="24"/>
        </w:rPr>
        <w:footnoteReference w:id="17"/>
      </w:r>
      <w:r>
        <w:rPr>
          <w:rFonts w:cs="Times New Roman"/>
          <w:noProof/>
          <w:szCs w:val="24"/>
        </w:rPr>
        <w:t xml:space="preserve">. </w:t>
      </w:r>
    </w:p>
    <w:p>
      <w:pPr>
        <w:tabs>
          <w:tab w:val="left" w:pos="426"/>
        </w:tabs>
        <w:spacing w:after="120" w:line="264" w:lineRule="auto"/>
        <w:rPr>
          <w:rFonts w:eastAsiaTheme="minorEastAsia" w:cs="Times New Roman"/>
          <w:noProof/>
          <w:szCs w:val="24"/>
          <w:lang w:eastAsia="ja-JP"/>
        </w:rPr>
      </w:pPr>
      <w:r>
        <w:rPr>
          <w:rFonts w:eastAsiaTheme="minorEastAsia" w:cs="Times New Roman"/>
          <w:noProof/>
          <w:szCs w:val="24"/>
          <w:lang w:eastAsia="ja-JP"/>
        </w:rPr>
        <w:t xml:space="preserve">Therefore, it is essential to further stimulate private sector investment.   </w:t>
      </w:r>
    </w:p>
    <w:p>
      <w:pPr>
        <w:tabs>
          <w:tab w:val="left" w:pos="426"/>
        </w:tabs>
        <w:spacing w:after="120" w:line="264" w:lineRule="auto"/>
        <w:rPr>
          <w:rFonts w:cs="Times New Roman"/>
          <w:noProof/>
          <w:szCs w:val="24"/>
        </w:rPr>
      </w:pPr>
      <w:r>
        <w:rPr>
          <w:rFonts w:cs="Times New Roman"/>
          <w:noProof/>
          <w:szCs w:val="24"/>
        </w:rPr>
        <w:lastRenderedPageBreak/>
        <w:t>The lack of a strong pipeline of sustainable infrastructure projects is a recurring concern for investors. The capacity to develop and implement projects varies widely across the EU and between sectors. Therefore, technical assistance is key to further support the development of sustainable infrastructure projects in the EU and to scale up small and scattered projects.</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In addition, from environmental, and climate policy perspectives, the failure to reflect environmental costs in market prices renders sustainable investment in infrastructure less attractive. </w:t>
      </w:r>
    </w:p>
    <w:p>
      <w:pPr>
        <w:spacing w:after="120" w:line="264" w:lineRule="auto"/>
        <w:rPr>
          <w:rFonts w:cs="Times New Roman"/>
          <w:bCs/>
          <w:noProof/>
          <w:szCs w:val="24"/>
        </w:rPr>
      </w:pPr>
      <w:r>
        <w:rPr>
          <w:rFonts w:cs="Times New Roman"/>
          <w:bCs/>
          <w:noProof/>
          <w:szCs w:val="24"/>
        </w:rPr>
        <w:t xml:space="preserve">Further challenges arise for cross-border projects. Costs and benefits of projects involving several Member States are asymmetrically distributed among them, leading to coordination failures. At the same time, costs are charged at the national and local level, while benefits are realised transboundary or at EU scale and are dependent on other investments in the supply chain, value chain or network. </w:t>
      </w:r>
    </w:p>
    <w:p>
      <w:pPr>
        <w:pStyle w:val="Heading3"/>
        <w:spacing w:line="264" w:lineRule="auto"/>
        <w:rPr>
          <w:noProof/>
          <w:szCs w:val="24"/>
        </w:rPr>
      </w:pPr>
      <w:r>
        <w:rPr>
          <w:noProof/>
          <w:szCs w:val="24"/>
        </w:rPr>
        <w:t xml:space="preserve">Research and Innovation </w:t>
      </w:r>
    </w:p>
    <w:p>
      <w:pPr>
        <w:spacing w:after="120" w:line="264" w:lineRule="auto"/>
        <w:rPr>
          <w:rFonts w:cs="Times New Roman"/>
          <w:noProof/>
          <w:color w:val="000000"/>
          <w:szCs w:val="24"/>
        </w:rPr>
      </w:pPr>
      <w:r>
        <w:rPr>
          <w:rFonts w:cs="Times New Roman"/>
          <w:noProof/>
          <w:color w:val="000000"/>
          <w:szCs w:val="24"/>
        </w:rPr>
        <w:t>Research and Innovation (R&amp;I) investment is a key driver of productivity and economic growth. However, private companies do not sufficiently invest in R&amp;I from a welfare perspective. The reason is that companies do not take into account the positive externality from knowledge spill-overs, which benefit the whole economy. Indeed, the social returns from R&amp;D investment are estimated to be two to three times higher than the private returns. The IMF (2016) shows that fully internalising the externalities of R&amp;D would lead to 40% higher investments compared to the status quo. Such an increase could lift GDP in individual economies by 5% in the long term – and globally by as much as 8% due to international spillovers.</w:t>
      </w:r>
      <w:r>
        <w:rPr>
          <w:rStyle w:val="FootnoteReference"/>
          <w:rFonts w:cs="Times New Roman"/>
          <w:noProof/>
          <w:color w:val="000000"/>
          <w:szCs w:val="24"/>
        </w:rPr>
        <w:footnoteReference w:id="18"/>
      </w:r>
      <w:r>
        <w:rPr>
          <w:rFonts w:cs="Times New Roman"/>
          <w:noProof/>
          <w:color w:val="000000"/>
          <w:szCs w:val="24"/>
        </w:rPr>
        <w:t xml:space="preserve"> </w:t>
      </w:r>
    </w:p>
    <w:p>
      <w:pPr>
        <w:spacing w:after="120" w:line="264" w:lineRule="auto"/>
        <w:rPr>
          <w:rFonts w:cs="Times New Roman"/>
          <w:noProof/>
          <w:color w:val="000000"/>
          <w:szCs w:val="24"/>
        </w:rPr>
      </w:pPr>
      <w:r>
        <w:rPr>
          <w:rFonts w:cs="Times New Roman"/>
          <w:noProof/>
          <w:color w:val="000000"/>
          <w:szCs w:val="24"/>
        </w:rPr>
        <w:t>R&amp;I projects are more difficult to finance because they are risky and their returns are highly skewed. R&amp;I may face significant adverse selection and moral hazard problems. This leads to lower investment both in terms of equity – as investors discount this uncertainty on financial markets – and in terms of debt financing – because of the intangible nature of investment or high risks related to innovative technologies, which makes collateralisation difficult, if not impossible. Financing constraints thus hamper profitable R&amp;I investment opportunities, reduce firms’ innovative performance and growth prospects of economies, as opposed to the case of frictionless capital markets</w:t>
      </w:r>
      <w:r>
        <w:rPr>
          <w:rStyle w:val="FootnoteReference"/>
          <w:rFonts w:cs="Times New Roman"/>
          <w:noProof/>
          <w:color w:val="000000"/>
          <w:szCs w:val="24"/>
        </w:rPr>
        <w:footnoteReference w:id="19"/>
      </w:r>
      <w:r>
        <w:rPr>
          <w:rFonts w:cs="Times New Roman"/>
          <w:noProof/>
          <w:color w:val="000000"/>
          <w:szCs w:val="24"/>
        </w:rPr>
        <w:t>. R&amp;D investment has typically also high adjustment costs (i.e. it relies on highly skilled human capital with firm specific knowledge). Firms therefore tend to smooth their R&amp;D investment over time. Corporate liquidity can have an important impact on innovative firms' behaviour: young and smaller firms rely extensively on cash reserves to buffer R&amp;D from the volatility in key sources of finance.</w:t>
      </w:r>
      <w:r>
        <w:rPr>
          <w:rStyle w:val="FootnoteReference"/>
          <w:rFonts w:cs="Times New Roman"/>
          <w:noProof/>
          <w:color w:val="000000"/>
          <w:szCs w:val="24"/>
        </w:rPr>
        <w:footnoteReference w:id="20"/>
      </w:r>
      <w:r>
        <w:rPr>
          <w:rFonts w:cs="Times New Roman"/>
          <w:noProof/>
          <w:color w:val="000000"/>
          <w:szCs w:val="24"/>
        </w:rPr>
        <w:t xml:space="preserve"> The InvestEU Fund would allow financially constrained firms to maintain a relatively smooth flow of R&amp;D expenditure in the face of shocks to finance, thereby reducing adjustment costs. </w:t>
      </w:r>
    </w:p>
    <w:p>
      <w:pPr>
        <w:spacing w:after="120" w:line="264" w:lineRule="auto"/>
        <w:rPr>
          <w:rFonts w:cs="Times New Roman"/>
          <w:noProof/>
          <w:color w:val="000000"/>
          <w:szCs w:val="24"/>
        </w:rPr>
      </w:pPr>
      <w:r>
        <w:rPr>
          <w:rFonts w:cs="Times New Roman"/>
          <w:noProof/>
          <w:color w:val="000000"/>
          <w:szCs w:val="24"/>
        </w:rPr>
        <w:t xml:space="preserve">The intensity of financial constraints for R&amp;I vary with the structural and sectoral characteristics of companies. While financing constraints are in particular acute for younger and smaller innovative companies, such barriers can also be nonlinear. D’Este et al (2012) demonstrate that </w:t>
      </w:r>
      <w:r>
        <w:rPr>
          <w:rFonts w:cs="Times New Roman"/>
          <w:noProof/>
          <w:color w:val="000000"/>
          <w:szCs w:val="24"/>
        </w:rPr>
        <w:lastRenderedPageBreak/>
        <w:t>cost and market barriers for innovation are very present for non-innovative firms that want to embark on innovative projects as well as for highly innovative firms.</w:t>
      </w:r>
      <w:r>
        <w:rPr>
          <w:rStyle w:val="FootnoteReference"/>
          <w:rFonts w:cs="Times New Roman"/>
          <w:noProof/>
          <w:color w:val="000000"/>
          <w:szCs w:val="24"/>
        </w:rPr>
        <w:footnoteReference w:id="21"/>
      </w:r>
      <w:r>
        <w:rPr>
          <w:rFonts w:cs="Times New Roman"/>
          <w:noProof/>
          <w:color w:val="000000"/>
          <w:szCs w:val="24"/>
        </w:rPr>
        <w:t xml:space="preserve"> This is in particular the case in the EU. R&amp;D investments made by EU leading innovators, which are typically large firms, are more sensitive to financing constraints than their US counterparts, particularly in high-tech sectors</w:t>
      </w:r>
      <w:r>
        <w:rPr>
          <w:rStyle w:val="FootnoteReference"/>
          <w:rFonts w:cs="Times New Roman"/>
          <w:noProof/>
          <w:color w:val="000000"/>
          <w:szCs w:val="24"/>
        </w:rPr>
        <w:footnoteReference w:id="22"/>
      </w:r>
      <w:r>
        <w:rPr>
          <w:rFonts w:cs="Times New Roman"/>
          <w:noProof/>
          <w:color w:val="000000"/>
          <w:szCs w:val="24"/>
        </w:rPr>
        <w:t>.</w:t>
      </w:r>
    </w:p>
    <w:p>
      <w:pPr>
        <w:spacing w:after="120" w:line="264" w:lineRule="auto"/>
        <w:rPr>
          <w:rFonts w:cs="Times New Roman"/>
          <w:noProof/>
          <w:color w:val="000000"/>
          <w:szCs w:val="24"/>
        </w:rPr>
      </w:pPr>
      <w:r>
        <w:rPr>
          <w:rFonts w:cs="Times New Roman"/>
          <w:noProof/>
          <w:color w:val="000000"/>
          <w:szCs w:val="24"/>
        </w:rPr>
        <w:t xml:space="preserve">Better access to finance could also improve sluggish productivity growth. A slowdown in productivity growth is particular acute in the EU and threatens future increase in living standards. Recent research shows that the productivity puzzle is not due to a lack of innovation, but to a lack of innovation diffusion between firms across all sectors. </w:t>
      </w:r>
      <w:r>
        <w:rPr>
          <w:rStyle w:val="FootnoteReference"/>
          <w:rFonts w:cs="Times New Roman"/>
          <w:noProof/>
          <w:color w:val="000000"/>
          <w:szCs w:val="24"/>
        </w:rPr>
        <w:footnoteReference w:id="23"/>
      </w:r>
      <w:r>
        <w:rPr>
          <w:rFonts w:cs="Times New Roman"/>
          <w:noProof/>
          <w:color w:val="000000"/>
          <w:szCs w:val="24"/>
        </w:rPr>
        <w:t xml:space="preserve"> Cutting-edge firms are not slowing down in their productivity growth, but other firms are not keeping up. The gap between a handful of innovation leaders and the rest is widening. Furthermore, greater inequality among firms is one of the main culprits behind the rise in income inequalities. Coad, Pellegrino and Savona (2015) show that the cost and the availability of finance appear as crucial innovation barriers and negatively affect productivity across the whole distribution (conditioned on size, age, exports and education levels of firms).</w:t>
      </w:r>
      <w:r>
        <w:rPr>
          <w:rStyle w:val="FootnoteReference"/>
          <w:rFonts w:cs="Times New Roman"/>
          <w:noProof/>
          <w:color w:val="000000"/>
          <w:szCs w:val="24"/>
        </w:rPr>
        <w:footnoteReference w:id="24"/>
      </w:r>
      <w:r>
        <w:rPr>
          <w:rFonts w:cs="Times New Roman"/>
          <w:noProof/>
          <w:color w:val="000000"/>
          <w:szCs w:val="24"/>
        </w:rPr>
        <w:t xml:space="preserve"> Brown, Martinsson and Petersen (2012) results suggest that better access to equity finance would significantly increase firm-level R&amp;D intensity</w:t>
      </w:r>
      <w:r>
        <w:rPr>
          <w:rStyle w:val="FootnoteReference"/>
          <w:rFonts w:cs="Times New Roman"/>
          <w:noProof/>
          <w:color w:val="000000"/>
          <w:szCs w:val="24"/>
        </w:rPr>
        <w:footnoteReference w:id="25"/>
      </w:r>
      <w:r>
        <w:rPr>
          <w:rFonts w:cs="Times New Roman"/>
          <w:noProof/>
          <w:color w:val="000000"/>
          <w:szCs w:val="24"/>
        </w:rPr>
        <w:t>.</w:t>
      </w:r>
    </w:p>
    <w:p>
      <w:pPr>
        <w:spacing w:after="120" w:line="264" w:lineRule="auto"/>
        <w:rPr>
          <w:rFonts w:cs="Times New Roman"/>
          <w:noProof/>
          <w:color w:val="000000"/>
          <w:szCs w:val="24"/>
        </w:rPr>
      </w:pPr>
      <w:r>
        <w:rPr>
          <w:rFonts w:cs="Times New Roman"/>
          <w:noProof/>
          <w:color w:val="000000"/>
          <w:szCs w:val="24"/>
        </w:rPr>
        <w:t>Although ample evidence exists that economies achieve large and significant returns on R&amp;I investments, and that the latter create new and better jobs in an economy that is ever more knowledge-based and intangible asset-intensive, the EU underinvests in R&amp;D compared to its major competitors</w:t>
      </w:r>
      <w:r>
        <w:rPr>
          <w:rFonts w:cs="Times New Roman"/>
          <w:noProof/>
          <w:color w:val="000000"/>
          <w:szCs w:val="24"/>
          <w:vertAlign w:val="superscript"/>
        </w:rPr>
        <w:footnoteReference w:id="26"/>
      </w:r>
      <w:r>
        <w:rPr>
          <w:rFonts w:cs="Times New Roman"/>
          <w:noProof/>
          <w:color w:val="000000"/>
          <w:szCs w:val="24"/>
        </w:rPr>
        <w:t>. Businesses in the EU spend far less on R&amp;D than, those in the US and Japan, and less than a half of the South Korea, and the latest figures show a further increase of the gap. The underinvestment in business R&amp;D is one of the reasons behind the widening of the EU’s productivity gap compared to the US.</w:t>
      </w:r>
    </w:p>
    <w:p>
      <w:pPr>
        <w:spacing w:after="120" w:line="264" w:lineRule="auto"/>
        <w:rPr>
          <w:rFonts w:cs="Times New Roman"/>
          <w:noProof/>
          <w:color w:val="000000"/>
          <w:szCs w:val="24"/>
        </w:rPr>
      </w:pPr>
      <w:r>
        <w:rPr>
          <w:rFonts w:cs="Times New Roman"/>
          <w:noProof/>
          <w:szCs w:val="24"/>
        </w:rPr>
        <w:t>The R&amp;D investment gap to reach the 3% EU GDP amounted to EUR 144 billion for the year 2016</w:t>
      </w:r>
      <w:r>
        <w:rPr>
          <w:rStyle w:val="FootnoteReference"/>
          <w:rFonts w:cs="Times New Roman"/>
          <w:noProof/>
          <w:szCs w:val="24"/>
        </w:rPr>
        <w:footnoteReference w:id="27"/>
      </w:r>
      <w:r>
        <w:rPr>
          <w:rFonts w:cs="Times New Roman"/>
          <w:noProof/>
          <w:szCs w:val="24"/>
        </w:rPr>
        <w:t>.</w:t>
      </w:r>
    </w:p>
    <w:p>
      <w:pPr>
        <w:pStyle w:val="Heading3"/>
        <w:spacing w:line="264" w:lineRule="auto"/>
        <w:rPr>
          <w:noProof/>
          <w:szCs w:val="24"/>
        </w:rPr>
      </w:pPr>
      <w:r>
        <w:rPr>
          <w:noProof/>
          <w:szCs w:val="24"/>
        </w:rPr>
        <w:t xml:space="preserve">SMEs </w:t>
      </w:r>
    </w:p>
    <w:p>
      <w:pPr>
        <w:spacing w:after="120" w:line="264" w:lineRule="auto"/>
        <w:rPr>
          <w:rFonts w:cs="Times New Roman"/>
          <w:noProof/>
          <w:szCs w:val="24"/>
        </w:rPr>
      </w:pPr>
      <w:r>
        <w:rPr>
          <w:rFonts w:cs="Times New Roman"/>
          <w:noProof/>
          <w:szCs w:val="24"/>
        </w:rPr>
        <w:t xml:space="preserve">There are 23.8 million enterprises in the EU that employed 93 million people in 2016, and which accounted for 67% of total private-sector employment and generated 57% of value added in the EU-28 non-financial business sector. About 85% of newly created jobs in the EU are accounted for by SMEs. However, obtaining financing in the form of debt or equity can still be a hurdle for company creation and its growth and scale-up, in particular in Member States with less developed financial markets. European SMEs rely heavily on debt finance in the form of bank overdrafts, bank loans or leasing. Market-based instruments (e.g. equity) are only considered </w:t>
      </w:r>
      <w:r>
        <w:rPr>
          <w:rFonts w:cs="Times New Roman"/>
          <w:noProof/>
          <w:szCs w:val="24"/>
        </w:rPr>
        <w:lastRenderedPageBreak/>
        <w:t>relevant by 12% of SMEs</w:t>
      </w:r>
      <w:r>
        <w:rPr>
          <w:rFonts w:cs="Times New Roman"/>
          <w:noProof/>
          <w:szCs w:val="24"/>
          <w:vertAlign w:val="superscript"/>
        </w:rPr>
        <w:footnoteReference w:id="28"/>
      </w:r>
      <w:r>
        <w:rPr>
          <w:rFonts w:cs="Times New Roman"/>
          <w:noProof/>
          <w:szCs w:val="24"/>
        </w:rPr>
        <w:t xml:space="preserve"> although in many cases equity (risk-capital) is more suitable, as small companies often lack collateral or have irregular cash-flows (equity does not impose specific repayment schedule, and hence can be less of a burden during times of economic stress). </w:t>
      </w:r>
    </w:p>
    <w:p>
      <w:pPr>
        <w:spacing w:after="120" w:line="264" w:lineRule="auto"/>
        <w:rPr>
          <w:rFonts w:cs="Times New Roman"/>
          <w:noProof/>
          <w:szCs w:val="24"/>
        </w:rPr>
      </w:pPr>
      <w:r>
        <w:rPr>
          <w:rFonts w:cs="Times New Roman"/>
          <w:noProof/>
          <w:szCs w:val="24"/>
        </w:rPr>
        <w:t>Providing more diversified sources of funding is necessary for increasing the ability of SMEs to withstand economic downturns and for making the financial system more resilient during economic shocks. This is a key objective pursuit under the Capital Markets Union.</w:t>
      </w:r>
    </w:p>
    <w:p>
      <w:pPr>
        <w:spacing w:after="120" w:line="264" w:lineRule="auto"/>
        <w:rPr>
          <w:rFonts w:cs="Times New Roman"/>
          <w:i/>
          <w:noProof/>
          <w:szCs w:val="24"/>
        </w:rPr>
      </w:pPr>
      <w:r>
        <w:rPr>
          <w:rFonts w:cs="Times New Roman"/>
          <w:i/>
          <w:noProof/>
          <w:szCs w:val="24"/>
        </w:rPr>
        <w:t>Problem with access to debt finance</w:t>
      </w:r>
    </w:p>
    <w:p>
      <w:pPr>
        <w:spacing w:after="120" w:line="264" w:lineRule="auto"/>
        <w:rPr>
          <w:rFonts w:cs="Times New Roman"/>
          <w:noProof/>
          <w:szCs w:val="24"/>
        </w:rPr>
      </w:pPr>
      <w:r>
        <w:rPr>
          <w:rFonts w:cs="Times New Roman"/>
          <w:noProof/>
          <w:szCs w:val="24"/>
        </w:rPr>
        <w:t xml:space="preserve">Following the financial crisis, higher capital requirements (e.g. CRD) and the need for banks’ deleveraging, negatively affected banks’ willingness and ability to lend and to accept risk. This had a major negative effect on available SME bank finance across the EU. Credit standards tightened considerably and SMEs as a consequence experienced a credit crunch. </w:t>
      </w:r>
    </w:p>
    <w:p>
      <w:pPr>
        <w:spacing w:after="120" w:line="264" w:lineRule="auto"/>
        <w:rPr>
          <w:rFonts w:cs="Times New Roman"/>
          <w:noProof/>
          <w:szCs w:val="24"/>
        </w:rPr>
      </w:pPr>
      <w:r>
        <w:rPr>
          <w:rFonts w:cs="Times New Roman"/>
          <w:noProof/>
          <w:szCs w:val="24"/>
        </w:rPr>
        <w:t xml:space="preserve">The ECB’s monetary policy has significantly improved the liquidity situation and positive economic developments have helped as well. In addition, an SME Supporting Factor was introduced, thus reducing the capital requirements for exposures to SMEs in comparison with the pre-CRR/CRD IV framework. </w:t>
      </w:r>
    </w:p>
    <w:p>
      <w:pPr>
        <w:spacing w:after="120" w:line="264" w:lineRule="auto"/>
        <w:rPr>
          <w:rFonts w:cs="Times New Roman"/>
          <w:noProof/>
          <w:szCs w:val="24"/>
        </w:rPr>
      </w:pPr>
      <w:r>
        <w:rPr>
          <w:rFonts w:cs="Times New Roman"/>
          <w:noProof/>
          <w:szCs w:val="24"/>
        </w:rPr>
        <w:t>All of these activities have led to an improvement in the conditions for access to finance, and SMEs have on average recovered. Moreover, financial markets in the Member States show different degrees of development, in terms of diversity of financial institutions, product offerings and risk appetite. SMEs have no means to overcome these national differences because they rely on local or national providers of finance. SME financing is predominantly provided within national boundaries due to regulatory constraints. Cross-border lending is only at a nascent stage, predominantly fuelled by the emergence of fintech companies.</w:t>
      </w:r>
    </w:p>
    <w:p>
      <w:pPr>
        <w:spacing w:after="120" w:line="264" w:lineRule="auto"/>
        <w:rPr>
          <w:rFonts w:cs="Times New Roman"/>
          <w:noProof/>
          <w:szCs w:val="24"/>
        </w:rPr>
      </w:pPr>
      <w:r>
        <w:rPr>
          <w:rFonts w:cs="Times New Roman"/>
          <w:noProof/>
          <w:szCs w:val="24"/>
        </w:rPr>
        <w:t>For SMEs, the debt finance gap is estimated at EUR 30 billion annually</w:t>
      </w:r>
      <w:r>
        <w:rPr>
          <w:rStyle w:val="FootnoteReference"/>
          <w:rFonts w:cs="Times New Roman"/>
          <w:noProof/>
          <w:szCs w:val="24"/>
        </w:rPr>
        <w:footnoteReference w:id="29"/>
      </w:r>
      <w:r>
        <w:rPr>
          <w:rFonts w:cs="Times New Roman"/>
          <w:noProof/>
          <w:szCs w:val="24"/>
        </w:rPr>
        <w:t>. The financing problem is acute for firms that are undertaking activities with significant financial, technological, organisational or business-model risk and those wanting to finance growth projects which do not result in the acquisition of fixed assets which could be collateralised (e.g. in the area of culture and creativity, digitisation, internationalisation, etc.). For example, the financing gap for creative SMEs across Europe has been estimated at between EUR 8 and EUR 13 billion over 2014-2020. This sizeable gap is the consequence of a very dynamic sector that contributes 4.4% (approximately EUR 558 billion) of the EU GDP and 3.8% (8.3 million jobs) of the total EU workforce.</w:t>
      </w:r>
      <w:r>
        <w:rPr>
          <w:rStyle w:val="FootnoteReference"/>
          <w:rFonts w:cs="Times New Roman"/>
          <w:noProof/>
          <w:szCs w:val="24"/>
        </w:rPr>
        <w:footnoteReference w:id="30"/>
      </w:r>
      <w:r>
        <w:rPr>
          <w:rFonts w:cs="Times New Roman"/>
          <w:noProof/>
          <w:szCs w:val="24"/>
        </w:rPr>
        <w:t xml:space="preserve"> Moreover, SMEs face a knowledge gap regarding investments in their digital transformation including Artificial Intelligence adoption. This is shown by the difference of take up of digital technologies by large companies (42% are highly digitised) vs SMEs (only 16% are highly digitised). </w:t>
      </w:r>
    </w:p>
    <w:p>
      <w:pPr>
        <w:spacing w:after="120" w:line="264" w:lineRule="auto"/>
        <w:rPr>
          <w:rFonts w:cs="Times New Roman"/>
          <w:b/>
          <w:noProof/>
          <w:szCs w:val="24"/>
        </w:rPr>
      </w:pPr>
      <w:r>
        <w:rPr>
          <w:rFonts w:cs="Times New Roman"/>
          <w:noProof/>
          <w:szCs w:val="24"/>
        </w:rPr>
        <w:t xml:space="preserve">Furthermore, undertaking innovative and other high-risk activities that are poorly understood by finance providers, result in low credit scores and lead to high interest charges to compensate for the perceived risk. </w:t>
      </w:r>
    </w:p>
    <w:p>
      <w:pPr>
        <w:spacing w:after="120" w:line="264" w:lineRule="auto"/>
        <w:rPr>
          <w:rFonts w:cs="Times New Roman"/>
          <w:b/>
          <w:noProof/>
          <w:szCs w:val="24"/>
        </w:rPr>
      </w:pPr>
      <w:r>
        <w:rPr>
          <w:rFonts w:cs="Times New Roman"/>
          <w:noProof/>
          <w:szCs w:val="24"/>
        </w:rPr>
        <w:t xml:space="preserve">Moreover, especially younger and smaller companies or those requiring rather small financing amounts are faced with a structural financing gap due to information asymmetries, lack of </w:t>
      </w:r>
      <w:r>
        <w:rPr>
          <w:rFonts w:cs="Times New Roman"/>
          <w:noProof/>
          <w:szCs w:val="24"/>
        </w:rPr>
        <w:lastRenderedPageBreak/>
        <w:t xml:space="preserve">financial track records and disproportionate dossier costs, which is independent of the economic cycle or the country they are located in. If financing is offered at all, it is offered at unreasonable conditions in terms of interest rates applied, maturities, repayment terms and collateral required. </w:t>
      </w:r>
    </w:p>
    <w:p>
      <w:pPr>
        <w:spacing w:after="120" w:line="264" w:lineRule="auto"/>
        <w:rPr>
          <w:rFonts w:cs="Times New Roman"/>
          <w:b/>
          <w:noProof/>
          <w:szCs w:val="24"/>
        </w:rPr>
      </w:pPr>
      <w:r>
        <w:rPr>
          <w:rFonts w:cs="Times New Roman"/>
          <w:noProof/>
          <w:szCs w:val="24"/>
        </w:rPr>
        <w:t>These market failures – prevalent cross the EU – hinder the start-up and growth of companies. Companies rarely have the internal funds they need, and consequently seek external financing.</w:t>
      </w:r>
    </w:p>
    <w:p>
      <w:pPr>
        <w:spacing w:after="120" w:line="264" w:lineRule="auto"/>
        <w:rPr>
          <w:rFonts w:cs="Times New Roman"/>
          <w:noProof/>
          <w:szCs w:val="24"/>
        </w:rPr>
      </w:pPr>
      <w:r>
        <w:rPr>
          <w:rFonts w:cs="Times New Roman"/>
          <w:noProof/>
          <w:szCs w:val="24"/>
        </w:rPr>
        <w:t>This market environment results in an access to finance gap for SMEs that have a higher risk profile or insufficient collateral, and such access to finance gap differs from country to country.</w:t>
      </w:r>
    </w:p>
    <w:p>
      <w:pPr>
        <w:spacing w:after="120" w:line="264" w:lineRule="auto"/>
        <w:rPr>
          <w:rFonts w:cs="Times New Roman"/>
          <w:i/>
          <w:noProof/>
          <w:szCs w:val="24"/>
        </w:rPr>
      </w:pPr>
      <w:r>
        <w:rPr>
          <w:rFonts w:cs="Times New Roman"/>
          <w:i/>
          <w:noProof/>
          <w:szCs w:val="24"/>
        </w:rPr>
        <w:t>Insufficiently developed equity financing market</w:t>
      </w:r>
    </w:p>
    <w:p>
      <w:pPr>
        <w:spacing w:after="120" w:line="264" w:lineRule="auto"/>
        <w:rPr>
          <w:rFonts w:cs="Times New Roman"/>
          <w:b/>
          <w:noProof/>
          <w:szCs w:val="24"/>
        </w:rPr>
      </w:pPr>
      <w:r>
        <w:rPr>
          <w:rFonts w:cs="Times New Roman"/>
          <w:noProof/>
          <w:szCs w:val="24"/>
        </w:rPr>
        <w:t xml:space="preserve">Despite the fact that only 12% of SMEs currently consider equity financing relevant for their business, it is an important financing component, specifically for high-risk start-ups and high growth companies that require significant long-term investments and which do not produce immediate free cash-flows which would allow servicing debt payments nor do require the need for a collateral. </w:t>
      </w:r>
    </w:p>
    <w:p>
      <w:pPr>
        <w:spacing w:after="120" w:line="264" w:lineRule="auto"/>
        <w:rPr>
          <w:rFonts w:cs="Times New Roman"/>
          <w:b/>
          <w:noProof/>
          <w:szCs w:val="24"/>
        </w:rPr>
      </w:pPr>
      <w:r>
        <w:rPr>
          <w:rFonts w:cs="Times New Roman"/>
          <w:noProof/>
          <w:szCs w:val="24"/>
        </w:rPr>
        <w:t xml:space="preserve">Alternative sources of finance, complementary to bank-financing - including public equity markets – private equity and venture capital - are more widely used in other parts of the world, and should play a bigger role in providing financing to companies that struggle to get funding, especially SMEs </w:t>
      </w:r>
    </w:p>
    <w:p>
      <w:pPr>
        <w:spacing w:after="120" w:line="264" w:lineRule="auto"/>
        <w:rPr>
          <w:rFonts w:cs="Times New Roman"/>
          <w:noProof/>
          <w:szCs w:val="24"/>
        </w:rPr>
      </w:pPr>
      <w:r>
        <w:rPr>
          <w:rFonts w:cs="Times New Roman"/>
          <w:noProof/>
          <w:szCs w:val="24"/>
        </w:rPr>
        <w:t>But Europe's capital markets are still very fragmented and underdeveloped (EU SMEs receive five times less venture capital funding compared to US as shown in figure 5).</w:t>
      </w:r>
    </w:p>
    <w:p>
      <w:pPr>
        <w:pStyle w:val="Caption"/>
        <w:keepNext/>
        <w:keepLines/>
        <w:spacing w:line="264" w:lineRule="auto"/>
        <w:rPr>
          <w:rFonts w:cs="Times New Roman"/>
          <w:b w:val="0"/>
          <w:noProof/>
          <w:szCs w:val="24"/>
        </w:rPr>
      </w:pPr>
      <w:bookmarkStart w:id="61" w:name="_Toc515348916"/>
      <w:r>
        <w:rPr>
          <w:rFonts w:cs="Times New Roman"/>
          <w:noProof/>
          <w:szCs w:val="24"/>
        </w:rPr>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5</w:t>
      </w:r>
      <w:r>
        <w:rPr>
          <w:rFonts w:cs="Times New Roman"/>
          <w:noProof/>
          <w:szCs w:val="24"/>
        </w:rPr>
        <w:fldChar w:fldCharType="end"/>
      </w:r>
      <w:r>
        <w:rPr>
          <w:rFonts w:cs="Times New Roman"/>
          <w:noProof/>
          <w:szCs w:val="24"/>
        </w:rPr>
        <w:t xml:space="preserve"> -</w:t>
      </w:r>
      <w:r>
        <w:rPr>
          <w:rFonts w:cs="Times New Roman"/>
          <w:b w:val="0"/>
          <w:noProof/>
          <w:szCs w:val="24"/>
        </w:rPr>
        <w:t xml:space="preserve"> </w:t>
      </w:r>
      <w:r>
        <w:rPr>
          <w:rFonts w:cs="Times New Roman"/>
          <w:bCs w:val="0"/>
          <w:noProof/>
          <w:color w:val="2D3239"/>
          <w:szCs w:val="24"/>
        </w:rPr>
        <w:t>Total annual venture capital funding by continent (USD billion)</w:t>
      </w:r>
      <w:bookmarkEnd w:id="61"/>
    </w:p>
    <w:p>
      <w:pPr>
        <w:keepNext/>
        <w:keepLines/>
        <w:spacing w:after="120" w:line="264" w:lineRule="auto"/>
        <w:jc w:val="left"/>
        <w:rPr>
          <w:rFonts w:cs="Times New Roman"/>
          <w:noProof/>
          <w:sz w:val="22"/>
          <w:szCs w:val="24"/>
        </w:rPr>
      </w:pPr>
      <w:r>
        <w:rPr>
          <w:rFonts w:cs="Times New Roman"/>
          <w:noProof/>
          <w:szCs w:val="24"/>
          <w:lang w:val="en-US"/>
        </w:rPr>
        <w:drawing>
          <wp:inline distT="0" distB="0" distL="0" distR="0">
            <wp:extent cx="5274259" cy="2564235"/>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896" cy="2564545"/>
                    </a:xfrm>
                    <a:prstGeom prst="rect">
                      <a:avLst/>
                    </a:prstGeom>
                  </pic:spPr>
                </pic:pic>
              </a:graphicData>
            </a:graphic>
          </wp:inline>
        </w:drawing>
      </w:r>
      <w:r>
        <w:rPr>
          <w:rFonts w:cs="Times New Roman"/>
          <w:b/>
          <w:noProof/>
          <w:szCs w:val="24"/>
        </w:rPr>
        <w:br/>
      </w:r>
      <w:r>
        <w:rPr>
          <w:rFonts w:cs="Times New Roman"/>
          <w:b/>
          <w:noProof/>
          <w:sz w:val="22"/>
          <w:szCs w:val="24"/>
        </w:rPr>
        <w:t>Source</w:t>
      </w:r>
      <w:r>
        <w:rPr>
          <w:rFonts w:cs="Times New Roman"/>
          <w:noProof/>
          <w:sz w:val="22"/>
          <w:szCs w:val="24"/>
        </w:rPr>
        <w:t>: PwC, MoneyTree Report, Q4 2017</w:t>
      </w:r>
    </w:p>
    <w:p>
      <w:pPr>
        <w:spacing w:after="120" w:line="264" w:lineRule="auto"/>
        <w:rPr>
          <w:rFonts w:cs="Times New Roman"/>
          <w:b/>
          <w:noProof/>
          <w:szCs w:val="24"/>
        </w:rPr>
      </w:pPr>
      <w:r>
        <w:rPr>
          <w:rFonts w:cs="Times New Roman"/>
          <w:noProof/>
          <w:szCs w:val="24"/>
        </w:rPr>
        <w:t>For high-risk start-ups and high growth of companies, obtaining equity finance on reasonable terms is difficult for different reasons: one is the asymmetry between the information held by the firm and that known to the investor; and conflicts of interest between a firm's managers and its shareholders (the principal-agent conflict).</w:t>
      </w:r>
    </w:p>
    <w:p>
      <w:pPr>
        <w:pStyle w:val="Caption"/>
        <w:keepNext/>
        <w:jc w:val="both"/>
        <w:rPr>
          <w:noProof/>
        </w:rPr>
      </w:pPr>
      <w:bookmarkStart w:id="62" w:name="_Toc515348917"/>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- 448 emerging, current &amp; exited tech companies valued at more than $500m</w:t>
      </w:r>
      <w:bookmarkEnd w:id="62"/>
    </w:p>
    <w:p>
      <w:pPr>
        <w:keepNext/>
        <w:keepLines/>
        <w:rPr>
          <w:noProof/>
        </w:rPr>
      </w:pPr>
      <w:r>
        <w:rPr>
          <w:noProof/>
          <w:lang w:val="en-US"/>
        </w:rPr>
        <w:drawing>
          <wp:inline distT="0" distB="0" distL="0" distR="0">
            <wp:extent cx="5274259" cy="263040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5541" cy="2631039"/>
                    </a:xfrm>
                    <a:prstGeom prst="rect">
                      <a:avLst/>
                    </a:prstGeom>
                  </pic:spPr>
                </pic:pic>
              </a:graphicData>
            </a:graphic>
          </wp:inline>
        </w:drawing>
      </w:r>
    </w:p>
    <w:p>
      <w:pPr>
        <w:keepNext/>
        <w:keepLines/>
        <w:spacing w:after="120" w:line="264" w:lineRule="auto"/>
        <w:rPr>
          <w:rFonts w:cs="Times New Roman"/>
          <w:noProof/>
          <w:sz w:val="22"/>
          <w:szCs w:val="24"/>
        </w:rPr>
      </w:pPr>
      <w:r>
        <w:rPr>
          <w:rFonts w:cs="Times New Roman"/>
          <w:b/>
          <w:noProof/>
          <w:sz w:val="22"/>
          <w:szCs w:val="24"/>
        </w:rPr>
        <w:t>Sources</w:t>
      </w:r>
      <w:r>
        <w:rPr>
          <w:rFonts w:cs="Times New Roman"/>
          <w:noProof/>
          <w:sz w:val="22"/>
          <w:szCs w:val="24"/>
        </w:rPr>
        <w:t>: TechCrunch, Rocket Internet Research</w:t>
      </w:r>
    </w:p>
    <w:p>
      <w:pPr>
        <w:spacing w:after="120" w:line="264" w:lineRule="auto"/>
        <w:rPr>
          <w:rFonts w:cs="Times New Roman"/>
          <w:b/>
          <w:noProof/>
          <w:szCs w:val="24"/>
        </w:rPr>
      </w:pPr>
      <w:r>
        <w:rPr>
          <w:rFonts w:cs="Times New Roman"/>
          <w:noProof/>
          <w:szCs w:val="24"/>
        </w:rPr>
        <w:t>While private capital for initial public offerings (IPOs) and pre-IPOs is in principle available, it is not sufficiently made available for this particular asset class of risk capital investments. Investors consider the risk/return profile for venture and growth capital investments inappropriate and the cost of undertaking research too high. Moreover, investors find it inefficient to invest because the funds are very often too small. These framework conditions create a market gap for equity risk capital finance that narrows the opportunities for exit strategies for leading technology companies (see figure 6). Matching US levels of venture capital financing as share of GDP would require around EUR 35 billion a year in additional EU venture capital activity</w:t>
      </w:r>
      <w:r>
        <w:rPr>
          <w:rStyle w:val="FootnoteReference"/>
          <w:rFonts w:cs="Times New Roman"/>
          <w:noProof/>
          <w:szCs w:val="24"/>
        </w:rPr>
        <w:footnoteReference w:id="31"/>
      </w:r>
      <w:r>
        <w:rPr>
          <w:rFonts w:cs="Times New Roman"/>
          <w:noProof/>
          <w:szCs w:val="24"/>
        </w:rPr>
        <w:t xml:space="preserve">. </w:t>
      </w:r>
    </w:p>
    <w:p>
      <w:pPr>
        <w:pStyle w:val="Heading3"/>
        <w:spacing w:line="264" w:lineRule="auto"/>
        <w:rPr>
          <w:noProof/>
          <w:szCs w:val="24"/>
        </w:rPr>
      </w:pPr>
      <w:r>
        <w:rPr>
          <w:noProof/>
          <w:szCs w:val="24"/>
        </w:rPr>
        <w:t xml:space="preserve"> Social investment and skills </w:t>
      </w:r>
    </w:p>
    <w:p>
      <w:pPr>
        <w:spacing w:after="120" w:line="264" w:lineRule="auto"/>
        <w:rPr>
          <w:rFonts w:cs="Times New Roman"/>
          <w:noProof/>
          <w:szCs w:val="24"/>
        </w:rPr>
      </w:pPr>
      <w:r>
        <w:rPr>
          <w:rFonts w:cs="Times New Roman"/>
          <w:noProof/>
          <w:szCs w:val="24"/>
        </w:rPr>
        <w:t>Investments in social infrastructure, social economy enterprises or social enterprises producing goods ('tangibles') as well as social services, ideas and people ('intangibles') are crucially lacking in the EU, yet are critical for the EU and its Member States to develop into a fair, inclusive and knowledge-based society. At the moment the social sector as a whole continues to experience a significant investment shortfall, and has to date been considered in a fragmented and scattered manner. Efforts to bridge the investment gap should also contribute to make social infrastructure and service provision more people-centred, accessible, and affordable.</w:t>
      </w:r>
    </w:p>
    <w:p>
      <w:pPr>
        <w:autoSpaceDE w:val="0"/>
        <w:autoSpaceDN w:val="0"/>
        <w:adjustRightInd w:val="0"/>
        <w:spacing w:after="120" w:line="264" w:lineRule="auto"/>
        <w:rPr>
          <w:rFonts w:cs="Times New Roman"/>
          <w:noProof/>
          <w:szCs w:val="24"/>
          <w:lang w:eastAsia="en-GB"/>
        </w:rPr>
      </w:pPr>
      <w:r>
        <w:rPr>
          <w:rFonts w:cs="Times New Roman"/>
          <w:noProof/>
          <w:szCs w:val="24"/>
        </w:rPr>
        <w:t>The social infrastructure investment gap</w:t>
      </w:r>
      <w:r>
        <w:rPr>
          <w:rFonts w:cs="Times New Roman"/>
          <w:b/>
          <w:noProof/>
          <w:szCs w:val="24"/>
        </w:rPr>
        <w:t xml:space="preserve"> </w:t>
      </w:r>
      <w:r>
        <w:rPr>
          <w:rFonts w:cs="Times New Roman"/>
          <w:noProof/>
          <w:szCs w:val="24"/>
        </w:rPr>
        <w:t>is not easily quantifiable. Due to the heterogeneity of the sector, no comprehensive market gap analysis on the entire social sector in Europe has been performed to date. According to the report of the “High-Level Task-Force on Investing in Social Infrastructure in Europe” (HLTF)</w:t>
      </w:r>
      <w:r>
        <w:rPr>
          <w:rStyle w:val="FootnoteReference"/>
          <w:rFonts w:cs="Times New Roman"/>
          <w:noProof/>
          <w:szCs w:val="24"/>
        </w:rPr>
        <w:footnoteReference w:id="32"/>
      </w:r>
      <w:r>
        <w:rPr>
          <w:rFonts w:cs="Times New Roman"/>
          <w:noProof/>
          <w:szCs w:val="24"/>
        </w:rPr>
        <w:t xml:space="preserve">, public investment in social infrastructure, including for education, health and housing, has been and remains low over the past decade, despite EIB/EFSI support. The HLTF </w:t>
      </w:r>
      <w:r>
        <w:rPr>
          <w:rFonts w:cs="Times New Roman"/>
          <w:noProof/>
          <w:szCs w:val="24"/>
          <w:lang w:eastAsia="ja-JP"/>
        </w:rPr>
        <w:t>has estimated</w:t>
      </w:r>
      <w:r>
        <w:rPr>
          <w:rFonts w:cs="Times New Roman"/>
          <w:noProof/>
          <w:szCs w:val="24"/>
        </w:rPr>
        <w:t xml:space="preserve"> that </w:t>
      </w:r>
      <w:r>
        <w:rPr>
          <w:rFonts w:cs="Times New Roman"/>
          <w:noProof/>
          <w:szCs w:val="24"/>
          <w:lang w:eastAsia="en-GB"/>
        </w:rPr>
        <w:t>the investment gap for the priority sectors</w:t>
      </w:r>
      <w:r>
        <w:rPr>
          <w:rFonts w:cs="Times New Roman"/>
          <w:noProof/>
          <w:szCs w:val="24"/>
          <w:lang w:eastAsia="ja-JP"/>
        </w:rPr>
        <w:t xml:space="preserve"> of affordable housing, education and healthcare</w:t>
      </w:r>
      <w:r>
        <w:rPr>
          <w:rFonts w:cs="Times New Roman"/>
          <w:noProof/>
          <w:szCs w:val="24"/>
          <w:lang w:eastAsia="en-GB"/>
        </w:rPr>
        <w:t xml:space="preserve"> can be calculated as an uplift of 25% of the current percentage of GDP identified for each sector. This estimate determines an investment gap of EUR 142 billion p.a. as illustrated by the table below.</w:t>
      </w:r>
    </w:p>
    <w:p>
      <w:pPr>
        <w:pStyle w:val="Caption"/>
        <w:spacing w:line="264" w:lineRule="auto"/>
        <w:rPr>
          <w:rFonts w:cs="Times New Roman"/>
          <w:b w:val="0"/>
          <w:noProof/>
          <w:szCs w:val="24"/>
        </w:rPr>
      </w:pPr>
      <w:bookmarkStart w:id="63" w:name="_Toc515348921"/>
      <w:r>
        <w:rPr>
          <w:rFonts w:cs="Times New Roman"/>
          <w:noProof/>
          <w:szCs w:val="24"/>
        </w:rPr>
        <w:t xml:space="preserve">Table </w:t>
      </w:r>
      <w:r>
        <w:rPr>
          <w:rFonts w:cs="Times New Roman"/>
          <w:noProof/>
          <w:szCs w:val="24"/>
        </w:rPr>
        <w:fldChar w:fldCharType="begin"/>
      </w:r>
      <w:r>
        <w:rPr>
          <w:rFonts w:cs="Times New Roman"/>
          <w:noProof/>
          <w:szCs w:val="24"/>
        </w:rPr>
        <w:instrText xml:space="preserve"> SEQ Table \* ARABIC </w:instrText>
      </w:r>
      <w:r>
        <w:rPr>
          <w:rFonts w:cs="Times New Roman"/>
          <w:noProof/>
          <w:szCs w:val="24"/>
        </w:rPr>
        <w:fldChar w:fldCharType="separate"/>
      </w:r>
      <w:r>
        <w:rPr>
          <w:rFonts w:cs="Times New Roman"/>
          <w:noProof/>
          <w:szCs w:val="24"/>
        </w:rPr>
        <w:t>1</w:t>
      </w:r>
      <w:r>
        <w:rPr>
          <w:rFonts w:cs="Times New Roman"/>
          <w:noProof/>
          <w:szCs w:val="24"/>
        </w:rPr>
        <w:fldChar w:fldCharType="end"/>
      </w:r>
      <w:r>
        <w:rPr>
          <w:rFonts w:cs="Times New Roman"/>
          <w:noProof/>
          <w:szCs w:val="24"/>
        </w:rPr>
        <w:t xml:space="preserve"> - Minimum estimate of the gap in s</w:t>
      </w:r>
      <w:r>
        <w:rPr>
          <w:rFonts w:cs="Times New Roman"/>
          <w:noProof/>
          <w:szCs w:val="24"/>
          <w:lang w:eastAsia="ja-JP"/>
        </w:rPr>
        <w:t xml:space="preserve">ocial </w:t>
      </w:r>
      <w:r>
        <w:rPr>
          <w:rFonts w:cs="Times New Roman"/>
          <w:noProof/>
          <w:szCs w:val="24"/>
        </w:rPr>
        <w:t>i</w:t>
      </w:r>
      <w:r>
        <w:rPr>
          <w:rFonts w:cs="Times New Roman"/>
          <w:noProof/>
          <w:szCs w:val="24"/>
          <w:lang w:eastAsia="ja-JP"/>
        </w:rPr>
        <w:t xml:space="preserve">nfrastructure </w:t>
      </w:r>
      <w:r>
        <w:rPr>
          <w:rFonts w:cs="Times New Roman"/>
          <w:noProof/>
          <w:szCs w:val="24"/>
        </w:rPr>
        <w:t>i</w:t>
      </w:r>
      <w:r>
        <w:rPr>
          <w:rFonts w:cs="Times New Roman"/>
          <w:noProof/>
          <w:szCs w:val="24"/>
          <w:lang w:eastAsia="ja-JP"/>
        </w:rPr>
        <w:t>nvestments</w:t>
      </w:r>
      <w:bookmarkEnd w:id="63"/>
      <w:r>
        <w:rPr>
          <w:rFonts w:cs="Times New Roman"/>
          <w:noProof/>
          <w:szCs w:val="24"/>
        </w:rPr>
        <w:t xml:space="preserve"> </w:t>
      </w:r>
    </w:p>
    <w:tbl>
      <w:tblPr>
        <w:tblStyle w:val="LightList-Accent1"/>
        <w:tblW w:w="9480" w:type="dxa"/>
        <w:tblInd w:w="108" w:type="dxa"/>
        <w:tblLayout w:type="fixed"/>
        <w:tblLook w:val="04A0" w:firstRow="1" w:lastRow="0" w:firstColumn="1" w:lastColumn="0" w:noHBand="0" w:noVBand="1"/>
      </w:tblPr>
      <w:tblGrid>
        <w:gridCol w:w="1843"/>
        <w:gridCol w:w="1276"/>
        <w:gridCol w:w="2126"/>
        <w:gridCol w:w="2555"/>
        <w:gridCol w:w="1680"/>
      </w:tblGrid>
      <w:tr>
        <w:trPr>
          <w:cnfStyle w:val="100000000000" w:firstRow="1" w:lastRow="0" w:firstColumn="0" w:lastColumn="0" w:oddVBand="0" w:evenVBand="0" w:oddHBand="0" w:evenHBand="0" w:firstRowFirstColumn="0" w:firstRowLastColumn="0" w:lastRowFirstColumn="0" w:lastRowLastColumn="0"/>
          <w:cantSplit/>
          <w:trHeight w:val="804"/>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365F91" w:themeFill="accent1" w:themeFillShade="BF"/>
            <w:vAlign w:val="center"/>
            <w:hideMark/>
          </w:tcPr>
          <w:p>
            <w:pPr>
              <w:spacing w:after="120" w:line="264" w:lineRule="auto"/>
              <w:jc w:val="center"/>
              <w:rPr>
                <w:noProof/>
                <w:sz w:val="22"/>
                <w:szCs w:val="24"/>
              </w:rPr>
            </w:pPr>
            <w:r>
              <w:rPr>
                <w:noProof/>
                <w:sz w:val="22"/>
                <w:szCs w:val="24"/>
              </w:rPr>
              <w:t>Sector</w:t>
            </w:r>
          </w:p>
        </w:tc>
        <w:tc>
          <w:tcPr>
            <w:tcW w:w="1276" w:type="dxa"/>
            <w:tcBorders>
              <w:bottom w:val="single" w:sz="4" w:space="0" w:color="auto"/>
            </w:tcBorders>
            <w:shd w:val="clear" w:color="auto" w:fill="365F91" w:themeFill="accent1" w:themeFillShade="BF"/>
            <w:vAlign w:val="center"/>
            <w:hideMark/>
          </w:tcPr>
          <w:p>
            <w:pPr>
              <w:spacing w:after="120" w:line="264" w:lineRule="auto"/>
              <w:jc w:val="center"/>
              <w:cnfStyle w:val="100000000000" w:firstRow="1" w:lastRow="0" w:firstColumn="0" w:lastColumn="0" w:oddVBand="0" w:evenVBand="0" w:oddHBand="0" w:evenHBand="0" w:firstRowFirstColumn="0" w:firstRowLastColumn="0" w:lastRowFirstColumn="0" w:lastRowLastColumn="0"/>
              <w:rPr>
                <w:noProof/>
                <w:sz w:val="22"/>
                <w:szCs w:val="24"/>
              </w:rPr>
            </w:pPr>
            <w:r>
              <w:rPr>
                <w:noProof/>
                <w:sz w:val="22"/>
                <w:szCs w:val="24"/>
              </w:rPr>
              <w:t>Current annual investment in EUR billion p.a.</w:t>
            </w:r>
          </w:p>
        </w:tc>
        <w:tc>
          <w:tcPr>
            <w:tcW w:w="2126" w:type="dxa"/>
            <w:tcBorders>
              <w:bottom w:val="single" w:sz="4" w:space="0" w:color="auto"/>
            </w:tcBorders>
            <w:shd w:val="clear" w:color="auto" w:fill="365F91" w:themeFill="accent1" w:themeFillShade="BF"/>
            <w:vAlign w:val="center"/>
            <w:hideMark/>
          </w:tcPr>
          <w:p>
            <w:pPr>
              <w:spacing w:after="120" w:line="264" w:lineRule="auto"/>
              <w:jc w:val="center"/>
              <w:cnfStyle w:val="100000000000" w:firstRow="1" w:lastRow="0" w:firstColumn="0" w:lastColumn="0" w:oddVBand="0" w:evenVBand="0" w:oddHBand="0" w:evenHBand="0" w:firstRowFirstColumn="0" w:firstRowLastColumn="0" w:lastRowFirstColumn="0" w:lastRowLastColumn="0"/>
              <w:rPr>
                <w:noProof/>
                <w:sz w:val="22"/>
                <w:szCs w:val="24"/>
              </w:rPr>
            </w:pPr>
            <w:r>
              <w:rPr>
                <w:noProof/>
                <w:sz w:val="22"/>
                <w:szCs w:val="24"/>
              </w:rPr>
              <w:t>Minimum gap per sector in EUR bn p.a. (uplift of 25 per cent of the current percentage of GDP)</w:t>
            </w:r>
          </w:p>
        </w:tc>
        <w:tc>
          <w:tcPr>
            <w:tcW w:w="2555" w:type="dxa"/>
            <w:tcBorders>
              <w:bottom w:val="single" w:sz="4" w:space="0" w:color="auto"/>
            </w:tcBorders>
            <w:shd w:val="clear" w:color="auto" w:fill="365F91" w:themeFill="accent1" w:themeFillShade="BF"/>
            <w:vAlign w:val="center"/>
            <w:hideMark/>
          </w:tcPr>
          <w:p>
            <w:pPr>
              <w:spacing w:after="120" w:line="264" w:lineRule="auto"/>
              <w:jc w:val="center"/>
              <w:cnfStyle w:val="100000000000" w:firstRow="1" w:lastRow="0" w:firstColumn="0" w:lastColumn="0" w:oddVBand="0" w:evenVBand="0" w:oddHBand="0" w:evenHBand="0" w:firstRowFirstColumn="0" w:firstRowLastColumn="0" w:lastRowFirstColumn="0" w:lastRowLastColumn="0"/>
              <w:rPr>
                <w:noProof/>
                <w:sz w:val="22"/>
                <w:szCs w:val="24"/>
              </w:rPr>
            </w:pPr>
            <w:r>
              <w:rPr>
                <w:noProof/>
                <w:sz w:val="22"/>
                <w:szCs w:val="24"/>
              </w:rPr>
              <w:t>Additional items in EUR bn p.a.</w:t>
            </w:r>
          </w:p>
        </w:tc>
        <w:tc>
          <w:tcPr>
            <w:tcW w:w="1680" w:type="dxa"/>
            <w:tcBorders>
              <w:bottom w:val="single" w:sz="4" w:space="0" w:color="auto"/>
            </w:tcBorders>
            <w:shd w:val="clear" w:color="auto" w:fill="365F91" w:themeFill="accent1" w:themeFillShade="BF"/>
            <w:vAlign w:val="center"/>
            <w:hideMark/>
          </w:tcPr>
          <w:p>
            <w:pPr>
              <w:spacing w:after="120" w:line="264" w:lineRule="auto"/>
              <w:jc w:val="center"/>
              <w:cnfStyle w:val="100000000000" w:firstRow="1" w:lastRow="0" w:firstColumn="0" w:lastColumn="0" w:oddVBand="0" w:evenVBand="0" w:oddHBand="0" w:evenHBand="0" w:firstRowFirstColumn="0" w:firstRowLastColumn="0" w:lastRowFirstColumn="0" w:lastRowLastColumn="0"/>
              <w:rPr>
                <w:noProof/>
                <w:sz w:val="22"/>
                <w:szCs w:val="24"/>
              </w:rPr>
            </w:pPr>
            <w:r>
              <w:rPr>
                <w:noProof/>
                <w:sz w:val="22"/>
                <w:szCs w:val="24"/>
              </w:rPr>
              <w:t>Annual Investment GAP in EUR bn</w:t>
            </w:r>
          </w:p>
          <w:p>
            <w:pPr>
              <w:spacing w:after="120" w:line="264" w:lineRule="auto"/>
              <w:jc w:val="center"/>
              <w:cnfStyle w:val="100000000000" w:firstRow="1" w:lastRow="0" w:firstColumn="0" w:lastColumn="0" w:oddVBand="0" w:evenVBand="0" w:oddHBand="0" w:evenHBand="0" w:firstRowFirstColumn="0" w:firstRowLastColumn="0" w:lastRowFirstColumn="0" w:lastRowLastColumn="0"/>
              <w:rPr>
                <w:noProof/>
                <w:sz w:val="22"/>
                <w:szCs w:val="24"/>
              </w:rPr>
            </w:pPr>
            <w:r>
              <w:rPr>
                <w:noProof/>
                <w:sz w:val="22"/>
                <w:szCs w:val="24"/>
              </w:rPr>
              <w:t>p.a.</w:t>
            </w:r>
          </w:p>
        </w:tc>
      </w:tr>
      <w:tr>
        <w:trPr>
          <w:cnfStyle w:val="000000100000" w:firstRow="0" w:lastRow="0" w:firstColumn="0" w:lastColumn="0" w:oddVBand="0" w:evenVBand="0" w:oddHBand="1" w:evenHBand="0" w:firstRowFirstColumn="0" w:firstRowLastColumn="0" w:lastRowFirstColumn="0" w:lastRowLastColumn="0"/>
          <w:cantSplit/>
          <w:trHeight w:val="76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tcBorders>
            <w:shd w:val="clear" w:color="auto" w:fill="D9D9D9" w:themeFill="background1" w:themeFillShade="D9"/>
            <w:vAlign w:val="center"/>
            <w:hideMark/>
          </w:tcPr>
          <w:p>
            <w:pPr>
              <w:spacing w:after="120" w:line="264" w:lineRule="auto"/>
              <w:jc w:val="left"/>
              <w:rPr>
                <w:noProof/>
                <w:sz w:val="22"/>
                <w:szCs w:val="24"/>
              </w:rPr>
            </w:pPr>
            <w:r>
              <w:rPr>
                <w:noProof/>
                <w:sz w:val="22"/>
                <w:szCs w:val="24"/>
              </w:rPr>
              <w:t>Education &amp; Lifelong Learning</w:t>
            </w:r>
          </w:p>
          <w:p>
            <w:pPr>
              <w:spacing w:after="120" w:line="264" w:lineRule="auto"/>
              <w:jc w:val="left"/>
              <w:rPr>
                <w:noProof/>
                <w:sz w:val="22"/>
                <w:szCs w:val="24"/>
              </w:rPr>
            </w:pPr>
            <w:r>
              <w:rPr>
                <w:noProof/>
                <w:sz w:val="22"/>
                <w:szCs w:val="24"/>
              </w:rPr>
              <w:t>(0.4% of GDP)</w:t>
            </w:r>
          </w:p>
        </w:tc>
        <w:tc>
          <w:tcPr>
            <w:tcW w:w="1276" w:type="dxa"/>
            <w:tcBorders>
              <w:top w:val="single" w:sz="4" w:space="0" w:color="auto"/>
              <w:bottom w:val="single" w:sz="4" w:space="0" w:color="auto"/>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65</w:t>
            </w:r>
          </w:p>
        </w:tc>
        <w:tc>
          <w:tcPr>
            <w:tcW w:w="2126" w:type="dxa"/>
            <w:tcBorders>
              <w:top w:val="single" w:sz="4" w:space="0" w:color="auto"/>
              <w:bottom w:val="single" w:sz="4" w:space="0" w:color="auto"/>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15</w:t>
            </w:r>
          </w:p>
        </w:tc>
        <w:tc>
          <w:tcPr>
            <w:tcW w:w="2555" w:type="dxa"/>
            <w:tcBorders>
              <w:top w:val="single" w:sz="4" w:space="0" w:color="auto"/>
              <w:bottom w:val="single" w:sz="4" w:space="0" w:color="auto"/>
            </w:tcBorders>
            <w:vAlign w:val="center"/>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w:t>
            </w:r>
          </w:p>
        </w:tc>
        <w:tc>
          <w:tcPr>
            <w:tcW w:w="1680" w:type="dxa"/>
            <w:tcBorders>
              <w:top w:val="single" w:sz="4" w:space="0" w:color="auto"/>
              <w:bottom w:val="single" w:sz="4" w:space="0" w:color="auto"/>
              <w:right w:val="nil"/>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15</w:t>
            </w:r>
          </w:p>
        </w:tc>
      </w:tr>
      <w:tr>
        <w:trPr>
          <w:cantSplit/>
          <w:trHeight w:val="46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tcBorders>
            <w:shd w:val="clear" w:color="auto" w:fill="D9D9D9" w:themeFill="background1" w:themeFillShade="D9"/>
            <w:vAlign w:val="center"/>
            <w:hideMark/>
          </w:tcPr>
          <w:p>
            <w:pPr>
              <w:spacing w:after="120" w:line="264" w:lineRule="auto"/>
              <w:jc w:val="left"/>
              <w:rPr>
                <w:noProof/>
                <w:sz w:val="22"/>
                <w:szCs w:val="24"/>
              </w:rPr>
            </w:pPr>
            <w:r>
              <w:rPr>
                <w:noProof/>
                <w:sz w:val="22"/>
                <w:szCs w:val="24"/>
              </w:rPr>
              <w:t>Health &amp; Long-Term Care</w:t>
            </w:r>
          </w:p>
          <w:p>
            <w:pPr>
              <w:spacing w:after="120" w:line="264" w:lineRule="auto"/>
              <w:jc w:val="left"/>
              <w:rPr>
                <w:noProof/>
                <w:sz w:val="22"/>
                <w:szCs w:val="24"/>
              </w:rPr>
            </w:pPr>
            <w:r>
              <w:rPr>
                <w:noProof/>
                <w:sz w:val="22"/>
                <w:szCs w:val="24"/>
              </w:rPr>
              <w:t>(0.5% of GDP)</w:t>
            </w:r>
          </w:p>
        </w:tc>
        <w:tc>
          <w:tcPr>
            <w:tcW w:w="1276" w:type="dxa"/>
            <w:tcBorders>
              <w:top w:val="single" w:sz="4" w:space="0" w:color="auto"/>
              <w:bottom w:val="single" w:sz="4" w:space="0" w:color="auto"/>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noProof/>
                <w:sz w:val="22"/>
                <w:szCs w:val="24"/>
              </w:rPr>
            </w:pPr>
            <w:r>
              <w:rPr>
                <w:noProof/>
                <w:sz w:val="22"/>
                <w:szCs w:val="24"/>
              </w:rPr>
              <w:t>75</w:t>
            </w:r>
          </w:p>
        </w:tc>
        <w:tc>
          <w:tcPr>
            <w:tcW w:w="2126" w:type="dxa"/>
            <w:tcBorders>
              <w:top w:val="single" w:sz="4" w:space="0" w:color="auto"/>
              <w:bottom w:val="single" w:sz="4" w:space="0" w:color="auto"/>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noProof/>
                <w:sz w:val="22"/>
                <w:szCs w:val="24"/>
              </w:rPr>
            </w:pPr>
            <w:r>
              <w:rPr>
                <w:noProof/>
                <w:sz w:val="22"/>
                <w:szCs w:val="24"/>
              </w:rPr>
              <w:t>20</w:t>
            </w:r>
          </w:p>
        </w:tc>
        <w:tc>
          <w:tcPr>
            <w:tcW w:w="2555" w:type="dxa"/>
            <w:tcBorders>
              <w:top w:val="single" w:sz="4" w:space="0" w:color="auto"/>
              <w:bottom w:val="single" w:sz="4" w:space="0" w:color="auto"/>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noProof/>
                <w:sz w:val="22"/>
                <w:szCs w:val="24"/>
              </w:rPr>
            </w:pPr>
            <w:r>
              <w:rPr>
                <w:noProof/>
                <w:sz w:val="22"/>
                <w:szCs w:val="24"/>
              </w:rPr>
              <w:t>EUR 50 billion pa for long-term care</w:t>
            </w:r>
          </w:p>
          <w:p>
            <w:pPr>
              <w:spacing w:after="120" w:line="264" w:lineRule="auto"/>
              <w:jc w:val="center"/>
              <w:cnfStyle w:val="000000000000" w:firstRow="0" w:lastRow="0" w:firstColumn="0" w:lastColumn="0" w:oddVBand="0" w:evenVBand="0" w:oddHBand="0" w:evenHBand="0" w:firstRowFirstColumn="0" w:firstRowLastColumn="0" w:lastRowFirstColumn="0" w:lastRowLastColumn="0"/>
              <w:rPr>
                <w:noProof/>
                <w:sz w:val="22"/>
                <w:szCs w:val="24"/>
              </w:rPr>
            </w:pPr>
            <w:r>
              <w:rPr>
                <w:noProof/>
                <w:sz w:val="22"/>
                <w:szCs w:val="24"/>
              </w:rPr>
              <w:t>Unknown amount for disability and migrants</w:t>
            </w:r>
          </w:p>
        </w:tc>
        <w:tc>
          <w:tcPr>
            <w:tcW w:w="1680" w:type="dxa"/>
            <w:tcBorders>
              <w:top w:val="single" w:sz="4" w:space="0" w:color="auto"/>
              <w:bottom w:val="single" w:sz="4" w:space="0" w:color="auto"/>
              <w:right w:val="nil"/>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noProof/>
                <w:sz w:val="22"/>
                <w:szCs w:val="24"/>
                <w:u w:val="single"/>
              </w:rPr>
            </w:pPr>
            <w:r>
              <w:rPr>
                <w:noProof/>
                <w:sz w:val="22"/>
                <w:szCs w:val="24"/>
              </w:rPr>
              <w:t xml:space="preserve">70 </w:t>
            </w:r>
          </w:p>
        </w:tc>
      </w:tr>
      <w:tr>
        <w:trPr>
          <w:cnfStyle w:val="000000100000" w:firstRow="0" w:lastRow="0" w:firstColumn="0" w:lastColumn="0" w:oddVBand="0" w:evenVBand="0" w:oddHBand="1" w:evenHBand="0" w:firstRowFirstColumn="0" w:firstRowLastColumn="0" w:lastRowFirstColumn="0" w:lastRowLastColumn="0"/>
          <w:cantSplit/>
          <w:trHeight w:val="5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tcBorders>
            <w:shd w:val="clear" w:color="auto" w:fill="D9D9D9" w:themeFill="background1" w:themeFillShade="D9"/>
            <w:vAlign w:val="center"/>
            <w:hideMark/>
          </w:tcPr>
          <w:p>
            <w:pPr>
              <w:spacing w:after="120" w:line="264" w:lineRule="auto"/>
              <w:jc w:val="left"/>
              <w:rPr>
                <w:noProof/>
                <w:sz w:val="22"/>
                <w:szCs w:val="24"/>
              </w:rPr>
            </w:pPr>
            <w:r>
              <w:rPr>
                <w:noProof/>
                <w:sz w:val="22"/>
                <w:szCs w:val="24"/>
              </w:rPr>
              <w:t>Affordable housing</w:t>
            </w:r>
          </w:p>
          <w:p>
            <w:pPr>
              <w:spacing w:after="120" w:line="264" w:lineRule="auto"/>
              <w:jc w:val="left"/>
              <w:rPr>
                <w:noProof/>
                <w:sz w:val="22"/>
                <w:szCs w:val="24"/>
              </w:rPr>
            </w:pPr>
            <w:r>
              <w:rPr>
                <w:noProof/>
                <w:sz w:val="22"/>
                <w:szCs w:val="24"/>
              </w:rPr>
              <w:t>(0.4% of GDP)</w:t>
            </w:r>
          </w:p>
        </w:tc>
        <w:tc>
          <w:tcPr>
            <w:tcW w:w="1276" w:type="dxa"/>
            <w:tcBorders>
              <w:top w:val="single" w:sz="4" w:space="0" w:color="auto"/>
              <w:bottom w:val="single" w:sz="4" w:space="0" w:color="auto"/>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28</w:t>
            </w:r>
          </w:p>
        </w:tc>
        <w:tc>
          <w:tcPr>
            <w:tcW w:w="2126" w:type="dxa"/>
            <w:tcBorders>
              <w:top w:val="single" w:sz="4" w:space="0" w:color="auto"/>
              <w:bottom w:val="single" w:sz="4" w:space="0" w:color="auto"/>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7</w:t>
            </w:r>
          </w:p>
        </w:tc>
        <w:tc>
          <w:tcPr>
            <w:tcW w:w="2555" w:type="dxa"/>
            <w:tcBorders>
              <w:top w:val="single" w:sz="4" w:space="0" w:color="auto"/>
              <w:bottom w:val="single" w:sz="4" w:space="0" w:color="auto"/>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EUR 50 billion pa to address energy poverty</w:t>
            </w:r>
          </w:p>
        </w:tc>
        <w:tc>
          <w:tcPr>
            <w:tcW w:w="1680" w:type="dxa"/>
            <w:tcBorders>
              <w:top w:val="single" w:sz="4" w:space="0" w:color="auto"/>
              <w:bottom w:val="single" w:sz="4" w:space="0" w:color="auto"/>
              <w:right w:val="nil"/>
            </w:tcBorders>
            <w:vAlign w:val="center"/>
            <w:hideMark/>
          </w:tcPr>
          <w:p>
            <w:pPr>
              <w:spacing w:after="120" w:line="264" w:lineRule="auto"/>
              <w:jc w:val="center"/>
              <w:cnfStyle w:val="000000100000" w:firstRow="0" w:lastRow="0" w:firstColumn="0" w:lastColumn="0" w:oddVBand="0" w:evenVBand="0" w:oddHBand="1" w:evenHBand="0" w:firstRowFirstColumn="0" w:firstRowLastColumn="0" w:lastRowFirstColumn="0" w:lastRowLastColumn="0"/>
              <w:rPr>
                <w:noProof/>
                <w:sz w:val="22"/>
                <w:szCs w:val="24"/>
              </w:rPr>
            </w:pPr>
            <w:r>
              <w:rPr>
                <w:noProof/>
                <w:sz w:val="22"/>
                <w:szCs w:val="24"/>
              </w:rPr>
              <w:t>57</w:t>
            </w:r>
          </w:p>
        </w:tc>
      </w:tr>
      <w:tr>
        <w:trPr>
          <w:cantSplit/>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nil"/>
            </w:tcBorders>
            <w:shd w:val="clear" w:color="auto" w:fill="D9D9D9" w:themeFill="background1" w:themeFillShade="D9"/>
            <w:vAlign w:val="center"/>
            <w:hideMark/>
          </w:tcPr>
          <w:p>
            <w:pPr>
              <w:spacing w:after="120" w:line="264" w:lineRule="auto"/>
              <w:jc w:val="left"/>
              <w:rPr>
                <w:noProof/>
                <w:sz w:val="22"/>
                <w:szCs w:val="24"/>
              </w:rPr>
            </w:pPr>
            <w:r>
              <w:rPr>
                <w:noProof/>
                <w:sz w:val="22"/>
                <w:szCs w:val="24"/>
              </w:rPr>
              <w:t>Totals</w:t>
            </w:r>
          </w:p>
        </w:tc>
        <w:tc>
          <w:tcPr>
            <w:tcW w:w="1276" w:type="dxa"/>
            <w:tcBorders>
              <w:top w:val="single" w:sz="4" w:space="0" w:color="auto"/>
              <w:bottom w:val="nil"/>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b/>
                <w:noProof/>
                <w:sz w:val="22"/>
                <w:szCs w:val="24"/>
              </w:rPr>
            </w:pPr>
            <w:r>
              <w:rPr>
                <w:b/>
                <w:noProof/>
                <w:sz w:val="22"/>
                <w:szCs w:val="24"/>
              </w:rPr>
              <w:t>168</w:t>
            </w:r>
          </w:p>
        </w:tc>
        <w:tc>
          <w:tcPr>
            <w:tcW w:w="2126" w:type="dxa"/>
            <w:tcBorders>
              <w:top w:val="single" w:sz="4" w:space="0" w:color="auto"/>
              <w:bottom w:val="nil"/>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b/>
                <w:noProof/>
                <w:sz w:val="22"/>
                <w:szCs w:val="24"/>
              </w:rPr>
            </w:pPr>
            <w:r>
              <w:rPr>
                <w:b/>
                <w:noProof/>
                <w:sz w:val="22"/>
                <w:szCs w:val="24"/>
              </w:rPr>
              <w:t>42</w:t>
            </w:r>
          </w:p>
        </w:tc>
        <w:tc>
          <w:tcPr>
            <w:tcW w:w="2555" w:type="dxa"/>
            <w:tcBorders>
              <w:top w:val="single" w:sz="4" w:space="0" w:color="auto"/>
              <w:bottom w:val="nil"/>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b/>
                <w:noProof/>
                <w:sz w:val="22"/>
                <w:szCs w:val="24"/>
              </w:rPr>
            </w:pPr>
            <w:r>
              <w:rPr>
                <w:b/>
                <w:noProof/>
                <w:sz w:val="22"/>
                <w:szCs w:val="24"/>
              </w:rPr>
              <w:t>100</w:t>
            </w:r>
          </w:p>
        </w:tc>
        <w:tc>
          <w:tcPr>
            <w:tcW w:w="1680" w:type="dxa"/>
            <w:tcBorders>
              <w:top w:val="single" w:sz="4" w:space="0" w:color="auto"/>
              <w:bottom w:val="nil"/>
              <w:right w:val="nil"/>
            </w:tcBorders>
            <w:shd w:val="clear" w:color="auto" w:fill="F2F2F2" w:themeFill="background1" w:themeFillShade="F2"/>
            <w:vAlign w:val="center"/>
            <w:hideMark/>
          </w:tcPr>
          <w:p>
            <w:pPr>
              <w:spacing w:after="120" w:line="264" w:lineRule="auto"/>
              <w:jc w:val="center"/>
              <w:cnfStyle w:val="000000000000" w:firstRow="0" w:lastRow="0" w:firstColumn="0" w:lastColumn="0" w:oddVBand="0" w:evenVBand="0" w:oddHBand="0" w:evenHBand="0" w:firstRowFirstColumn="0" w:firstRowLastColumn="0" w:lastRowFirstColumn="0" w:lastRowLastColumn="0"/>
              <w:rPr>
                <w:b/>
                <w:noProof/>
                <w:sz w:val="22"/>
                <w:szCs w:val="24"/>
              </w:rPr>
            </w:pPr>
            <w:r>
              <w:rPr>
                <w:b/>
                <w:noProof/>
                <w:sz w:val="22"/>
                <w:szCs w:val="24"/>
              </w:rPr>
              <w:t>142</w:t>
            </w:r>
          </w:p>
        </w:tc>
      </w:tr>
    </w:tbl>
    <w:p>
      <w:pPr>
        <w:pStyle w:val="Text2"/>
        <w:spacing w:after="120" w:line="264" w:lineRule="auto"/>
        <w:ind w:left="0"/>
        <w:rPr>
          <w:noProof/>
          <w:sz w:val="22"/>
          <w:szCs w:val="24"/>
        </w:rPr>
      </w:pPr>
      <w:r>
        <w:rPr>
          <w:rFonts w:eastAsia="MS Mincho"/>
          <w:b/>
          <w:noProof/>
          <w:sz w:val="22"/>
          <w:szCs w:val="24"/>
          <w:lang w:eastAsia="ja-JP"/>
        </w:rPr>
        <w:t>Source</w:t>
      </w:r>
      <w:r>
        <w:rPr>
          <w:rFonts w:eastAsia="MS Mincho"/>
          <w:noProof/>
          <w:sz w:val="22"/>
          <w:szCs w:val="24"/>
          <w:lang w:eastAsia="ja-JP"/>
        </w:rPr>
        <w:t xml:space="preserve">: HLTF Report on Investing in Social Infrastructure in Europe, January 2018 </w:t>
      </w:r>
    </w:p>
    <w:p>
      <w:pPr>
        <w:spacing w:after="120" w:line="264" w:lineRule="auto"/>
        <w:rPr>
          <w:rFonts w:cs="Times New Roman"/>
          <w:noProof/>
          <w:szCs w:val="24"/>
        </w:rPr>
      </w:pPr>
      <w:r>
        <w:rPr>
          <w:rFonts w:cs="Times New Roman"/>
          <w:noProof/>
          <w:szCs w:val="24"/>
        </w:rPr>
        <w:t xml:space="preserve">Microfinance and social enterprises in Europe are still recent developments and part of an emerging market that is not yet fully developed. Both micro-enterprises, in particular those employing vulnerable persons, and social enterprises are often confronted with difficulties in getting access to finance, which is a significant barrier to their growth and development while public finance in this area is still lacking, especially at the European level. </w:t>
      </w:r>
    </w:p>
    <w:p>
      <w:pPr>
        <w:pStyle w:val="Text2"/>
        <w:spacing w:after="120" w:line="264" w:lineRule="auto"/>
        <w:ind w:left="0"/>
        <w:rPr>
          <w:noProof/>
          <w:szCs w:val="24"/>
        </w:rPr>
      </w:pPr>
      <w:r>
        <w:rPr>
          <w:noProof/>
          <w:szCs w:val="24"/>
        </w:rPr>
        <w:t xml:space="preserve">The </w:t>
      </w:r>
      <w:r>
        <w:rPr>
          <w:rFonts w:eastAsia="MS Mincho"/>
          <w:noProof/>
          <w:szCs w:val="24"/>
          <w:lang w:eastAsia="ja-JP"/>
        </w:rPr>
        <w:t>investment</w:t>
      </w:r>
      <w:r>
        <w:rPr>
          <w:noProof/>
          <w:szCs w:val="24"/>
        </w:rPr>
        <w:t xml:space="preserve"> gap for micro-enterprises has been estimated through the same Survey on Access to Finance of Enterprises</w:t>
      </w:r>
      <w:r>
        <w:rPr>
          <w:noProof/>
          <w:color w:val="000000"/>
          <w:szCs w:val="24"/>
          <w:vertAlign w:val="superscript"/>
        </w:rPr>
        <w:footnoteReference w:id="33"/>
      </w:r>
      <w:r>
        <w:rPr>
          <w:noProof/>
          <w:color w:val="000000"/>
          <w:szCs w:val="24"/>
        </w:rPr>
        <w:t xml:space="preserve">, </w:t>
      </w:r>
      <w:r>
        <w:rPr>
          <w:noProof/>
          <w:szCs w:val="24"/>
        </w:rPr>
        <w:t xml:space="preserve">and constitutes between EUR 33 billion and </w:t>
      </w:r>
      <w:r>
        <w:rPr>
          <w:rFonts w:eastAsia="MS Mincho"/>
          <w:noProof/>
          <w:szCs w:val="24"/>
          <w:lang w:eastAsia="ja-JP"/>
        </w:rPr>
        <w:t xml:space="preserve">EUR </w:t>
      </w:r>
      <w:r>
        <w:rPr>
          <w:noProof/>
          <w:szCs w:val="24"/>
        </w:rPr>
        <w:t xml:space="preserve">81 billion of the loan gap. Social enterprises constitute around 10% of EU business. This indicates that the financing gap for social enterprises is at least 10% of the total estimated gap, between EUR 3 billion and </w:t>
      </w:r>
      <w:r>
        <w:rPr>
          <w:rFonts w:eastAsia="MS Mincho"/>
          <w:noProof/>
          <w:szCs w:val="24"/>
          <w:lang w:eastAsia="ja-JP"/>
        </w:rPr>
        <w:t xml:space="preserve">EUR </w:t>
      </w:r>
      <w:r>
        <w:rPr>
          <w:noProof/>
          <w:szCs w:val="24"/>
        </w:rPr>
        <w:t>8 billion.</w:t>
      </w:r>
    </w:p>
    <w:p>
      <w:pPr>
        <w:spacing w:after="120" w:line="264" w:lineRule="auto"/>
        <w:rPr>
          <w:rFonts w:cs="Times New Roman"/>
          <w:noProof/>
          <w:szCs w:val="24"/>
        </w:rPr>
      </w:pPr>
      <w:r>
        <w:rPr>
          <w:rFonts w:cs="Times New Roman"/>
          <w:noProof/>
          <w:szCs w:val="24"/>
        </w:rPr>
        <w:t>As regards skills development, there are very large gaps in terms of providing</w:t>
      </w:r>
      <w:r>
        <w:rPr>
          <w:rFonts w:cs="Times New Roman"/>
          <w:b/>
          <w:noProof/>
          <w:szCs w:val="24"/>
        </w:rPr>
        <w:t xml:space="preserve"> </w:t>
      </w:r>
      <w:r>
        <w:rPr>
          <w:rFonts w:cs="Times New Roman"/>
          <w:noProof/>
          <w:szCs w:val="24"/>
        </w:rPr>
        <w:t>apprenticeship-type training across the EU</w:t>
      </w:r>
      <w:r>
        <w:rPr>
          <w:rStyle w:val="FootnoteReference"/>
          <w:rFonts w:cs="Times New Roman"/>
          <w:noProof/>
          <w:szCs w:val="24"/>
        </w:rPr>
        <w:footnoteReference w:id="34"/>
      </w:r>
      <w:r>
        <w:rPr>
          <w:rFonts w:cs="Times New Roman"/>
          <w:noProof/>
          <w:szCs w:val="24"/>
        </w:rPr>
        <w:t>. Overall, the average annual company spending on apprenticeships in the EU is around 0.5% of their annual labour costs, or around EUR 30 billion, with potential gap of EUR 30 billion of investment to reach the level of financing in countries with advanced apprenticeships systems – i.e. 1% of the annual labour costs</w:t>
      </w:r>
      <w:r>
        <w:rPr>
          <w:rStyle w:val="FootnoteReference"/>
          <w:rFonts w:cs="Times New Roman"/>
          <w:noProof/>
          <w:szCs w:val="24"/>
        </w:rPr>
        <w:footnoteReference w:id="35"/>
      </w:r>
      <w:r>
        <w:rPr>
          <w:rFonts w:cs="Times New Roman"/>
          <w:noProof/>
          <w:szCs w:val="24"/>
        </w:rPr>
        <w:t>.</w:t>
      </w:r>
    </w:p>
    <w:p>
      <w:pPr>
        <w:spacing w:after="120" w:line="264" w:lineRule="auto"/>
        <w:rPr>
          <w:rFonts w:cs="Times New Roman"/>
          <w:noProof/>
          <w:szCs w:val="24"/>
        </w:rPr>
      </w:pPr>
      <w:r>
        <w:rPr>
          <w:rFonts w:cs="Times New Roman"/>
          <w:noProof/>
          <w:szCs w:val="24"/>
        </w:rPr>
        <w:t>A Commission analysis</w:t>
      </w:r>
      <w:r>
        <w:rPr>
          <w:rStyle w:val="FootnoteReference"/>
          <w:rFonts w:cs="Times New Roman"/>
          <w:noProof/>
          <w:szCs w:val="24"/>
        </w:rPr>
        <w:footnoteReference w:id="36"/>
      </w:r>
      <w:r>
        <w:rPr>
          <w:rFonts w:cs="Times New Roman"/>
          <w:noProof/>
          <w:szCs w:val="24"/>
        </w:rPr>
        <w:t xml:space="preserve"> shared and discussed in the Eurogroup confirms the importance of investments in human capital to raise productivity and boost potential growth. The EIB</w:t>
      </w:r>
      <w:r>
        <w:rPr>
          <w:rStyle w:val="FootnoteReference"/>
          <w:rFonts w:cs="Times New Roman"/>
          <w:noProof/>
          <w:szCs w:val="24"/>
        </w:rPr>
        <w:footnoteReference w:id="37"/>
      </w:r>
      <w:r>
        <w:rPr>
          <w:rFonts w:cs="Times New Roman"/>
          <w:noProof/>
          <w:szCs w:val="24"/>
        </w:rPr>
        <w:t xml:space="preserve"> considers that to reach US standards mostly in higher education annual investment of EUR 10 billion for state-of-the-art education facilities would be required, in addition to annual EUR 90 billion increased operational spending. </w:t>
      </w:r>
    </w:p>
    <w:p>
      <w:pPr>
        <w:spacing w:after="120" w:line="264" w:lineRule="auto"/>
        <w:rPr>
          <w:rFonts w:cs="Times New Roman"/>
          <w:noProof/>
          <w:szCs w:val="24"/>
        </w:rPr>
      </w:pPr>
      <w:r>
        <w:rPr>
          <w:rFonts w:cs="Times New Roman"/>
          <w:noProof/>
          <w:szCs w:val="24"/>
        </w:rPr>
        <w:t>EU support is therefore needed for improved educational attainment and skills providing easier access to labour market, lifelong skills development facilitating career progression, and minimising the risk of poverty/social exclusion</w:t>
      </w:r>
      <w:r>
        <w:rPr>
          <w:rStyle w:val="FootnoteReference"/>
          <w:rFonts w:cs="Times New Roman"/>
          <w:noProof/>
          <w:szCs w:val="24"/>
        </w:rPr>
        <w:footnoteReference w:id="38"/>
      </w:r>
      <w:r>
        <w:rPr>
          <w:rFonts w:cs="Times New Roman"/>
          <w:noProof/>
          <w:szCs w:val="24"/>
        </w:rPr>
        <w:t>. This includes investing in quality and affordable education, childcare, healthcare, long-term care, social housing and access to essential social services. Support for companies (particularly SMEs) to get involved more in combined school-and work-based education and training programmes as well as to improve the utilisation of skills through redesigned business processes is also needed.</w:t>
      </w:r>
    </w:p>
    <w:p>
      <w:pPr>
        <w:pStyle w:val="Heading2"/>
        <w:tabs>
          <w:tab w:val="num" w:pos="960"/>
        </w:tabs>
        <w:spacing w:after="120" w:line="264" w:lineRule="auto"/>
        <w:rPr>
          <w:noProof/>
          <w:szCs w:val="24"/>
        </w:rPr>
      </w:pPr>
      <w:bookmarkStart w:id="64" w:name="_Toc510593460"/>
      <w:bookmarkStart w:id="65" w:name="_Toc510593837"/>
      <w:bookmarkStart w:id="66" w:name="_Toc510606437"/>
      <w:bookmarkStart w:id="67" w:name="_Toc510606861"/>
      <w:bookmarkStart w:id="68" w:name="_Toc510608329"/>
      <w:bookmarkStart w:id="69" w:name="_Toc510609292"/>
      <w:bookmarkStart w:id="70" w:name="_Toc510609523"/>
      <w:bookmarkStart w:id="71" w:name="_Toc510610277"/>
      <w:bookmarkStart w:id="72" w:name="_Toc510612605"/>
      <w:bookmarkStart w:id="73" w:name="_Toc510615377"/>
      <w:bookmarkStart w:id="74" w:name="_Toc510616559"/>
      <w:bookmarkStart w:id="75" w:name="_Toc508809657"/>
      <w:bookmarkStart w:id="76" w:name="_Toc509067090"/>
      <w:bookmarkStart w:id="77" w:name="_Toc509068524"/>
      <w:bookmarkStart w:id="78" w:name="_Toc509069031"/>
      <w:bookmarkStart w:id="79" w:name="_Toc509131566"/>
      <w:bookmarkStart w:id="80" w:name="_Toc509310575"/>
      <w:bookmarkStart w:id="81" w:name="_Toc509310970"/>
      <w:bookmarkStart w:id="82" w:name="_Toc509311371"/>
      <w:bookmarkStart w:id="83" w:name="_Toc509311702"/>
      <w:bookmarkStart w:id="84" w:name="_Toc509312235"/>
      <w:bookmarkStart w:id="85" w:name="_Toc509312574"/>
      <w:bookmarkStart w:id="86" w:name="_Toc509312915"/>
      <w:bookmarkStart w:id="87" w:name="_Toc509313317"/>
      <w:bookmarkStart w:id="88" w:name="_Toc509316755"/>
      <w:bookmarkStart w:id="89" w:name="_Toc509317068"/>
      <w:bookmarkStart w:id="90" w:name="_Toc509317047"/>
      <w:bookmarkStart w:id="91" w:name="_Toc509317673"/>
      <w:bookmarkStart w:id="92" w:name="_Toc509317986"/>
      <w:bookmarkStart w:id="93" w:name="_Toc509318972"/>
      <w:bookmarkStart w:id="94" w:name="_Toc509319334"/>
      <w:bookmarkStart w:id="95" w:name="_Toc509320108"/>
      <w:bookmarkStart w:id="96" w:name="_Toc509321978"/>
      <w:bookmarkStart w:id="97" w:name="_Toc509322401"/>
      <w:bookmarkStart w:id="98" w:name="_Toc509322903"/>
      <w:bookmarkStart w:id="99" w:name="_Toc509323276"/>
      <w:bookmarkStart w:id="100" w:name="_Toc509323600"/>
      <w:bookmarkStart w:id="101" w:name="_Toc509323924"/>
      <w:bookmarkStart w:id="102" w:name="_Toc509324248"/>
      <w:bookmarkStart w:id="103" w:name="_Toc509324617"/>
      <w:bookmarkStart w:id="104" w:name="_Toc509324986"/>
      <w:bookmarkStart w:id="105" w:name="_Toc509325355"/>
      <w:bookmarkStart w:id="106" w:name="_Toc509325724"/>
      <w:bookmarkStart w:id="107" w:name="_Toc509326099"/>
      <w:bookmarkStart w:id="108" w:name="_Toc509326474"/>
      <w:bookmarkStart w:id="109" w:name="_Toc509326849"/>
      <w:bookmarkStart w:id="110" w:name="_Toc509326504"/>
      <w:bookmarkStart w:id="111" w:name="_Toc509327540"/>
      <w:bookmarkStart w:id="112" w:name="_Toc509327915"/>
      <w:bookmarkStart w:id="113" w:name="_Toc509332707"/>
      <w:bookmarkStart w:id="114" w:name="_Toc509333120"/>
      <w:bookmarkStart w:id="115" w:name="_Toc509333533"/>
      <w:bookmarkStart w:id="116" w:name="_Toc509334936"/>
      <w:bookmarkStart w:id="117" w:name="_Toc509335446"/>
      <w:bookmarkStart w:id="118" w:name="_Toc509336377"/>
      <w:bookmarkStart w:id="119" w:name="_Toc509336809"/>
      <w:bookmarkStart w:id="120" w:name="_Toc509337236"/>
      <w:bookmarkStart w:id="121" w:name="_Toc509337663"/>
      <w:bookmarkStart w:id="122" w:name="_Toc509337266"/>
      <w:bookmarkStart w:id="123" w:name="_Toc509382534"/>
      <w:bookmarkStart w:id="124" w:name="_Toc509382966"/>
      <w:bookmarkStart w:id="125" w:name="_Toc509383845"/>
      <w:bookmarkStart w:id="126" w:name="_Toc509404517"/>
      <w:bookmarkStart w:id="127" w:name="_Toc508809660"/>
      <w:bookmarkStart w:id="128" w:name="_Toc509067093"/>
      <w:bookmarkStart w:id="129" w:name="_Toc509068527"/>
      <w:bookmarkStart w:id="130" w:name="_Toc509069034"/>
      <w:bookmarkStart w:id="131" w:name="_Toc509131569"/>
      <w:bookmarkStart w:id="132" w:name="_Toc509310578"/>
      <w:bookmarkStart w:id="133" w:name="_Toc509310973"/>
      <w:bookmarkStart w:id="134" w:name="_Toc509311374"/>
      <w:bookmarkStart w:id="135" w:name="_Toc509311718"/>
      <w:bookmarkStart w:id="136" w:name="_Toc509312238"/>
      <w:bookmarkStart w:id="137" w:name="_Toc509312577"/>
      <w:bookmarkStart w:id="138" w:name="_Toc509312918"/>
      <w:bookmarkStart w:id="139" w:name="_Toc509313320"/>
      <w:bookmarkStart w:id="140" w:name="_Toc509316758"/>
      <w:bookmarkStart w:id="141" w:name="_Toc509317071"/>
      <w:bookmarkStart w:id="142" w:name="_Toc509317050"/>
      <w:bookmarkStart w:id="143" w:name="_Toc509317676"/>
      <w:bookmarkStart w:id="144" w:name="_Toc509317989"/>
      <w:bookmarkStart w:id="145" w:name="_Toc509318975"/>
      <w:bookmarkStart w:id="146" w:name="_Toc509319337"/>
      <w:bookmarkStart w:id="147" w:name="_Toc509320111"/>
      <w:bookmarkStart w:id="148" w:name="_Toc509321981"/>
      <w:bookmarkStart w:id="149" w:name="_Toc509322404"/>
      <w:bookmarkStart w:id="150" w:name="_Toc509322906"/>
      <w:bookmarkStart w:id="151" w:name="_Toc509323279"/>
      <w:bookmarkStart w:id="152" w:name="_Toc509323603"/>
      <w:bookmarkStart w:id="153" w:name="_Toc509323927"/>
      <w:bookmarkStart w:id="154" w:name="_Toc509324251"/>
      <w:bookmarkStart w:id="155" w:name="_Toc509324620"/>
      <w:bookmarkStart w:id="156" w:name="_Toc509324989"/>
      <w:bookmarkStart w:id="157" w:name="_Toc509325358"/>
      <w:bookmarkStart w:id="158" w:name="_Toc509325727"/>
      <w:bookmarkStart w:id="159" w:name="_Toc509326102"/>
      <w:bookmarkStart w:id="160" w:name="_Toc509326477"/>
      <w:bookmarkStart w:id="161" w:name="_Toc509326852"/>
      <w:bookmarkStart w:id="162" w:name="_Toc509326523"/>
      <w:bookmarkStart w:id="163" w:name="_Toc509327543"/>
      <w:bookmarkStart w:id="164" w:name="_Toc509327918"/>
      <w:bookmarkStart w:id="165" w:name="_Toc509332710"/>
      <w:bookmarkStart w:id="166" w:name="_Toc509333123"/>
      <w:bookmarkStart w:id="167" w:name="_Toc509333536"/>
      <w:bookmarkStart w:id="168" w:name="_Toc509334939"/>
      <w:bookmarkStart w:id="169" w:name="_Toc509335449"/>
      <w:bookmarkStart w:id="170" w:name="_Toc509336380"/>
      <w:bookmarkStart w:id="171" w:name="_Toc509336812"/>
      <w:bookmarkStart w:id="172" w:name="_Toc509337239"/>
      <w:bookmarkStart w:id="173" w:name="_Toc509337666"/>
      <w:bookmarkStart w:id="174" w:name="_Toc509337285"/>
      <w:bookmarkStart w:id="175" w:name="_Toc509382537"/>
      <w:bookmarkStart w:id="176" w:name="_Toc509382969"/>
      <w:bookmarkStart w:id="177" w:name="_Toc509383848"/>
      <w:bookmarkStart w:id="178" w:name="_Toc509404520"/>
      <w:bookmarkStart w:id="179" w:name="_Toc508809664"/>
      <w:bookmarkStart w:id="180" w:name="_Toc509067097"/>
      <w:bookmarkStart w:id="181" w:name="_Toc509068531"/>
      <w:bookmarkStart w:id="182" w:name="_Toc509069038"/>
      <w:bookmarkStart w:id="183" w:name="_Toc509131573"/>
      <w:bookmarkStart w:id="184" w:name="_Toc509310582"/>
      <w:bookmarkStart w:id="185" w:name="_Toc509310977"/>
      <w:bookmarkStart w:id="186" w:name="_Toc509311378"/>
      <w:bookmarkStart w:id="187" w:name="_Toc509311722"/>
      <w:bookmarkStart w:id="188" w:name="_Toc509312242"/>
      <w:bookmarkStart w:id="189" w:name="_Toc509312581"/>
      <w:bookmarkStart w:id="190" w:name="_Toc509312922"/>
      <w:bookmarkStart w:id="191" w:name="_Toc509313324"/>
      <w:bookmarkStart w:id="192" w:name="_Toc509316762"/>
      <w:bookmarkStart w:id="193" w:name="_Toc509317075"/>
      <w:bookmarkStart w:id="194" w:name="_Toc509317054"/>
      <w:bookmarkStart w:id="195" w:name="_Toc509317680"/>
      <w:bookmarkStart w:id="196" w:name="_Toc509317993"/>
      <w:bookmarkStart w:id="197" w:name="_Toc509318979"/>
      <w:bookmarkStart w:id="198" w:name="_Toc509319341"/>
      <w:bookmarkStart w:id="199" w:name="_Toc509320115"/>
      <w:bookmarkStart w:id="200" w:name="_Toc509321985"/>
      <w:bookmarkStart w:id="201" w:name="_Toc509322408"/>
      <w:bookmarkStart w:id="202" w:name="_Toc509322910"/>
      <w:bookmarkStart w:id="203" w:name="_Toc509323283"/>
      <w:bookmarkStart w:id="204" w:name="_Toc509323607"/>
      <w:bookmarkStart w:id="205" w:name="_Toc509323931"/>
      <w:bookmarkStart w:id="206" w:name="_Toc509324255"/>
      <w:bookmarkStart w:id="207" w:name="_Toc509324624"/>
      <w:bookmarkStart w:id="208" w:name="_Toc509324993"/>
      <w:bookmarkStart w:id="209" w:name="_Toc509325362"/>
      <w:bookmarkStart w:id="210" w:name="_Toc509325731"/>
      <w:bookmarkStart w:id="211" w:name="_Toc509326106"/>
      <w:bookmarkStart w:id="212" w:name="_Toc509326481"/>
      <w:bookmarkStart w:id="213" w:name="_Toc509326856"/>
      <w:bookmarkStart w:id="214" w:name="_Toc509326675"/>
      <w:bookmarkStart w:id="215" w:name="_Toc509327547"/>
      <w:bookmarkStart w:id="216" w:name="_Toc509327922"/>
      <w:bookmarkStart w:id="217" w:name="_Toc509332714"/>
      <w:bookmarkStart w:id="218" w:name="_Toc509333127"/>
      <w:bookmarkStart w:id="219" w:name="_Toc509333540"/>
      <w:bookmarkStart w:id="220" w:name="_Toc509334943"/>
      <w:bookmarkStart w:id="221" w:name="_Toc509335453"/>
      <w:bookmarkStart w:id="222" w:name="_Toc509336384"/>
      <w:bookmarkStart w:id="223" w:name="_Toc509336816"/>
      <w:bookmarkStart w:id="224" w:name="_Toc509337243"/>
      <w:bookmarkStart w:id="225" w:name="_Toc509337670"/>
      <w:bookmarkStart w:id="226" w:name="_Toc509337437"/>
      <w:bookmarkStart w:id="227" w:name="_Toc509382541"/>
      <w:bookmarkStart w:id="228" w:name="_Toc509382973"/>
      <w:bookmarkStart w:id="229" w:name="_Toc509383852"/>
      <w:bookmarkStart w:id="230" w:name="_Toc509404524"/>
      <w:bookmarkStart w:id="231" w:name="_Toc508809666"/>
      <w:bookmarkStart w:id="232" w:name="_Toc509067099"/>
      <w:bookmarkStart w:id="233" w:name="_Toc509068533"/>
      <w:bookmarkStart w:id="234" w:name="_Toc509069040"/>
      <w:bookmarkStart w:id="235" w:name="_Toc509131575"/>
      <w:bookmarkStart w:id="236" w:name="_Toc509310584"/>
      <w:bookmarkStart w:id="237" w:name="_Toc509310979"/>
      <w:bookmarkStart w:id="238" w:name="_Toc509311380"/>
      <w:bookmarkStart w:id="239" w:name="_Toc509311724"/>
      <w:bookmarkStart w:id="240" w:name="_Toc509312244"/>
      <w:bookmarkStart w:id="241" w:name="_Toc509312583"/>
      <w:bookmarkStart w:id="242" w:name="_Toc509312924"/>
      <w:bookmarkStart w:id="243" w:name="_Toc509313326"/>
      <w:bookmarkStart w:id="244" w:name="_Toc509316764"/>
      <w:bookmarkStart w:id="245" w:name="_Toc509317077"/>
      <w:bookmarkStart w:id="246" w:name="_Toc509317056"/>
      <w:bookmarkStart w:id="247" w:name="_Toc509317682"/>
      <w:bookmarkStart w:id="248" w:name="_Toc509317995"/>
      <w:bookmarkStart w:id="249" w:name="_Toc509318981"/>
      <w:bookmarkStart w:id="250" w:name="_Toc509319343"/>
      <w:bookmarkStart w:id="251" w:name="_Toc509320117"/>
      <w:bookmarkStart w:id="252" w:name="_Toc509321989"/>
      <w:bookmarkStart w:id="253" w:name="_Toc509322410"/>
      <w:bookmarkStart w:id="254" w:name="_Toc509322912"/>
      <w:bookmarkStart w:id="255" w:name="_Toc509323285"/>
      <w:bookmarkStart w:id="256" w:name="_Toc509323609"/>
      <w:bookmarkStart w:id="257" w:name="_Toc509323933"/>
      <w:bookmarkStart w:id="258" w:name="_Toc509324257"/>
      <w:bookmarkStart w:id="259" w:name="_Toc509324626"/>
      <w:bookmarkStart w:id="260" w:name="_Toc509324995"/>
      <w:bookmarkStart w:id="261" w:name="_Toc509325364"/>
      <w:bookmarkStart w:id="262" w:name="_Toc509325733"/>
      <w:bookmarkStart w:id="263" w:name="_Toc509326108"/>
      <w:bookmarkStart w:id="264" w:name="_Toc509326483"/>
      <w:bookmarkStart w:id="265" w:name="_Toc509326858"/>
      <w:bookmarkStart w:id="266" w:name="_Toc509326686"/>
      <w:bookmarkStart w:id="267" w:name="_Toc509327549"/>
      <w:bookmarkStart w:id="268" w:name="_Toc509327924"/>
      <w:bookmarkStart w:id="269" w:name="_Toc509332716"/>
      <w:bookmarkStart w:id="270" w:name="_Toc509333129"/>
      <w:bookmarkStart w:id="271" w:name="_Toc509333542"/>
      <w:bookmarkStart w:id="272" w:name="_Toc509334945"/>
      <w:bookmarkStart w:id="273" w:name="_Toc509335455"/>
      <w:bookmarkStart w:id="274" w:name="_Toc509336386"/>
      <w:bookmarkStart w:id="275" w:name="_Toc509336818"/>
      <w:bookmarkStart w:id="276" w:name="_Toc509337245"/>
      <w:bookmarkStart w:id="277" w:name="_Toc509337672"/>
      <w:bookmarkStart w:id="278" w:name="_Toc509337448"/>
      <w:bookmarkStart w:id="279" w:name="_Toc509382543"/>
      <w:bookmarkStart w:id="280" w:name="_Toc509382975"/>
      <w:bookmarkStart w:id="281" w:name="_Toc509383854"/>
      <w:bookmarkStart w:id="282" w:name="_Toc509404526"/>
      <w:bookmarkStart w:id="283" w:name="_Toc508809668"/>
      <w:bookmarkStart w:id="284" w:name="_Toc509067101"/>
      <w:bookmarkStart w:id="285" w:name="_Toc509068535"/>
      <w:bookmarkStart w:id="286" w:name="_Toc509069042"/>
      <w:bookmarkStart w:id="287" w:name="_Toc509131577"/>
      <w:bookmarkStart w:id="288" w:name="_Toc509310586"/>
      <w:bookmarkStart w:id="289" w:name="_Toc509310981"/>
      <w:bookmarkStart w:id="290" w:name="_Toc509311382"/>
      <w:bookmarkStart w:id="291" w:name="_Toc509311727"/>
      <w:bookmarkStart w:id="292" w:name="_Toc509312246"/>
      <w:bookmarkStart w:id="293" w:name="_Toc509312585"/>
      <w:bookmarkStart w:id="294" w:name="_Toc509312926"/>
      <w:bookmarkStart w:id="295" w:name="_Toc509313328"/>
      <w:bookmarkStart w:id="296" w:name="_Toc509316766"/>
      <w:bookmarkStart w:id="297" w:name="_Toc509317079"/>
      <w:bookmarkStart w:id="298" w:name="_Toc509317058"/>
      <w:bookmarkStart w:id="299" w:name="_Toc509317684"/>
      <w:bookmarkStart w:id="300" w:name="_Toc509317997"/>
      <w:bookmarkStart w:id="301" w:name="_Toc509318983"/>
      <w:bookmarkStart w:id="302" w:name="_Toc509319345"/>
      <w:bookmarkStart w:id="303" w:name="_Toc509320119"/>
      <w:bookmarkStart w:id="304" w:name="_Toc509321991"/>
      <w:bookmarkStart w:id="305" w:name="_Toc509322412"/>
      <w:bookmarkStart w:id="306" w:name="_Toc509322914"/>
      <w:bookmarkStart w:id="307" w:name="_Toc509323287"/>
      <w:bookmarkStart w:id="308" w:name="_Toc509323611"/>
      <w:bookmarkStart w:id="309" w:name="_Toc509323935"/>
      <w:bookmarkStart w:id="310" w:name="_Toc509324259"/>
      <w:bookmarkStart w:id="311" w:name="_Toc509324628"/>
      <w:bookmarkStart w:id="312" w:name="_Toc509324997"/>
      <w:bookmarkStart w:id="313" w:name="_Toc509325366"/>
      <w:bookmarkStart w:id="314" w:name="_Toc509325735"/>
      <w:bookmarkStart w:id="315" w:name="_Toc509326110"/>
      <w:bookmarkStart w:id="316" w:name="_Toc509326485"/>
      <w:bookmarkStart w:id="317" w:name="_Toc509326860"/>
      <w:bookmarkStart w:id="318" w:name="_Toc509326706"/>
      <w:bookmarkStart w:id="319" w:name="_Toc509327551"/>
      <w:bookmarkStart w:id="320" w:name="_Toc509327926"/>
      <w:bookmarkStart w:id="321" w:name="_Toc509332718"/>
      <w:bookmarkStart w:id="322" w:name="_Toc509333131"/>
      <w:bookmarkStart w:id="323" w:name="_Toc509333544"/>
      <w:bookmarkStart w:id="324" w:name="_Toc509334947"/>
      <w:bookmarkStart w:id="325" w:name="_Toc509335457"/>
      <w:bookmarkStart w:id="326" w:name="_Toc509336388"/>
      <w:bookmarkStart w:id="327" w:name="_Toc509336820"/>
      <w:bookmarkStart w:id="328" w:name="_Toc509337247"/>
      <w:bookmarkStart w:id="329" w:name="_Toc509337674"/>
      <w:bookmarkStart w:id="330" w:name="_Toc509337468"/>
      <w:bookmarkStart w:id="331" w:name="_Toc509382545"/>
      <w:bookmarkStart w:id="332" w:name="_Toc509382977"/>
      <w:bookmarkStart w:id="333" w:name="_Toc509383856"/>
      <w:bookmarkStart w:id="334" w:name="_Toc509404528"/>
      <w:bookmarkStart w:id="335" w:name="_Toc508809669"/>
      <w:bookmarkStart w:id="336" w:name="_Toc509067102"/>
      <w:bookmarkStart w:id="337" w:name="_Toc509068536"/>
      <w:bookmarkStart w:id="338" w:name="_Toc509069043"/>
      <w:bookmarkStart w:id="339" w:name="_Toc509131578"/>
      <w:bookmarkStart w:id="340" w:name="_Toc509310587"/>
      <w:bookmarkStart w:id="341" w:name="_Toc509310982"/>
      <w:bookmarkStart w:id="342" w:name="_Toc509311383"/>
      <w:bookmarkStart w:id="343" w:name="_Toc509311728"/>
      <w:bookmarkStart w:id="344" w:name="_Toc509312247"/>
      <w:bookmarkStart w:id="345" w:name="_Toc509312586"/>
      <w:bookmarkStart w:id="346" w:name="_Toc509312927"/>
      <w:bookmarkStart w:id="347" w:name="_Toc509313329"/>
      <w:bookmarkStart w:id="348" w:name="_Toc509316767"/>
      <w:bookmarkStart w:id="349" w:name="_Toc509317080"/>
      <w:bookmarkStart w:id="350" w:name="_Toc509317059"/>
      <w:bookmarkStart w:id="351" w:name="_Toc509317685"/>
      <w:bookmarkStart w:id="352" w:name="_Toc509317998"/>
      <w:bookmarkStart w:id="353" w:name="_Toc509318984"/>
      <w:bookmarkStart w:id="354" w:name="_Toc509319346"/>
      <w:bookmarkStart w:id="355" w:name="_Toc509320120"/>
      <w:bookmarkStart w:id="356" w:name="_Toc509321993"/>
      <w:bookmarkStart w:id="357" w:name="_Toc509322413"/>
      <w:bookmarkStart w:id="358" w:name="_Toc509322915"/>
      <w:bookmarkStart w:id="359" w:name="_Toc509323288"/>
      <w:bookmarkStart w:id="360" w:name="_Toc509323612"/>
      <w:bookmarkStart w:id="361" w:name="_Toc509323936"/>
      <w:bookmarkStart w:id="362" w:name="_Toc509324260"/>
      <w:bookmarkStart w:id="363" w:name="_Toc509324629"/>
      <w:bookmarkStart w:id="364" w:name="_Toc509324998"/>
      <w:bookmarkStart w:id="365" w:name="_Toc509325367"/>
      <w:bookmarkStart w:id="366" w:name="_Toc509325736"/>
      <w:bookmarkStart w:id="367" w:name="_Toc509326111"/>
      <w:bookmarkStart w:id="368" w:name="_Toc509326486"/>
      <w:bookmarkStart w:id="369" w:name="_Toc509326861"/>
      <w:bookmarkStart w:id="370" w:name="_Toc509326708"/>
      <w:bookmarkStart w:id="371" w:name="_Toc509327552"/>
      <w:bookmarkStart w:id="372" w:name="_Toc509327927"/>
      <w:bookmarkStart w:id="373" w:name="_Toc509332719"/>
      <w:bookmarkStart w:id="374" w:name="_Toc509333132"/>
      <w:bookmarkStart w:id="375" w:name="_Toc509333545"/>
      <w:bookmarkStart w:id="376" w:name="_Toc509334948"/>
      <w:bookmarkStart w:id="377" w:name="_Toc509335458"/>
      <w:bookmarkStart w:id="378" w:name="_Toc509336389"/>
      <w:bookmarkStart w:id="379" w:name="_Toc509336821"/>
      <w:bookmarkStart w:id="380" w:name="_Toc509337248"/>
      <w:bookmarkStart w:id="381" w:name="_Toc509337675"/>
      <w:bookmarkStart w:id="382" w:name="_Toc509337482"/>
      <w:bookmarkStart w:id="383" w:name="_Toc509382546"/>
      <w:bookmarkStart w:id="384" w:name="_Toc509382978"/>
      <w:bookmarkStart w:id="385" w:name="_Toc509383857"/>
      <w:bookmarkStart w:id="386" w:name="_Toc509404529"/>
      <w:bookmarkStart w:id="387" w:name="_Toc508809670"/>
      <w:bookmarkStart w:id="388" w:name="_Toc509067103"/>
      <w:bookmarkStart w:id="389" w:name="_Toc509068537"/>
      <w:bookmarkStart w:id="390" w:name="_Toc509069044"/>
      <w:bookmarkStart w:id="391" w:name="_Toc509131579"/>
      <w:bookmarkStart w:id="392" w:name="_Toc509310588"/>
      <w:bookmarkStart w:id="393" w:name="_Toc509310983"/>
      <w:bookmarkStart w:id="394" w:name="_Toc509311384"/>
      <w:bookmarkStart w:id="395" w:name="_Toc509311729"/>
      <w:bookmarkStart w:id="396" w:name="_Toc509312248"/>
      <w:bookmarkStart w:id="397" w:name="_Toc509312587"/>
      <w:bookmarkStart w:id="398" w:name="_Toc509312928"/>
      <w:bookmarkStart w:id="399" w:name="_Toc509313330"/>
      <w:bookmarkStart w:id="400" w:name="_Toc509316768"/>
      <w:bookmarkStart w:id="401" w:name="_Toc509317081"/>
      <w:bookmarkStart w:id="402" w:name="_Toc509317060"/>
      <w:bookmarkStart w:id="403" w:name="_Toc509317686"/>
      <w:bookmarkStart w:id="404" w:name="_Toc509317999"/>
      <w:bookmarkStart w:id="405" w:name="_Toc509318985"/>
      <w:bookmarkStart w:id="406" w:name="_Toc509319347"/>
      <w:bookmarkStart w:id="407" w:name="_Toc509320121"/>
      <w:bookmarkStart w:id="408" w:name="_Toc509321994"/>
      <w:bookmarkStart w:id="409" w:name="_Toc509322414"/>
      <w:bookmarkStart w:id="410" w:name="_Toc509322916"/>
      <w:bookmarkStart w:id="411" w:name="_Toc509323289"/>
      <w:bookmarkStart w:id="412" w:name="_Toc509323613"/>
      <w:bookmarkStart w:id="413" w:name="_Toc509323937"/>
      <w:bookmarkStart w:id="414" w:name="_Toc509324261"/>
      <w:bookmarkStart w:id="415" w:name="_Toc509324630"/>
      <w:bookmarkStart w:id="416" w:name="_Toc509324999"/>
      <w:bookmarkStart w:id="417" w:name="_Toc509325368"/>
      <w:bookmarkStart w:id="418" w:name="_Toc509325737"/>
      <w:bookmarkStart w:id="419" w:name="_Toc509326112"/>
      <w:bookmarkStart w:id="420" w:name="_Toc509326487"/>
      <w:bookmarkStart w:id="421" w:name="_Toc509326862"/>
      <w:bookmarkStart w:id="422" w:name="_Toc509326709"/>
      <w:bookmarkStart w:id="423" w:name="_Toc509327553"/>
      <w:bookmarkStart w:id="424" w:name="_Toc509327928"/>
      <w:bookmarkStart w:id="425" w:name="_Toc509332720"/>
      <w:bookmarkStart w:id="426" w:name="_Toc509333133"/>
      <w:bookmarkStart w:id="427" w:name="_Toc509333546"/>
      <w:bookmarkStart w:id="428" w:name="_Toc509334949"/>
      <w:bookmarkStart w:id="429" w:name="_Toc509335459"/>
      <w:bookmarkStart w:id="430" w:name="_Toc509336390"/>
      <w:bookmarkStart w:id="431" w:name="_Toc509336822"/>
      <w:bookmarkStart w:id="432" w:name="_Toc509337249"/>
      <w:bookmarkStart w:id="433" w:name="_Toc509337676"/>
      <w:bookmarkStart w:id="434" w:name="_Toc509337483"/>
      <w:bookmarkStart w:id="435" w:name="_Toc509382547"/>
      <w:bookmarkStart w:id="436" w:name="_Toc509382979"/>
      <w:bookmarkStart w:id="437" w:name="_Toc509383858"/>
      <w:bookmarkStart w:id="438" w:name="_Toc509404530"/>
      <w:bookmarkStart w:id="439" w:name="_Toc508809680"/>
      <w:bookmarkStart w:id="440" w:name="_Toc509067113"/>
      <w:bookmarkStart w:id="441" w:name="_Toc509068547"/>
      <w:bookmarkStart w:id="442" w:name="_Toc509069054"/>
      <w:bookmarkStart w:id="443" w:name="_Toc509131589"/>
      <w:bookmarkStart w:id="444" w:name="_Toc509310598"/>
      <w:bookmarkStart w:id="445" w:name="_Toc509310993"/>
      <w:bookmarkStart w:id="446" w:name="_Toc509311394"/>
      <w:bookmarkStart w:id="447" w:name="_Toc509311739"/>
      <w:bookmarkStart w:id="448" w:name="_Toc509312258"/>
      <w:bookmarkStart w:id="449" w:name="_Toc509312597"/>
      <w:bookmarkStart w:id="450" w:name="_Toc509312938"/>
      <w:bookmarkStart w:id="451" w:name="_Toc509313340"/>
      <w:bookmarkStart w:id="452" w:name="_Toc509316778"/>
      <w:bookmarkStart w:id="453" w:name="_Toc509317091"/>
      <w:bookmarkStart w:id="454" w:name="_Toc509317383"/>
      <w:bookmarkStart w:id="455" w:name="_Toc509317696"/>
      <w:bookmarkStart w:id="456" w:name="_Toc509318009"/>
      <w:bookmarkStart w:id="457" w:name="_Toc509318995"/>
      <w:bookmarkStart w:id="458" w:name="_Toc509319357"/>
      <w:bookmarkStart w:id="459" w:name="_Toc509320131"/>
      <w:bookmarkStart w:id="460" w:name="_Toc509322012"/>
      <w:bookmarkStart w:id="461" w:name="_Toc509322424"/>
      <w:bookmarkStart w:id="462" w:name="_Toc509322926"/>
      <w:bookmarkStart w:id="463" w:name="_Toc509323299"/>
      <w:bookmarkStart w:id="464" w:name="_Toc509323623"/>
      <w:bookmarkStart w:id="465" w:name="_Toc509323947"/>
      <w:bookmarkStart w:id="466" w:name="_Toc509324271"/>
      <w:bookmarkStart w:id="467" w:name="_Toc509324640"/>
      <w:bookmarkStart w:id="468" w:name="_Toc509325009"/>
      <w:bookmarkStart w:id="469" w:name="_Toc509325378"/>
      <w:bookmarkStart w:id="470" w:name="_Toc509325747"/>
      <w:bookmarkStart w:id="471" w:name="_Toc509326122"/>
      <w:bookmarkStart w:id="472" w:name="_Toc509326497"/>
      <w:bookmarkStart w:id="473" w:name="_Toc509326872"/>
      <w:bookmarkStart w:id="474" w:name="_Toc509326722"/>
      <w:bookmarkStart w:id="475" w:name="_Toc509327563"/>
      <w:bookmarkStart w:id="476" w:name="_Toc509327938"/>
      <w:bookmarkStart w:id="477" w:name="_Toc509332730"/>
      <w:bookmarkStart w:id="478" w:name="_Toc509333143"/>
      <w:bookmarkStart w:id="479" w:name="_Toc509333556"/>
      <w:bookmarkStart w:id="480" w:name="_Toc509335469"/>
      <w:bookmarkStart w:id="481" w:name="_Toc509336400"/>
      <w:bookmarkStart w:id="482" w:name="_Toc509336832"/>
      <w:bookmarkStart w:id="483" w:name="_Toc509337259"/>
      <w:bookmarkStart w:id="484" w:name="_Toc509337686"/>
      <w:bookmarkStart w:id="485" w:name="_Toc509337496"/>
      <w:bookmarkStart w:id="486" w:name="_Toc509382557"/>
      <w:bookmarkStart w:id="487" w:name="_Toc509382989"/>
      <w:bookmarkStart w:id="488" w:name="_Toc509383868"/>
      <w:bookmarkStart w:id="489" w:name="_Toc509404540"/>
      <w:bookmarkStart w:id="490" w:name="_Toc508809686"/>
      <w:bookmarkStart w:id="491" w:name="_Toc509067119"/>
      <w:bookmarkStart w:id="492" w:name="_Toc509068553"/>
      <w:bookmarkStart w:id="493" w:name="_Toc509069060"/>
      <w:bookmarkStart w:id="494" w:name="_Toc509131595"/>
      <w:bookmarkStart w:id="495" w:name="_Toc509310604"/>
      <w:bookmarkStart w:id="496" w:name="_Toc509310999"/>
      <w:bookmarkStart w:id="497" w:name="_Toc509311400"/>
      <w:bookmarkStart w:id="498" w:name="_Toc509311745"/>
      <w:bookmarkStart w:id="499" w:name="_Toc509312264"/>
      <w:bookmarkStart w:id="500" w:name="_Toc509312603"/>
      <w:bookmarkStart w:id="501" w:name="_Toc509312944"/>
      <w:bookmarkStart w:id="502" w:name="_Toc509313346"/>
      <w:bookmarkStart w:id="503" w:name="_Toc509316784"/>
      <w:bookmarkStart w:id="504" w:name="_Toc509317097"/>
      <w:bookmarkStart w:id="505" w:name="_Toc509317389"/>
      <w:bookmarkStart w:id="506" w:name="_Toc509317702"/>
      <w:bookmarkStart w:id="507" w:name="_Toc509318015"/>
      <w:bookmarkStart w:id="508" w:name="_Toc509319001"/>
      <w:bookmarkStart w:id="509" w:name="_Toc509319363"/>
      <w:bookmarkStart w:id="510" w:name="_Toc509320137"/>
      <w:bookmarkStart w:id="511" w:name="_Toc509322018"/>
      <w:bookmarkStart w:id="512" w:name="_Toc509322430"/>
      <w:bookmarkStart w:id="513" w:name="_Toc509322932"/>
      <w:bookmarkStart w:id="514" w:name="_Toc509323305"/>
      <w:bookmarkStart w:id="515" w:name="_Toc509323629"/>
      <w:bookmarkStart w:id="516" w:name="_Toc509323953"/>
      <w:bookmarkStart w:id="517" w:name="_Toc509324277"/>
      <w:bookmarkStart w:id="518" w:name="_Toc509324646"/>
      <w:bookmarkStart w:id="519" w:name="_Toc509325015"/>
      <w:bookmarkStart w:id="520" w:name="_Toc509325384"/>
      <w:bookmarkStart w:id="521" w:name="_Toc509325753"/>
      <w:bookmarkStart w:id="522" w:name="_Toc509326128"/>
      <w:bookmarkStart w:id="523" w:name="_Toc509326503"/>
      <w:bookmarkStart w:id="524" w:name="_Toc509326878"/>
      <w:bookmarkStart w:id="525" w:name="_Toc509326743"/>
      <w:bookmarkStart w:id="526" w:name="_Toc509327569"/>
      <w:bookmarkStart w:id="527" w:name="_Toc509327944"/>
      <w:bookmarkStart w:id="528" w:name="_Toc509332736"/>
      <w:bookmarkStart w:id="529" w:name="_Toc509333149"/>
      <w:bookmarkStart w:id="530" w:name="_Toc509333562"/>
      <w:bookmarkStart w:id="531" w:name="_Toc509335475"/>
      <w:bookmarkStart w:id="532" w:name="_Toc509336406"/>
      <w:bookmarkStart w:id="533" w:name="_Toc509336838"/>
      <w:bookmarkStart w:id="534" w:name="_Toc509337265"/>
      <w:bookmarkStart w:id="535" w:name="_Toc509337692"/>
      <w:bookmarkStart w:id="536" w:name="_Toc509337517"/>
      <w:bookmarkStart w:id="537" w:name="_Toc509382563"/>
      <w:bookmarkStart w:id="538" w:name="_Toc509382995"/>
      <w:bookmarkStart w:id="539" w:name="_Toc509383874"/>
      <w:bookmarkStart w:id="540" w:name="_Toc509404546"/>
      <w:bookmarkStart w:id="541" w:name="_Toc510206785"/>
      <w:bookmarkStart w:id="542" w:name="_Toc510207577"/>
      <w:bookmarkStart w:id="543" w:name="_Toc510517516"/>
      <w:bookmarkStart w:id="544" w:name="_Toc510593464"/>
      <w:bookmarkStart w:id="545" w:name="_Toc510593841"/>
      <w:bookmarkStart w:id="546" w:name="_Toc510606441"/>
      <w:bookmarkStart w:id="547" w:name="_Toc510606865"/>
      <w:bookmarkStart w:id="548" w:name="_Toc510609527"/>
      <w:bookmarkStart w:id="549" w:name="_Toc510612609"/>
      <w:bookmarkStart w:id="550" w:name="_Toc510615381"/>
      <w:bookmarkStart w:id="551" w:name="_Toc510616563"/>
      <w:bookmarkStart w:id="552" w:name="_Toc510517517"/>
      <w:bookmarkStart w:id="553" w:name="_Toc510612610"/>
      <w:bookmarkStart w:id="554" w:name="_Toc510683706"/>
      <w:bookmarkStart w:id="555" w:name="_Toc51534887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Pr>
          <w:noProof/>
          <w:szCs w:val="24"/>
        </w:rPr>
        <w:t>Lessons learned from previous programmes</w:t>
      </w:r>
      <w:bookmarkEnd w:id="552"/>
      <w:bookmarkEnd w:id="553"/>
      <w:bookmarkEnd w:id="554"/>
      <w:bookmarkEnd w:id="555"/>
    </w:p>
    <w:p>
      <w:pPr>
        <w:pStyle w:val="Text2"/>
        <w:spacing w:after="120" w:line="264" w:lineRule="auto"/>
        <w:ind w:left="0"/>
        <w:rPr>
          <w:noProof/>
          <w:szCs w:val="24"/>
        </w:rPr>
      </w:pPr>
      <w:r>
        <w:rPr>
          <w:noProof/>
          <w:szCs w:val="24"/>
        </w:rPr>
        <w:t>It has been recognised that financial instruments such as guarantees, loans, and equity play an important role for the achievement of EU policy objectives and one of the advantages is that the FIs support has to be repaid, which leads to resources being used for several funding cycles. Their repayable nature also ensures better alignment of interests between different stakeholders, greater economic scrutiny of projects, as well as more financial discipline. An additional important feature is the leverage effect. This relates to the total investment mobilised by private investors in relation to the deployment of EU budget resources. These financial instruments and the EFSI "</w:t>
      </w:r>
      <w:r>
        <w:rPr>
          <w:i/>
          <w:noProof/>
          <w:szCs w:val="24"/>
        </w:rPr>
        <w:t>have [also] become EU trademarks, making the EU visible and recognisable in the daily lives of its citizens</w:t>
      </w:r>
      <w:r>
        <w:rPr>
          <w:noProof/>
          <w:szCs w:val="24"/>
        </w:rPr>
        <w:t>"</w:t>
      </w:r>
      <w:r>
        <w:rPr>
          <w:rStyle w:val="FootnoteReference"/>
          <w:noProof/>
          <w:szCs w:val="24"/>
        </w:rPr>
        <w:footnoteReference w:id="39"/>
      </w:r>
      <w:r>
        <w:rPr>
          <w:noProof/>
          <w:szCs w:val="24"/>
        </w:rPr>
        <w:t>.</w:t>
      </w:r>
    </w:p>
    <w:p>
      <w:pPr>
        <w:pStyle w:val="Text2"/>
        <w:spacing w:after="120" w:line="264" w:lineRule="auto"/>
        <w:ind w:left="0"/>
        <w:rPr>
          <w:noProof/>
          <w:szCs w:val="24"/>
        </w:rPr>
      </w:pPr>
      <w:r>
        <w:rPr>
          <w:noProof/>
          <w:szCs w:val="24"/>
        </w:rPr>
        <w:t>However, there have been numerous requests underlining the need to simplify and streamline the available offer of EU investment support instruments. The fragmentation of the EU offer led to the emergence of overlaps, different sets of rules by instruments and a lack of visibility of the EU activity in this field. This results in unnecessary complexity and higher budgetary and administrative costs. There is also some criticism that the proliferation of financial instruments led to insufficient accountability and control.</w:t>
      </w:r>
      <w:r>
        <w:rPr>
          <w:rStyle w:val="FootnoteReference"/>
          <w:noProof/>
          <w:szCs w:val="24"/>
        </w:rPr>
        <w:footnoteReference w:id="40"/>
      </w:r>
      <w:r>
        <w:rPr>
          <w:noProof/>
          <w:szCs w:val="24"/>
        </w:rPr>
        <w:t xml:space="preserve"> More importantly, final beneficiaries and financial intermediaries have become confused about the different solutions offered in terms of instruments and products. The post-2020 investment support scheme must therefore be focused, simpler and more transparent, while allowing for quick response to a changing market environment through an increased flexibility of budgetary allocations to emerging priorities. A similar need for simplification has also been identified for the TA offers as they often underpin individual initiatives. </w:t>
      </w:r>
    </w:p>
    <w:p>
      <w:pPr>
        <w:pStyle w:val="Text2"/>
        <w:spacing w:after="120" w:line="264" w:lineRule="auto"/>
        <w:ind w:left="0"/>
        <w:rPr>
          <w:noProof/>
          <w:szCs w:val="24"/>
        </w:rPr>
      </w:pPr>
      <w:r>
        <w:rPr>
          <w:noProof/>
          <w:szCs w:val="24"/>
        </w:rPr>
        <w:t>The Reflection Paper on the Future of EU Finances"</w:t>
      </w:r>
      <w:r>
        <w:rPr>
          <w:rStyle w:val="FootnoteReference"/>
          <w:noProof/>
          <w:szCs w:val="24"/>
        </w:rPr>
        <w:footnoteReference w:id="41"/>
      </w:r>
      <w:r>
        <w:rPr>
          <w:noProof/>
          <w:szCs w:val="24"/>
        </w:rPr>
        <w:t xml:space="preserve"> underlined that there seems to be evidence that </w:t>
      </w:r>
      <w:r>
        <w:rPr>
          <w:i/>
          <w:noProof/>
          <w:szCs w:val="24"/>
        </w:rPr>
        <w:t>"[t]he number of EU-level financial instruments and rules applying to them is an obstacle to their efficient use</w:t>
      </w:r>
      <w:r>
        <w:rPr>
          <w:noProof/>
          <w:szCs w:val="24"/>
        </w:rPr>
        <w:t>”. The Commission Communication on the next MFF</w:t>
      </w:r>
      <w:r>
        <w:rPr>
          <w:rStyle w:val="FootnoteReference"/>
          <w:noProof/>
          <w:szCs w:val="24"/>
        </w:rPr>
        <w:footnoteReference w:id="42"/>
      </w:r>
      <w:r>
        <w:rPr>
          <w:noProof/>
          <w:szCs w:val="24"/>
        </w:rPr>
        <w:t xml:space="preserve"> also underlined that </w:t>
      </w:r>
      <w:r>
        <w:rPr>
          <w:i/>
          <w:noProof/>
          <w:szCs w:val="24"/>
        </w:rPr>
        <w:t>"[…] the current landscape of EU market-based instruments is fragmented, with almost 40 financial instruments and three budgetary guarantees and guarantee funds managed centrally, which amount to a share of around 4% of the current Multiannual Financial Framework. There is clear scope for rationalisation and greater efficiency.</w:t>
      </w:r>
      <w:r>
        <w:rPr>
          <w:noProof/>
          <w:szCs w:val="24"/>
        </w:rPr>
        <w:t xml:space="preserve">" </w:t>
      </w:r>
    </w:p>
    <w:p>
      <w:pPr>
        <w:pStyle w:val="Text2"/>
        <w:spacing w:after="120" w:line="264" w:lineRule="auto"/>
        <w:ind w:left="0"/>
        <w:rPr>
          <w:noProof/>
          <w:szCs w:val="24"/>
        </w:rPr>
      </w:pPr>
      <w:r>
        <w:rPr>
          <w:noProof/>
          <w:szCs w:val="24"/>
        </w:rPr>
        <w:t>The High Level Group on Simplification for post 2020</w:t>
      </w:r>
      <w:r>
        <w:rPr>
          <w:rStyle w:val="FootnoteReference"/>
          <w:noProof/>
          <w:szCs w:val="24"/>
        </w:rPr>
        <w:footnoteReference w:id="43"/>
      </w:r>
      <w:r>
        <w:rPr>
          <w:noProof/>
          <w:szCs w:val="24"/>
        </w:rPr>
        <w:t xml:space="preserve"> recommended: "</w:t>
      </w:r>
      <w:r>
        <w:rPr>
          <w:i/>
          <w:noProof/>
          <w:szCs w:val="24"/>
        </w:rPr>
        <w:t>For those EU funds which support investments (ESIF, EFSI, CEF, Horizon 2020, etc.) overlaps which lead to competition based on a more beneficial legal regime should be identified and removed, with effectiveness and results being the relevant factors to determine which instrument should be the most appropriate in a given context</w:t>
      </w:r>
      <w:r>
        <w:rPr>
          <w:noProof/>
          <w:szCs w:val="24"/>
        </w:rPr>
        <w:t>".</w:t>
      </w:r>
    </w:p>
    <w:p>
      <w:pPr>
        <w:spacing w:after="120" w:line="264" w:lineRule="auto"/>
        <w:rPr>
          <w:rFonts w:cs="Times New Roman"/>
          <w:noProof/>
          <w:szCs w:val="24"/>
        </w:rPr>
      </w:pPr>
      <w:r>
        <w:rPr>
          <w:rFonts w:cs="Times New Roman"/>
          <w:noProof/>
          <w:szCs w:val="24"/>
        </w:rPr>
        <w:t>The European Parliament also calls for simplification and greater efficiency. In its Resolution on the Reflection Paper on the Future of EU Finances</w:t>
      </w:r>
      <w:r>
        <w:rPr>
          <w:rStyle w:val="FootnoteReference"/>
          <w:rFonts w:cs="Times New Roman"/>
          <w:noProof/>
          <w:szCs w:val="24"/>
        </w:rPr>
        <w:footnoteReference w:id="44"/>
      </w:r>
      <w:r>
        <w:rPr>
          <w:rFonts w:cs="Times New Roman"/>
          <w:noProof/>
          <w:szCs w:val="24"/>
        </w:rPr>
        <w:t xml:space="preserve"> the European Parliament: </w:t>
      </w:r>
    </w:p>
    <w:p>
      <w:pPr>
        <w:pStyle w:val="Bulet"/>
        <w:spacing w:after="120" w:line="264" w:lineRule="auto"/>
        <w:rPr>
          <w:noProof/>
          <w:szCs w:val="24"/>
        </w:rPr>
      </w:pPr>
      <w:r>
        <w:rPr>
          <w:i/>
          <w:noProof/>
          <w:szCs w:val="24"/>
        </w:rPr>
        <w:t>"[A]dvocates a real and tangible simplification of implementation rules for beneficiaries and a reduction of the administrative burden</w:t>
      </w:r>
      <w:r>
        <w:rPr>
          <w:noProof/>
          <w:szCs w:val="24"/>
        </w:rPr>
        <w:t xml:space="preserve">”. </w:t>
      </w:r>
    </w:p>
    <w:p>
      <w:pPr>
        <w:pStyle w:val="Bulet"/>
        <w:spacing w:after="120" w:line="264" w:lineRule="auto"/>
        <w:rPr>
          <w:noProof/>
          <w:szCs w:val="24"/>
        </w:rPr>
      </w:pPr>
      <w:r>
        <w:rPr>
          <w:noProof/>
          <w:szCs w:val="24"/>
        </w:rPr>
        <w:t>“</w:t>
      </w:r>
      <w:r>
        <w:rPr>
          <w:i/>
          <w:noProof/>
          <w:szCs w:val="24"/>
        </w:rPr>
        <w:t>Encourages the Commission, in this context, to identify and eliminate overlaps between instruments offered by the EU budget which pursue similar objectives and serve similar types of actions.</w:t>
      </w:r>
      <w:r>
        <w:rPr>
          <w:rStyle w:val="FootnoteReference"/>
          <w:noProof/>
          <w:szCs w:val="24"/>
        </w:rPr>
        <w:t xml:space="preserve"> </w:t>
      </w:r>
      <w:r>
        <w:rPr>
          <w:noProof/>
          <w:szCs w:val="24"/>
        </w:rPr>
        <w:t xml:space="preserve">" </w:t>
      </w:r>
    </w:p>
    <w:p>
      <w:pPr>
        <w:pStyle w:val="Bulet"/>
        <w:spacing w:after="120" w:line="264" w:lineRule="auto"/>
        <w:rPr>
          <w:noProof/>
          <w:szCs w:val="24"/>
        </w:rPr>
      </w:pPr>
      <w:r>
        <w:rPr>
          <w:noProof/>
          <w:szCs w:val="24"/>
        </w:rPr>
        <w:t>In particular, the Parliament "</w:t>
      </w:r>
      <w:r>
        <w:rPr>
          <w:i/>
          <w:noProof/>
          <w:szCs w:val="24"/>
        </w:rPr>
        <w:t>calls on the Commission to simplify and harmonise the rules governing the use of financial instruments in the next MFF with the aim of creating synergies between the different instruments and maximizing their efficient allocation</w:t>
      </w:r>
      <w:r>
        <w:rPr>
          <w:noProof/>
          <w:szCs w:val="24"/>
        </w:rPr>
        <w:t>."</w:t>
      </w:r>
      <w:r>
        <w:rPr>
          <w:rStyle w:val="FootnoteReference"/>
          <w:noProof/>
          <w:szCs w:val="24"/>
        </w:rPr>
        <w:footnoteReference w:id="45"/>
      </w:r>
    </w:p>
    <w:p>
      <w:pPr>
        <w:pStyle w:val="Bulet"/>
        <w:numPr>
          <w:ilvl w:val="0"/>
          <w:numId w:val="0"/>
        </w:numPr>
        <w:spacing w:line="264" w:lineRule="auto"/>
        <w:rPr>
          <w:noProof/>
          <w:szCs w:val="24"/>
        </w:rPr>
      </w:pPr>
      <w:r>
        <w:rPr>
          <w:noProof/>
          <w:szCs w:val="24"/>
        </w:rPr>
        <w:t>Finally, there is a need to step up mainstreaming efforts notably related to the EU (and global) sustainable development objectives. It is important to ensure that EU investment support mechanisms such as the InvestEU Fund are guided by robust and advanced sustainability criteria, including those set by the EU climate and environment policy</w:t>
      </w:r>
      <w:r>
        <w:rPr>
          <w:rStyle w:val="FootnoteReference"/>
          <w:noProof/>
          <w:szCs w:val="24"/>
        </w:rPr>
        <w:footnoteReference w:id="46"/>
      </w:r>
      <w:r>
        <w:rPr>
          <w:noProof/>
          <w:szCs w:val="24"/>
        </w:rPr>
        <w:t xml:space="preserve">. </w:t>
      </w:r>
    </w:p>
    <w:p>
      <w:pPr>
        <w:spacing w:after="120" w:line="264" w:lineRule="auto"/>
        <w:rPr>
          <w:rFonts w:cs="Times New Roman"/>
          <w:noProof/>
          <w:szCs w:val="24"/>
        </w:rPr>
      </w:pPr>
      <w:r>
        <w:rPr>
          <w:rFonts w:cs="Times New Roman"/>
          <w:noProof/>
          <w:szCs w:val="24"/>
        </w:rPr>
        <w:t>Therefore, the InvestEU Fund will draw lessons from the past and current EU investment support instruments. This concerns in particular the experience with the 2014-2020 financial instruments as well as the EFSI. Detailed lessons learned and past evaluation results are included in Annex 3.</w:t>
      </w:r>
    </w:p>
    <w:p>
      <w:pPr>
        <w:spacing w:after="120" w:line="264" w:lineRule="auto"/>
        <w:rPr>
          <w:rFonts w:cs="Times New Roman"/>
          <w:noProof/>
          <w:szCs w:val="24"/>
        </w:rPr>
      </w:pPr>
      <w:r>
        <w:rPr>
          <w:rFonts w:cs="Times New Roman"/>
          <w:noProof/>
          <w:szCs w:val="24"/>
        </w:rPr>
        <w:t>Past evaluations have demonstrated that the EFSI has been effective in delivering concrete results and encouraging a sustainable increase in the low investment levels in Europe.</w:t>
      </w:r>
    </w:p>
    <w:p>
      <w:pPr>
        <w:spacing w:after="120" w:line="264" w:lineRule="auto"/>
        <w:rPr>
          <w:rFonts w:cs="Times New Roman"/>
          <w:noProof/>
          <w:szCs w:val="24"/>
        </w:rPr>
      </w:pPr>
      <w:r>
        <w:rPr>
          <w:rFonts w:cs="Times New Roman"/>
          <w:noProof/>
          <w:szCs w:val="24"/>
        </w:rPr>
        <w:t xml:space="preserve">In particular, the budgetary guarantee underpinning EFSI has proven to be an efficient tool to increase considerably the volume of riskier operations financed by the EIB. The EFSI budgetary guarantee freezes less budgetary resources compared to financial instruments, as it requires limited provisioning needs compared to the level of financial engagement. In other words, it assumes a contingent liability and is consequently expected to achieve efficiency gains that result in higher investment mobilised per euro spent. A budgetary guarantee has also proven more cost-efficient for the EU budget, as it is remunerated for the risk taken and it limits the payment of management fees to the implementing partner(s). </w:t>
      </w:r>
    </w:p>
    <w:p>
      <w:pPr>
        <w:spacing w:after="120" w:line="264" w:lineRule="auto"/>
        <w:rPr>
          <w:rFonts w:cs="Times New Roman"/>
          <w:noProof/>
          <w:szCs w:val="24"/>
        </w:rPr>
      </w:pPr>
      <w:r>
        <w:rPr>
          <w:rFonts w:cs="Times New Roman"/>
          <w:noProof/>
          <w:szCs w:val="24"/>
        </w:rPr>
        <w:t>Past EFSI evaluations have also stressed the need to improve EFSI’s geographical balance, avoid overlaps with other EU Financial Instruments, as well as reinforce and clarify additionality. It is also generally recognised that there is a need for greater advisory and technical assistance which would contribute to a sizeable pipeline of projects that contribute to the EU policy objectives.</w:t>
      </w:r>
    </w:p>
    <w:p>
      <w:pPr>
        <w:pStyle w:val="Bulet"/>
        <w:numPr>
          <w:ilvl w:val="0"/>
          <w:numId w:val="0"/>
        </w:numPr>
        <w:spacing w:after="120" w:line="264" w:lineRule="auto"/>
        <w:rPr>
          <w:noProof/>
          <w:szCs w:val="24"/>
        </w:rPr>
      </w:pPr>
      <w:r>
        <w:rPr>
          <w:noProof/>
          <w:szCs w:val="24"/>
        </w:rPr>
        <w:t>Evaluations of investment support programmes noted a certain level of fragmentation and overlaps among different EU investment support instruments as well as with financial instruments under shared management. For instance, CEF evaluation showed that its financial instruments have seen limited uptake, partly due to the new financing opportunities opened by the EFSI. The Interim Evaluation of Horizon 2020 also points out that "</w:t>
      </w:r>
      <w:r>
        <w:rPr>
          <w:i/>
          <w:noProof/>
          <w:szCs w:val="24"/>
        </w:rPr>
        <w:t>since the set-up of EFSI in 2015, it has proved challenging to reach InnovFin's objectives, as a significant part of the products deployed overlap with EFSI in terms of both risk spectrum and eligibility"</w:t>
      </w:r>
      <w:r>
        <w:rPr>
          <w:noProof/>
          <w:szCs w:val="24"/>
        </w:rPr>
        <w:t>.</w:t>
      </w:r>
    </w:p>
    <w:p>
      <w:pPr>
        <w:spacing w:after="120" w:line="264" w:lineRule="auto"/>
        <w:rPr>
          <w:rFonts w:cs="Times New Roman"/>
          <w:noProof/>
          <w:szCs w:val="24"/>
          <w:lang w:eastAsia="ja-JP"/>
        </w:rPr>
      </w:pPr>
      <w:r>
        <w:rPr>
          <w:rFonts w:cs="Times New Roman"/>
          <w:noProof/>
          <w:szCs w:val="24"/>
        </w:rPr>
        <w:t>There is currently a certain overlap also between different financial instruments targeting SMEs, including with programmes under shared management. More detailed assessment of duplications and overlaps is presented in Annex 12. Moreover, as highlighted in the European Court of Auditors’ report</w:t>
      </w:r>
      <w:r>
        <w:rPr>
          <w:rStyle w:val="FootnoteReference"/>
          <w:rFonts w:cs="Times New Roman"/>
          <w:noProof/>
          <w:szCs w:val="24"/>
        </w:rPr>
        <w:footnoteReference w:id="47"/>
      </w:r>
      <w:r>
        <w:rPr>
          <w:rFonts w:cs="Times New Roman"/>
          <w:noProof/>
          <w:szCs w:val="24"/>
        </w:rPr>
        <w:t xml:space="preserve"> on the COSME Loan Guarantee Facility, the latter has achieved positive results, but needs better targeting of beneficiaries and more coordination with national schemes. In particular, the report recommended that the Commission carries out an assessment of market needs and how EU guarantee instruments can best respond to these needs alongside national/regional instruments. In this regard, the Commission has prepared an in-depth market assessment at the level of each Member State demonstrating the market gap and the rationale for an intervention at EU level (more details are available in the IA related to the Single Market Programme). </w:t>
      </w:r>
    </w:p>
    <w:p>
      <w:pPr>
        <w:spacing w:after="120" w:line="264" w:lineRule="auto"/>
        <w:rPr>
          <w:rFonts w:cs="Times New Roman"/>
          <w:noProof/>
          <w:szCs w:val="24"/>
          <w:lang w:eastAsia="ja-JP"/>
        </w:rPr>
      </w:pPr>
      <w:r>
        <w:rPr>
          <w:rFonts w:cs="Times New Roman"/>
          <w:noProof/>
          <w:szCs w:val="24"/>
          <w:lang w:eastAsia="ja-JP"/>
        </w:rPr>
        <w:t>The EU support has also played an important role in the development of the nascent social investment market through the Programme for Employment and Social Innovation (EaSI), in particular for microfinance and social entrepreneurship, empowering European citizens and fostering social inclusion</w:t>
      </w:r>
      <w:r>
        <w:rPr>
          <w:rStyle w:val="FootnoteReference"/>
          <w:rFonts w:cs="Times New Roman"/>
          <w:noProof/>
          <w:szCs w:val="24"/>
          <w:lang w:eastAsia="ja-JP"/>
        </w:rPr>
        <w:footnoteReference w:id="48"/>
      </w:r>
      <w:r>
        <w:rPr>
          <w:rFonts w:cs="Times New Roman"/>
          <w:noProof/>
          <w:szCs w:val="24"/>
          <w:lang w:eastAsia="ja-JP"/>
        </w:rPr>
        <w:t>. Based on the public consultation, the social inclusion and employment areas are seen as the biggest challenges where the EU response in terms of investment is least sufficient. However, the resources have been rapidly absorbed and there is an important unmet demand.</w:t>
      </w:r>
    </w:p>
    <w:p>
      <w:pPr>
        <w:pStyle w:val="Bulet"/>
        <w:numPr>
          <w:ilvl w:val="0"/>
          <w:numId w:val="0"/>
        </w:numPr>
        <w:spacing w:after="120" w:line="264" w:lineRule="auto"/>
        <w:rPr>
          <w:noProof/>
          <w:szCs w:val="24"/>
        </w:rPr>
      </w:pPr>
      <w:r>
        <w:rPr>
          <w:noProof/>
          <w:szCs w:val="24"/>
        </w:rPr>
        <w:t>The experience of blending CEF grants with financing products or EIB or National Promotional Banks conventional lending or private finance has also been positive. More effort is needed to facilitate combining, when appropriate, different forms of support to maximise the leverage and impact of private or public funds.</w:t>
      </w:r>
    </w:p>
    <w:p>
      <w:pPr>
        <w:pStyle w:val="Bulet"/>
        <w:numPr>
          <w:ilvl w:val="0"/>
          <w:numId w:val="0"/>
        </w:numPr>
        <w:spacing w:after="120" w:line="264" w:lineRule="auto"/>
        <w:rPr>
          <w:noProof/>
          <w:szCs w:val="24"/>
        </w:rPr>
      </w:pPr>
      <w:r>
        <w:rPr>
          <w:noProof/>
          <w:szCs w:val="24"/>
        </w:rPr>
        <w:t xml:space="preserve">For future instruments, it will be important to strengthen the mobilisation of private capital and avoid potential crowding out effects (linked to additionality). </w:t>
      </w:r>
    </w:p>
    <w:p>
      <w:pPr>
        <w:pStyle w:val="Heading3"/>
        <w:spacing w:line="264" w:lineRule="auto"/>
        <w:rPr>
          <w:noProof/>
          <w:szCs w:val="24"/>
        </w:rPr>
      </w:pPr>
      <w:r>
        <w:rPr>
          <w:noProof/>
          <w:szCs w:val="24"/>
        </w:rPr>
        <w:t>Complementarity between the EU level and ESIF</w:t>
      </w:r>
    </w:p>
    <w:p>
      <w:pPr>
        <w:spacing w:line="264" w:lineRule="auto"/>
        <w:rPr>
          <w:rFonts w:cs="Times New Roman"/>
          <w:noProof/>
          <w:szCs w:val="24"/>
        </w:rPr>
      </w:pPr>
      <w:r>
        <w:rPr>
          <w:rFonts w:cs="Times New Roman"/>
          <w:noProof/>
          <w:szCs w:val="24"/>
        </w:rPr>
        <w:t>According to the ESIF Operational Programmes 2014-2020, financial instruments will account for 9.5% of the European Regional Development Fund (ERDF), 2.7% of the Cohesion Fund (CF) and 1.3% of the European Social Fund (ESF) allocations included in multi-fund programmes. The average allocation to FIs is 7.2%. This compares to 5% of ERDF allocation to FIs in the previous programming period</w:t>
      </w:r>
      <w:r>
        <w:rPr>
          <w:rFonts w:cs="Times New Roman"/>
          <w:noProof/>
          <w:szCs w:val="24"/>
          <w:vertAlign w:val="superscript"/>
        </w:rPr>
        <w:footnoteReference w:id="49"/>
      </w:r>
      <w:r>
        <w:rPr>
          <w:rFonts w:cs="Times New Roman"/>
          <w:noProof/>
          <w:szCs w:val="24"/>
        </w:rPr>
        <w:t>.</w:t>
      </w:r>
    </w:p>
    <w:p>
      <w:pPr>
        <w:spacing w:line="264" w:lineRule="auto"/>
        <w:rPr>
          <w:rFonts w:cs="Times New Roman"/>
          <w:noProof/>
          <w:color w:val="000000"/>
          <w:szCs w:val="24"/>
        </w:rPr>
      </w:pPr>
      <w:r>
        <w:rPr>
          <w:rFonts w:cs="Times New Roman"/>
          <w:noProof/>
          <w:szCs w:val="24"/>
        </w:rPr>
        <w:t xml:space="preserve">Experience under the current and previous programming periods show that the complementarity of financial instruments under shared management and those centrally managed could be further improved. </w:t>
      </w:r>
      <w:r>
        <w:rPr>
          <w:rFonts w:cs="Times New Roman"/>
          <w:noProof/>
          <w:color w:val="000000"/>
          <w:szCs w:val="24"/>
        </w:rPr>
        <w:t>In particular, the Court of Auditors noted that how the various EU guarantee instruments can best respond to SMEs needs alongside nationally/regionally funded instruments, thereby ensuring EU added value, was not adequately assessed</w:t>
      </w:r>
      <w:r>
        <w:rPr>
          <w:rFonts w:cs="Times New Roman"/>
          <w:noProof/>
          <w:color w:val="000000"/>
          <w:szCs w:val="24"/>
          <w:vertAlign w:val="superscript"/>
        </w:rPr>
        <w:footnoteReference w:id="50"/>
      </w:r>
      <w:r>
        <w:rPr>
          <w:rFonts w:cs="Times New Roman"/>
          <w:noProof/>
          <w:color w:val="000000"/>
          <w:szCs w:val="24"/>
        </w:rPr>
        <w:t xml:space="preserve">. </w:t>
      </w:r>
    </w:p>
    <w:p>
      <w:pPr>
        <w:spacing w:line="264" w:lineRule="auto"/>
        <w:rPr>
          <w:rFonts w:cs="Times New Roman"/>
          <w:noProof/>
          <w:color w:val="000000"/>
          <w:szCs w:val="24"/>
        </w:rPr>
      </w:pPr>
      <w:r>
        <w:rPr>
          <w:rFonts w:cs="Times New Roman"/>
          <w:noProof/>
          <w:color w:val="000000"/>
          <w:szCs w:val="24"/>
        </w:rPr>
        <w:t>The attempts to combine FIs centrally managed and those under shared management have proven to be complex and this might have been one of the reasons that slowed down their uptake.</w:t>
      </w:r>
    </w:p>
    <w:p>
      <w:pPr>
        <w:spacing w:line="264" w:lineRule="auto"/>
        <w:rPr>
          <w:rFonts w:cs="Times New Roman"/>
          <w:noProof/>
          <w:szCs w:val="24"/>
        </w:rPr>
      </w:pPr>
      <w:r>
        <w:rPr>
          <w:rFonts w:cs="Times New Roman"/>
          <w:noProof/>
          <w:szCs w:val="24"/>
        </w:rPr>
        <w:t>The Commission's Reflection Paper on the EU's finances</w:t>
      </w:r>
      <w:r>
        <w:rPr>
          <w:rStyle w:val="FootnoteReference"/>
          <w:rFonts w:cs="Times New Roman"/>
          <w:noProof/>
          <w:szCs w:val="24"/>
        </w:rPr>
        <w:footnoteReference w:id="51"/>
      </w:r>
      <w:r>
        <w:rPr>
          <w:rFonts w:cs="Times New Roman"/>
          <w:noProof/>
          <w:szCs w:val="24"/>
        </w:rPr>
        <w:t xml:space="preserve"> pointed out that the "</w:t>
      </w:r>
      <w:r>
        <w:rPr>
          <w:rFonts w:cs="Times New Roman"/>
          <w:i/>
          <w:noProof/>
          <w:color w:val="000000"/>
          <w:szCs w:val="24"/>
        </w:rPr>
        <w:t>new EU-level financial instruments and the loan, guarantee, and equity instruments managed by Member States under cohesion policy should be complementary</w:t>
      </w:r>
      <w:r>
        <w:rPr>
          <w:rFonts w:cs="Times New Roman"/>
          <w:noProof/>
          <w:szCs w:val="24"/>
        </w:rPr>
        <w:t>". It further indicates that this "</w:t>
      </w:r>
      <w:r>
        <w:rPr>
          <w:rFonts w:cs="Times New Roman"/>
          <w:i/>
          <w:noProof/>
          <w:color w:val="000000"/>
          <w:szCs w:val="24"/>
        </w:rPr>
        <w:t>complementarity between the different instruments should be ensured, through upstream coordination, same rules and clearer demarcation of interventions</w:t>
      </w:r>
      <w:r>
        <w:rPr>
          <w:rFonts w:cs="Times New Roman"/>
          <w:noProof/>
          <w:szCs w:val="24"/>
        </w:rPr>
        <w:t xml:space="preserve">" (p. 27). </w:t>
      </w:r>
    </w:p>
    <w:p>
      <w:pPr>
        <w:pStyle w:val="Heading3"/>
        <w:spacing w:line="264" w:lineRule="auto"/>
        <w:rPr>
          <w:noProof/>
          <w:szCs w:val="24"/>
        </w:rPr>
      </w:pPr>
      <w:bookmarkStart w:id="556" w:name="_Toc514577182"/>
      <w:bookmarkStart w:id="557" w:name="_Toc514577183"/>
      <w:bookmarkStart w:id="558" w:name="_Toc514577191"/>
      <w:bookmarkEnd w:id="556"/>
      <w:bookmarkEnd w:id="557"/>
      <w:bookmarkEnd w:id="558"/>
      <w:r>
        <w:rPr>
          <w:noProof/>
          <w:szCs w:val="24"/>
        </w:rPr>
        <w:t>Results from the Open Public Consultation</w:t>
      </w:r>
    </w:p>
    <w:p>
      <w:pPr>
        <w:spacing w:after="120" w:line="264" w:lineRule="auto"/>
        <w:rPr>
          <w:rFonts w:cs="Times New Roman"/>
          <w:noProof/>
          <w:szCs w:val="24"/>
        </w:rPr>
      </w:pPr>
      <w:r>
        <w:rPr>
          <w:rFonts w:cs="Times New Roman"/>
          <w:noProof/>
          <w:szCs w:val="24"/>
        </w:rPr>
        <w:t>Open Public Consultations (OPC) for the post-2020 impact assessment were organised per group of policy areas. This impact assessment will mainly consider the results from the OPC on the EU Support for Investment</w:t>
      </w:r>
      <w:r>
        <w:rPr>
          <w:rStyle w:val="FootnoteReference"/>
          <w:rFonts w:cs="Times New Roman"/>
          <w:noProof/>
          <w:szCs w:val="24"/>
        </w:rPr>
        <w:footnoteReference w:id="52"/>
      </w:r>
      <w:r>
        <w:rPr>
          <w:rFonts w:cs="Times New Roman"/>
          <w:noProof/>
          <w:szCs w:val="24"/>
        </w:rPr>
        <w:t>. For this policy area, 642 replies were received from all Member States. Relevant results from OPCs regarding different policy areas like Cohesion; Security, Migration and Asylum; Strategic Infrastructure; Values and Mobility are also taken into consideration.</w:t>
      </w:r>
    </w:p>
    <w:p>
      <w:pPr>
        <w:spacing w:after="120" w:line="264" w:lineRule="auto"/>
        <w:rPr>
          <w:rFonts w:cs="Times New Roman"/>
          <w:noProof/>
          <w:szCs w:val="24"/>
        </w:rPr>
      </w:pPr>
      <w:r>
        <w:rPr>
          <w:rFonts w:cs="Times New Roman"/>
          <w:noProof/>
          <w:szCs w:val="24"/>
        </w:rPr>
        <w:t>The following issues raised are particularly relevant and have been taken into account in assessing the different possible actions presented in this report:</w:t>
      </w:r>
    </w:p>
    <w:p>
      <w:pPr>
        <w:pStyle w:val="ListParagraph"/>
        <w:numPr>
          <w:ilvl w:val="0"/>
          <w:numId w:val="10"/>
        </w:numPr>
        <w:spacing w:after="120" w:line="264" w:lineRule="auto"/>
        <w:rPr>
          <w:rFonts w:cs="Times New Roman"/>
          <w:noProof/>
          <w:szCs w:val="24"/>
        </w:rPr>
      </w:pPr>
      <w:r>
        <w:rPr>
          <w:rFonts w:cs="Times New Roman"/>
          <w:noProof/>
          <w:szCs w:val="24"/>
        </w:rPr>
        <w:t xml:space="preserve">Most respondents believe that the current EU support for investment does not sufficiently address policy challenges like reducing unemployment, support social investment, facilitate digital transition, facilitate access to finance in particular to SMEs, ensure a clean and healthy environment and support industrial development. </w:t>
      </w:r>
    </w:p>
    <w:p>
      <w:pPr>
        <w:pStyle w:val="ListParagraph"/>
        <w:numPr>
          <w:ilvl w:val="0"/>
          <w:numId w:val="10"/>
        </w:numPr>
        <w:spacing w:after="120" w:line="264" w:lineRule="auto"/>
        <w:rPr>
          <w:rFonts w:cs="Times New Roman"/>
          <w:noProof/>
          <w:szCs w:val="24"/>
        </w:rPr>
      </w:pPr>
      <w:r>
        <w:rPr>
          <w:rFonts w:cs="Times New Roman"/>
          <w:noProof/>
          <w:szCs w:val="24"/>
        </w:rPr>
        <w:t xml:space="preserve">The respondents stressed the importance of EU wide policy challenges, among others, in areas like research, support for education, clean and healthy environment, and transition to low carbon and circular economy, and reducing unemployment. </w:t>
      </w:r>
    </w:p>
    <w:p>
      <w:pPr>
        <w:pStyle w:val="ListParagraph"/>
        <w:numPr>
          <w:ilvl w:val="0"/>
          <w:numId w:val="10"/>
        </w:numPr>
        <w:spacing w:after="120" w:line="264" w:lineRule="auto"/>
        <w:rPr>
          <w:rFonts w:cs="Times New Roman"/>
          <w:noProof/>
          <w:szCs w:val="24"/>
        </w:rPr>
      </w:pPr>
      <w:r>
        <w:rPr>
          <w:rFonts w:cs="Times New Roman"/>
          <w:noProof/>
          <w:szCs w:val="24"/>
        </w:rPr>
        <w:t xml:space="preserve">Most participants believe that current EU investment support programmes to a fairly large extent add value compared to what Member States could achieve at national or regional level. </w:t>
      </w:r>
    </w:p>
    <w:p>
      <w:pPr>
        <w:pStyle w:val="ListParagraph"/>
        <w:numPr>
          <w:ilvl w:val="0"/>
          <w:numId w:val="10"/>
        </w:numPr>
        <w:spacing w:after="120" w:line="264" w:lineRule="auto"/>
        <w:rPr>
          <w:rFonts w:cs="Times New Roman"/>
          <w:noProof/>
          <w:szCs w:val="24"/>
        </w:rPr>
      </w:pPr>
      <w:r>
        <w:rPr>
          <w:rFonts w:cs="Times New Roman"/>
          <w:noProof/>
          <w:szCs w:val="24"/>
        </w:rPr>
        <w:t>Around 60% of respondents to the OPC on Strategic infrastructure expressed a view that difficulty to access financial instruments is an obstacle that prevents the current programmes from successfully achieving policy objectives. For OPC on Security and Cohesion, the insufficient use of financial instruments is identified by around 40% of participants.</w:t>
      </w:r>
    </w:p>
    <w:p>
      <w:pPr>
        <w:pStyle w:val="ListParagraph"/>
        <w:numPr>
          <w:ilvl w:val="0"/>
          <w:numId w:val="10"/>
        </w:numPr>
        <w:spacing w:after="120" w:line="264" w:lineRule="auto"/>
        <w:rPr>
          <w:rFonts w:cs="Times New Roman"/>
          <w:noProof/>
          <w:szCs w:val="24"/>
        </w:rPr>
      </w:pPr>
      <w:r>
        <w:rPr>
          <w:rFonts w:cs="Times New Roman"/>
          <w:noProof/>
          <w:szCs w:val="24"/>
        </w:rPr>
        <w:t xml:space="preserve">A vast majority of participants support the identified steps that could help simplify and reduce administrative burdens. In particular, this includes fewer, clearer and shorter rules, alignment of rules between EU funds, as well as a stable but flexible framework between programming periods. </w:t>
      </w:r>
    </w:p>
    <w:p>
      <w:pPr>
        <w:pStyle w:val="Heading2"/>
        <w:spacing w:line="264" w:lineRule="auto"/>
        <w:rPr>
          <w:noProof/>
          <w:szCs w:val="24"/>
        </w:rPr>
      </w:pPr>
      <w:bookmarkStart w:id="559" w:name="_Toc510207579"/>
      <w:bookmarkStart w:id="560" w:name="_Toc510517518"/>
      <w:bookmarkStart w:id="561" w:name="_Toc510593466"/>
      <w:bookmarkStart w:id="562" w:name="_Toc510593843"/>
      <w:bookmarkStart w:id="563" w:name="_Toc510606443"/>
      <w:bookmarkStart w:id="564" w:name="_Toc510606867"/>
      <w:bookmarkStart w:id="565" w:name="_Toc510608334"/>
      <w:bookmarkStart w:id="566" w:name="_Toc510609297"/>
      <w:bookmarkStart w:id="567" w:name="_Toc510609529"/>
      <w:bookmarkStart w:id="568" w:name="_Toc510610282"/>
      <w:bookmarkStart w:id="569" w:name="_Toc510612611"/>
      <w:bookmarkStart w:id="570" w:name="_Toc510615383"/>
      <w:bookmarkStart w:id="571" w:name="_Toc510616565"/>
      <w:bookmarkStart w:id="572" w:name="_Toc509131597"/>
      <w:bookmarkStart w:id="573" w:name="_Toc509310606"/>
      <w:bookmarkStart w:id="574" w:name="_Toc509311001"/>
      <w:bookmarkStart w:id="575" w:name="_Toc509311402"/>
      <w:bookmarkStart w:id="576" w:name="_Toc509311749"/>
      <w:bookmarkStart w:id="577" w:name="_Toc509312266"/>
      <w:bookmarkStart w:id="578" w:name="_Toc509312605"/>
      <w:bookmarkStart w:id="579" w:name="_Toc509312946"/>
      <w:bookmarkStart w:id="580" w:name="_Toc509313348"/>
      <w:bookmarkStart w:id="581" w:name="_Toc509316786"/>
      <w:bookmarkStart w:id="582" w:name="_Toc509317099"/>
      <w:bookmarkStart w:id="583" w:name="_Toc509317391"/>
      <w:bookmarkStart w:id="584" w:name="_Toc509317704"/>
      <w:bookmarkStart w:id="585" w:name="_Toc509318017"/>
      <w:bookmarkStart w:id="586" w:name="_Toc509319003"/>
      <w:bookmarkStart w:id="587" w:name="_Toc509319365"/>
      <w:bookmarkStart w:id="588" w:name="_Toc509320139"/>
      <w:bookmarkStart w:id="589" w:name="_Toc509322020"/>
      <w:bookmarkStart w:id="590" w:name="_Toc509322432"/>
      <w:bookmarkStart w:id="591" w:name="_Toc509322934"/>
      <w:bookmarkStart w:id="592" w:name="_Toc509323307"/>
      <w:bookmarkStart w:id="593" w:name="_Toc509323631"/>
      <w:bookmarkStart w:id="594" w:name="_Toc509323955"/>
      <w:bookmarkStart w:id="595" w:name="_Toc509324279"/>
      <w:bookmarkStart w:id="596" w:name="_Toc509324648"/>
      <w:bookmarkStart w:id="597" w:name="_Toc509325017"/>
      <w:bookmarkStart w:id="598" w:name="_Toc509325386"/>
      <w:bookmarkStart w:id="599" w:name="_Toc509325755"/>
      <w:bookmarkStart w:id="600" w:name="_Toc509326130"/>
      <w:bookmarkStart w:id="601" w:name="_Toc509326505"/>
      <w:bookmarkStart w:id="602" w:name="_Toc509326880"/>
      <w:bookmarkStart w:id="603" w:name="_Toc509326754"/>
      <w:bookmarkStart w:id="604" w:name="_Toc509327571"/>
      <w:bookmarkStart w:id="605" w:name="_Toc509327946"/>
      <w:bookmarkStart w:id="606" w:name="_Toc509332738"/>
      <w:bookmarkStart w:id="607" w:name="_Toc509333151"/>
      <w:bookmarkStart w:id="608" w:name="_Toc509333564"/>
      <w:bookmarkStart w:id="609" w:name="_Toc509335477"/>
      <w:bookmarkStart w:id="610" w:name="_Toc509336408"/>
      <w:bookmarkStart w:id="611" w:name="_Toc509336840"/>
      <w:bookmarkStart w:id="612" w:name="_Toc509337267"/>
      <w:bookmarkStart w:id="613" w:name="_Toc509337694"/>
      <w:bookmarkStart w:id="614" w:name="_Toc509337528"/>
      <w:bookmarkStart w:id="615" w:name="_Toc509382565"/>
      <w:bookmarkStart w:id="616" w:name="_Toc509382997"/>
      <w:bookmarkStart w:id="617" w:name="_Toc509383876"/>
      <w:bookmarkStart w:id="618" w:name="_Toc509404548"/>
      <w:bookmarkStart w:id="619" w:name="_Toc509131598"/>
      <w:bookmarkStart w:id="620" w:name="_Toc509310607"/>
      <w:bookmarkStart w:id="621" w:name="_Toc509311002"/>
      <w:bookmarkStart w:id="622" w:name="_Toc509311403"/>
      <w:bookmarkStart w:id="623" w:name="_Toc509311750"/>
      <w:bookmarkStart w:id="624" w:name="_Toc509312267"/>
      <w:bookmarkStart w:id="625" w:name="_Toc509312606"/>
      <w:bookmarkStart w:id="626" w:name="_Toc509312947"/>
      <w:bookmarkStart w:id="627" w:name="_Toc509313349"/>
      <w:bookmarkStart w:id="628" w:name="_Toc509316787"/>
      <w:bookmarkStart w:id="629" w:name="_Toc509317100"/>
      <w:bookmarkStart w:id="630" w:name="_Toc509317392"/>
      <w:bookmarkStart w:id="631" w:name="_Toc509317705"/>
      <w:bookmarkStart w:id="632" w:name="_Toc509318018"/>
      <w:bookmarkStart w:id="633" w:name="_Toc509319004"/>
      <w:bookmarkStart w:id="634" w:name="_Toc509319366"/>
      <w:bookmarkStart w:id="635" w:name="_Toc509320140"/>
      <w:bookmarkStart w:id="636" w:name="_Toc509322021"/>
      <w:bookmarkStart w:id="637" w:name="_Toc509322433"/>
      <w:bookmarkStart w:id="638" w:name="_Toc509322935"/>
      <w:bookmarkStart w:id="639" w:name="_Toc509323308"/>
      <w:bookmarkStart w:id="640" w:name="_Toc509323632"/>
      <w:bookmarkStart w:id="641" w:name="_Toc509323956"/>
      <w:bookmarkStart w:id="642" w:name="_Toc509324280"/>
      <w:bookmarkStart w:id="643" w:name="_Toc509324649"/>
      <w:bookmarkStart w:id="644" w:name="_Toc509325018"/>
      <w:bookmarkStart w:id="645" w:name="_Toc509325387"/>
      <w:bookmarkStart w:id="646" w:name="_Toc509325756"/>
      <w:bookmarkStart w:id="647" w:name="_Toc509326131"/>
      <w:bookmarkStart w:id="648" w:name="_Toc509326506"/>
      <w:bookmarkStart w:id="649" w:name="_Toc509326881"/>
      <w:bookmarkStart w:id="650" w:name="_Toc509326755"/>
      <w:bookmarkStart w:id="651" w:name="_Toc509327572"/>
      <w:bookmarkStart w:id="652" w:name="_Toc509327947"/>
      <w:bookmarkStart w:id="653" w:name="_Toc509332739"/>
      <w:bookmarkStart w:id="654" w:name="_Toc509333152"/>
      <w:bookmarkStart w:id="655" w:name="_Toc509333565"/>
      <w:bookmarkStart w:id="656" w:name="_Toc509335478"/>
      <w:bookmarkStart w:id="657" w:name="_Toc509336409"/>
      <w:bookmarkStart w:id="658" w:name="_Toc509336841"/>
      <w:bookmarkStart w:id="659" w:name="_Toc509337268"/>
      <w:bookmarkStart w:id="660" w:name="_Toc509337695"/>
      <w:bookmarkStart w:id="661" w:name="_Toc509337529"/>
      <w:bookmarkStart w:id="662" w:name="_Toc509382566"/>
      <w:bookmarkStart w:id="663" w:name="_Toc509382998"/>
      <w:bookmarkStart w:id="664" w:name="_Toc509383877"/>
      <w:bookmarkStart w:id="665" w:name="_Toc509404549"/>
      <w:bookmarkStart w:id="666" w:name="_Toc509131599"/>
      <w:bookmarkStart w:id="667" w:name="_Toc509310608"/>
      <w:bookmarkStart w:id="668" w:name="_Toc509311003"/>
      <w:bookmarkStart w:id="669" w:name="_Toc509311404"/>
      <w:bookmarkStart w:id="670" w:name="_Toc509311751"/>
      <w:bookmarkStart w:id="671" w:name="_Toc509312268"/>
      <w:bookmarkStart w:id="672" w:name="_Toc509312607"/>
      <w:bookmarkStart w:id="673" w:name="_Toc509312948"/>
      <w:bookmarkStart w:id="674" w:name="_Toc509313350"/>
      <w:bookmarkStart w:id="675" w:name="_Toc509316788"/>
      <w:bookmarkStart w:id="676" w:name="_Toc509317101"/>
      <w:bookmarkStart w:id="677" w:name="_Toc509317393"/>
      <w:bookmarkStart w:id="678" w:name="_Toc509317706"/>
      <w:bookmarkStart w:id="679" w:name="_Toc509318019"/>
      <w:bookmarkStart w:id="680" w:name="_Toc509319005"/>
      <w:bookmarkStart w:id="681" w:name="_Toc509319367"/>
      <w:bookmarkStart w:id="682" w:name="_Toc509320141"/>
      <w:bookmarkStart w:id="683" w:name="_Toc509322022"/>
      <w:bookmarkStart w:id="684" w:name="_Toc509322434"/>
      <w:bookmarkStart w:id="685" w:name="_Toc509322936"/>
      <w:bookmarkStart w:id="686" w:name="_Toc509323309"/>
      <w:bookmarkStart w:id="687" w:name="_Toc509323633"/>
      <w:bookmarkStart w:id="688" w:name="_Toc509323957"/>
      <w:bookmarkStart w:id="689" w:name="_Toc509324281"/>
      <w:bookmarkStart w:id="690" w:name="_Toc509324650"/>
      <w:bookmarkStart w:id="691" w:name="_Toc509325019"/>
      <w:bookmarkStart w:id="692" w:name="_Toc509325388"/>
      <w:bookmarkStart w:id="693" w:name="_Toc509325757"/>
      <w:bookmarkStart w:id="694" w:name="_Toc509326132"/>
      <w:bookmarkStart w:id="695" w:name="_Toc509326507"/>
      <w:bookmarkStart w:id="696" w:name="_Toc509326882"/>
      <w:bookmarkStart w:id="697" w:name="_Toc509326756"/>
      <w:bookmarkStart w:id="698" w:name="_Toc509327573"/>
      <w:bookmarkStart w:id="699" w:name="_Toc509327948"/>
      <w:bookmarkStart w:id="700" w:name="_Toc509332740"/>
      <w:bookmarkStart w:id="701" w:name="_Toc509333153"/>
      <w:bookmarkStart w:id="702" w:name="_Toc509333566"/>
      <w:bookmarkStart w:id="703" w:name="_Toc509335479"/>
      <w:bookmarkStart w:id="704" w:name="_Toc509336410"/>
      <w:bookmarkStart w:id="705" w:name="_Toc509336842"/>
      <w:bookmarkStart w:id="706" w:name="_Toc509337269"/>
      <w:bookmarkStart w:id="707" w:name="_Toc509337696"/>
      <w:bookmarkStart w:id="708" w:name="_Toc509337530"/>
      <w:bookmarkStart w:id="709" w:name="_Toc509382567"/>
      <w:bookmarkStart w:id="710" w:name="_Toc509382999"/>
      <w:bookmarkStart w:id="711" w:name="_Toc509383878"/>
      <w:bookmarkStart w:id="712" w:name="_Toc509404550"/>
      <w:bookmarkStart w:id="713" w:name="_Toc509131602"/>
      <w:bookmarkStart w:id="714" w:name="_Toc509310611"/>
      <w:bookmarkStart w:id="715" w:name="_Toc509311006"/>
      <w:bookmarkStart w:id="716" w:name="_Toc509311407"/>
      <w:bookmarkStart w:id="717" w:name="_Toc509311754"/>
      <w:bookmarkStart w:id="718" w:name="_Toc509312271"/>
      <w:bookmarkStart w:id="719" w:name="_Toc509312610"/>
      <w:bookmarkStart w:id="720" w:name="_Toc509312951"/>
      <w:bookmarkStart w:id="721" w:name="_Toc509313353"/>
      <w:bookmarkStart w:id="722" w:name="_Toc509316791"/>
      <w:bookmarkStart w:id="723" w:name="_Toc509317104"/>
      <w:bookmarkStart w:id="724" w:name="_Toc509317396"/>
      <w:bookmarkStart w:id="725" w:name="_Toc509317709"/>
      <w:bookmarkStart w:id="726" w:name="_Toc509318022"/>
      <w:bookmarkStart w:id="727" w:name="_Toc509319008"/>
      <w:bookmarkStart w:id="728" w:name="_Toc509319370"/>
      <w:bookmarkStart w:id="729" w:name="_Toc509320144"/>
      <w:bookmarkStart w:id="730" w:name="_Toc509322113"/>
      <w:bookmarkStart w:id="731" w:name="_Toc509322437"/>
      <w:bookmarkStart w:id="732" w:name="_Toc509322939"/>
      <w:bookmarkStart w:id="733" w:name="_Toc509323312"/>
      <w:bookmarkStart w:id="734" w:name="_Toc509323636"/>
      <w:bookmarkStart w:id="735" w:name="_Toc509323960"/>
      <w:bookmarkStart w:id="736" w:name="_Toc509324284"/>
      <w:bookmarkStart w:id="737" w:name="_Toc509324653"/>
      <w:bookmarkStart w:id="738" w:name="_Toc509325022"/>
      <w:bookmarkStart w:id="739" w:name="_Toc509325391"/>
      <w:bookmarkStart w:id="740" w:name="_Toc509325760"/>
      <w:bookmarkStart w:id="741" w:name="_Toc509326135"/>
      <w:bookmarkStart w:id="742" w:name="_Toc509326510"/>
      <w:bookmarkStart w:id="743" w:name="_Toc509326885"/>
      <w:bookmarkStart w:id="744" w:name="_Toc509326826"/>
      <w:bookmarkStart w:id="745" w:name="_Toc509327576"/>
      <w:bookmarkStart w:id="746" w:name="_Toc509327951"/>
      <w:bookmarkStart w:id="747" w:name="_Toc509332743"/>
      <w:bookmarkStart w:id="748" w:name="_Toc509333156"/>
      <w:bookmarkStart w:id="749" w:name="_Toc509333569"/>
      <w:bookmarkStart w:id="750" w:name="_Toc509335482"/>
      <w:bookmarkStart w:id="751" w:name="_Toc509336413"/>
      <w:bookmarkStart w:id="752" w:name="_Toc509336845"/>
      <w:bookmarkStart w:id="753" w:name="_Toc509337272"/>
      <w:bookmarkStart w:id="754" w:name="_Toc509337699"/>
      <w:bookmarkStart w:id="755" w:name="_Toc509337600"/>
      <w:bookmarkStart w:id="756" w:name="_Toc509382570"/>
      <w:bookmarkStart w:id="757" w:name="_Toc509383002"/>
      <w:bookmarkStart w:id="758" w:name="_Toc509383881"/>
      <w:bookmarkStart w:id="759" w:name="_Toc509404553"/>
      <w:bookmarkStart w:id="760" w:name="_Toc509131606"/>
      <w:bookmarkStart w:id="761" w:name="_Toc509310615"/>
      <w:bookmarkStart w:id="762" w:name="_Toc509311010"/>
      <w:bookmarkStart w:id="763" w:name="_Toc509311411"/>
      <w:bookmarkStart w:id="764" w:name="_Toc509311759"/>
      <w:bookmarkStart w:id="765" w:name="_Toc509312275"/>
      <w:bookmarkStart w:id="766" w:name="_Toc509312614"/>
      <w:bookmarkStart w:id="767" w:name="_Toc509312955"/>
      <w:bookmarkStart w:id="768" w:name="_Toc509313357"/>
      <w:bookmarkStart w:id="769" w:name="_Toc509316795"/>
      <w:bookmarkStart w:id="770" w:name="_Toc509317108"/>
      <w:bookmarkStart w:id="771" w:name="_Toc509317400"/>
      <w:bookmarkStart w:id="772" w:name="_Toc509317713"/>
      <w:bookmarkStart w:id="773" w:name="_Toc509318026"/>
      <w:bookmarkStart w:id="774" w:name="_Toc509319012"/>
      <w:bookmarkStart w:id="775" w:name="_Toc509319374"/>
      <w:bookmarkStart w:id="776" w:name="_Toc509320148"/>
      <w:bookmarkStart w:id="777" w:name="_Toc509322117"/>
      <w:bookmarkStart w:id="778" w:name="_Toc509322441"/>
      <w:bookmarkStart w:id="779" w:name="_Toc509322943"/>
      <w:bookmarkStart w:id="780" w:name="_Toc509323316"/>
      <w:bookmarkStart w:id="781" w:name="_Toc509323640"/>
      <w:bookmarkStart w:id="782" w:name="_Toc509323964"/>
      <w:bookmarkStart w:id="783" w:name="_Toc509324288"/>
      <w:bookmarkStart w:id="784" w:name="_Toc509324657"/>
      <w:bookmarkStart w:id="785" w:name="_Toc509325026"/>
      <w:bookmarkStart w:id="786" w:name="_Toc509325395"/>
      <w:bookmarkStart w:id="787" w:name="_Toc509325764"/>
      <w:bookmarkStart w:id="788" w:name="_Toc509326139"/>
      <w:bookmarkStart w:id="789" w:name="_Toc509326514"/>
      <w:bookmarkStart w:id="790" w:name="_Toc509326889"/>
      <w:bookmarkStart w:id="791" w:name="_Toc509326830"/>
      <w:bookmarkStart w:id="792" w:name="_Toc509327580"/>
      <w:bookmarkStart w:id="793" w:name="_Toc509327955"/>
      <w:bookmarkStart w:id="794" w:name="_Toc509332747"/>
      <w:bookmarkStart w:id="795" w:name="_Toc509333160"/>
      <w:bookmarkStart w:id="796" w:name="_Toc509333573"/>
      <w:bookmarkStart w:id="797" w:name="_Toc509335486"/>
      <w:bookmarkStart w:id="798" w:name="_Toc509336417"/>
      <w:bookmarkStart w:id="799" w:name="_Toc509336849"/>
      <w:bookmarkStart w:id="800" w:name="_Toc509337276"/>
      <w:bookmarkStart w:id="801" w:name="_Toc509337703"/>
      <w:bookmarkStart w:id="802" w:name="_Toc509337604"/>
      <w:bookmarkStart w:id="803" w:name="_Toc509382574"/>
      <w:bookmarkStart w:id="804" w:name="_Toc509383006"/>
      <w:bookmarkStart w:id="805" w:name="_Toc509383885"/>
      <w:bookmarkStart w:id="806" w:name="_Toc509404557"/>
      <w:bookmarkStart w:id="807" w:name="_Toc509131610"/>
      <w:bookmarkStart w:id="808" w:name="_Toc509310619"/>
      <w:bookmarkStart w:id="809" w:name="_Toc509311014"/>
      <w:bookmarkStart w:id="810" w:name="_Toc509311415"/>
      <w:bookmarkStart w:id="811" w:name="_Toc509311763"/>
      <w:bookmarkStart w:id="812" w:name="_Toc509312279"/>
      <w:bookmarkStart w:id="813" w:name="_Toc509312618"/>
      <w:bookmarkStart w:id="814" w:name="_Toc509312959"/>
      <w:bookmarkStart w:id="815" w:name="_Toc509313361"/>
      <w:bookmarkStart w:id="816" w:name="_Toc509316799"/>
      <w:bookmarkStart w:id="817" w:name="_Toc509317112"/>
      <w:bookmarkStart w:id="818" w:name="_Toc509317404"/>
      <w:bookmarkStart w:id="819" w:name="_Toc509317717"/>
      <w:bookmarkStart w:id="820" w:name="_Toc509318030"/>
      <w:bookmarkStart w:id="821" w:name="_Toc509319016"/>
      <w:bookmarkStart w:id="822" w:name="_Toc509319378"/>
      <w:bookmarkStart w:id="823" w:name="_Toc509320152"/>
      <w:bookmarkStart w:id="824" w:name="_Toc509322121"/>
      <w:bookmarkStart w:id="825" w:name="_Toc509322445"/>
      <w:bookmarkStart w:id="826" w:name="_Toc509322947"/>
      <w:bookmarkStart w:id="827" w:name="_Toc509323320"/>
      <w:bookmarkStart w:id="828" w:name="_Toc509323644"/>
      <w:bookmarkStart w:id="829" w:name="_Toc509323968"/>
      <w:bookmarkStart w:id="830" w:name="_Toc509324292"/>
      <w:bookmarkStart w:id="831" w:name="_Toc509324661"/>
      <w:bookmarkStart w:id="832" w:name="_Toc509325030"/>
      <w:bookmarkStart w:id="833" w:name="_Toc509325399"/>
      <w:bookmarkStart w:id="834" w:name="_Toc509325768"/>
      <w:bookmarkStart w:id="835" w:name="_Toc509326143"/>
      <w:bookmarkStart w:id="836" w:name="_Toc509326518"/>
      <w:bookmarkStart w:id="837" w:name="_Toc509326893"/>
      <w:bookmarkStart w:id="838" w:name="_Toc509326834"/>
      <w:bookmarkStart w:id="839" w:name="_Toc509327584"/>
      <w:bookmarkStart w:id="840" w:name="_Toc509327959"/>
      <w:bookmarkStart w:id="841" w:name="_Toc509332751"/>
      <w:bookmarkStart w:id="842" w:name="_Toc509333164"/>
      <w:bookmarkStart w:id="843" w:name="_Toc509333577"/>
      <w:bookmarkStart w:id="844" w:name="_Toc509335490"/>
      <w:bookmarkStart w:id="845" w:name="_Toc509336421"/>
      <w:bookmarkStart w:id="846" w:name="_Toc509336853"/>
      <w:bookmarkStart w:id="847" w:name="_Toc509337280"/>
      <w:bookmarkStart w:id="848" w:name="_Toc509337707"/>
      <w:bookmarkStart w:id="849" w:name="_Toc509337608"/>
      <w:bookmarkStart w:id="850" w:name="_Toc509382578"/>
      <w:bookmarkStart w:id="851" w:name="_Toc509383010"/>
      <w:bookmarkStart w:id="852" w:name="_Toc509383889"/>
      <w:bookmarkStart w:id="853" w:name="_Toc509404561"/>
      <w:bookmarkStart w:id="854" w:name="_Toc509131611"/>
      <w:bookmarkStart w:id="855" w:name="_Toc509310620"/>
      <w:bookmarkStart w:id="856" w:name="_Toc509311015"/>
      <w:bookmarkStart w:id="857" w:name="_Toc509311416"/>
      <w:bookmarkStart w:id="858" w:name="_Toc509311764"/>
      <w:bookmarkStart w:id="859" w:name="_Toc509312280"/>
      <w:bookmarkStart w:id="860" w:name="_Toc509312619"/>
      <w:bookmarkStart w:id="861" w:name="_Toc509312960"/>
      <w:bookmarkStart w:id="862" w:name="_Toc509313362"/>
      <w:bookmarkStart w:id="863" w:name="_Toc509316800"/>
      <w:bookmarkStart w:id="864" w:name="_Toc509317113"/>
      <w:bookmarkStart w:id="865" w:name="_Toc509317405"/>
      <w:bookmarkStart w:id="866" w:name="_Toc509317718"/>
      <w:bookmarkStart w:id="867" w:name="_Toc509318031"/>
      <w:bookmarkStart w:id="868" w:name="_Toc509319017"/>
      <w:bookmarkStart w:id="869" w:name="_Toc509319379"/>
      <w:bookmarkStart w:id="870" w:name="_Toc509320153"/>
      <w:bookmarkStart w:id="871" w:name="_Toc509322122"/>
      <w:bookmarkStart w:id="872" w:name="_Toc509322446"/>
      <w:bookmarkStart w:id="873" w:name="_Toc509322948"/>
      <w:bookmarkStart w:id="874" w:name="_Toc509323321"/>
      <w:bookmarkStart w:id="875" w:name="_Toc509323645"/>
      <w:bookmarkStart w:id="876" w:name="_Toc509323969"/>
      <w:bookmarkStart w:id="877" w:name="_Toc509324293"/>
      <w:bookmarkStart w:id="878" w:name="_Toc509324662"/>
      <w:bookmarkStart w:id="879" w:name="_Toc509325031"/>
      <w:bookmarkStart w:id="880" w:name="_Toc509325400"/>
      <w:bookmarkStart w:id="881" w:name="_Toc509325769"/>
      <w:bookmarkStart w:id="882" w:name="_Toc509326144"/>
      <w:bookmarkStart w:id="883" w:name="_Toc509326519"/>
      <w:bookmarkStart w:id="884" w:name="_Toc509326894"/>
      <w:bookmarkStart w:id="885" w:name="_Toc509326835"/>
      <w:bookmarkStart w:id="886" w:name="_Toc509327585"/>
      <w:bookmarkStart w:id="887" w:name="_Toc509327960"/>
      <w:bookmarkStart w:id="888" w:name="_Toc509332752"/>
      <w:bookmarkStart w:id="889" w:name="_Toc509333165"/>
      <w:bookmarkStart w:id="890" w:name="_Toc509333578"/>
      <w:bookmarkStart w:id="891" w:name="_Toc509335491"/>
      <w:bookmarkStart w:id="892" w:name="_Toc509336422"/>
      <w:bookmarkStart w:id="893" w:name="_Toc509336854"/>
      <w:bookmarkStart w:id="894" w:name="_Toc509337281"/>
      <w:bookmarkStart w:id="895" w:name="_Toc509337708"/>
      <w:bookmarkStart w:id="896" w:name="_Toc509337609"/>
      <w:bookmarkStart w:id="897" w:name="_Toc509382579"/>
      <w:bookmarkStart w:id="898" w:name="_Toc509383011"/>
      <w:bookmarkStart w:id="899" w:name="_Toc509383890"/>
      <w:bookmarkStart w:id="900" w:name="_Toc509404562"/>
      <w:bookmarkStart w:id="901" w:name="_Toc508287386"/>
      <w:bookmarkStart w:id="902" w:name="_Toc509323646"/>
      <w:bookmarkStart w:id="903" w:name="_Toc509326836"/>
      <w:bookmarkStart w:id="904" w:name="_Toc509332753"/>
      <w:bookmarkStart w:id="905" w:name="_Toc509337709"/>
      <w:bookmarkStart w:id="906" w:name="_Toc510517519"/>
      <w:bookmarkStart w:id="907" w:name="_Toc510612612"/>
      <w:bookmarkStart w:id="908" w:name="_Toc508724894"/>
      <w:bookmarkStart w:id="909" w:name="_Toc508733437"/>
      <w:bookmarkStart w:id="910" w:name="_Toc508735070"/>
      <w:bookmarkStart w:id="911" w:name="_Toc508809688"/>
      <w:bookmarkStart w:id="912" w:name="_Toc509069063"/>
      <w:bookmarkStart w:id="913" w:name="_Toc509313234"/>
      <w:bookmarkStart w:id="914" w:name="_Toc509334670"/>
      <w:bookmarkStart w:id="915" w:name="_Toc510683707"/>
      <w:bookmarkStart w:id="916" w:name="_Toc515348877"/>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Pr>
          <w:noProof/>
          <w:szCs w:val="24"/>
        </w:rPr>
        <w:t>The way forward</w:t>
      </w:r>
      <w:bookmarkEnd w:id="901"/>
      <w:bookmarkEnd w:id="902"/>
      <w:bookmarkEnd w:id="903"/>
      <w:bookmarkEnd w:id="904"/>
      <w:bookmarkEnd w:id="905"/>
      <w:r>
        <w:rPr>
          <w:noProof/>
          <w:szCs w:val="24"/>
        </w:rPr>
        <w:t>: a single investment support instrument</w:t>
      </w:r>
      <w:bookmarkEnd w:id="906"/>
      <w:bookmarkEnd w:id="907"/>
      <w:bookmarkEnd w:id="908"/>
      <w:bookmarkEnd w:id="909"/>
      <w:bookmarkEnd w:id="910"/>
      <w:bookmarkEnd w:id="911"/>
      <w:bookmarkEnd w:id="912"/>
      <w:bookmarkEnd w:id="913"/>
      <w:bookmarkEnd w:id="914"/>
      <w:bookmarkEnd w:id="915"/>
      <w:bookmarkEnd w:id="916"/>
    </w:p>
    <w:p>
      <w:pPr>
        <w:spacing w:after="120" w:line="264" w:lineRule="auto"/>
        <w:rPr>
          <w:rFonts w:cs="Times New Roman"/>
          <w:noProof/>
          <w:szCs w:val="24"/>
        </w:rPr>
      </w:pPr>
      <w:r>
        <w:rPr>
          <w:rFonts w:cs="Times New Roman"/>
          <w:noProof/>
          <w:szCs w:val="24"/>
        </w:rPr>
        <w:t>The Reflection Paper on EU Finances</w:t>
      </w:r>
      <w:r>
        <w:rPr>
          <w:rStyle w:val="FootnoteReference"/>
          <w:rFonts w:cs="Times New Roman"/>
          <w:noProof/>
          <w:szCs w:val="24"/>
        </w:rPr>
        <w:footnoteReference w:id="53"/>
      </w:r>
      <w:r>
        <w:rPr>
          <w:rFonts w:cs="Times New Roman"/>
          <w:noProof/>
          <w:szCs w:val="24"/>
        </w:rPr>
        <w:t xml:space="preserve"> proposes the following: “</w:t>
      </w:r>
      <w:r>
        <w:rPr>
          <w:rFonts w:cs="Times New Roman"/>
          <w:i/>
          <w:noProof/>
          <w:szCs w:val="24"/>
        </w:rPr>
        <w:t>[o]ne option to address this could be […] integration [of financial instruments] within a single fund which would provide loans, guarantees and risk sharing instruments — blending with EU grants where appropriate — depending on the project and windows for the different policies (such as research, innovation, climate action, environment, SME support, infrastructure, including for energy efficiency) to cater for different objectives</w:t>
      </w:r>
      <w:r>
        <w:rPr>
          <w:rFonts w:cs="Times New Roman"/>
          <w:noProof/>
          <w:szCs w:val="24"/>
        </w:rPr>
        <w:t xml:space="preserve">". </w:t>
      </w:r>
    </w:p>
    <w:p>
      <w:pPr>
        <w:spacing w:after="120" w:line="264" w:lineRule="auto"/>
        <w:rPr>
          <w:rFonts w:cs="Times New Roman"/>
          <w:noProof/>
          <w:szCs w:val="24"/>
        </w:rPr>
      </w:pPr>
      <w:r>
        <w:rPr>
          <w:rFonts w:cs="Times New Roman"/>
          <w:noProof/>
          <w:szCs w:val="24"/>
        </w:rPr>
        <w:t xml:space="preserve">The Commission Communication further clarifies that </w:t>
      </w:r>
      <w:r>
        <w:rPr>
          <w:rFonts w:cs="Times New Roman"/>
          <w:i/>
          <w:noProof/>
          <w:szCs w:val="24"/>
        </w:rPr>
        <w:t>"[o]ne option to improve the efficiency and impact of instruments aiming at investment support in the EU could be their integration within a single investment support instrument. This would further reinforce the European Fund for Strategic Investments and have a positive impact on investment levels, economic growth and employment across the EU"</w:t>
      </w:r>
      <w:r>
        <w:rPr>
          <w:rFonts w:cs="Times New Roman"/>
          <w:noProof/>
          <w:szCs w:val="24"/>
          <w:vertAlign w:val="superscript"/>
        </w:rPr>
        <w:footnoteReference w:id="54"/>
      </w:r>
      <w:r>
        <w:rPr>
          <w:rFonts w:cs="Times New Roman"/>
          <w:noProof/>
          <w:szCs w:val="24"/>
        </w:rPr>
        <w:t>.</w:t>
      </w:r>
    </w:p>
    <w:p>
      <w:pPr>
        <w:spacing w:after="120" w:line="264" w:lineRule="auto"/>
        <w:rPr>
          <w:rFonts w:cs="Times New Roman"/>
          <w:noProof/>
          <w:szCs w:val="24"/>
        </w:rPr>
      </w:pPr>
      <w:r>
        <w:rPr>
          <w:rFonts w:cs="Times New Roman"/>
          <w:noProof/>
          <w:szCs w:val="24"/>
        </w:rPr>
        <w:t>The European Parliament</w:t>
      </w:r>
      <w:r>
        <w:rPr>
          <w:rStyle w:val="FootnoteReference"/>
          <w:rFonts w:cs="Times New Roman"/>
          <w:noProof/>
          <w:szCs w:val="24"/>
        </w:rPr>
        <w:footnoteReference w:id="55"/>
      </w:r>
      <w:r>
        <w:rPr>
          <w:rFonts w:cs="Times New Roman"/>
          <w:noProof/>
          <w:szCs w:val="24"/>
        </w:rPr>
        <w:t xml:space="preserve"> "</w:t>
      </w:r>
      <w:r>
        <w:rPr>
          <w:rFonts w:cs="Times New Roman"/>
          <w:i/>
          <w:noProof/>
          <w:szCs w:val="24"/>
        </w:rPr>
        <w:t>considers the option of a single fund that would integrate financial instruments at EU level that are centrally managed under such programmes as the Connecting Europe Facility (CEF), Horizon 2020, COSME, Creative Europe and the Employment and Social Innovation programme (EaSI) on the one hand and the European Fund for Strategic Investments (EFSI) on the other, a proposal to be discussed further</w:t>
      </w:r>
      <w:r>
        <w:rPr>
          <w:rFonts w:cs="Times New Roman"/>
          <w:noProof/>
          <w:szCs w:val="24"/>
        </w:rPr>
        <w:t>".</w:t>
      </w:r>
    </w:p>
    <w:p>
      <w:pPr>
        <w:spacing w:after="120" w:line="264" w:lineRule="auto"/>
        <w:rPr>
          <w:rFonts w:cs="Times New Roman"/>
          <w:noProof/>
          <w:color w:val="000000"/>
          <w:szCs w:val="24"/>
        </w:rPr>
      </w:pPr>
      <w:r>
        <w:rPr>
          <w:rFonts w:cs="Times New Roman"/>
          <w:noProof/>
          <w:szCs w:val="24"/>
        </w:rPr>
        <w:t>The European Parliament "</w:t>
      </w:r>
      <w:r>
        <w:rPr>
          <w:rFonts w:cs="Times New Roman"/>
          <w:i/>
          <w:noProof/>
          <w:szCs w:val="24"/>
        </w:rPr>
        <w:t>is of the opinion, however, that such simplification should not result in the replacement of grants by financial instruments and must not lead to a sectorialisation of EU programmes and policies, but should guarantee a cross-cutting approach with complementarity at its heart. [It also] calls for a far-reaching harmonisation of rules with the aim of creating a single rulebook for all EU instruments</w:t>
      </w:r>
      <w:r>
        <w:rPr>
          <w:rFonts w:cs="Times New Roman"/>
          <w:noProof/>
          <w:szCs w:val="24"/>
        </w:rPr>
        <w:t>."</w:t>
      </w:r>
    </w:p>
    <w:p>
      <w:pPr>
        <w:spacing w:after="120" w:line="264" w:lineRule="auto"/>
        <w:rPr>
          <w:rFonts w:cs="Times New Roman"/>
          <w:noProof/>
          <w:szCs w:val="24"/>
        </w:rPr>
      </w:pPr>
      <w:r>
        <w:rPr>
          <w:rFonts w:cs="Times New Roman"/>
          <w:noProof/>
          <w:szCs w:val="24"/>
        </w:rPr>
        <w:t xml:space="preserve">Based on the above consideration it is proposed to set up a single investment support instrument - the InvestEU Fund. It will be a centrally managed instrument/framework for financing EU investment priorities. It will integrate under a single framework all centrally managed financial instruments and the EFSI budgetary guarantee. </w:t>
      </w:r>
    </w:p>
    <w:p>
      <w:pPr>
        <w:pStyle w:val="Heading1"/>
        <w:spacing w:line="264" w:lineRule="auto"/>
        <w:rPr>
          <w:noProof/>
          <w:szCs w:val="24"/>
        </w:rPr>
      </w:pPr>
      <w:bookmarkStart w:id="917" w:name="_Toc510606445"/>
      <w:bookmarkStart w:id="918" w:name="_Toc510606869"/>
      <w:bookmarkStart w:id="919" w:name="_Toc510609531"/>
      <w:bookmarkStart w:id="920" w:name="_Toc510612613"/>
      <w:bookmarkStart w:id="921" w:name="_Toc510615385"/>
      <w:bookmarkStart w:id="922" w:name="_Toc510616567"/>
      <w:bookmarkStart w:id="923" w:name="_Toc510606448"/>
      <w:bookmarkStart w:id="924" w:name="_Toc510606872"/>
      <w:bookmarkStart w:id="925" w:name="_Toc510609534"/>
      <w:bookmarkStart w:id="926" w:name="_Toc510612616"/>
      <w:bookmarkStart w:id="927" w:name="_Toc510615388"/>
      <w:bookmarkStart w:id="928" w:name="_Toc510616570"/>
      <w:bookmarkStart w:id="929" w:name="_Toc510606449"/>
      <w:bookmarkStart w:id="930" w:name="_Toc510606873"/>
      <w:bookmarkStart w:id="931" w:name="_Toc510608340"/>
      <w:bookmarkStart w:id="932" w:name="_Toc510609303"/>
      <w:bookmarkStart w:id="933" w:name="_Toc510609535"/>
      <w:bookmarkStart w:id="934" w:name="_Toc510610288"/>
      <w:bookmarkStart w:id="935" w:name="_Toc510612617"/>
      <w:bookmarkStart w:id="936" w:name="_Toc510615389"/>
      <w:bookmarkStart w:id="937" w:name="_Toc510616571"/>
      <w:bookmarkStart w:id="938" w:name="_Toc510606451"/>
      <w:bookmarkStart w:id="939" w:name="_Toc510606875"/>
      <w:bookmarkStart w:id="940" w:name="_Toc510609537"/>
      <w:bookmarkStart w:id="941" w:name="_Toc510612619"/>
      <w:bookmarkStart w:id="942" w:name="_Toc510615391"/>
      <w:bookmarkStart w:id="943" w:name="_Toc510616573"/>
      <w:bookmarkStart w:id="944" w:name="_Toc510606452"/>
      <w:bookmarkStart w:id="945" w:name="_Toc510606876"/>
      <w:bookmarkStart w:id="946" w:name="_Toc510609538"/>
      <w:bookmarkStart w:id="947" w:name="_Toc510612620"/>
      <w:bookmarkStart w:id="948" w:name="_Toc510615392"/>
      <w:bookmarkStart w:id="949" w:name="_Toc510616574"/>
      <w:bookmarkStart w:id="950" w:name="_Toc510606454"/>
      <w:bookmarkStart w:id="951" w:name="_Toc510606878"/>
      <w:bookmarkStart w:id="952" w:name="_Toc510609540"/>
      <w:bookmarkStart w:id="953" w:name="_Toc510612622"/>
      <w:bookmarkStart w:id="954" w:name="_Toc510615394"/>
      <w:bookmarkStart w:id="955" w:name="_Toc510616576"/>
      <w:bookmarkStart w:id="956" w:name="_Toc510606455"/>
      <w:bookmarkStart w:id="957" w:name="_Toc510606879"/>
      <w:bookmarkStart w:id="958" w:name="_Toc510608346"/>
      <w:bookmarkStart w:id="959" w:name="_Toc510609309"/>
      <w:bookmarkStart w:id="960" w:name="_Toc510609541"/>
      <w:bookmarkStart w:id="961" w:name="_Toc510610294"/>
      <w:bookmarkStart w:id="962" w:name="_Toc510612623"/>
      <w:bookmarkStart w:id="963" w:name="_Toc510615395"/>
      <w:bookmarkStart w:id="964" w:name="_Toc510616577"/>
      <w:bookmarkStart w:id="965" w:name="_Toc510606456"/>
      <w:bookmarkStart w:id="966" w:name="_Toc510606880"/>
      <w:bookmarkStart w:id="967" w:name="_Toc510609542"/>
      <w:bookmarkStart w:id="968" w:name="_Toc510612624"/>
      <w:bookmarkStart w:id="969" w:name="_Toc510615396"/>
      <w:bookmarkStart w:id="970" w:name="_Toc510616578"/>
      <w:bookmarkStart w:id="971" w:name="_Toc510606457"/>
      <w:bookmarkStart w:id="972" w:name="_Toc510606881"/>
      <w:bookmarkStart w:id="973" w:name="_Toc510609543"/>
      <w:bookmarkStart w:id="974" w:name="_Toc510612625"/>
      <w:bookmarkStart w:id="975" w:name="_Toc510615397"/>
      <w:bookmarkStart w:id="976" w:name="_Toc510616579"/>
      <w:bookmarkStart w:id="977" w:name="_Toc510606458"/>
      <w:bookmarkStart w:id="978" w:name="_Toc510606882"/>
      <w:bookmarkStart w:id="979" w:name="_Toc510609544"/>
      <w:bookmarkStart w:id="980" w:name="_Toc510612626"/>
      <w:bookmarkStart w:id="981" w:name="_Toc510615398"/>
      <w:bookmarkStart w:id="982" w:name="_Toc510616580"/>
      <w:bookmarkStart w:id="983" w:name="_Toc510606459"/>
      <w:bookmarkStart w:id="984" w:name="_Toc510606883"/>
      <w:bookmarkStart w:id="985" w:name="_Toc510609545"/>
      <w:bookmarkStart w:id="986" w:name="_Toc510612627"/>
      <w:bookmarkStart w:id="987" w:name="_Toc510615399"/>
      <w:bookmarkStart w:id="988" w:name="_Toc510616581"/>
      <w:bookmarkStart w:id="989" w:name="_Toc510606460"/>
      <w:bookmarkStart w:id="990" w:name="_Toc510606884"/>
      <w:bookmarkStart w:id="991" w:name="_Toc510609546"/>
      <w:bookmarkStart w:id="992" w:name="_Toc510612628"/>
      <w:bookmarkStart w:id="993" w:name="_Toc510615400"/>
      <w:bookmarkStart w:id="994" w:name="_Toc510616582"/>
      <w:bookmarkStart w:id="995" w:name="_Toc510606461"/>
      <w:bookmarkStart w:id="996" w:name="_Toc510606885"/>
      <w:bookmarkStart w:id="997" w:name="_Toc510609547"/>
      <w:bookmarkStart w:id="998" w:name="_Toc510612629"/>
      <w:bookmarkStart w:id="999" w:name="_Toc510615401"/>
      <w:bookmarkStart w:id="1000" w:name="_Toc510616583"/>
      <w:bookmarkStart w:id="1001" w:name="_Toc510606462"/>
      <w:bookmarkStart w:id="1002" w:name="_Toc510606886"/>
      <w:bookmarkStart w:id="1003" w:name="_Toc510609548"/>
      <w:bookmarkStart w:id="1004" w:name="_Toc510612630"/>
      <w:bookmarkStart w:id="1005" w:name="_Toc510615402"/>
      <w:bookmarkStart w:id="1006" w:name="_Toc510616584"/>
      <w:bookmarkStart w:id="1007" w:name="_Toc510606463"/>
      <w:bookmarkStart w:id="1008" w:name="_Toc510606887"/>
      <w:bookmarkStart w:id="1009" w:name="_Toc510608354"/>
      <w:bookmarkStart w:id="1010" w:name="_Toc510609317"/>
      <w:bookmarkStart w:id="1011" w:name="_Toc510609549"/>
      <w:bookmarkStart w:id="1012" w:name="_Toc510610302"/>
      <w:bookmarkStart w:id="1013" w:name="_Toc510612631"/>
      <w:bookmarkStart w:id="1014" w:name="_Toc510615403"/>
      <w:bookmarkStart w:id="1015" w:name="_Toc510616585"/>
      <w:bookmarkStart w:id="1016" w:name="_Toc510606464"/>
      <w:bookmarkStart w:id="1017" w:name="_Toc510606888"/>
      <w:bookmarkStart w:id="1018" w:name="_Toc510609550"/>
      <w:bookmarkStart w:id="1019" w:name="_Toc510612632"/>
      <w:bookmarkStart w:id="1020" w:name="_Toc510615404"/>
      <w:bookmarkStart w:id="1021" w:name="_Toc510616586"/>
      <w:bookmarkStart w:id="1022" w:name="_Toc510606465"/>
      <w:bookmarkStart w:id="1023" w:name="_Toc510606889"/>
      <w:bookmarkStart w:id="1024" w:name="_Toc510609551"/>
      <w:bookmarkStart w:id="1025" w:name="_Toc510612633"/>
      <w:bookmarkStart w:id="1026" w:name="_Toc510615405"/>
      <w:bookmarkStart w:id="1027" w:name="_Toc510616587"/>
      <w:bookmarkStart w:id="1028" w:name="_Toc510606466"/>
      <w:bookmarkStart w:id="1029" w:name="_Toc510606890"/>
      <w:bookmarkStart w:id="1030" w:name="_Toc510608357"/>
      <w:bookmarkStart w:id="1031" w:name="_Toc510609320"/>
      <w:bookmarkStart w:id="1032" w:name="_Toc510609552"/>
      <w:bookmarkStart w:id="1033" w:name="_Toc510610305"/>
      <w:bookmarkStart w:id="1034" w:name="_Toc510612634"/>
      <w:bookmarkStart w:id="1035" w:name="_Toc510615406"/>
      <w:bookmarkStart w:id="1036" w:name="_Toc510616588"/>
      <w:bookmarkStart w:id="1037" w:name="_Toc509310624"/>
      <w:bookmarkStart w:id="1038" w:name="_Toc509311019"/>
      <w:bookmarkStart w:id="1039" w:name="_Toc509311420"/>
      <w:bookmarkStart w:id="1040" w:name="_Toc509311768"/>
      <w:bookmarkStart w:id="1041" w:name="_Toc509312284"/>
      <w:bookmarkStart w:id="1042" w:name="_Toc509312623"/>
      <w:bookmarkStart w:id="1043" w:name="_Toc509312964"/>
      <w:bookmarkStart w:id="1044" w:name="_Toc509313366"/>
      <w:bookmarkStart w:id="1045" w:name="_Toc509316803"/>
      <w:bookmarkStart w:id="1046" w:name="_Toc509317116"/>
      <w:bookmarkStart w:id="1047" w:name="_Toc509317408"/>
      <w:bookmarkStart w:id="1048" w:name="_Toc509317721"/>
      <w:bookmarkStart w:id="1049" w:name="_Toc509318034"/>
      <w:bookmarkStart w:id="1050" w:name="_Toc509319020"/>
      <w:bookmarkStart w:id="1051" w:name="_Toc509319382"/>
      <w:bookmarkStart w:id="1052" w:name="_Toc509320156"/>
      <w:bookmarkStart w:id="1053" w:name="_Toc509322125"/>
      <w:bookmarkStart w:id="1054" w:name="_Toc509322449"/>
      <w:bookmarkStart w:id="1055" w:name="_Toc509322951"/>
      <w:bookmarkStart w:id="1056" w:name="_Toc509323324"/>
      <w:bookmarkStart w:id="1057" w:name="_Toc509323648"/>
      <w:bookmarkStart w:id="1058" w:name="_Toc509323972"/>
      <w:bookmarkStart w:id="1059" w:name="_Toc509324296"/>
      <w:bookmarkStart w:id="1060" w:name="_Toc509324665"/>
      <w:bookmarkStart w:id="1061" w:name="_Toc509325034"/>
      <w:bookmarkStart w:id="1062" w:name="_Toc509325403"/>
      <w:bookmarkStart w:id="1063" w:name="_Toc509325772"/>
      <w:bookmarkStart w:id="1064" w:name="_Toc509326147"/>
      <w:bookmarkStart w:id="1065" w:name="_Toc509326522"/>
      <w:bookmarkStart w:id="1066" w:name="_Toc509326897"/>
      <w:bookmarkStart w:id="1067" w:name="_Toc509326838"/>
      <w:bookmarkStart w:id="1068" w:name="_Toc509327588"/>
      <w:bookmarkStart w:id="1069" w:name="_Toc509327963"/>
      <w:bookmarkStart w:id="1070" w:name="_Toc509332755"/>
      <w:bookmarkStart w:id="1071" w:name="_Toc509333168"/>
      <w:bookmarkStart w:id="1072" w:name="_Toc509333581"/>
      <w:bookmarkStart w:id="1073" w:name="_Toc509335494"/>
      <w:bookmarkStart w:id="1074" w:name="_Toc509336425"/>
      <w:bookmarkStart w:id="1075" w:name="_Toc509336857"/>
      <w:bookmarkStart w:id="1076" w:name="_Toc509337284"/>
      <w:bookmarkStart w:id="1077" w:name="_Toc509337711"/>
      <w:bookmarkStart w:id="1078" w:name="_Toc509337612"/>
      <w:bookmarkStart w:id="1079" w:name="_Toc509382582"/>
      <w:bookmarkStart w:id="1080" w:name="_Toc509383014"/>
      <w:bookmarkStart w:id="1081" w:name="_Toc509383893"/>
      <w:bookmarkStart w:id="1082" w:name="_Toc509404565"/>
      <w:bookmarkStart w:id="1083" w:name="_Toc510206789"/>
      <w:bookmarkStart w:id="1084" w:name="_Toc510207582"/>
      <w:bookmarkStart w:id="1085" w:name="_Toc510517521"/>
      <w:bookmarkStart w:id="1086" w:name="_Toc510593469"/>
      <w:bookmarkStart w:id="1087" w:name="_Toc510593846"/>
      <w:bookmarkStart w:id="1088" w:name="_Toc510606468"/>
      <w:bookmarkStart w:id="1089" w:name="_Toc510606892"/>
      <w:bookmarkStart w:id="1090" w:name="_Toc510609554"/>
      <w:bookmarkStart w:id="1091" w:name="_Toc510612636"/>
      <w:bookmarkStart w:id="1092" w:name="_Toc510615408"/>
      <w:bookmarkStart w:id="1093" w:name="_Toc510616590"/>
      <w:bookmarkStart w:id="1094" w:name="_Toc510206792"/>
      <w:bookmarkStart w:id="1095" w:name="_Toc510207585"/>
      <w:bookmarkStart w:id="1096" w:name="_Toc510517524"/>
      <w:bookmarkStart w:id="1097" w:name="_Toc510593472"/>
      <w:bookmarkStart w:id="1098" w:name="_Toc510593849"/>
      <w:bookmarkStart w:id="1099" w:name="_Toc510606471"/>
      <w:bookmarkStart w:id="1100" w:name="_Toc510606895"/>
      <w:bookmarkStart w:id="1101" w:name="_Toc510609557"/>
      <w:bookmarkStart w:id="1102" w:name="_Toc510612639"/>
      <w:bookmarkStart w:id="1103" w:name="_Toc510615411"/>
      <w:bookmarkStart w:id="1104" w:name="_Toc510616593"/>
      <w:bookmarkStart w:id="1105" w:name="_Toc510206793"/>
      <w:bookmarkStart w:id="1106" w:name="_Toc510207586"/>
      <w:bookmarkStart w:id="1107" w:name="_Toc510517525"/>
      <w:bookmarkStart w:id="1108" w:name="_Toc510593473"/>
      <w:bookmarkStart w:id="1109" w:name="_Toc510593850"/>
      <w:bookmarkStart w:id="1110" w:name="_Toc510606472"/>
      <w:bookmarkStart w:id="1111" w:name="_Toc510606896"/>
      <w:bookmarkStart w:id="1112" w:name="_Toc510609558"/>
      <w:bookmarkStart w:id="1113" w:name="_Toc510612640"/>
      <w:bookmarkStart w:id="1114" w:name="_Toc510615412"/>
      <w:bookmarkStart w:id="1115" w:name="_Toc510616594"/>
      <w:bookmarkStart w:id="1116" w:name="_Toc510206795"/>
      <w:bookmarkStart w:id="1117" w:name="_Toc510207588"/>
      <w:bookmarkStart w:id="1118" w:name="_Toc510517527"/>
      <w:bookmarkStart w:id="1119" w:name="_Toc510593475"/>
      <w:bookmarkStart w:id="1120" w:name="_Toc510593852"/>
      <w:bookmarkStart w:id="1121" w:name="_Toc510606474"/>
      <w:bookmarkStart w:id="1122" w:name="_Toc510606898"/>
      <w:bookmarkStart w:id="1123" w:name="_Toc510609560"/>
      <w:bookmarkStart w:id="1124" w:name="_Toc510612642"/>
      <w:bookmarkStart w:id="1125" w:name="_Toc510615414"/>
      <w:bookmarkStart w:id="1126" w:name="_Toc510616596"/>
      <w:bookmarkStart w:id="1127" w:name="_Toc510206796"/>
      <w:bookmarkStart w:id="1128" w:name="_Toc510207589"/>
      <w:bookmarkStart w:id="1129" w:name="_Toc510517528"/>
      <w:bookmarkStart w:id="1130" w:name="_Toc510593476"/>
      <w:bookmarkStart w:id="1131" w:name="_Toc510593853"/>
      <w:bookmarkStart w:id="1132" w:name="_Toc510606475"/>
      <w:bookmarkStart w:id="1133" w:name="_Toc510606899"/>
      <w:bookmarkStart w:id="1134" w:name="_Toc510609561"/>
      <w:bookmarkStart w:id="1135" w:name="_Toc510612643"/>
      <w:bookmarkStart w:id="1136" w:name="_Toc510615415"/>
      <w:bookmarkStart w:id="1137" w:name="_Toc510616597"/>
      <w:bookmarkStart w:id="1138" w:name="_Toc510206797"/>
      <w:bookmarkStart w:id="1139" w:name="_Toc510207590"/>
      <w:bookmarkStart w:id="1140" w:name="_Toc510517529"/>
      <w:bookmarkStart w:id="1141" w:name="_Toc510593477"/>
      <w:bookmarkStart w:id="1142" w:name="_Toc510593854"/>
      <w:bookmarkStart w:id="1143" w:name="_Toc510606476"/>
      <w:bookmarkStart w:id="1144" w:name="_Toc510606900"/>
      <w:bookmarkStart w:id="1145" w:name="_Toc510609562"/>
      <w:bookmarkStart w:id="1146" w:name="_Toc510612644"/>
      <w:bookmarkStart w:id="1147" w:name="_Toc510615416"/>
      <w:bookmarkStart w:id="1148" w:name="_Toc510616598"/>
      <w:bookmarkStart w:id="1149" w:name="_Toc510206798"/>
      <w:bookmarkStart w:id="1150" w:name="_Toc510207591"/>
      <w:bookmarkStart w:id="1151" w:name="_Toc510517530"/>
      <w:bookmarkStart w:id="1152" w:name="_Toc510593478"/>
      <w:bookmarkStart w:id="1153" w:name="_Toc510593855"/>
      <w:bookmarkStart w:id="1154" w:name="_Toc510606477"/>
      <w:bookmarkStart w:id="1155" w:name="_Toc510606901"/>
      <w:bookmarkStart w:id="1156" w:name="_Toc510609563"/>
      <w:bookmarkStart w:id="1157" w:name="_Toc510612645"/>
      <w:bookmarkStart w:id="1158" w:name="_Toc510615417"/>
      <w:bookmarkStart w:id="1159" w:name="_Toc510616599"/>
      <w:bookmarkStart w:id="1160" w:name="_Toc510206799"/>
      <w:bookmarkStart w:id="1161" w:name="_Toc510207592"/>
      <w:bookmarkStart w:id="1162" w:name="_Toc510517531"/>
      <w:bookmarkStart w:id="1163" w:name="_Toc510593479"/>
      <w:bookmarkStart w:id="1164" w:name="_Toc510593856"/>
      <w:bookmarkStart w:id="1165" w:name="_Toc510606478"/>
      <w:bookmarkStart w:id="1166" w:name="_Toc510606902"/>
      <w:bookmarkStart w:id="1167" w:name="_Toc510608369"/>
      <w:bookmarkStart w:id="1168" w:name="_Toc510609332"/>
      <w:bookmarkStart w:id="1169" w:name="_Toc510609564"/>
      <w:bookmarkStart w:id="1170" w:name="_Toc510610317"/>
      <w:bookmarkStart w:id="1171" w:name="_Toc510612646"/>
      <w:bookmarkStart w:id="1172" w:name="_Toc510615418"/>
      <w:bookmarkStart w:id="1173" w:name="_Toc510616600"/>
      <w:bookmarkStart w:id="1174" w:name="_Toc509310626"/>
      <w:bookmarkStart w:id="1175" w:name="_Toc509311021"/>
      <w:bookmarkStart w:id="1176" w:name="_Toc509311422"/>
      <w:bookmarkStart w:id="1177" w:name="_Toc509311770"/>
      <w:bookmarkStart w:id="1178" w:name="_Toc509312286"/>
      <w:bookmarkStart w:id="1179" w:name="_Toc509312625"/>
      <w:bookmarkStart w:id="1180" w:name="_Toc509312966"/>
      <w:bookmarkStart w:id="1181" w:name="_Toc509313368"/>
      <w:bookmarkStart w:id="1182" w:name="_Toc509316805"/>
      <w:bookmarkStart w:id="1183" w:name="_Toc509317118"/>
      <w:bookmarkStart w:id="1184" w:name="_Toc509317410"/>
      <w:bookmarkStart w:id="1185" w:name="_Toc509317723"/>
      <w:bookmarkStart w:id="1186" w:name="_Toc509318036"/>
      <w:bookmarkStart w:id="1187" w:name="_Toc509319022"/>
      <w:bookmarkStart w:id="1188" w:name="_Toc509319384"/>
      <w:bookmarkStart w:id="1189" w:name="_Toc509320158"/>
      <w:bookmarkStart w:id="1190" w:name="_Toc509322127"/>
      <w:bookmarkStart w:id="1191" w:name="_Toc509322451"/>
      <w:bookmarkStart w:id="1192" w:name="_Toc509322953"/>
      <w:bookmarkStart w:id="1193" w:name="_Toc509323326"/>
      <w:bookmarkStart w:id="1194" w:name="_Toc509323650"/>
      <w:bookmarkStart w:id="1195" w:name="_Toc509323974"/>
      <w:bookmarkStart w:id="1196" w:name="_Toc509324298"/>
      <w:bookmarkStart w:id="1197" w:name="_Toc509324667"/>
      <w:bookmarkStart w:id="1198" w:name="_Toc509325036"/>
      <w:bookmarkStart w:id="1199" w:name="_Toc509325405"/>
      <w:bookmarkStart w:id="1200" w:name="_Toc509325774"/>
      <w:bookmarkStart w:id="1201" w:name="_Toc509326149"/>
      <w:bookmarkStart w:id="1202" w:name="_Toc509326524"/>
      <w:bookmarkStart w:id="1203" w:name="_Toc509326899"/>
      <w:bookmarkStart w:id="1204" w:name="_Toc509326840"/>
      <w:bookmarkStart w:id="1205" w:name="_Toc509327590"/>
      <w:bookmarkStart w:id="1206" w:name="_Toc509327965"/>
      <w:bookmarkStart w:id="1207" w:name="_Toc509332757"/>
      <w:bookmarkStart w:id="1208" w:name="_Toc509333170"/>
      <w:bookmarkStart w:id="1209" w:name="_Toc509333583"/>
      <w:bookmarkStart w:id="1210" w:name="_Toc509335496"/>
      <w:bookmarkStart w:id="1211" w:name="_Toc509336427"/>
      <w:bookmarkStart w:id="1212" w:name="_Toc509336859"/>
      <w:bookmarkStart w:id="1213" w:name="_Toc509337286"/>
      <w:bookmarkStart w:id="1214" w:name="_Toc509337713"/>
      <w:bookmarkStart w:id="1215" w:name="_Toc509337614"/>
      <w:bookmarkStart w:id="1216" w:name="_Toc509382584"/>
      <w:bookmarkStart w:id="1217" w:name="_Toc509383016"/>
      <w:bookmarkStart w:id="1218" w:name="_Toc509383895"/>
      <w:bookmarkStart w:id="1219" w:name="_Toc509404567"/>
      <w:bookmarkStart w:id="1220" w:name="_Toc509310627"/>
      <w:bookmarkStart w:id="1221" w:name="_Toc509311022"/>
      <w:bookmarkStart w:id="1222" w:name="_Toc509311423"/>
      <w:bookmarkStart w:id="1223" w:name="_Toc509311771"/>
      <w:bookmarkStart w:id="1224" w:name="_Toc509312287"/>
      <w:bookmarkStart w:id="1225" w:name="_Toc509312626"/>
      <w:bookmarkStart w:id="1226" w:name="_Toc509312967"/>
      <w:bookmarkStart w:id="1227" w:name="_Toc509313369"/>
      <w:bookmarkStart w:id="1228" w:name="_Toc509316806"/>
      <w:bookmarkStart w:id="1229" w:name="_Toc509317119"/>
      <w:bookmarkStart w:id="1230" w:name="_Toc509317411"/>
      <w:bookmarkStart w:id="1231" w:name="_Toc509317724"/>
      <w:bookmarkStart w:id="1232" w:name="_Toc509318037"/>
      <w:bookmarkStart w:id="1233" w:name="_Toc509319023"/>
      <w:bookmarkStart w:id="1234" w:name="_Toc509319385"/>
      <w:bookmarkStart w:id="1235" w:name="_Toc509320159"/>
      <w:bookmarkStart w:id="1236" w:name="_Toc509322128"/>
      <w:bookmarkStart w:id="1237" w:name="_Toc509322452"/>
      <w:bookmarkStart w:id="1238" w:name="_Toc509322954"/>
      <w:bookmarkStart w:id="1239" w:name="_Toc509323327"/>
      <w:bookmarkStart w:id="1240" w:name="_Toc509323651"/>
      <w:bookmarkStart w:id="1241" w:name="_Toc509323975"/>
      <w:bookmarkStart w:id="1242" w:name="_Toc509324299"/>
      <w:bookmarkStart w:id="1243" w:name="_Toc509324668"/>
      <w:bookmarkStart w:id="1244" w:name="_Toc509325037"/>
      <w:bookmarkStart w:id="1245" w:name="_Toc509325406"/>
      <w:bookmarkStart w:id="1246" w:name="_Toc509325775"/>
      <w:bookmarkStart w:id="1247" w:name="_Toc509326150"/>
      <w:bookmarkStart w:id="1248" w:name="_Toc509326525"/>
      <w:bookmarkStart w:id="1249" w:name="_Toc509326900"/>
      <w:bookmarkStart w:id="1250" w:name="_Toc509326841"/>
      <w:bookmarkStart w:id="1251" w:name="_Toc509327591"/>
      <w:bookmarkStart w:id="1252" w:name="_Toc509327966"/>
      <w:bookmarkStart w:id="1253" w:name="_Toc509332758"/>
      <w:bookmarkStart w:id="1254" w:name="_Toc509333171"/>
      <w:bookmarkStart w:id="1255" w:name="_Toc509333584"/>
      <w:bookmarkStart w:id="1256" w:name="_Toc509335497"/>
      <w:bookmarkStart w:id="1257" w:name="_Toc509336428"/>
      <w:bookmarkStart w:id="1258" w:name="_Toc509336860"/>
      <w:bookmarkStart w:id="1259" w:name="_Toc509337287"/>
      <w:bookmarkStart w:id="1260" w:name="_Toc509337714"/>
      <w:bookmarkStart w:id="1261" w:name="_Toc509337615"/>
      <w:bookmarkStart w:id="1262" w:name="_Toc509382585"/>
      <w:bookmarkStart w:id="1263" w:name="_Toc509383017"/>
      <w:bookmarkStart w:id="1264" w:name="_Toc509383896"/>
      <w:bookmarkStart w:id="1265" w:name="_Toc509404568"/>
      <w:bookmarkStart w:id="1266" w:name="_Toc509310628"/>
      <w:bookmarkStart w:id="1267" w:name="_Toc509311023"/>
      <w:bookmarkStart w:id="1268" w:name="_Toc509311424"/>
      <w:bookmarkStart w:id="1269" w:name="_Toc509311772"/>
      <w:bookmarkStart w:id="1270" w:name="_Toc509312288"/>
      <w:bookmarkStart w:id="1271" w:name="_Toc509312627"/>
      <w:bookmarkStart w:id="1272" w:name="_Toc509312968"/>
      <w:bookmarkStart w:id="1273" w:name="_Toc509313370"/>
      <w:bookmarkStart w:id="1274" w:name="_Toc509316807"/>
      <w:bookmarkStart w:id="1275" w:name="_Toc509317120"/>
      <w:bookmarkStart w:id="1276" w:name="_Toc509317412"/>
      <w:bookmarkStart w:id="1277" w:name="_Toc509317725"/>
      <w:bookmarkStart w:id="1278" w:name="_Toc509318038"/>
      <w:bookmarkStart w:id="1279" w:name="_Toc509319024"/>
      <w:bookmarkStart w:id="1280" w:name="_Toc509319386"/>
      <w:bookmarkStart w:id="1281" w:name="_Toc509320160"/>
      <w:bookmarkStart w:id="1282" w:name="_Toc509322129"/>
      <w:bookmarkStart w:id="1283" w:name="_Toc509322453"/>
      <w:bookmarkStart w:id="1284" w:name="_Toc509322955"/>
      <w:bookmarkStart w:id="1285" w:name="_Toc509323328"/>
      <w:bookmarkStart w:id="1286" w:name="_Toc509323652"/>
      <w:bookmarkStart w:id="1287" w:name="_Toc509323976"/>
      <w:bookmarkStart w:id="1288" w:name="_Toc509324300"/>
      <w:bookmarkStart w:id="1289" w:name="_Toc509324669"/>
      <w:bookmarkStart w:id="1290" w:name="_Toc509325038"/>
      <w:bookmarkStart w:id="1291" w:name="_Toc509325407"/>
      <w:bookmarkStart w:id="1292" w:name="_Toc509325776"/>
      <w:bookmarkStart w:id="1293" w:name="_Toc509326151"/>
      <w:bookmarkStart w:id="1294" w:name="_Toc509326526"/>
      <w:bookmarkStart w:id="1295" w:name="_Toc509326901"/>
      <w:bookmarkStart w:id="1296" w:name="_Toc509326842"/>
      <w:bookmarkStart w:id="1297" w:name="_Toc509327592"/>
      <w:bookmarkStart w:id="1298" w:name="_Toc509327967"/>
      <w:bookmarkStart w:id="1299" w:name="_Toc509332759"/>
      <w:bookmarkStart w:id="1300" w:name="_Toc509333172"/>
      <w:bookmarkStart w:id="1301" w:name="_Toc509333585"/>
      <w:bookmarkStart w:id="1302" w:name="_Toc509335498"/>
      <w:bookmarkStart w:id="1303" w:name="_Toc509336429"/>
      <w:bookmarkStart w:id="1304" w:name="_Toc509336861"/>
      <w:bookmarkStart w:id="1305" w:name="_Toc509337288"/>
      <w:bookmarkStart w:id="1306" w:name="_Toc509337715"/>
      <w:bookmarkStart w:id="1307" w:name="_Toc509337616"/>
      <w:bookmarkStart w:id="1308" w:name="_Toc509382586"/>
      <w:bookmarkStart w:id="1309" w:name="_Toc509383018"/>
      <w:bookmarkStart w:id="1310" w:name="_Toc509383897"/>
      <w:bookmarkStart w:id="1311" w:name="_Toc509404569"/>
      <w:bookmarkStart w:id="1312" w:name="_Toc509310629"/>
      <w:bookmarkStart w:id="1313" w:name="_Toc509311024"/>
      <w:bookmarkStart w:id="1314" w:name="_Toc509311425"/>
      <w:bookmarkStart w:id="1315" w:name="_Toc509311773"/>
      <w:bookmarkStart w:id="1316" w:name="_Toc509312289"/>
      <w:bookmarkStart w:id="1317" w:name="_Toc509312628"/>
      <w:bookmarkStart w:id="1318" w:name="_Toc509312969"/>
      <w:bookmarkStart w:id="1319" w:name="_Toc509313371"/>
      <w:bookmarkStart w:id="1320" w:name="_Toc509316808"/>
      <w:bookmarkStart w:id="1321" w:name="_Toc509317121"/>
      <w:bookmarkStart w:id="1322" w:name="_Toc509317413"/>
      <w:bookmarkStart w:id="1323" w:name="_Toc509317726"/>
      <w:bookmarkStart w:id="1324" w:name="_Toc509318039"/>
      <w:bookmarkStart w:id="1325" w:name="_Toc509319025"/>
      <w:bookmarkStart w:id="1326" w:name="_Toc509319387"/>
      <w:bookmarkStart w:id="1327" w:name="_Toc509320161"/>
      <w:bookmarkStart w:id="1328" w:name="_Toc509322130"/>
      <w:bookmarkStart w:id="1329" w:name="_Toc509322454"/>
      <w:bookmarkStart w:id="1330" w:name="_Toc509322956"/>
      <w:bookmarkStart w:id="1331" w:name="_Toc509323329"/>
      <w:bookmarkStart w:id="1332" w:name="_Toc509323653"/>
      <w:bookmarkStart w:id="1333" w:name="_Toc509323977"/>
      <w:bookmarkStart w:id="1334" w:name="_Toc509324301"/>
      <w:bookmarkStart w:id="1335" w:name="_Toc509324670"/>
      <w:bookmarkStart w:id="1336" w:name="_Toc509325039"/>
      <w:bookmarkStart w:id="1337" w:name="_Toc509325408"/>
      <w:bookmarkStart w:id="1338" w:name="_Toc509325777"/>
      <w:bookmarkStart w:id="1339" w:name="_Toc509326152"/>
      <w:bookmarkStart w:id="1340" w:name="_Toc509326527"/>
      <w:bookmarkStart w:id="1341" w:name="_Toc509326902"/>
      <w:bookmarkStart w:id="1342" w:name="_Toc509326843"/>
      <w:bookmarkStart w:id="1343" w:name="_Toc509327593"/>
      <w:bookmarkStart w:id="1344" w:name="_Toc509327968"/>
      <w:bookmarkStart w:id="1345" w:name="_Toc509332760"/>
      <w:bookmarkStart w:id="1346" w:name="_Toc509333173"/>
      <w:bookmarkStart w:id="1347" w:name="_Toc509333586"/>
      <w:bookmarkStart w:id="1348" w:name="_Toc509335499"/>
      <w:bookmarkStart w:id="1349" w:name="_Toc509336430"/>
      <w:bookmarkStart w:id="1350" w:name="_Toc509336862"/>
      <w:bookmarkStart w:id="1351" w:name="_Toc509337289"/>
      <w:bookmarkStart w:id="1352" w:name="_Toc509337716"/>
      <w:bookmarkStart w:id="1353" w:name="_Toc509337617"/>
      <w:bookmarkStart w:id="1354" w:name="_Toc509382587"/>
      <w:bookmarkStart w:id="1355" w:name="_Toc509383019"/>
      <w:bookmarkStart w:id="1356" w:name="_Toc509383898"/>
      <w:bookmarkStart w:id="1357" w:name="_Toc509404570"/>
      <w:bookmarkStart w:id="1358" w:name="_Toc509310630"/>
      <w:bookmarkStart w:id="1359" w:name="_Toc509311025"/>
      <w:bookmarkStart w:id="1360" w:name="_Toc509311426"/>
      <w:bookmarkStart w:id="1361" w:name="_Toc509311774"/>
      <w:bookmarkStart w:id="1362" w:name="_Toc509312290"/>
      <w:bookmarkStart w:id="1363" w:name="_Toc509312629"/>
      <w:bookmarkStart w:id="1364" w:name="_Toc509312970"/>
      <w:bookmarkStart w:id="1365" w:name="_Toc509313372"/>
      <w:bookmarkStart w:id="1366" w:name="_Toc509316809"/>
      <w:bookmarkStart w:id="1367" w:name="_Toc509317122"/>
      <w:bookmarkStart w:id="1368" w:name="_Toc509317414"/>
      <w:bookmarkStart w:id="1369" w:name="_Toc509317727"/>
      <w:bookmarkStart w:id="1370" w:name="_Toc509318040"/>
      <w:bookmarkStart w:id="1371" w:name="_Toc509319026"/>
      <w:bookmarkStart w:id="1372" w:name="_Toc509319388"/>
      <w:bookmarkStart w:id="1373" w:name="_Toc509320162"/>
      <w:bookmarkStart w:id="1374" w:name="_Toc509322131"/>
      <w:bookmarkStart w:id="1375" w:name="_Toc509322455"/>
      <w:bookmarkStart w:id="1376" w:name="_Toc509322957"/>
      <w:bookmarkStart w:id="1377" w:name="_Toc509323330"/>
      <w:bookmarkStart w:id="1378" w:name="_Toc509323654"/>
      <w:bookmarkStart w:id="1379" w:name="_Toc509323978"/>
      <w:bookmarkStart w:id="1380" w:name="_Toc509324302"/>
      <w:bookmarkStart w:id="1381" w:name="_Toc509324671"/>
      <w:bookmarkStart w:id="1382" w:name="_Toc509325040"/>
      <w:bookmarkStart w:id="1383" w:name="_Toc509325409"/>
      <w:bookmarkStart w:id="1384" w:name="_Toc509325778"/>
      <w:bookmarkStart w:id="1385" w:name="_Toc509326153"/>
      <w:bookmarkStart w:id="1386" w:name="_Toc509326528"/>
      <w:bookmarkStart w:id="1387" w:name="_Toc509326903"/>
      <w:bookmarkStart w:id="1388" w:name="_Toc509326844"/>
      <w:bookmarkStart w:id="1389" w:name="_Toc509327594"/>
      <w:bookmarkStart w:id="1390" w:name="_Toc509327969"/>
      <w:bookmarkStart w:id="1391" w:name="_Toc509332761"/>
      <w:bookmarkStart w:id="1392" w:name="_Toc509333174"/>
      <w:bookmarkStart w:id="1393" w:name="_Toc509333587"/>
      <w:bookmarkStart w:id="1394" w:name="_Toc509335500"/>
      <w:bookmarkStart w:id="1395" w:name="_Toc509336431"/>
      <w:bookmarkStart w:id="1396" w:name="_Toc509336863"/>
      <w:bookmarkStart w:id="1397" w:name="_Toc509337290"/>
      <w:bookmarkStart w:id="1398" w:name="_Toc509337717"/>
      <w:bookmarkStart w:id="1399" w:name="_Toc509337618"/>
      <w:bookmarkStart w:id="1400" w:name="_Toc509382588"/>
      <w:bookmarkStart w:id="1401" w:name="_Toc509383020"/>
      <w:bookmarkStart w:id="1402" w:name="_Toc509383899"/>
      <w:bookmarkStart w:id="1403" w:name="_Toc509404571"/>
      <w:bookmarkStart w:id="1404" w:name="_Toc509310631"/>
      <w:bookmarkStart w:id="1405" w:name="_Toc509311026"/>
      <w:bookmarkStart w:id="1406" w:name="_Toc509311427"/>
      <w:bookmarkStart w:id="1407" w:name="_Toc509311775"/>
      <w:bookmarkStart w:id="1408" w:name="_Toc509312291"/>
      <w:bookmarkStart w:id="1409" w:name="_Toc509312630"/>
      <w:bookmarkStart w:id="1410" w:name="_Toc509312971"/>
      <w:bookmarkStart w:id="1411" w:name="_Toc509313373"/>
      <w:bookmarkStart w:id="1412" w:name="_Toc509316810"/>
      <w:bookmarkStart w:id="1413" w:name="_Toc509317123"/>
      <w:bookmarkStart w:id="1414" w:name="_Toc509317415"/>
      <w:bookmarkStart w:id="1415" w:name="_Toc509317728"/>
      <w:bookmarkStart w:id="1416" w:name="_Toc509318041"/>
      <w:bookmarkStart w:id="1417" w:name="_Toc509319027"/>
      <w:bookmarkStart w:id="1418" w:name="_Toc509319389"/>
      <w:bookmarkStart w:id="1419" w:name="_Toc509320163"/>
      <w:bookmarkStart w:id="1420" w:name="_Toc509322132"/>
      <w:bookmarkStart w:id="1421" w:name="_Toc509322456"/>
      <w:bookmarkStart w:id="1422" w:name="_Toc509322958"/>
      <w:bookmarkStart w:id="1423" w:name="_Toc509323331"/>
      <w:bookmarkStart w:id="1424" w:name="_Toc509323655"/>
      <w:bookmarkStart w:id="1425" w:name="_Toc509323979"/>
      <w:bookmarkStart w:id="1426" w:name="_Toc509324303"/>
      <w:bookmarkStart w:id="1427" w:name="_Toc509324672"/>
      <w:bookmarkStart w:id="1428" w:name="_Toc509325041"/>
      <w:bookmarkStart w:id="1429" w:name="_Toc509325410"/>
      <w:bookmarkStart w:id="1430" w:name="_Toc509325779"/>
      <w:bookmarkStart w:id="1431" w:name="_Toc509326154"/>
      <w:bookmarkStart w:id="1432" w:name="_Toc509326529"/>
      <w:bookmarkStart w:id="1433" w:name="_Toc509326904"/>
      <w:bookmarkStart w:id="1434" w:name="_Toc509326845"/>
      <w:bookmarkStart w:id="1435" w:name="_Toc509327595"/>
      <w:bookmarkStart w:id="1436" w:name="_Toc509327970"/>
      <w:bookmarkStart w:id="1437" w:name="_Toc509332762"/>
      <w:bookmarkStart w:id="1438" w:name="_Toc509333175"/>
      <w:bookmarkStart w:id="1439" w:name="_Toc509333588"/>
      <w:bookmarkStart w:id="1440" w:name="_Toc509335501"/>
      <w:bookmarkStart w:id="1441" w:name="_Toc509336432"/>
      <w:bookmarkStart w:id="1442" w:name="_Toc509336864"/>
      <w:bookmarkStart w:id="1443" w:name="_Toc509337291"/>
      <w:bookmarkStart w:id="1444" w:name="_Toc509337718"/>
      <w:bookmarkStart w:id="1445" w:name="_Toc509337619"/>
      <w:bookmarkStart w:id="1446" w:name="_Toc509382589"/>
      <w:bookmarkStart w:id="1447" w:name="_Toc509383021"/>
      <w:bookmarkStart w:id="1448" w:name="_Toc509383900"/>
      <w:bookmarkStart w:id="1449" w:name="_Toc509404572"/>
      <w:bookmarkStart w:id="1450" w:name="_Toc509310633"/>
      <w:bookmarkStart w:id="1451" w:name="_Toc509311028"/>
      <w:bookmarkStart w:id="1452" w:name="_Toc509311429"/>
      <w:bookmarkStart w:id="1453" w:name="_Toc509311777"/>
      <w:bookmarkStart w:id="1454" w:name="_Toc509312293"/>
      <w:bookmarkStart w:id="1455" w:name="_Toc509312632"/>
      <w:bookmarkStart w:id="1456" w:name="_Toc509312973"/>
      <w:bookmarkStart w:id="1457" w:name="_Toc509313375"/>
      <w:bookmarkStart w:id="1458" w:name="_Toc509316812"/>
      <w:bookmarkStart w:id="1459" w:name="_Toc509317125"/>
      <w:bookmarkStart w:id="1460" w:name="_Toc509317417"/>
      <w:bookmarkStart w:id="1461" w:name="_Toc509317730"/>
      <w:bookmarkStart w:id="1462" w:name="_Toc509318043"/>
      <w:bookmarkStart w:id="1463" w:name="_Toc509319029"/>
      <w:bookmarkStart w:id="1464" w:name="_Toc509319391"/>
      <w:bookmarkStart w:id="1465" w:name="_Toc509320165"/>
      <w:bookmarkStart w:id="1466" w:name="_Toc509322134"/>
      <w:bookmarkStart w:id="1467" w:name="_Toc509322458"/>
      <w:bookmarkStart w:id="1468" w:name="_Toc509322960"/>
      <w:bookmarkStart w:id="1469" w:name="_Toc509323333"/>
      <w:bookmarkStart w:id="1470" w:name="_Toc509323657"/>
      <w:bookmarkStart w:id="1471" w:name="_Toc509323981"/>
      <w:bookmarkStart w:id="1472" w:name="_Toc509324305"/>
      <w:bookmarkStart w:id="1473" w:name="_Toc509324674"/>
      <w:bookmarkStart w:id="1474" w:name="_Toc509325043"/>
      <w:bookmarkStart w:id="1475" w:name="_Toc509325412"/>
      <w:bookmarkStart w:id="1476" w:name="_Toc509325781"/>
      <w:bookmarkStart w:id="1477" w:name="_Toc509326156"/>
      <w:bookmarkStart w:id="1478" w:name="_Toc509326531"/>
      <w:bookmarkStart w:id="1479" w:name="_Toc509326906"/>
      <w:bookmarkStart w:id="1480" w:name="_Toc509327222"/>
      <w:bookmarkStart w:id="1481" w:name="_Toc509327597"/>
      <w:bookmarkStart w:id="1482" w:name="_Toc509327972"/>
      <w:bookmarkStart w:id="1483" w:name="_Toc509332764"/>
      <w:bookmarkStart w:id="1484" w:name="_Toc509333177"/>
      <w:bookmarkStart w:id="1485" w:name="_Toc509333590"/>
      <w:bookmarkStart w:id="1486" w:name="_Toc509335503"/>
      <w:bookmarkStart w:id="1487" w:name="_Toc509336434"/>
      <w:bookmarkStart w:id="1488" w:name="_Toc509336866"/>
      <w:bookmarkStart w:id="1489" w:name="_Toc509337293"/>
      <w:bookmarkStart w:id="1490" w:name="_Toc509337720"/>
      <w:bookmarkStart w:id="1491" w:name="_Toc509337621"/>
      <w:bookmarkStart w:id="1492" w:name="_Toc509382591"/>
      <w:bookmarkStart w:id="1493" w:name="_Toc509383023"/>
      <w:bookmarkStart w:id="1494" w:name="_Toc509383902"/>
      <w:bookmarkStart w:id="1495" w:name="_Toc509404574"/>
      <w:bookmarkStart w:id="1496" w:name="_Toc509310634"/>
      <w:bookmarkStart w:id="1497" w:name="_Toc509311029"/>
      <w:bookmarkStart w:id="1498" w:name="_Toc509311430"/>
      <w:bookmarkStart w:id="1499" w:name="_Toc509311778"/>
      <w:bookmarkStart w:id="1500" w:name="_Toc509312294"/>
      <w:bookmarkStart w:id="1501" w:name="_Toc509312633"/>
      <w:bookmarkStart w:id="1502" w:name="_Toc509312974"/>
      <w:bookmarkStart w:id="1503" w:name="_Toc509313376"/>
      <w:bookmarkStart w:id="1504" w:name="_Toc509316813"/>
      <w:bookmarkStart w:id="1505" w:name="_Toc509317126"/>
      <w:bookmarkStart w:id="1506" w:name="_Toc509317418"/>
      <w:bookmarkStart w:id="1507" w:name="_Toc509317731"/>
      <w:bookmarkStart w:id="1508" w:name="_Toc509318044"/>
      <w:bookmarkStart w:id="1509" w:name="_Toc509319030"/>
      <w:bookmarkStart w:id="1510" w:name="_Toc509319392"/>
      <w:bookmarkStart w:id="1511" w:name="_Toc509320166"/>
      <w:bookmarkStart w:id="1512" w:name="_Toc509322135"/>
      <w:bookmarkStart w:id="1513" w:name="_Toc509322459"/>
      <w:bookmarkStart w:id="1514" w:name="_Toc509322961"/>
      <w:bookmarkStart w:id="1515" w:name="_Toc509323334"/>
      <w:bookmarkStart w:id="1516" w:name="_Toc509323658"/>
      <w:bookmarkStart w:id="1517" w:name="_Toc509323982"/>
      <w:bookmarkStart w:id="1518" w:name="_Toc509324306"/>
      <w:bookmarkStart w:id="1519" w:name="_Toc509324675"/>
      <w:bookmarkStart w:id="1520" w:name="_Toc509325044"/>
      <w:bookmarkStart w:id="1521" w:name="_Toc509325413"/>
      <w:bookmarkStart w:id="1522" w:name="_Toc509325782"/>
      <w:bookmarkStart w:id="1523" w:name="_Toc509326157"/>
      <w:bookmarkStart w:id="1524" w:name="_Toc509326532"/>
      <w:bookmarkStart w:id="1525" w:name="_Toc509326907"/>
      <w:bookmarkStart w:id="1526" w:name="_Toc509327223"/>
      <w:bookmarkStart w:id="1527" w:name="_Toc509327598"/>
      <w:bookmarkStart w:id="1528" w:name="_Toc509327973"/>
      <w:bookmarkStart w:id="1529" w:name="_Toc509332765"/>
      <w:bookmarkStart w:id="1530" w:name="_Toc509333178"/>
      <w:bookmarkStart w:id="1531" w:name="_Toc509333591"/>
      <w:bookmarkStart w:id="1532" w:name="_Toc509335504"/>
      <w:bookmarkStart w:id="1533" w:name="_Toc509336435"/>
      <w:bookmarkStart w:id="1534" w:name="_Toc509336867"/>
      <w:bookmarkStart w:id="1535" w:name="_Toc509337294"/>
      <w:bookmarkStart w:id="1536" w:name="_Toc509337721"/>
      <w:bookmarkStart w:id="1537" w:name="_Toc509337622"/>
      <w:bookmarkStart w:id="1538" w:name="_Toc509382592"/>
      <w:bookmarkStart w:id="1539" w:name="_Toc509383024"/>
      <w:bookmarkStart w:id="1540" w:name="_Toc509383903"/>
      <w:bookmarkStart w:id="1541" w:name="_Toc509404575"/>
      <w:bookmarkStart w:id="1542" w:name="_Toc509310636"/>
      <w:bookmarkStart w:id="1543" w:name="_Toc509311031"/>
      <w:bookmarkStart w:id="1544" w:name="_Toc509311432"/>
      <w:bookmarkStart w:id="1545" w:name="_Toc509311780"/>
      <w:bookmarkStart w:id="1546" w:name="_Toc509312296"/>
      <w:bookmarkStart w:id="1547" w:name="_Toc509312635"/>
      <w:bookmarkStart w:id="1548" w:name="_Toc509312976"/>
      <w:bookmarkStart w:id="1549" w:name="_Toc509313378"/>
      <w:bookmarkStart w:id="1550" w:name="_Toc509316815"/>
      <w:bookmarkStart w:id="1551" w:name="_Toc509317128"/>
      <w:bookmarkStart w:id="1552" w:name="_Toc509317420"/>
      <w:bookmarkStart w:id="1553" w:name="_Toc509317733"/>
      <w:bookmarkStart w:id="1554" w:name="_Toc509318046"/>
      <w:bookmarkStart w:id="1555" w:name="_Toc509319032"/>
      <w:bookmarkStart w:id="1556" w:name="_Toc509319394"/>
      <w:bookmarkStart w:id="1557" w:name="_Toc509320168"/>
      <w:bookmarkStart w:id="1558" w:name="_Toc509322137"/>
      <w:bookmarkStart w:id="1559" w:name="_Toc509322461"/>
      <w:bookmarkStart w:id="1560" w:name="_Toc509322963"/>
      <w:bookmarkStart w:id="1561" w:name="_Toc509323336"/>
      <w:bookmarkStart w:id="1562" w:name="_Toc509323660"/>
      <w:bookmarkStart w:id="1563" w:name="_Toc509323984"/>
      <w:bookmarkStart w:id="1564" w:name="_Toc509324308"/>
      <w:bookmarkStart w:id="1565" w:name="_Toc509324677"/>
      <w:bookmarkStart w:id="1566" w:name="_Toc509325046"/>
      <w:bookmarkStart w:id="1567" w:name="_Toc509325415"/>
      <w:bookmarkStart w:id="1568" w:name="_Toc509325784"/>
      <w:bookmarkStart w:id="1569" w:name="_Toc509326159"/>
      <w:bookmarkStart w:id="1570" w:name="_Toc509326534"/>
      <w:bookmarkStart w:id="1571" w:name="_Toc509326909"/>
      <w:bookmarkStart w:id="1572" w:name="_Toc509327225"/>
      <w:bookmarkStart w:id="1573" w:name="_Toc509327600"/>
      <w:bookmarkStart w:id="1574" w:name="_Toc509327975"/>
      <w:bookmarkStart w:id="1575" w:name="_Toc509332767"/>
      <w:bookmarkStart w:id="1576" w:name="_Toc509333180"/>
      <w:bookmarkStart w:id="1577" w:name="_Toc509333593"/>
      <w:bookmarkStart w:id="1578" w:name="_Toc509335506"/>
      <w:bookmarkStart w:id="1579" w:name="_Toc509336437"/>
      <w:bookmarkStart w:id="1580" w:name="_Toc509336869"/>
      <w:bookmarkStart w:id="1581" w:name="_Toc509337296"/>
      <w:bookmarkStart w:id="1582" w:name="_Toc509337723"/>
      <w:bookmarkStart w:id="1583" w:name="_Toc509337624"/>
      <w:bookmarkStart w:id="1584" w:name="_Toc509382594"/>
      <w:bookmarkStart w:id="1585" w:name="_Toc509383026"/>
      <w:bookmarkStart w:id="1586" w:name="_Toc509383905"/>
      <w:bookmarkStart w:id="1587" w:name="_Toc509404577"/>
      <w:bookmarkStart w:id="1588" w:name="_Toc509310638"/>
      <w:bookmarkStart w:id="1589" w:name="_Toc509311033"/>
      <w:bookmarkStart w:id="1590" w:name="_Toc509311434"/>
      <w:bookmarkStart w:id="1591" w:name="_Toc509311782"/>
      <w:bookmarkStart w:id="1592" w:name="_Toc509312298"/>
      <w:bookmarkStart w:id="1593" w:name="_Toc509312637"/>
      <w:bookmarkStart w:id="1594" w:name="_Toc509312978"/>
      <w:bookmarkStart w:id="1595" w:name="_Toc509313380"/>
      <w:bookmarkStart w:id="1596" w:name="_Toc509316817"/>
      <w:bookmarkStart w:id="1597" w:name="_Toc509317130"/>
      <w:bookmarkStart w:id="1598" w:name="_Toc509317422"/>
      <w:bookmarkStart w:id="1599" w:name="_Toc509317735"/>
      <w:bookmarkStart w:id="1600" w:name="_Toc509318048"/>
      <w:bookmarkStart w:id="1601" w:name="_Toc509319034"/>
      <w:bookmarkStart w:id="1602" w:name="_Toc509319396"/>
      <w:bookmarkStart w:id="1603" w:name="_Toc509320170"/>
      <w:bookmarkStart w:id="1604" w:name="_Toc509322139"/>
      <w:bookmarkStart w:id="1605" w:name="_Toc509322463"/>
      <w:bookmarkStart w:id="1606" w:name="_Toc509322965"/>
      <w:bookmarkStart w:id="1607" w:name="_Toc509323338"/>
      <w:bookmarkStart w:id="1608" w:name="_Toc509323662"/>
      <w:bookmarkStart w:id="1609" w:name="_Toc509323986"/>
      <w:bookmarkStart w:id="1610" w:name="_Toc509324310"/>
      <w:bookmarkStart w:id="1611" w:name="_Toc509324679"/>
      <w:bookmarkStart w:id="1612" w:name="_Toc509325048"/>
      <w:bookmarkStart w:id="1613" w:name="_Toc509325417"/>
      <w:bookmarkStart w:id="1614" w:name="_Toc509325786"/>
      <w:bookmarkStart w:id="1615" w:name="_Toc509326161"/>
      <w:bookmarkStart w:id="1616" w:name="_Toc509326536"/>
      <w:bookmarkStart w:id="1617" w:name="_Toc509326911"/>
      <w:bookmarkStart w:id="1618" w:name="_Toc509327227"/>
      <w:bookmarkStart w:id="1619" w:name="_Toc509327602"/>
      <w:bookmarkStart w:id="1620" w:name="_Toc509327977"/>
      <w:bookmarkStart w:id="1621" w:name="_Toc509332769"/>
      <w:bookmarkStart w:id="1622" w:name="_Toc509333182"/>
      <w:bookmarkStart w:id="1623" w:name="_Toc509333595"/>
      <w:bookmarkStart w:id="1624" w:name="_Toc509335508"/>
      <w:bookmarkStart w:id="1625" w:name="_Toc509336439"/>
      <w:bookmarkStart w:id="1626" w:name="_Toc509336871"/>
      <w:bookmarkStart w:id="1627" w:name="_Toc509337298"/>
      <w:bookmarkStart w:id="1628" w:name="_Toc509337725"/>
      <w:bookmarkStart w:id="1629" w:name="_Toc509337626"/>
      <w:bookmarkStart w:id="1630" w:name="_Toc509382596"/>
      <w:bookmarkStart w:id="1631" w:name="_Toc509383028"/>
      <w:bookmarkStart w:id="1632" w:name="_Toc509383907"/>
      <w:bookmarkStart w:id="1633" w:name="_Toc509404579"/>
      <w:bookmarkStart w:id="1634" w:name="_Toc509310639"/>
      <w:bookmarkStart w:id="1635" w:name="_Toc509311034"/>
      <w:bookmarkStart w:id="1636" w:name="_Toc509311435"/>
      <w:bookmarkStart w:id="1637" w:name="_Toc509311783"/>
      <w:bookmarkStart w:id="1638" w:name="_Toc509312299"/>
      <w:bookmarkStart w:id="1639" w:name="_Toc509312638"/>
      <w:bookmarkStart w:id="1640" w:name="_Toc509312979"/>
      <w:bookmarkStart w:id="1641" w:name="_Toc509313381"/>
      <w:bookmarkStart w:id="1642" w:name="_Toc509316818"/>
      <w:bookmarkStart w:id="1643" w:name="_Toc509317131"/>
      <w:bookmarkStart w:id="1644" w:name="_Toc509317423"/>
      <w:bookmarkStart w:id="1645" w:name="_Toc509317736"/>
      <w:bookmarkStart w:id="1646" w:name="_Toc509318049"/>
      <w:bookmarkStart w:id="1647" w:name="_Toc509319035"/>
      <w:bookmarkStart w:id="1648" w:name="_Toc509319397"/>
      <w:bookmarkStart w:id="1649" w:name="_Toc509320171"/>
      <w:bookmarkStart w:id="1650" w:name="_Toc509322140"/>
      <w:bookmarkStart w:id="1651" w:name="_Toc509322464"/>
      <w:bookmarkStart w:id="1652" w:name="_Toc509322966"/>
      <w:bookmarkStart w:id="1653" w:name="_Toc509323339"/>
      <w:bookmarkStart w:id="1654" w:name="_Toc509323663"/>
      <w:bookmarkStart w:id="1655" w:name="_Toc509323987"/>
      <w:bookmarkStart w:id="1656" w:name="_Toc509324311"/>
      <w:bookmarkStart w:id="1657" w:name="_Toc509324680"/>
      <w:bookmarkStart w:id="1658" w:name="_Toc509325049"/>
      <w:bookmarkStart w:id="1659" w:name="_Toc509325418"/>
      <w:bookmarkStart w:id="1660" w:name="_Toc509325787"/>
      <w:bookmarkStart w:id="1661" w:name="_Toc509326162"/>
      <w:bookmarkStart w:id="1662" w:name="_Toc509326537"/>
      <w:bookmarkStart w:id="1663" w:name="_Toc509326912"/>
      <w:bookmarkStart w:id="1664" w:name="_Toc509327228"/>
      <w:bookmarkStart w:id="1665" w:name="_Toc509327603"/>
      <w:bookmarkStart w:id="1666" w:name="_Toc509327978"/>
      <w:bookmarkStart w:id="1667" w:name="_Toc509332770"/>
      <w:bookmarkStart w:id="1668" w:name="_Toc509333183"/>
      <w:bookmarkStart w:id="1669" w:name="_Toc509333596"/>
      <w:bookmarkStart w:id="1670" w:name="_Toc509335509"/>
      <w:bookmarkStart w:id="1671" w:name="_Toc509336440"/>
      <w:bookmarkStart w:id="1672" w:name="_Toc509336872"/>
      <w:bookmarkStart w:id="1673" w:name="_Toc509337299"/>
      <w:bookmarkStart w:id="1674" w:name="_Toc509337726"/>
      <w:bookmarkStart w:id="1675" w:name="_Toc509337627"/>
      <w:bookmarkStart w:id="1676" w:name="_Toc509382597"/>
      <w:bookmarkStart w:id="1677" w:name="_Toc509383029"/>
      <w:bookmarkStart w:id="1678" w:name="_Toc509383908"/>
      <w:bookmarkStart w:id="1679" w:name="_Toc509404580"/>
      <w:bookmarkStart w:id="1680" w:name="_Toc509310640"/>
      <w:bookmarkStart w:id="1681" w:name="_Toc509311035"/>
      <w:bookmarkStart w:id="1682" w:name="_Toc509311436"/>
      <w:bookmarkStart w:id="1683" w:name="_Toc509311784"/>
      <w:bookmarkStart w:id="1684" w:name="_Toc509312300"/>
      <w:bookmarkStart w:id="1685" w:name="_Toc509312639"/>
      <w:bookmarkStart w:id="1686" w:name="_Toc509312980"/>
      <w:bookmarkStart w:id="1687" w:name="_Toc509313382"/>
      <w:bookmarkStart w:id="1688" w:name="_Toc509316819"/>
      <w:bookmarkStart w:id="1689" w:name="_Toc509317132"/>
      <w:bookmarkStart w:id="1690" w:name="_Toc509317424"/>
      <w:bookmarkStart w:id="1691" w:name="_Toc509317737"/>
      <w:bookmarkStart w:id="1692" w:name="_Toc509318050"/>
      <w:bookmarkStart w:id="1693" w:name="_Toc509319036"/>
      <w:bookmarkStart w:id="1694" w:name="_Toc509319398"/>
      <w:bookmarkStart w:id="1695" w:name="_Toc509320172"/>
      <w:bookmarkStart w:id="1696" w:name="_Toc509322141"/>
      <w:bookmarkStart w:id="1697" w:name="_Toc509322465"/>
      <w:bookmarkStart w:id="1698" w:name="_Toc509322967"/>
      <w:bookmarkStart w:id="1699" w:name="_Toc509323340"/>
      <w:bookmarkStart w:id="1700" w:name="_Toc509323664"/>
      <w:bookmarkStart w:id="1701" w:name="_Toc509323988"/>
      <w:bookmarkStart w:id="1702" w:name="_Toc509324312"/>
      <w:bookmarkStart w:id="1703" w:name="_Toc509324681"/>
      <w:bookmarkStart w:id="1704" w:name="_Toc509325050"/>
      <w:bookmarkStart w:id="1705" w:name="_Toc509325419"/>
      <w:bookmarkStart w:id="1706" w:name="_Toc509325788"/>
      <w:bookmarkStart w:id="1707" w:name="_Toc509326163"/>
      <w:bookmarkStart w:id="1708" w:name="_Toc509326538"/>
      <w:bookmarkStart w:id="1709" w:name="_Toc509326913"/>
      <w:bookmarkStart w:id="1710" w:name="_Toc509327229"/>
      <w:bookmarkStart w:id="1711" w:name="_Toc509327604"/>
      <w:bookmarkStart w:id="1712" w:name="_Toc509327979"/>
      <w:bookmarkStart w:id="1713" w:name="_Toc509332771"/>
      <w:bookmarkStart w:id="1714" w:name="_Toc509333184"/>
      <w:bookmarkStart w:id="1715" w:name="_Toc509333597"/>
      <w:bookmarkStart w:id="1716" w:name="_Toc509335510"/>
      <w:bookmarkStart w:id="1717" w:name="_Toc509336441"/>
      <w:bookmarkStart w:id="1718" w:name="_Toc509336873"/>
      <w:bookmarkStart w:id="1719" w:name="_Toc509337300"/>
      <w:bookmarkStart w:id="1720" w:name="_Toc509337727"/>
      <w:bookmarkStart w:id="1721" w:name="_Toc509337628"/>
      <w:bookmarkStart w:id="1722" w:name="_Toc509382598"/>
      <w:bookmarkStart w:id="1723" w:name="_Toc509383030"/>
      <w:bookmarkStart w:id="1724" w:name="_Toc509383909"/>
      <w:bookmarkStart w:id="1725" w:name="_Toc509404581"/>
      <w:bookmarkStart w:id="1726" w:name="_Toc509310641"/>
      <w:bookmarkStart w:id="1727" w:name="_Toc509311036"/>
      <w:bookmarkStart w:id="1728" w:name="_Toc509311437"/>
      <w:bookmarkStart w:id="1729" w:name="_Toc509311875"/>
      <w:bookmarkStart w:id="1730" w:name="_Toc509312301"/>
      <w:bookmarkStart w:id="1731" w:name="_Toc509312640"/>
      <w:bookmarkStart w:id="1732" w:name="_Toc509312981"/>
      <w:bookmarkStart w:id="1733" w:name="_Toc509313383"/>
      <w:bookmarkStart w:id="1734" w:name="_Toc509316820"/>
      <w:bookmarkStart w:id="1735" w:name="_Toc509317133"/>
      <w:bookmarkStart w:id="1736" w:name="_Toc509317425"/>
      <w:bookmarkStart w:id="1737" w:name="_Toc509317738"/>
      <w:bookmarkStart w:id="1738" w:name="_Toc509318051"/>
      <w:bookmarkStart w:id="1739" w:name="_Toc509319037"/>
      <w:bookmarkStart w:id="1740" w:name="_Toc509319399"/>
      <w:bookmarkStart w:id="1741" w:name="_Toc509320173"/>
      <w:bookmarkStart w:id="1742" w:name="_Toc509322142"/>
      <w:bookmarkStart w:id="1743" w:name="_Toc509322466"/>
      <w:bookmarkStart w:id="1744" w:name="_Toc509322968"/>
      <w:bookmarkStart w:id="1745" w:name="_Toc509323341"/>
      <w:bookmarkStart w:id="1746" w:name="_Toc509323665"/>
      <w:bookmarkStart w:id="1747" w:name="_Toc509323989"/>
      <w:bookmarkStart w:id="1748" w:name="_Toc509324313"/>
      <w:bookmarkStart w:id="1749" w:name="_Toc509324682"/>
      <w:bookmarkStart w:id="1750" w:name="_Toc509325051"/>
      <w:bookmarkStart w:id="1751" w:name="_Toc509325420"/>
      <w:bookmarkStart w:id="1752" w:name="_Toc509325789"/>
      <w:bookmarkStart w:id="1753" w:name="_Toc509326164"/>
      <w:bookmarkStart w:id="1754" w:name="_Toc509326539"/>
      <w:bookmarkStart w:id="1755" w:name="_Toc509326914"/>
      <w:bookmarkStart w:id="1756" w:name="_Toc509327230"/>
      <w:bookmarkStart w:id="1757" w:name="_Toc509327605"/>
      <w:bookmarkStart w:id="1758" w:name="_Toc509327980"/>
      <w:bookmarkStart w:id="1759" w:name="_Toc509332772"/>
      <w:bookmarkStart w:id="1760" w:name="_Toc509333185"/>
      <w:bookmarkStart w:id="1761" w:name="_Toc509333598"/>
      <w:bookmarkStart w:id="1762" w:name="_Toc509335511"/>
      <w:bookmarkStart w:id="1763" w:name="_Toc509336442"/>
      <w:bookmarkStart w:id="1764" w:name="_Toc509336874"/>
      <w:bookmarkStart w:id="1765" w:name="_Toc509337301"/>
      <w:bookmarkStart w:id="1766" w:name="_Toc509337728"/>
      <w:bookmarkStart w:id="1767" w:name="_Toc509337629"/>
      <w:bookmarkStart w:id="1768" w:name="_Toc509382599"/>
      <w:bookmarkStart w:id="1769" w:name="_Toc509383031"/>
      <w:bookmarkStart w:id="1770" w:name="_Toc509383910"/>
      <w:bookmarkStart w:id="1771" w:name="_Toc509404582"/>
      <w:bookmarkStart w:id="1772" w:name="_Toc509310642"/>
      <w:bookmarkStart w:id="1773" w:name="_Toc509311037"/>
      <w:bookmarkStart w:id="1774" w:name="_Toc509311438"/>
      <w:bookmarkStart w:id="1775" w:name="_Toc509311876"/>
      <w:bookmarkStart w:id="1776" w:name="_Toc509312302"/>
      <w:bookmarkStart w:id="1777" w:name="_Toc509312641"/>
      <w:bookmarkStart w:id="1778" w:name="_Toc509312982"/>
      <w:bookmarkStart w:id="1779" w:name="_Toc509313384"/>
      <w:bookmarkStart w:id="1780" w:name="_Toc509316821"/>
      <w:bookmarkStart w:id="1781" w:name="_Toc509317134"/>
      <w:bookmarkStart w:id="1782" w:name="_Toc509317426"/>
      <w:bookmarkStart w:id="1783" w:name="_Toc509317739"/>
      <w:bookmarkStart w:id="1784" w:name="_Toc509318052"/>
      <w:bookmarkStart w:id="1785" w:name="_Toc509319038"/>
      <w:bookmarkStart w:id="1786" w:name="_Toc509319400"/>
      <w:bookmarkStart w:id="1787" w:name="_Toc509320174"/>
      <w:bookmarkStart w:id="1788" w:name="_Toc509322143"/>
      <w:bookmarkStart w:id="1789" w:name="_Toc509322467"/>
      <w:bookmarkStart w:id="1790" w:name="_Toc509322969"/>
      <w:bookmarkStart w:id="1791" w:name="_Toc509323342"/>
      <w:bookmarkStart w:id="1792" w:name="_Toc509323666"/>
      <w:bookmarkStart w:id="1793" w:name="_Toc509323990"/>
      <w:bookmarkStart w:id="1794" w:name="_Toc509324314"/>
      <w:bookmarkStart w:id="1795" w:name="_Toc509324683"/>
      <w:bookmarkStart w:id="1796" w:name="_Toc509325052"/>
      <w:bookmarkStart w:id="1797" w:name="_Toc509325421"/>
      <w:bookmarkStart w:id="1798" w:name="_Toc509325790"/>
      <w:bookmarkStart w:id="1799" w:name="_Toc509326165"/>
      <w:bookmarkStart w:id="1800" w:name="_Toc509326540"/>
      <w:bookmarkStart w:id="1801" w:name="_Toc509326915"/>
      <w:bookmarkStart w:id="1802" w:name="_Toc509327231"/>
      <w:bookmarkStart w:id="1803" w:name="_Toc509327606"/>
      <w:bookmarkStart w:id="1804" w:name="_Toc509327981"/>
      <w:bookmarkStart w:id="1805" w:name="_Toc509332773"/>
      <w:bookmarkStart w:id="1806" w:name="_Toc509333186"/>
      <w:bookmarkStart w:id="1807" w:name="_Toc509333599"/>
      <w:bookmarkStart w:id="1808" w:name="_Toc509335512"/>
      <w:bookmarkStart w:id="1809" w:name="_Toc509336443"/>
      <w:bookmarkStart w:id="1810" w:name="_Toc509336875"/>
      <w:bookmarkStart w:id="1811" w:name="_Toc509337302"/>
      <w:bookmarkStart w:id="1812" w:name="_Toc509337729"/>
      <w:bookmarkStart w:id="1813" w:name="_Toc509337630"/>
      <w:bookmarkStart w:id="1814" w:name="_Toc509382600"/>
      <w:bookmarkStart w:id="1815" w:name="_Toc509383032"/>
      <w:bookmarkStart w:id="1816" w:name="_Toc509383911"/>
      <w:bookmarkStart w:id="1817" w:name="_Toc509404583"/>
      <w:bookmarkStart w:id="1818" w:name="_Toc509310643"/>
      <w:bookmarkStart w:id="1819" w:name="_Toc509311038"/>
      <w:bookmarkStart w:id="1820" w:name="_Toc509311439"/>
      <w:bookmarkStart w:id="1821" w:name="_Toc509311877"/>
      <w:bookmarkStart w:id="1822" w:name="_Toc509312303"/>
      <w:bookmarkStart w:id="1823" w:name="_Toc509312642"/>
      <w:bookmarkStart w:id="1824" w:name="_Toc509312983"/>
      <w:bookmarkStart w:id="1825" w:name="_Toc509313385"/>
      <w:bookmarkStart w:id="1826" w:name="_Toc509316822"/>
      <w:bookmarkStart w:id="1827" w:name="_Toc509317135"/>
      <w:bookmarkStart w:id="1828" w:name="_Toc509317427"/>
      <w:bookmarkStart w:id="1829" w:name="_Toc509317740"/>
      <w:bookmarkStart w:id="1830" w:name="_Toc509318053"/>
      <w:bookmarkStart w:id="1831" w:name="_Toc509319039"/>
      <w:bookmarkStart w:id="1832" w:name="_Toc509319401"/>
      <w:bookmarkStart w:id="1833" w:name="_Toc509320175"/>
      <w:bookmarkStart w:id="1834" w:name="_Toc509322144"/>
      <w:bookmarkStart w:id="1835" w:name="_Toc509322468"/>
      <w:bookmarkStart w:id="1836" w:name="_Toc509322970"/>
      <w:bookmarkStart w:id="1837" w:name="_Toc509323343"/>
      <w:bookmarkStart w:id="1838" w:name="_Toc509323667"/>
      <w:bookmarkStart w:id="1839" w:name="_Toc509323991"/>
      <w:bookmarkStart w:id="1840" w:name="_Toc509324315"/>
      <w:bookmarkStart w:id="1841" w:name="_Toc509324684"/>
      <w:bookmarkStart w:id="1842" w:name="_Toc509325053"/>
      <w:bookmarkStart w:id="1843" w:name="_Toc509325422"/>
      <w:bookmarkStart w:id="1844" w:name="_Toc509325791"/>
      <w:bookmarkStart w:id="1845" w:name="_Toc509326166"/>
      <w:bookmarkStart w:id="1846" w:name="_Toc509326541"/>
      <w:bookmarkStart w:id="1847" w:name="_Toc509326916"/>
      <w:bookmarkStart w:id="1848" w:name="_Toc509327232"/>
      <w:bookmarkStart w:id="1849" w:name="_Toc509327607"/>
      <w:bookmarkStart w:id="1850" w:name="_Toc509327982"/>
      <w:bookmarkStart w:id="1851" w:name="_Toc509332774"/>
      <w:bookmarkStart w:id="1852" w:name="_Toc509333187"/>
      <w:bookmarkStart w:id="1853" w:name="_Toc509333600"/>
      <w:bookmarkStart w:id="1854" w:name="_Toc509335513"/>
      <w:bookmarkStart w:id="1855" w:name="_Toc509336444"/>
      <w:bookmarkStart w:id="1856" w:name="_Toc509336876"/>
      <w:bookmarkStart w:id="1857" w:name="_Toc509337303"/>
      <w:bookmarkStart w:id="1858" w:name="_Toc509337730"/>
      <w:bookmarkStart w:id="1859" w:name="_Toc509337631"/>
      <w:bookmarkStart w:id="1860" w:name="_Toc509382601"/>
      <w:bookmarkStart w:id="1861" w:name="_Toc509383033"/>
      <w:bookmarkStart w:id="1862" w:name="_Toc509383912"/>
      <w:bookmarkStart w:id="1863" w:name="_Toc509404584"/>
      <w:bookmarkStart w:id="1864" w:name="_Toc509310644"/>
      <w:bookmarkStart w:id="1865" w:name="_Toc509311039"/>
      <w:bookmarkStart w:id="1866" w:name="_Toc509311440"/>
      <w:bookmarkStart w:id="1867" w:name="_Toc509311878"/>
      <w:bookmarkStart w:id="1868" w:name="_Toc509312304"/>
      <w:bookmarkStart w:id="1869" w:name="_Toc509312643"/>
      <w:bookmarkStart w:id="1870" w:name="_Toc509312984"/>
      <w:bookmarkStart w:id="1871" w:name="_Toc509313386"/>
      <w:bookmarkStart w:id="1872" w:name="_Toc509316823"/>
      <w:bookmarkStart w:id="1873" w:name="_Toc509317136"/>
      <w:bookmarkStart w:id="1874" w:name="_Toc509317428"/>
      <w:bookmarkStart w:id="1875" w:name="_Toc509317741"/>
      <w:bookmarkStart w:id="1876" w:name="_Toc509318054"/>
      <w:bookmarkStart w:id="1877" w:name="_Toc509319040"/>
      <w:bookmarkStart w:id="1878" w:name="_Toc509319402"/>
      <w:bookmarkStart w:id="1879" w:name="_Toc509320176"/>
      <w:bookmarkStart w:id="1880" w:name="_Toc509322145"/>
      <w:bookmarkStart w:id="1881" w:name="_Toc509322469"/>
      <w:bookmarkStart w:id="1882" w:name="_Toc509322971"/>
      <w:bookmarkStart w:id="1883" w:name="_Toc509323344"/>
      <w:bookmarkStart w:id="1884" w:name="_Toc509323668"/>
      <w:bookmarkStart w:id="1885" w:name="_Toc509323992"/>
      <w:bookmarkStart w:id="1886" w:name="_Toc509324316"/>
      <w:bookmarkStart w:id="1887" w:name="_Toc509324685"/>
      <w:bookmarkStart w:id="1888" w:name="_Toc509325054"/>
      <w:bookmarkStart w:id="1889" w:name="_Toc509325423"/>
      <w:bookmarkStart w:id="1890" w:name="_Toc509325792"/>
      <w:bookmarkStart w:id="1891" w:name="_Toc509326167"/>
      <w:bookmarkStart w:id="1892" w:name="_Toc509326542"/>
      <w:bookmarkStart w:id="1893" w:name="_Toc509326917"/>
      <w:bookmarkStart w:id="1894" w:name="_Toc509327233"/>
      <w:bookmarkStart w:id="1895" w:name="_Toc509327608"/>
      <w:bookmarkStart w:id="1896" w:name="_Toc509327983"/>
      <w:bookmarkStart w:id="1897" w:name="_Toc509332775"/>
      <w:bookmarkStart w:id="1898" w:name="_Toc509333188"/>
      <w:bookmarkStart w:id="1899" w:name="_Toc509333601"/>
      <w:bookmarkStart w:id="1900" w:name="_Toc509335514"/>
      <w:bookmarkStart w:id="1901" w:name="_Toc509336445"/>
      <w:bookmarkStart w:id="1902" w:name="_Toc509336877"/>
      <w:bookmarkStart w:id="1903" w:name="_Toc509337304"/>
      <w:bookmarkStart w:id="1904" w:name="_Toc509337731"/>
      <w:bookmarkStart w:id="1905" w:name="_Toc509337632"/>
      <w:bookmarkStart w:id="1906" w:name="_Toc509382602"/>
      <w:bookmarkStart w:id="1907" w:name="_Toc509383034"/>
      <w:bookmarkStart w:id="1908" w:name="_Toc509383913"/>
      <w:bookmarkStart w:id="1909" w:name="_Toc509404585"/>
      <w:bookmarkStart w:id="1910" w:name="_Toc509310645"/>
      <w:bookmarkStart w:id="1911" w:name="_Toc509311040"/>
      <w:bookmarkStart w:id="1912" w:name="_Toc509311441"/>
      <w:bookmarkStart w:id="1913" w:name="_Toc509311879"/>
      <w:bookmarkStart w:id="1914" w:name="_Toc509312305"/>
      <w:bookmarkStart w:id="1915" w:name="_Toc509312644"/>
      <w:bookmarkStart w:id="1916" w:name="_Toc509312985"/>
      <w:bookmarkStart w:id="1917" w:name="_Toc509313387"/>
      <w:bookmarkStart w:id="1918" w:name="_Toc509316824"/>
      <w:bookmarkStart w:id="1919" w:name="_Toc509317137"/>
      <w:bookmarkStart w:id="1920" w:name="_Toc509317429"/>
      <w:bookmarkStart w:id="1921" w:name="_Toc509317742"/>
      <w:bookmarkStart w:id="1922" w:name="_Toc509318055"/>
      <w:bookmarkStart w:id="1923" w:name="_Toc509319041"/>
      <w:bookmarkStart w:id="1924" w:name="_Toc509319403"/>
      <w:bookmarkStart w:id="1925" w:name="_Toc509320177"/>
      <w:bookmarkStart w:id="1926" w:name="_Toc509322146"/>
      <w:bookmarkStart w:id="1927" w:name="_Toc509322470"/>
      <w:bookmarkStart w:id="1928" w:name="_Toc509322972"/>
      <w:bookmarkStart w:id="1929" w:name="_Toc509323345"/>
      <w:bookmarkStart w:id="1930" w:name="_Toc509323669"/>
      <w:bookmarkStart w:id="1931" w:name="_Toc509323993"/>
      <w:bookmarkStart w:id="1932" w:name="_Toc509324317"/>
      <w:bookmarkStart w:id="1933" w:name="_Toc509324686"/>
      <w:bookmarkStart w:id="1934" w:name="_Toc509325055"/>
      <w:bookmarkStart w:id="1935" w:name="_Toc509325424"/>
      <w:bookmarkStart w:id="1936" w:name="_Toc509325793"/>
      <w:bookmarkStart w:id="1937" w:name="_Toc509326168"/>
      <w:bookmarkStart w:id="1938" w:name="_Toc509326543"/>
      <w:bookmarkStart w:id="1939" w:name="_Toc509326918"/>
      <w:bookmarkStart w:id="1940" w:name="_Toc509327234"/>
      <w:bookmarkStart w:id="1941" w:name="_Toc509327609"/>
      <w:bookmarkStart w:id="1942" w:name="_Toc509327984"/>
      <w:bookmarkStart w:id="1943" w:name="_Toc509332776"/>
      <w:bookmarkStart w:id="1944" w:name="_Toc509333189"/>
      <w:bookmarkStart w:id="1945" w:name="_Toc509333602"/>
      <w:bookmarkStart w:id="1946" w:name="_Toc509335515"/>
      <w:bookmarkStart w:id="1947" w:name="_Toc509336446"/>
      <w:bookmarkStart w:id="1948" w:name="_Toc509336878"/>
      <w:bookmarkStart w:id="1949" w:name="_Toc509337305"/>
      <w:bookmarkStart w:id="1950" w:name="_Toc509337732"/>
      <w:bookmarkStart w:id="1951" w:name="_Toc509337633"/>
      <w:bookmarkStart w:id="1952" w:name="_Toc509382603"/>
      <w:bookmarkStart w:id="1953" w:name="_Toc509383035"/>
      <w:bookmarkStart w:id="1954" w:name="_Toc509383914"/>
      <w:bookmarkStart w:id="1955" w:name="_Toc509404586"/>
      <w:bookmarkStart w:id="1956" w:name="_Toc509310646"/>
      <w:bookmarkStart w:id="1957" w:name="_Toc509311041"/>
      <w:bookmarkStart w:id="1958" w:name="_Toc509311442"/>
      <w:bookmarkStart w:id="1959" w:name="_Toc509311880"/>
      <w:bookmarkStart w:id="1960" w:name="_Toc509312306"/>
      <w:bookmarkStart w:id="1961" w:name="_Toc509312645"/>
      <w:bookmarkStart w:id="1962" w:name="_Toc509312986"/>
      <w:bookmarkStart w:id="1963" w:name="_Toc509313388"/>
      <w:bookmarkStart w:id="1964" w:name="_Toc509316825"/>
      <w:bookmarkStart w:id="1965" w:name="_Toc509317138"/>
      <w:bookmarkStart w:id="1966" w:name="_Toc509317430"/>
      <w:bookmarkStart w:id="1967" w:name="_Toc509317743"/>
      <w:bookmarkStart w:id="1968" w:name="_Toc509318056"/>
      <w:bookmarkStart w:id="1969" w:name="_Toc509319042"/>
      <w:bookmarkStart w:id="1970" w:name="_Toc509319404"/>
      <w:bookmarkStart w:id="1971" w:name="_Toc509320178"/>
      <w:bookmarkStart w:id="1972" w:name="_Toc509322147"/>
      <w:bookmarkStart w:id="1973" w:name="_Toc509322471"/>
      <w:bookmarkStart w:id="1974" w:name="_Toc509322973"/>
      <w:bookmarkStart w:id="1975" w:name="_Toc509323346"/>
      <w:bookmarkStart w:id="1976" w:name="_Toc509323670"/>
      <w:bookmarkStart w:id="1977" w:name="_Toc509323994"/>
      <w:bookmarkStart w:id="1978" w:name="_Toc509324318"/>
      <w:bookmarkStart w:id="1979" w:name="_Toc509324687"/>
      <w:bookmarkStart w:id="1980" w:name="_Toc509325056"/>
      <w:bookmarkStart w:id="1981" w:name="_Toc509325425"/>
      <w:bookmarkStart w:id="1982" w:name="_Toc509325794"/>
      <w:bookmarkStart w:id="1983" w:name="_Toc509326169"/>
      <w:bookmarkStart w:id="1984" w:name="_Toc509326544"/>
      <w:bookmarkStart w:id="1985" w:name="_Toc509326919"/>
      <w:bookmarkStart w:id="1986" w:name="_Toc509327235"/>
      <w:bookmarkStart w:id="1987" w:name="_Toc509327610"/>
      <w:bookmarkStart w:id="1988" w:name="_Toc509327985"/>
      <w:bookmarkStart w:id="1989" w:name="_Toc509332777"/>
      <w:bookmarkStart w:id="1990" w:name="_Toc509333190"/>
      <w:bookmarkStart w:id="1991" w:name="_Toc509333603"/>
      <w:bookmarkStart w:id="1992" w:name="_Toc509335516"/>
      <w:bookmarkStart w:id="1993" w:name="_Toc509336447"/>
      <w:bookmarkStart w:id="1994" w:name="_Toc509336879"/>
      <w:bookmarkStart w:id="1995" w:name="_Toc509337306"/>
      <w:bookmarkStart w:id="1996" w:name="_Toc509337733"/>
      <w:bookmarkStart w:id="1997" w:name="_Toc509337634"/>
      <w:bookmarkStart w:id="1998" w:name="_Toc509382604"/>
      <w:bookmarkStart w:id="1999" w:name="_Toc509383036"/>
      <w:bookmarkStart w:id="2000" w:name="_Toc509383915"/>
      <w:bookmarkStart w:id="2001" w:name="_Toc509404587"/>
      <w:bookmarkStart w:id="2002" w:name="_Toc509310648"/>
      <w:bookmarkStart w:id="2003" w:name="_Toc509311043"/>
      <w:bookmarkStart w:id="2004" w:name="_Toc509311444"/>
      <w:bookmarkStart w:id="2005" w:name="_Toc509311882"/>
      <w:bookmarkStart w:id="2006" w:name="_Toc509312308"/>
      <w:bookmarkStart w:id="2007" w:name="_Toc509312647"/>
      <w:bookmarkStart w:id="2008" w:name="_Toc509312988"/>
      <w:bookmarkStart w:id="2009" w:name="_Toc509313390"/>
      <w:bookmarkStart w:id="2010" w:name="_Toc509316827"/>
      <w:bookmarkStart w:id="2011" w:name="_Toc509317140"/>
      <w:bookmarkStart w:id="2012" w:name="_Toc509317432"/>
      <w:bookmarkStart w:id="2013" w:name="_Toc509317745"/>
      <w:bookmarkStart w:id="2014" w:name="_Toc509318058"/>
      <w:bookmarkStart w:id="2015" w:name="_Toc509319044"/>
      <w:bookmarkStart w:id="2016" w:name="_Toc509319406"/>
      <w:bookmarkStart w:id="2017" w:name="_Toc509320180"/>
      <w:bookmarkStart w:id="2018" w:name="_Toc509322149"/>
      <w:bookmarkStart w:id="2019" w:name="_Toc509322473"/>
      <w:bookmarkStart w:id="2020" w:name="_Toc509322975"/>
      <w:bookmarkStart w:id="2021" w:name="_Toc509323348"/>
      <w:bookmarkStart w:id="2022" w:name="_Toc509323672"/>
      <w:bookmarkStart w:id="2023" w:name="_Toc509323996"/>
      <w:bookmarkStart w:id="2024" w:name="_Toc509324320"/>
      <w:bookmarkStart w:id="2025" w:name="_Toc509324689"/>
      <w:bookmarkStart w:id="2026" w:name="_Toc509325058"/>
      <w:bookmarkStart w:id="2027" w:name="_Toc509325427"/>
      <w:bookmarkStart w:id="2028" w:name="_Toc509325796"/>
      <w:bookmarkStart w:id="2029" w:name="_Toc509326171"/>
      <w:bookmarkStart w:id="2030" w:name="_Toc509326546"/>
      <w:bookmarkStart w:id="2031" w:name="_Toc509326921"/>
      <w:bookmarkStart w:id="2032" w:name="_Toc509327237"/>
      <w:bookmarkStart w:id="2033" w:name="_Toc509327612"/>
      <w:bookmarkStart w:id="2034" w:name="_Toc509327987"/>
      <w:bookmarkStart w:id="2035" w:name="_Toc509332779"/>
      <w:bookmarkStart w:id="2036" w:name="_Toc509333192"/>
      <w:bookmarkStart w:id="2037" w:name="_Toc509333605"/>
      <w:bookmarkStart w:id="2038" w:name="_Toc509335518"/>
      <w:bookmarkStart w:id="2039" w:name="_Toc509336449"/>
      <w:bookmarkStart w:id="2040" w:name="_Toc509336881"/>
      <w:bookmarkStart w:id="2041" w:name="_Toc509337308"/>
      <w:bookmarkStart w:id="2042" w:name="_Toc509337735"/>
      <w:bookmarkStart w:id="2043" w:name="_Toc509337636"/>
      <w:bookmarkStart w:id="2044" w:name="_Toc509382606"/>
      <w:bookmarkStart w:id="2045" w:name="_Toc509383038"/>
      <w:bookmarkStart w:id="2046" w:name="_Toc509383917"/>
      <w:bookmarkStart w:id="2047" w:name="_Toc509404589"/>
      <w:bookmarkStart w:id="2048" w:name="_Toc509310649"/>
      <w:bookmarkStart w:id="2049" w:name="_Toc509311044"/>
      <w:bookmarkStart w:id="2050" w:name="_Toc509311445"/>
      <w:bookmarkStart w:id="2051" w:name="_Toc509311883"/>
      <w:bookmarkStart w:id="2052" w:name="_Toc509312309"/>
      <w:bookmarkStart w:id="2053" w:name="_Toc509312648"/>
      <w:bookmarkStart w:id="2054" w:name="_Toc509312989"/>
      <w:bookmarkStart w:id="2055" w:name="_Toc509313391"/>
      <w:bookmarkStart w:id="2056" w:name="_Toc509316828"/>
      <w:bookmarkStart w:id="2057" w:name="_Toc509317141"/>
      <w:bookmarkStart w:id="2058" w:name="_Toc509317433"/>
      <w:bookmarkStart w:id="2059" w:name="_Toc509317746"/>
      <w:bookmarkStart w:id="2060" w:name="_Toc509318059"/>
      <w:bookmarkStart w:id="2061" w:name="_Toc509319045"/>
      <w:bookmarkStart w:id="2062" w:name="_Toc509319407"/>
      <w:bookmarkStart w:id="2063" w:name="_Toc509320181"/>
      <w:bookmarkStart w:id="2064" w:name="_Toc509322150"/>
      <w:bookmarkStart w:id="2065" w:name="_Toc509322474"/>
      <w:bookmarkStart w:id="2066" w:name="_Toc509322976"/>
      <w:bookmarkStart w:id="2067" w:name="_Toc509323349"/>
      <w:bookmarkStart w:id="2068" w:name="_Toc509323673"/>
      <w:bookmarkStart w:id="2069" w:name="_Toc509323997"/>
      <w:bookmarkStart w:id="2070" w:name="_Toc509324321"/>
      <w:bookmarkStart w:id="2071" w:name="_Toc509324690"/>
      <w:bookmarkStart w:id="2072" w:name="_Toc509325059"/>
      <w:bookmarkStart w:id="2073" w:name="_Toc509325428"/>
      <w:bookmarkStart w:id="2074" w:name="_Toc509325797"/>
      <w:bookmarkStart w:id="2075" w:name="_Toc509326172"/>
      <w:bookmarkStart w:id="2076" w:name="_Toc509326547"/>
      <w:bookmarkStart w:id="2077" w:name="_Toc509326922"/>
      <w:bookmarkStart w:id="2078" w:name="_Toc509327238"/>
      <w:bookmarkStart w:id="2079" w:name="_Toc509327613"/>
      <w:bookmarkStart w:id="2080" w:name="_Toc509327988"/>
      <w:bookmarkStart w:id="2081" w:name="_Toc509332780"/>
      <w:bookmarkStart w:id="2082" w:name="_Toc509333193"/>
      <w:bookmarkStart w:id="2083" w:name="_Toc509333606"/>
      <w:bookmarkStart w:id="2084" w:name="_Toc509335519"/>
      <w:bookmarkStart w:id="2085" w:name="_Toc509336450"/>
      <w:bookmarkStart w:id="2086" w:name="_Toc509336882"/>
      <w:bookmarkStart w:id="2087" w:name="_Toc509337309"/>
      <w:bookmarkStart w:id="2088" w:name="_Toc509337736"/>
      <w:bookmarkStart w:id="2089" w:name="_Toc509337637"/>
      <w:bookmarkStart w:id="2090" w:name="_Toc509382607"/>
      <w:bookmarkStart w:id="2091" w:name="_Toc509383039"/>
      <w:bookmarkStart w:id="2092" w:name="_Toc509383918"/>
      <w:bookmarkStart w:id="2093" w:name="_Toc509404590"/>
      <w:bookmarkStart w:id="2094" w:name="_Toc509310651"/>
      <w:bookmarkStart w:id="2095" w:name="_Toc509311046"/>
      <w:bookmarkStart w:id="2096" w:name="_Toc509311447"/>
      <w:bookmarkStart w:id="2097" w:name="_Toc509311885"/>
      <w:bookmarkStart w:id="2098" w:name="_Toc509312311"/>
      <w:bookmarkStart w:id="2099" w:name="_Toc509312650"/>
      <w:bookmarkStart w:id="2100" w:name="_Toc509312991"/>
      <w:bookmarkStart w:id="2101" w:name="_Toc509313393"/>
      <w:bookmarkStart w:id="2102" w:name="_Toc509316830"/>
      <w:bookmarkStart w:id="2103" w:name="_Toc509317143"/>
      <w:bookmarkStart w:id="2104" w:name="_Toc509317435"/>
      <w:bookmarkStart w:id="2105" w:name="_Toc509317748"/>
      <w:bookmarkStart w:id="2106" w:name="_Toc509318061"/>
      <w:bookmarkStart w:id="2107" w:name="_Toc509319047"/>
      <w:bookmarkStart w:id="2108" w:name="_Toc509319409"/>
      <w:bookmarkStart w:id="2109" w:name="_Toc509320183"/>
      <w:bookmarkStart w:id="2110" w:name="_Toc509322152"/>
      <w:bookmarkStart w:id="2111" w:name="_Toc509322476"/>
      <w:bookmarkStart w:id="2112" w:name="_Toc509322978"/>
      <w:bookmarkStart w:id="2113" w:name="_Toc509323351"/>
      <w:bookmarkStart w:id="2114" w:name="_Toc509323675"/>
      <w:bookmarkStart w:id="2115" w:name="_Toc509323999"/>
      <w:bookmarkStart w:id="2116" w:name="_Toc509324323"/>
      <w:bookmarkStart w:id="2117" w:name="_Toc509324692"/>
      <w:bookmarkStart w:id="2118" w:name="_Toc509325061"/>
      <w:bookmarkStart w:id="2119" w:name="_Toc509325430"/>
      <w:bookmarkStart w:id="2120" w:name="_Toc509325799"/>
      <w:bookmarkStart w:id="2121" w:name="_Toc509326174"/>
      <w:bookmarkStart w:id="2122" w:name="_Toc509326549"/>
      <w:bookmarkStart w:id="2123" w:name="_Toc509326924"/>
      <w:bookmarkStart w:id="2124" w:name="_Toc509327240"/>
      <w:bookmarkStart w:id="2125" w:name="_Toc509327615"/>
      <w:bookmarkStart w:id="2126" w:name="_Toc509327990"/>
      <w:bookmarkStart w:id="2127" w:name="_Toc509332782"/>
      <w:bookmarkStart w:id="2128" w:name="_Toc509333195"/>
      <w:bookmarkStart w:id="2129" w:name="_Toc509333608"/>
      <w:bookmarkStart w:id="2130" w:name="_Toc509335521"/>
      <w:bookmarkStart w:id="2131" w:name="_Toc509336452"/>
      <w:bookmarkStart w:id="2132" w:name="_Toc509336884"/>
      <w:bookmarkStart w:id="2133" w:name="_Toc509337311"/>
      <w:bookmarkStart w:id="2134" w:name="_Toc509337738"/>
      <w:bookmarkStart w:id="2135" w:name="_Toc509337639"/>
      <w:bookmarkStart w:id="2136" w:name="_Toc509382609"/>
      <w:bookmarkStart w:id="2137" w:name="_Toc509383041"/>
      <w:bookmarkStart w:id="2138" w:name="_Toc509383920"/>
      <w:bookmarkStart w:id="2139" w:name="_Toc509404592"/>
      <w:bookmarkStart w:id="2140" w:name="_Toc509310652"/>
      <w:bookmarkStart w:id="2141" w:name="_Toc509311047"/>
      <w:bookmarkStart w:id="2142" w:name="_Toc509311448"/>
      <w:bookmarkStart w:id="2143" w:name="_Toc509311886"/>
      <w:bookmarkStart w:id="2144" w:name="_Toc509312312"/>
      <w:bookmarkStart w:id="2145" w:name="_Toc509312651"/>
      <w:bookmarkStart w:id="2146" w:name="_Toc509312992"/>
      <w:bookmarkStart w:id="2147" w:name="_Toc509313394"/>
      <w:bookmarkStart w:id="2148" w:name="_Toc509316831"/>
      <w:bookmarkStart w:id="2149" w:name="_Toc509317144"/>
      <w:bookmarkStart w:id="2150" w:name="_Toc509317436"/>
      <w:bookmarkStart w:id="2151" w:name="_Toc509317749"/>
      <w:bookmarkStart w:id="2152" w:name="_Toc509318062"/>
      <w:bookmarkStart w:id="2153" w:name="_Toc509319048"/>
      <w:bookmarkStart w:id="2154" w:name="_Toc509319410"/>
      <w:bookmarkStart w:id="2155" w:name="_Toc509320184"/>
      <w:bookmarkStart w:id="2156" w:name="_Toc509322153"/>
      <w:bookmarkStart w:id="2157" w:name="_Toc509322477"/>
      <w:bookmarkStart w:id="2158" w:name="_Toc509322979"/>
      <w:bookmarkStart w:id="2159" w:name="_Toc509323352"/>
      <w:bookmarkStart w:id="2160" w:name="_Toc509323676"/>
      <w:bookmarkStart w:id="2161" w:name="_Toc509324000"/>
      <w:bookmarkStart w:id="2162" w:name="_Toc509324324"/>
      <w:bookmarkStart w:id="2163" w:name="_Toc509324693"/>
      <w:bookmarkStart w:id="2164" w:name="_Toc509325062"/>
      <w:bookmarkStart w:id="2165" w:name="_Toc509325431"/>
      <w:bookmarkStart w:id="2166" w:name="_Toc509325800"/>
      <w:bookmarkStart w:id="2167" w:name="_Toc509326175"/>
      <w:bookmarkStart w:id="2168" w:name="_Toc509326550"/>
      <w:bookmarkStart w:id="2169" w:name="_Toc509326925"/>
      <w:bookmarkStart w:id="2170" w:name="_Toc509327241"/>
      <w:bookmarkStart w:id="2171" w:name="_Toc509327616"/>
      <w:bookmarkStart w:id="2172" w:name="_Toc509327991"/>
      <w:bookmarkStart w:id="2173" w:name="_Toc509332783"/>
      <w:bookmarkStart w:id="2174" w:name="_Toc509333196"/>
      <w:bookmarkStart w:id="2175" w:name="_Toc509333609"/>
      <w:bookmarkStart w:id="2176" w:name="_Toc509335522"/>
      <w:bookmarkStart w:id="2177" w:name="_Toc509336453"/>
      <w:bookmarkStart w:id="2178" w:name="_Toc509336885"/>
      <w:bookmarkStart w:id="2179" w:name="_Toc509337312"/>
      <w:bookmarkStart w:id="2180" w:name="_Toc509337739"/>
      <w:bookmarkStart w:id="2181" w:name="_Toc509337640"/>
      <w:bookmarkStart w:id="2182" w:name="_Toc509382610"/>
      <w:bookmarkStart w:id="2183" w:name="_Toc509383042"/>
      <w:bookmarkStart w:id="2184" w:name="_Toc509383921"/>
      <w:bookmarkStart w:id="2185" w:name="_Toc509404593"/>
      <w:bookmarkStart w:id="2186" w:name="_Toc509310653"/>
      <w:bookmarkStart w:id="2187" w:name="_Toc509311048"/>
      <w:bookmarkStart w:id="2188" w:name="_Toc509311449"/>
      <w:bookmarkStart w:id="2189" w:name="_Toc509311887"/>
      <w:bookmarkStart w:id="2190" w:name="_Toc509312313"/>
      <w:bookmarkStart w:id="2191" w:name="_Toc509312652"/>
      <w:bookmarkStart w:id="2192" w:name="_Toc509312993"/>
      <w:bookmarkStart w:id="2193" w:name="_Toc509313395"/>
      <w:bookmarkStart w:id="2194" w:name="_Toc509316832"/>
      <w:bookmarkStart w:id="2195" w:name="_Toc509317145"/>
      <w:bookmarkStart w:id="2196" w:name="_Toc509317437"/>
      <w:bookmarkStart w:id="2197" w:name="_Toc509317750"/>
      <w:bookmarkStart w:id="2198" w:name="_Toc509318063"/>
      <w:bookmarkStart w:id="2199" w:name="_Toc509319049"/>
      <w:bookmarkStart w:id="2200" w:name="_Toc509319411"/>
      <w:bookmarkStart w:id="2201" w:name="_Toc509320185"/>
      <w:bookmarkStart w:id="2202" w:name="_Toc509322154"/>
      <w:bookmarkStart w:id="2203" w:name="_Toc509322478"/>
      <w:bookmarkStart w:id="2204" w:name="_Toc509322980"/>
      <w:bookmarkStart w:id="2205" w:name="_Toc509323353"/>
      <w:bookmarkStart w:id="2206" w:name="_Toc509323677"/>
      <w:bookmarkStart w:id="2207" w:name="_Toc509324001"/>
      <w:bookmarkStart w:id="2208" w:name="_Toc509324325"/>
      <w:bookmarkStart w:id="2209" w:name="_Toc509324694"/>
      <w:bookmarkStart w:id="2210" w:name="_Toc509325063"/>
      <w:bookmarkStart w:id="2211" w:name="_Toc509325432"/>
      <w:bookmarkStart w:id="2212" w:name="_Toc509325801"/>
      <w:bookmarkStart w:id="2213" w:name="_Toc509326176"/>
      <w:bookmarkStart w:id="2214" w:name="_Toc509326551"/>
      <w:bookmarkStart w:id="2215" w:name="_Toc509326926"/>
      <w:bookmarkStart w:id="2216" w:name="_Toc509327242"/>
      <w:bookmarkStart w:id="2217" w:name="_Toc509327617"/>
      <w:bookmarkStart w:id="2218" w:name="_Toc509327992"/>
      <w:bookmarkStart w:id="2219" w:name="_Toc509332784"/>
      <w:bookmarkStart w:id="2220" w:name="_Toc509333197"/>
      <w:bookmarkStart w:id="2221" w:name="_Toc509333610"/>
      <w:bookmarkStart w:id="2222" w:name="_Toc509335523"/>
      <w:bookmarkStart w:id="2223" w:name="_Toc509336454"/>
      <w:bookmarkStart w:id="2224" w:name="_Toc509336886"/>
      <w:bookmarkStart w:id="2225" w:name="_Toc509337313"/>
      <w:bookmarkStart w:id="2226" w:name="_Toc509337740"/>
      <w:bookmarkStart w:id="2227" w:name="_Toc509337641"/>
      <w:bookmarkStart w:id="2228" w:name="_Toc509382611"/>
      <w:bookmarkStart w:id="2229" w:name="_Toc509383043"/>
      <w:bookmarkStart w:id="2230" w:name="_Toc509383922"/>
      <w:bookmarkStart w:id="2231" w:name="_Toc509404594"/>
      <w:bookmarkStart w:id="2232" w:name="_Toc509310654"/>
      <w:bookmarkStart w:id="2233" w:name="_Toc509311049"/>
      <w:bookmarkStart w:id="2234" w:name="_Toc509311450"/>
      <w:bookmarkStart w:id="2235" w:name="_Toc509311888"/>
      <w:bookmarkStart w:id="2236" w:name="_Toc509312314"/>
      <w:bookmarkStart w:id="2237" w:name="_Toc509312653"/>
      <w:bookmarkStart w:id="2238" w:name="_Toc509312994"/>
      <w:bookmarkStart w:id="2239" w:name="_Toc509313396"/>
      <w:bookmarkStart w:id="2240" w:name="_Toc509316833"/>
      <w:bookmarkStart w:id="2241" w:name="_Toc509317146"/>
      <w:bookmarkStart w:id="2242" w:name="_Toc509317438"/>
      <w:bookmarkStart w:id="2243" w:name="_Toc509317751"/>
      <w:bookmarkStart w:id="2244" w:name="_Toc509318064"/>
      <w:bookmarkStart w:id="2245" w:name="_Toc509319050"/>
      <w:bookmarkStart w:id="2246" w:name="_Toc509319412"/>
      <w:bookmarkStart w:id="2247" w:name="_Toc509320186"/>
      <w:bookmarkStart w:id="2248" w:name="_Toc509322155"/>
      <w:bookmarkStart w:id="2249" w:name="_Toc509322479"/>
      <w:bookmarkStart w:id="2250" w:name="_Toc509322981"/>
      <w:bookmarkStart w:id="2251" w:name="_Toc509323354"/>
      <w:bookmarkStart w:id="2252" w:name="_Toc509323678"/>
      <w:bookmarkStart w:id="2253" w:name="_Toc509324002"/>
      <w:bookmarkStart w:id="2254" w:name="_Toc509324326"/>
      <w:bookmarkStart w:id="2255" w:name="_Toc509324695"/>
      <w:bookmarkStart w:id="2256" w:name="_Toc509325064"/>
      <w:bookmarkStart w:id="2257" w:name="_Toc509325433"/>
      <w:bookmarkStart w:id="2258" w:name="_Toc509325802"/>
      <w:bookmarkStart w:id="2259" w:name="_Toc509326177"/>
      <w:bookmarkStart w:id="2260" w:name="_Toc509326552"/>
      <w:bookmarkStart w:id="2261" w:name="_Toc509326927"/>
      <w:bookmarkStart w:id="2262" w:name="_Toc509327243"/>
      <w:bookmarkStart w:id="2263" w:name="_Toc509327618"/>
      <w:bookmarkStart w:id="2264" w:name="_Toc509327993"/>
      <w:bookmarkStart w:id="2265" w:name="_Toc509332785"/>
      <w:bookmarkStart w:id="2266" w:name="_Toc509333198"/>
      <w:bookmarkStart w:id="2267" w:name="_Toc509333611"/>
      <w:bookmarkStart w:id="2268" w:name="_Toc509335524"/>
      <w:bookmarkStart w:id="2269" w:name="_Toc509336455"/>
      <w:bookmarkStart w:id="2270" w:name="_Toc509336887"/>
      <w:bookmarkStart w:id="2271" w:name="_Toc509337314"/>
      <w:bookmarkStart w:id="2272" w:name="_Toc509337741"/>
      <w:bookmarkStart w:id="2273" w:name="_Toc509337642"/>
      <w:bookmarkStart w:id="2274" w:name="_Toc509382612"/>
      <w:bookmarkStart w:id="2275" w:name="_Toc509383044"/>
      <w:bookmarkStart w:id="2276" w:name="_Toc509383923"/>
      <w:bookmarkStart w:id="2277" w:name="_Toc509404595"/>
      <w:bookmarkStart w:id="2278" w:name="_Toc509310655"/>
      <w:bookmarkStart w:id="2279" w:name="_Toc509311050"/>
      <w:bookmarkStart w:id="2280" w:name="_Toc509311451"/>
      <w:bookmarkStart w:id="2281" w:name="_Toc509311889"/>
      <w:bookmarkStart w:id="2282" w:name="_Toc509312315"/>
      <w:bookmarkStart w:id="2283" w:name="_Toc509312654"/>
      <w:bookmarkStart w:id="2284" w:name="_Toc509312995"/>
      <w:bookmarkStart w:id="2285" w:name="_Toc509313397"/>
      <w:bookmarkStart w:id="2286" w:name="_Toc509316834"/>
      <w:bookmarkStart w:id="2287" w:name="_Toc509317147"/>
      <w:bookmarkStart w:id="2288" w:name="_Toc509317439"/>
      <w:bookmarkStart w:id="2289" w:name="_Toc509317752"/>
      <w:bookmarkStart w:id="2290" w:name="_Toc509318065"/>
      <w:bookmarkStart w:id="2291" w:name="_Toc509319051"/>
      <w:bookmarkStart w:id="2292" w:name="_Toc509319413"/>
      <w:bookmarkStart w:id="2293" w:name="_Toc509320187"/>
      <w:bookmarkStart w:id="2294" w:name="_Toc509322156"/>
      <w:bookmarkStart w:id="2295" w:name="_Toc509322480"/>
      <w:bookmarkStart w:id="2296" w:name="_Toc509322982"/>
      <w:bookmarkStart w:id="2297" w:name="_Toc509323355"/>
      <w:bookmarkStart w:id="2298" w:name="_Toc509323679"/>
      <w:bookmarkStart w:id="2299" w:name="_Toc509324003"/>
      <w:bookmarkStart w:id="2300" w:name="_Toc509324327"/>
      <w:bookmarkStart w:id="2301" w:name="_Toc509324696"/>
      <w:bookmarkStart w:id="2302" w:name="_Toc509325065"/>
      <w:bookmarkStart w:id="2303" w:name="_Toc509325434"/>
      <w:bookmarkStart w:id="2304" w:name="_Toc509325803"/>
      <w:bookmarkStart w:id="2305" w:name="_Toc509326178"/>
      <w:bookmarkStart w:id="2306" w:name="_Toc509326553"/>
      <w:bookmarkStart w:id="2307" w:name="_Toc509326928"/>
      <w:bookmarkStart w:id="2308" w:name="_Toc509327244"/>
      <w:bookmarkStart w:id="2309" w:name="_Toc509327619"/>
      <w:bookmarkStart w:id="2310" w:name="_Toc509327994"/>
      <w:bookmarkStart w:id="2311" w:name="_Toc509332786"/>
      <w:bookmarkStart w:id="2312" w:name="_Toc509333199"/>
      <w:bookmarkStart w:id="2313" w:name="_Toc509333612"/>
      <w:bookmarkStart w:id="2314" w:name="_Toc509335525"/>
      <w:bookmarkStart w:id="2315" w:name="_Toc509336456"/>
      <w:bookmarkStart w:id="2316" w:name="_Toc509336888"/>
      <w:bookmarkStart w:id="2317" w:name="_Toc509337315"/>
      <w:bookmarkStart w:id="2318" w:name="_Toc509337742"/>
      <w:bookmarkStart w:id="2319" w:name="_Toc509337643"/>
      <w:bookmarkStart w:id="2320" w:name="_Toc509382613"/>
      <w:bookmarkStart w:id="2321" w:name="_Toc509383045"/>
      <w:bookmarkStart w:id="2322" w:name="_Toc509383924"/>
      <w:bookmarkStart w:id="2323" w:name="_Toc509404596"/>
      <w:bookmarkStart w:id="2324" w:name="_Toc509310657"/>
      <w:bookmarkStart w:id="2325" w:name="_Toc509311052"/>
      <w:bookmarkStart w:id="2326" w:name="_Toc509311453"/>
      <w:bookmarkStart w:id="2327" w:name="_Toc509311891"/>
      <w:bookmarkStart w:id="2328" w:name="_Toc509312317"/>
      <w:bookmarkStart w:id="2329" w:name="_Toc509312656"/>
      <w:bookmarkStart w:id="2330" w:name="_Toc509312997"/>
      <w:bookmarkStart w:id="2331" w:name="_Toc509313399"/>
      <w:bookmarkStart w:id="2332" w:name="_Toc509316836"/>
      <w:bookmarkStart w:id="2333" w:name="_Toc509317149"/>
      <w:bookmarkStart w:id="2334" w:name="_Toc509317441"/>
      <w:bookmarkStart w:id="2335" w:name="_Toc509317754"/>
      <w:bookmarkStart w:id="2336" w:name="_Toc509318067"/>
      <w:bookmarkStart w:id="2337" w:name="_Toc509319053"/>
      <w:bookmarkStart w:id="2338" w:name="_Toc509319415"/>
      <w:bookmarkStart w:id="2339" w:name="_Toc509320189"/>
      <w:bookmarkStart w:id="2340" w:name="_Toc509322158"/>
      <w:bookmarkStart w:id="2341" w:name="_Toc509322482"/>
      <w:bookmarkStart w:id="2342" w:name="_Toc509322984"/>
      <w:bookmarkStart w:id="2343" w:name="_Toc509323357"/>
      <w:bookmarkStart w:id="2344" w:name="_Toc509323681"/>
      <w:bookmarkStart w:id="2345" w:name="_Toc509324005"/>
      <w:bookmarkStart w:id="2346" w:name="_Toc509324329"/>
      <w:bookmarkStart w:id="2347" w:name="_Toc509324698"/>
      <w:bookmarkStart w:id="2348" w:name="_Toc509325067"/>
      <w:bookmarkStart w:id="2349" w:name="_Toc509325436"/>
      <w:bookmarkStart w:id="2350" w:name="_Toc509325805"/>
      <w:bookmarkStart w:id="2351" w:name="_Toc509326180"/>
      <w:bookmarkStart w:id="2352" w:name="_Toc509326555"/>
      <w:bookmarkStart w:id="2353" w:name="_Toc509326930"/>
      <w:bookmarkStart w:id="2354" w:name="_Toc509327246"/>
      <w:bookmarkStart w:id="2355" w:name="_Toc509327621"/>
      <w:bookmarkStart w:id="2356" w:name="_Toc509327996"/>
      <w:bookmarkStart w:id="2357" w:name="_Toc509332788"/>
      <w:bookmarkStart w:id="2358" w:name="_Toc509333201"/>
      <w:bookmarkStart w:id="2359" w:name="_Toc509333614"/>
      <w:bookmarkStart w:id="2360" w:name="_Toc509335527"/>
      <w:bookmarkStart w:id="2361" w:name="_Toc509336458"/>
      <w:bookmarkStart w:id="2362" w:name="_Toc509336890"/>
      <w:bookmarkStart w:id="2363" w:name="_Toc509337317"/>
      <w:bookmarkStart w:id="2364" w:name="_Toc509337744"/>
      <w:bookmarkStart w:id="2365" w:name="_Toc509337645"/>
      <w:bookmarkStart w:id="2366" w:name="_Toc509382615"/>
      <w:bookmarkStart w:id="2367" w:name="_Toc509383047"/>
      <w:bookmarkStart w:id="2368" w:name="_Toc509383926"/>
      <w:bookmarkStart w:id="2369" w:name="_Toc509404598"/>
      <w:bookmarkStart w:id="2370" w:name="_Toc509310659"/>
      <w:bookmarkStart w:id="2371" w:name="_Toc509311054"/>
      <w:bookmarkStart w:id="2372" w:name="_Toc509311455"/>
      <w:bookmarkStart w:id="2373" w:name="_Toc509311893"/>
      <w:bookmarkStart w:id="2374" w:name="_Toc509312319"/>
      <w:bookmarkStart w:id="2375" w:name="_Toc509312658"/>
      <w:bookmarkStart w:id="2376" w:name="_Toc509312999"/>
      <w:bookmarkStart w:id="2377" w:name="_Toc509313401"/>
      <w:bookmarkStart w:id="2378" w:name="_Toc509316838"/>
      <w:bookmarkStart w:id="2379" w:name="_Toc509317151"/>
      <w:bookmarkStart w:id="2380" w:name="_Toc509317443"/>
      <w:bookmarkStart w:id="2381" w:name="_Toc509317756"/>
      <w:bookmarkStart w:id="2382" w:name="_Toc509318069"/>
      <w:bookmarkStart w:id="2383" w:name="_Toc509319055"/>
      <w:bookmarkStart w:id="2384" w:name="_Toc509319417"/>
      <w:bookmarkStart w:id="2385" w:name="_Toc509320191"/>
      <w:bookmarkStart w:id="2386" w:name="_Toc509322160"/>
      <w:bookmarkStart w:id="2387" w:name="_Toc509322484"/>
      <w:bookmarkStart w:id="2388" w:name="_Toc509322986"/>
      <w:bookmarkStart w:id="2389" w:name="_Toc509323359"/>
      <w:bookmarkStart w:id="2390" w:name="_Toc509323683"/>
      <w:bookmarkStart w:id="2391" w:name="_Toc509324007"/>
      <w:bookmarkStart w:id="2392" w:name="_Toc509324331"/>
      <w:bookmarkStart w:id="2393" w:name="_Toc509324700"/>
      <w:bookmarkStart w:id="2394" w:name="_Toc509325069"/>
      <w:bookmarkStart w:id="2395" w:name="_Toc509325438"/>
      <w:bookmarkStart w:id="2396" w:name="_Toc509325807"/>
      <w:bookmarkStart w:id="2397" w:name="_Toc509326182"/>
      <w:bookmarkStart w:id="2398" w:name="_Toc509326557"/>
      <w:bookmarkStart w:id="2399" w:name="_Toc509326932"/>
      <w:bookmarkStart w:id="2400" w:name="_Toc509327248"/>
      <w:bookmarkStart w:id="2401" w:name="_Toc509327623"/>
      <w:bookmarkStart w:id="2402" w:name="_Toc509327998"/>
      <w:bookmarkStart w:id="2403" w:name="_Toc509332790"/>
      <w:bookmarkStart w:id="2404" w:name="_Toc509333203"/>
      <w:bookmarkStart w:id="2405" w:name="_Toc509333616"/>
      <w:bookmarkStart w:id="2406" w:name="_Toc509335529"/>
      <w:bookmarkStart w:id="2407" w:name="_Toc509336460"/>
      <w:bookmarkStart w:id="2408" w:name="_Toc509336892"/>
      <w:bookmarkStart w:id="2409" w:name="_Toc509337319"/>
      <w:bookmarkStart w:id="2410" w:name="_Toc509337746"/>
      <w:bookmarkStart w:id="2411" w:name="_Toc509337647"/>
      <w:bookmarkStart w:id="2412" w:name="_Toc509382617"/>
      <w:bookmarkStart w:id="2413" w:name="_Toc509383049"/>
      <w:bookmarkStart w:id="2414" w:name="_Toc509383928"/>
      <w:bookmarkStart w:id="2415" w:name="_Toc509404600"/>
      <w:bookmarkStart w:id="2416" w:name="_Toc509310660"/>
      <w:bookmarkStart w:id="2417" w:name="_Toc509311055"/>
      <w:bookmarkStart w:id="2418" w:name="_Toc509311456"/>
      <w:bookmarkStart w:id="2419" w:name="_Toc509311894"/>
      <w:bookmarkStart w:id="2420" w:name="_Toc509312320"/>
      <w:bookmarkStart w:id="2421" w:name="_Toc509312659"/>
      <w:bookmarkStart w:id="2422" w:name="_Toc509313000"/>
      <w:bookmarkStart w:id="2423" w:name="_Toc509313402"/>
      <w:bookmarkStart w:id="2424" w:name="_Toc509316839"/>
      <w:bookmarkStart w:id="2425" w:name="_Toc509317152"/>
      <w:bookmarkStart w:id="2426" w:name="_Toc509317444"/>
      <w:bookmarkStart w:id="2427" w:name="_Toc509317757"/>
      <w:bookmarkStart w:id="2428" w:name="_Toc509318070"/>
      <w:bookmarkStart w:id="2429" w:name="_Toc509319056"/>
      <w:bookmarkStart w:id="2430" w:name="_Toc509319418"/>
      <w:bookmarkStart w:id="2431" w:name="_Toc509320192"/>
      <w:bookmarkStart w:id="2432" w:name="_Toc509322161"/>
      <w:bookmarkStart w:id="2433" w:name="_Toc509322485"/>
      <w:bookmarkStart w:id="2434" w:name="_Toc509322987"/>
      <w:bookmarkStart w:id="2435" w:name="_Toc509323360"/>
      <w:bookmarkStart w:id="2436" w:name="_Toc509323684"/>
      <w:bookmarkStart w:id="2437" w:name="_Toc509324008"/>
      <w:bookmarkStart w:id="2438" w:name="_Toc509324332"/>
      <w:bookmarkStart w:id="2439" w:name="_Toc509324701"/>
      <w:bookmarkStart w:id="2440" w:name="_Toc509325070"/>
      <w:bookmarkStart w:id="2441" w:name="_Toc509325439"/>
      <w:bookmarkStart w:id="2442" w:name="_Toc509325808"/>
      <w:bookmarkStart w:id="2443" w:name="_Toc509326183"/>
      <w:bookmarkStart w:id="2444" w:name="_Toc509326558"/>
      <w:bookmarkStart w:id="2445" w:name="_Toc509326933"/>
      <w:bookmarkStart w:id="2446" w:name="_Toc509327249"/>
      <w:bookmarkStart w:id="2447" w:name="_Toc509327624"/>
      <w:bookmarkStart w:id="2448" w:name="_Toc509327999"/>
      <w:bookmarkStart w:id="2449" w:name="_Toc509332791"/>
      <w:bookmarkStart w:id="2450" w:name="_Toc509333204"/>
      <w:bookmarkStart w:id="2451" w:name="_Toc509333617"/>
      <w:bookmarkStart w:id="2452" w:name="_Toc509335530"/>
      <w:bookmarkStart w:id="2453" w:name="_Toc509336461"/>
      <w:bookmarkStart w:id="2454" w:name="_Toc509336893"/>
      <w:bookmarkStart w:id="2455" w:name="_Toc509337320"/>
      <w:bookmarkStart w:id="2456" w:name="_Toc509337747"/>
      <w:bookmarkStart w:id="2457" w:name="_Toc509337648"/>
      <w:bookmarkStart w:id="2458" w:name="_Toc509382618"/>
      <w:bookmarkStart w:id="2459" w:name="_Toc509383050"/>
      <w:bookmarkStart w:id="2460" w:name="_Toc509383929"/>
      <w:bookmarkStart w:id="2461" w:name="_Toc509404601"/>
      <w:bookmarkStart w:id="2462" w:name="_Toc509310661"/>
      <w:bookmarkStart w:id="2463" w:name="_Toc509311056"/>
      <w:bookmarkStart w:id="2464" w:name="_Toc509311457"/>
      <w:bookmarkStart w:id="2465" w:name="_Toc509311895"/>
      <w:bookmarkStart w:id="2466" w:name="_Toc509312321"/>
      <w:bookmarkStart w:id="2467" w:name="_Toc509312660"/>
      <w:bookmarkStart w:id="2468" w:name="_Toc509313001"/>
      <w:bookmarkStart w:id="2469" w:name="_Toc509313403"/>
      <w:bookmarkStart w:id="2470" w:name="_Toc509316840"/>
      <w:bookmarkStart w:id="2471" w:name="_Toc509317153"/>
      <w:bookmarkStart w:id="2472" w:name="_Toc509317445"/>
      <w:bookmarkStart w:id="2473" w:name="_Toc509317758"/>
      <w:bookmarkStart w:id="2474" w:name="_Toc509318071"/>
      <w:bookmarkStart w:id="2475" w:name="_Toc509319057"/>
      <w:bookmarkStart w:id="2476" w:name="_Toc509319419"/>
      <w:bookmarkStart w:id="2477" w:name="_Toc509320193"/>
      <w:bookmarkStart w:id="2478" w:name="_Toc509322162"/>
      <w:bookmarkStart w:id="2479" w:name="_Toc509322486"/>
      <w:bookmarkStart w:id="2480" w:name="_Toc509322988"/>
      <w:bookmarkStart w:id="2481" w:name="_Toc509323361"/>
      <w:bookmarkStart w:id="2482" w:name="_Toc509323685"/>
      <w:bookmarkStart w:id="2483" w:name="_Toc509324009"/>
      <w:bookmarkStart w:id="2484" w:name="_Toc509324333"/>
      <w:bookmarkStart w:id="2485" w:name="_Toc509324702"/>
      <w:bookmarkStart w:id="2486" w:name="_Toc509325071"/>
      <w:bookmarkStart w:id="2487" w:name="_Toc509325440"/>
      <w:bookmarkStart w:id="2488" w:name="_Toc509325809"/>
      <w:bookmarkStart w:id="2489" w:name="_Toc509326184"/>
      <w:bookmarkStart w:id="2490" w:name="_Toc509326559"/>
      <w:bookmarkStart w:id="2491" w:name="_Toc509326934"/>
      <w:bookmarkStart w:id="2492" w:name="_Toc509327250"/>
      <w:bookmarkStart w:id="2493" w:name="_Toc509327625"/>
      <w:bookmarkStart w:id="2494" w:name="_Toc509328000"/>
      <w:bookmarkStart w:id="2495" w:name="_Toc509332792"/>
      <w:bookmarkStart w:id="2496" w:name="_Toc509333205"/>
      <w:bookmarkStart w:id="2497" w:name="_Toc509333618"/>
      <w:bookmarkStart w:id="2498" w:name="_Toc509335531"/>
      <w:bookmarkStart w:id="2499" w:name="_Toc509336462"/>
      <w:bookmarkStart w:id="2500" w:name="_Toc509336894"/>
      <w:bookmarkStart w:id="2501" w:name="_Toc509337321"/>
      <w:bookmarkStart w:id="2502" w:name="_Toc509337748"/>
      <w:bookmarkStart w:id="2503" w:name="_Toc509337649"/>
      <w:bookmarkStart w:id="2504" w:name="_Toc509382619"/>
      <w:bookmarkStart w:id="2505" w:name="_Toc509383051"/>
      <w:bookmarkStart w:id="2506" w:name="_Toc509383930"/>
      <w:bookmarkStart w:id="2507" w:name="_Toc509404602"/>
      <w:bookmarkStart w:id="2508" w:name="_Toc509310665"/>
      <w:bookmarkStart w:id="2509" w:name="_Toc509311060"/>
      <w:bookmarkStart w:id="2510" w:name="_Toc509311461"/>
      <w:bookmarkStart w:id="2511" w:name="_Toc509311899"/>
      <w:bookmarkStart w:id="2512" w:name="_Toc509312325"/>
      <w:bookmarkStart w:id="2513" w:name="_Toc509312664"/>
      <w:bookmarkStart w:id="2514" w:name="_Toc509313005"/>
      <w:bookmarkStart w:id="2515" w:name="_Toc509313407"/>
      <w:bookmarkStart w:id="2516" w:name="_Toc509316844"/>
      <w:bookmarkStart w:id="2517" w:name="_Toc509317157"/>
      <w:bookmarkStart w:id="2518" w:name="_Toc509317449"/>
      <w:bookmarkStart w:id="2519" w:name="_Toc509317762"/>
      <w:bookmarkStart w:id="2520" w:name="_Toc509318075"/>
      <w:bookmarkStart w:id="2521" w:name="_Toc509319061"/>
      <w:bookmarkStart w:id="2522" w:name="_Toc509319423"/>
      <w:bookmarkStart w:id="2523" w:name="_Toc509320197"/>
      <w:bookmarkStart w:id="2524" w:name="_Toc509322166"/>
      <w:bookmarkStart w:id="2525" w:name="_Toc509322490"/>
      <w:bookmarkStart w:id="2526" w:name="_Toc509322992"/>
      <w:bookmarkStart w:id="2527" w:name="_Toc509323365"/>
      <w:bookmarkStart w:id="2528" w:name="_Toc509323689"/>
      <w:bookmarkStart w:id="2529" w:name="_Toc509324013"/>
      <w:bookmarkStart w:id="2530" w:name="_Toc509324337"/>
      <w:bookmarkStart w:id="2531" w:name="_Toc509324706"/>
      <w:bookmarkStart w:id="2532" w:name="_Toc509325075"/>
      <w:bookmarkStart w:id="2533" w:name="_Toc509325444"/>
      <w:bookmarkStart w:id="2534" w:name="_Toc509325813"/>
      <w:bookmarkStart w:id="2535" w:name="_Toc509326188"/>
      <w:bookmarkStart w:id="2536" w:name="_Toc509326563"/>
      <w:bookmarkStart w:id="2537" w:name="_Toc509326938"/>
      <w:bookmarkStart w:id="2538" w:name="_Toc509327254"/>
      <w:bookmarkStart w:id="2539" w:name="_Toc509327629"/>
      <w:bookmarkStart w:id="2540" w:name="_Toc509328004"/>
      <w:bookmarkStart w:id="2541" w:name="_Toc509332796"/>
      <w:bookmarkStart w:id="2542" w:name="_Toc509333209"/>
      <w:bookmarkStart w:id="2543" w:name="_Toc509333622"/>
      <w:bookmarkStart w:id="2544" w:name="_Toc509335535"/>
      <w:bookmarkStart w:id="2545" w:name="_Toc509336466"/>
      <w:bookmarkStart w:id="2546" w:name="_Toc509336898"/>
      <w:bookmarkStart w:id="2547" w:name="_Toc509337325"/>
      <w:bookmarkStart w:id="2548" w:name="_Toc509337752"/>
      <w:bookmarkStart w:id="2549" w:name="_Toc509337654"/>
      <w:bookmarkStart w:id="2550" w:name="_Toc509382623"/>
      <w:bookmarkStart w:id="2551" w:name="_Toc509383055"/>
      <w:bookmarkStart w:id="2552" w:name="_Toc509383934"/>
      <w:bookmarkStart w:id="2553" w:name="_Toc509404606"/>
      <w:bookmarkStart w:id="2554" w:name="_Toc509310667"/>
      <w:bookmarkStart w:id="2555" w:name="_Toc509311062"/>
      <w:bookmarkStart w:id="2556" w:name="_Toc509311463"/>
      <w:bookmarkStart w:id="2557" w:name="_Toc509311901"/>
      <w:bookmarkStart w:id="2558" w:name="_Toc509312327"/>
      <w:bookmarkStart w:id="2559" w:name="_Toc509312666"/>
      <w:bookmarkStart w:id="2560" w:name="_Toc509313007"/>
      <w:bookmarkStart w:id="2561" w:name="_Toc509313409"/>
      <w:bookmarkStart w:id="2562" w:name="_Toc509316846"/>
      <w:bookmarkStart w:id="2563" w:name="_Toc509317159"/>
      <w:bookmarkStart w:id="2564" w:name="_Toc509317451"/>
      <w:bookmarkStart w:id="2565" w:name="_Toc509317764"/>
      <w:bookmarkStart w:id="2566" w:name="_Toc509318077"/>
      <w:bookmarkStart w:id="2567" w:name="_Toc509319063"/>
      <w:bookmarkStart w:id="2568" w:name="_Toc509319425"/>
      <w:bookmarkStart w:id="2569" w:name="_Toc509320199"/>
      <w:bookmarkStart w:id="2570" w:name="_Toc509322168"/>
      <w:bookmarkStart w:id="2571" w:name="_Toc509322492"/>
      <w:bookmarkStart w:id="2572" w:name="_Toc509322994"/>
      <w:bookmarkStart w:id="2573" w:name="_Toc509323367"/>
      <w:bookmarkStart w:id="2574" w:name="_Toc509323691"/>
      <w:bookmarkStart w:id="2575" w:name="_Toc509324015"/>
      <w:bookmarkStart w:id="2576" w:name="_Toc509324339"/>
      <w:bookmarkStart w:id="2577" w:name="_Toc509324708"/>
      <w:bookmarkStart w:id="2578" w:name="_Toc509325077"/>
      <w:bookmarkStart w:id="2579" w:name="_Toc509325446"/>
      <w:bookmarkStart w:id="2580" w:name="_Toc509325815"/>
      <w:bookmarkStart w:id="2581" w:name="_Toc509326190"/>
      <w:bookmarkStart w:id="2582" w:name="_Toc509326565"/>
      <w:bookmarkStart w:id="2583" w:name="_Toc509326940"/>
      <w:bookmarkStart w:id="2584" w:name="_Toc509327256"/>
      <w:bookmarkStart w:id="2585" w:name="_Toc509327631"/>
      <w:bookmarkStart w:id="2586" w:name="_Toc509328006"/>
      <w:bookmarkStart w:id="2587" w:name="_Toc509332798"/>
      <w:bookmarkStart w:id="2588" w:name="_Toc509333211"/>
      <w:bookmarkStart w:id="2589" w:name="_Toc509333624"/>
      <w:bookmarkStart w:id="2590" w:name="_Toc509335537"/>
      <w:bookmarkStart w:id="2591" w:name="_Toc509336468"/>
      <w:bookmarkStart w:id="2592" w:name="_Toc509336900"/>
      <w:bookmarkStart w:id="2593" w:name="_Toc509337327"/>
      <w:bookmarkStart w:id="2594" w:name="_Toc509337754"/>
      <w:bookmarkStart w:id="2595" w:name="_Toc509337656"/>
      <w:bookmarkStart w:id="2596" w:name="_Toc509382625"/>
      <w:bookmarkStart w:id="2597" w:name="_Toc509383057"/>
      <w:bookmarkStart w:id="2598" w:name="_Toc509383936"/>
      <w:bookmarkStart w:id="2599" w:name="_Toc509404608"/>
      <w:bookmarkStart w:id="2600" w:name="_Toc509310668"/>
      <w:bookmarkStart w:id="2601" w:name="_Toc509311063"/>
      <w:bookmarkStart w:id="2602" w:name="_Toc509311464"/>
      <w:bookmarkStart w:id="2603" w:name="_Toc509311902"/>
      <w:bookmarkStart w:id="2604" w:name="_Toc509312328"/>
      <w:bookmarkStart w:id="2605" w:name="_Toc509312667"/>
      <w:bookmarkStart w:id="2606" w:name="_Toc509313008"/>
      <w:bookmarkStart w:id="2607" w:name="_Toc509313410"/>
      <w:bookmarkStart w:id="2608" w:name="_Toc509316847"/>
      <w:bookmarkStart w:id="2609" w:name="_Toc509317160"/>
      <w:bookmarkStart w:id="2610" w:name="_Toc509317452"/>
      <w:bookmarkStart w:id="2611" w:name="_Toc509317765"/>
      <w:bookmarkStart w:id="2612" w:name="_Toc509318078"/>
      <w:bookmarkStart w:id="2613" w:name="_Toc509319064"/>
      <w:bookmarkStart w:id="2614" w:name="_Toc509319426"/>
      <w:bookmarkStart w:id="2615" w:name="_Toc509320200"/>
      <w:bookmarkStart w:id="2616" w:name="_Toc509322169"/>
      <w:bookmarkStart w:id="2617" w:name="_Toc509322493"/>
      <w:bookmarkStart w:id="2618" w:name="_Toc509322995"/>
      <w:bookmarkStart w:id="2619" w:name="_Toc509323368"/>
      <w:bookmarkStart w:id="2620" w:name="_Toc509323692"/>
      <w:bookmarkStart w:id="2621" w:name="_Toc509324016"/>
      <w:bookmarkStart w:id="2622" w:name="_Toc509324340"/>
      <w:bookmarkStart w:id="2623" w:name="_Toc509324709"/>
      <w:bookmarkStart w:id="2624" w:name="_Toc509325078"/>
      <w:bookmarkStart w:id="2625" w:name="_Toc509325447"/>
      <w:bookmarkStart w:id="2626" w:name="_Toc509325816"/>
      <w:bookmarkStart w:id="2627" w:name="_Toc509326191"/>
      <w:bookmarkStart w:id="2628" w:name="_Toc509326566"/>
      <w:bookmarkStart w:id="2629" w:name="_Toc509326941"/>
      <w:bookmarkStart w:id="2630" w:name="_Toc509327257"/>
      <w:bookmarkStart w:id="2631" w:name="_Toc509327632"/>
      <w:bookmarkStart w:id="2632" w:name="_Toc509328007"/>
      <w:bookmarkStart w:id="2633" w:name="_Toc509332799"/>
      <w:bookmarkStart w:id="2634" w:name="_Toc509333212"/>
      <w:bookmarkStart w:id="2635" w:name="_Toc509333625"/>
      <w:bookmarkStart w:id="2636" w:name="_Toc509335538"/>
      <w:bookmarkStart w:id="2637" w:name="_Toc509336469"/>
      <w:bookmarkStart w:id="2638" w:name="_Toc509336901"/>
      <w:bookmarkStart w:id="2639" w:name="_Toc509337328"/>
      <w:bookmarkStart w:id="2640" w:name="_Toc509337755"/>
      <w:bookmarkStart w:id="2641" w:name="_Toc509337658"/>
      <w:bookmarkStart w:id="2642" w:name="_Toc509382626"/>
      <w:bookmarkStart w:id="2643" w:name="_Toc509383058"/>
      <w:bookmarkStart w:id="2644" w:name="_Toc509383937"/>
      <w:bookmarkStart w:id="2645" w:name="_Toc509404609"/>
      <w:bookmarkStart w:id="2646" w:name="_Toc509310671"/>
      <w:bookmarkStart w:id="2647" w:name="_Toc509311066"/>
      <w:bookmarkStart w:id="2648" w:name="_Toc509311467"/>
      <w:bookmarkStart w:id="2649" w:name="_Toc509311905"/>
      <w:bookmarkStart w:id="2650" w:name="_Toc509312331"/>
      <w:bookmarkStart w:id="2651" w:name="_Toc509312670"/>
      <w:bookmarkStart w:id="2652" w:name="_Toc509313011"/>
      <w:bookmarkStart w:id="2653" w:name="_Toc509313413"/>
      <w:bookmarkStart w:id="2654" w:name="_Toc509316850"/>
      <w:bookmarkStart w:id="2655" w:name="_Toc509317163"/>
      <w:bookmarkStart w:id="2656" w:name="_Toc509317455"/>
      <w:bookmarkStart w:id="2657" w:name="_Toc509317768"/>
      <w:bookmarkStart w:id="2658" w:name="_Toc509318081"/>
      <w:bookmarkStart w:id="2659" w:name="_Toc509319067"/>
      <w:bookmarkStart w:id="2660" w:name="_Toc509319429"/>
      <w:bookmarkStart w:id="2661" w:name="_Toc509320203"/>
      <w:bookmarkStart w:id="2662" w:name="_Toc509322172"/>
      <w:bookmarkStart w:id="2663" w:name="_Toc509322496"/>
      <w:bookmarkStart w:id="2664" w:name="_Toc509322998"/>
      <w:bookmarkStart w:id="2665" w:name="_Toc509323371"/>
      <w:bookmarkStart w:id="2666" w:name="_Toc509323695"/>
      <w:bookmarkStart w:id="2667" w:name="_Toc509324019"/>
      <w:bookmarkStart w:id="2668" w:name="_Toc509324343"/>
      <w:bookmarkStart w:id="2669" w:name="_Toc509324712"/>
      <w:bookmarkStart w:id="2670" w:name="_Toc509325081"/>
      <w:bookmarkStart w:id="2671" w:name="_Toc509325450"/>
      <w:bookmarkStart w:id="2672" w:name="_Toc509325819"/>
      <w:bookmarkStart w:id="2673" w:name="_Toc509326194"/>
      <w:bookmarkStart w:id="2674" w:name="_Toc509326569"/>
      <w:bookmarkStart w:id="2675" w:name="_Toc509326944"/>
      <w:bookmarkStart w:id="2676" w:name="_Toc509327260"/>
      <w:bookmarkStart w:id="2677" w:name="_Toc509327635"/>
      <w:bookmarkStart w:id="2678" w:name="_Toc509328010"/>
      <w:bookmarkStart w:id="2679" w:name="_Toc509332802"/>
      <w:bookmarkStart w:id="2680" w:name="_Toc509333215"/>
      <w:bookmarkStart w:id="2681" w:name="_Toc509333628"/>
      <w:bookmarkStart w:id="2682" w:name="_Toc509335541"/>
      <w:bookmarkStart w:id="2683" w:name="_Toc509336472"/>
      <w:bookmarkStart w:id="2684" w:name="_Toc509336904"/>
      <w:bookmarkStart w:id="2685" w:name="_Toc509337331"/>
      <w:bookmarkStart w:id="2686" w:name="_Toc509337758"/>
      <w:bookmarkStart w:id="2687" w:name="_Toc509338088"/>
      <w:bookmarkStart w:id="2688" w:name="_Toc509382629"/>
      <w:bookmarkStart w:id="2689" w:name="_Toc509383061"/>
      <w:bookmarkStart w:id="2690" w:name="_Toc509383940"/>
      <w:bookmarkStart w:id="2691" w:name="_Toc509404612"/>
      <w:bookmarkStart w:id="2692" w:name="_Toc508809697"/>
      <w:bookmarkStart w:id="2693" w:name="_Toc508809698"/>
      <w:bookmarkStart w:id="2694" w:name="_Toc509067131"/>
      <w:bookmarkStart w:id="2695" w:name="_Toc509068565"/>
      <w:bookmarkStart w:id="2696" w:name="_Toc509069072"/>
      <w:bookmarkStart w:id="2697" w:name="_Toc509131621"/>
      <w:bookmarkStart w:id="2698" w:name="_Toc509310672"/>
      <w:bookmarkStart w:id="2699" w:name="_Toc509311067"/>
      <w:bookmarkStart w:id="2700" w:name="_Toc509311468"/>
      <w:bookmarkStart w:id="2701" w:name="_Toc509311906"/>
      <w:bookmarkStart w:id="2702" w:name="_Toc509312332"/>
      <w:bookmarkStart w:id="2703" w:name="_Toc509312671"/>
      <w:bookmarkStart w:id="2704" w:name="_Toc509313012"/>
      <w:bookmarkStart w:id="2705" w:name="_Toc509313414"/>
      <w:bookmarkStart w:id="2706" w:name="_Toc509316851"/>
      <w:bookmarkStart w:id="2707" w:name="_Toc509317164"/>
      <w:bookmarkStart w:id="2708" w:name="_Toc509317456"/>
      <w:bookmarkStart w:id="2709" w:name="_Toc509317769"/>
      <w:bookmarkStart w:id="2710" w:name="_Toc509318082"/>
      <w:bookmarkStart w:id="2711" w:name="_Toc509319068"/>
      <w:bookmarkStart w:id="2712" w:name="_Toc509319430"/>
      <w:bookmarkStart w:id="2713" w:name="_Toc509320204"/>
      <w:bookmarkStart w:id="2714" w:name="_Toc509322173"/>
      <w:bookmarkStart w:id="2715" w:name="_Toc509322497"/>
      <w:bookmarkStart w:id="2716" w:name="_Toc509322999"/>
      <w:bookmarkStart w:id="2717" w:name="_Toc509323372"/>
      <w:bookmarkStart w:id="2718" w:name="_Toc509323696"/>
      <w:bookmarkStart w:id="2719" w:name="_Toc509324020"/>
      <w:bookmarkStart w:id="2720" w:name="_Toc509324344"/>
      <w:bookmarkStart w:id="2721" w:name="_Toc509324713"/>
      <w:bookmarkStart w:id="2722" w:name="_Toc509325082"/>
      <w:bookmarkStart w:id="2723" w:name="_Toc509325451"/>
      <w:bookmarkStart w:id="2724" w:name="_Toc509325820"/>
      <w:bookmarkStart w:id="2725" w:name="_Toc509326195"/>
      <w:bookmarkStart w:id="2726" w:name="_Toc509326570"/>
      <w:bookmarkStart w:id="2727" w:name="_Toc509326945"/>
      <w:bookmarkStart w:id="2728" w:name="_Toc509327261"/>
      <w:bookmarkStart w:id="2729" w:name="_Toc509327636"/>
      <w:bookmarkStart w:id="2730" w:name="_Toc509328011"/>
      <w:bookmarkStart w:id="2731" w:name="_Toc509332803"/>
      <w:bookmarkStart w:id="2732" w:name="_Toc509333216"/>
      <w:bookmarkStart w:id="2733" w:name="_Toc509333629"/>
      <w:bookmarkStart w:id="2734" w:name="_Toc509335542"/>
      <w:bookmarkStart w:id="2735" w:name="_Toc509336473"/>
      <w:bookmarkStart w:id="2736" w:name="_Toc509336905"/>
      <w:bookmarkStart w:id="2737" w:name="_Toc509337332"/>
      <w:bookmarkStart w:id="2738" w:name="_Toc509337759"/>
      <w:bookmarkStart w:id="2739" w:name="_Toc509338089"/>
      <w:bookmarkStart w:id="2740" w:name="_Toc509382630"/>
      <w:bookmarkStart w:id="2741" w:name="_Toc509383062"/>
      <w:bookmarkStart w:id="2742" w:name="_Toc509383941"/>
      <w:bookmarkStart w:id="2743" w:name="_Toc509404613"/>
      <w:bookmarkStart w:id="2744" w:name="_Toc509310674"/>
      <w:bookmarkStart w:id="2745" w:name="_Toc509311069"/>
      <w:bookmarkStart w:id="2746" w:name="_Toc509311470"/>
      <w:bookmarkStart w:id="2747" w:name="_Toc509311908"/>
      <w:bookmarkStart w:id="2748" w:name="_Toc509312334"/>
      <w:bookmarkStart w:id="2749" w:name="_Toc509312673"/>
      <w:bookmarkStart w:id="2750" w:name="_Toc509313014"/>
      <w:bookmarkStart w:id="2751" w:name="_Toc509313416"/>
      <w:bookmarkStart w:id="2752" w:name="_Toc509316853"/>
      <w:bookmarkStart w:id="2753" w:name="_Toc509317166"/>
      <w:bookmarkStart w:id="2754" w:name="_Toc509317458"/>
      <w:bookmarkStart w:id="2755" w:name="_Toc509317771"/>
      <w:bookmarkStart w:id="2756" w:name="_Toc509318084"/>
      <w:bookmarkStart w:id="2757" w:name="_Toc509319070"/>
      <w:bookmarkStart w:id="2758" w:name="_Toc509319432"/>
      <w:bookmarkStart w:id="2759" w:name="_Toc509320206"/>
      <w:bookmarkStart w:id="2760" w:name="_Toc509322175"/>
      <w:bookmarkStart w:id="2761" w:name="_Toc509322499"/>
      <w:bookmarkStart w:id="2762" w:name="_Toc509323001"/>
      <w:bookmarkStart w:id="2763" w:name="_Toc509323374"/>
      <w:bookmarkStart w:id="2764" w:name="_Toc509323698"/>
      <w:bookmarkStart w:id="2765" w:name="_Toc509324022"/>
      <w:bookmarkStart w:id="2766" w:name="_Toc509324346"/>
      <w:bookmarkStart w:id="2767" w:name="_Toc509324715"/>
      <w:bookmarkStart w:id="2768" w:name="_Toc509325084"/>
      <w:bookmarkStart w:id="2769" w:name="_Toc509325453"/>
      <w:bookmarkStart w:id="2770" w:name="_Toc509325822"/>
      <w:bookmarkStart w:id="2771" w:name="_Toc509326197"/>
      <w:bookmarkStart w:id="2772" w:name="_Toc509326572"/>
      <w:bookmarkStart w:id="2773" w:name="_Toc509326947"/>
      <w:bookmarkStart w:id="2774" w:name="_Toc509327263"/>
      <w:bookmarkStart w:id="2775" w:name="_Toc509327638"/>
      <w:bookmarkStart w:id="2776" w:name="_Toc509328013"/>
      <w:bookmarkStart w:id="2777" w:name="_Toc509332805"/>
      <w:bookmarkStart w:id="2778" w:name="_Toc509333218"/>
      <w:bookmarkStart w:id="2779" w:name="_Toc509333631"/>
      <w:bookmarkStart w:id="2780" w:name="_Toc509335544"/>
      <w:bookmarkStart w:id="2781" w:name="_Toc509336475"/>
      <w:bookmarkStart w:id="2782" w:name="_Toc509336907"/>
      <w:bookmarkStart w:id="2783" w:name="_Toc509337334"/>
      <w:bookmarkStart w:id="2784" w:name="_Toc509337761"/>
      <w:bookmarkStart w:id="2785" w:name="_Toc509338091"/>
      <w:bookmarkStart w:id="2786" w:name="_Toc509382632"/>
      <w:bookmarkStart w:id="2787" w:name="_Toc509383064"/>
      <w:bookmarkStart w:id="2788" w:name="_Toc509383943"/>
      <w:bookmarkStart w:id="2789" w:name="_Toc509404615"/>
      <w:bookmarkStart w:id="2790" w:name="_Toc509310676"/>
      <w:bookmarkStart w:id="2791" w:name="_Toc509311071"/>
      <w:bookmarkStart w:id="2792" w:name="_Toc509311472"/>
      <w:bookmarkStart w:id="2793" w:name="_Toc509311910"/>
      <w:bookmarkStart w:id="2794" w:name="_Toc509312336"/>
      <w:bookmarkStart w:id="2795" w:name="_Toc509312675"/>
      <w:bookmarkStart w:id="2796" w:name="_Toc509313016"/>
      <w:bookmarkStart w:id="2797" w:name="_Toc509313418"/>
      <w:bookmarkStart w:id="2798" w:name="_Toc509316855"/>
      <w:bookmarkStart w:id="2799" w:name="_Toc509317168"/>
      <w:bookmarkStart w:id="2800" w:name="_Toc509317460"/>
      <w:bookmarkStart w:id="2801" w:name="_Toc509317773"/>
      <w:bookmarkStart w:id="2802" w:name="_Toc509318086"/>
      <w:bookmarkStart w:id="2803" w:name="_Toc509319072"/>
      <w:bookmarkStart w:id="2804" w:name="_Toc509319434"/>
      <w:bookmarkStart w:id="2805" w:name="_Toc509320208"/>
      <w:bookmarkStart w:id="2806" w:name="_Toc509322177"/>
      <w:bookmarkStart w:id="2807" w:name="_Toc509322501"/>
      <w:bookmarkStart w:id="2808" w:name="_Toc509323003"/>
      <w:bookmarkStart w:id="2809" w:name="_Toc509323376"/>
      <w:bookmarkStart w:id="2810" w:name="_Toc509323700"/>
      <w:bookmarkStart w:id="2811" w:name="_Toc509324024"/>
      <w:bookmarkStart w:id="2812" w:name="_Toc509324348"/>
      <w:bookmarkStart w:id="2813" w:name="_Toc509324717"/>
      <w:bookmarkStart w:id="2814" w:name="_Toc509325086"/>
      <w:bookmarkStart w:id="2815" w:name="_Toc509325455"/>
      <w:bookmarkStart w:id="2816" w:name="_Toc509325824"/>
      <w:bookmarkStart w:id="2817" w:name="_Toc509326199"/>
      <w:bookmarkStart w:id="2818" w:name="_Toc509326574"/>
      <w:bookmarkStart w:id="2819" w:name="_Toc509326949"/>
      <w:bookmarkStart w:id="2820" w:name="_Toc509327265"/>
      <w:bookmarkStart w:id="2821" w:name="_Toc509327640"/>
      <w:bookmarkStart w:id="2822" w:name="_Toc509328015"/>
      <w:bookmarkStart w:id="2823" w:name="_Toc509332807"/>
      <w:bookmarkStart w:id="2824" w:name="_Toc509333220"/>
      <w:bookmarkStart w:id="2825" w:name="_Toc509333633"/>
      <w:bookmarkStart w:id="2826" w:name="_Toc509335546"/>
      <w:bookmarkStart w:id="2827" w:name="_Toc509336477"/>
      <w:bookmarkStart w:id="2828" w:name="_Toc509336909"/>
      <w:bookmarkStart w:id="2829" w:name="_Toc509337336"/>
      <w:bookmarkStart w:id="2830" w:name="_Toc509337763"/>
      <w:bookmarkStart w:id="2831" w:name="_Toc509338093"/>
      <w:bookmarkStart w:id="2832" w:name="_Toc509382634"/>
      <w:bookmarkStart w:id="2833" w:name="_Toc509383066"/>
      <w:bookmarkStart w:id="2834" w:name="_Toc509383945"/>
      <w:bookmarkStart w:id="2835" w:name="_Toc509404617"/>
      <w:bookmarkStart w:id="2836" w:name="_Toc509310678"/>
      <w:bookmarkStart w:id="2837" w:name="_Toc509311073"/>
      <w:bookmarkStart w:id="2838" w:name="_Toc509311474"/>
      <w:bookmarkStart w:id="2839" w:name="_Toc509311912"/>
      <w:bookmarkStart w:id="2840" w:name="_Toc509312338"/>
      <w:bookmarkStart w:id="2841" w:name="_Toc509312677"/>
      <w:bookmarkStart w:id="2842" w:name="_Toc509313018"/>
      <w:bookmarkStart w:id="2843" w:name="_Toc509313420"/>
      <w:bookmarkStart w:id="2844" w:name="_Toc509316857"/>
      <w:bookmarkStart w:id="2845" w:name="_Toc509317170"/>
      <w:bookmarkStart w:id="2846" w:name="_Toc509317462"/>
      <w:bookmarkStart w:id="2847" w:name="_Toc509317775"/>
      <w:bookmarkStart w:id="2848" w:name="_Toc509318088"/>
      <w:bookmarkStart w:id="2849" w:name="_Toc509319074"/>
      <w:bookmarkStart w:id="2850" w:name="_Toc509319436"/>
      <w:bookmarkStart w:id="2851" w:name="_Toc509320210"/>
      <w:bookmarkStart w:id="2852" w:name="_Toc509322179"/>
      <w:bookmarkStart w:id="2853" w:name="_Toc509322503"/>
      <w:bookmarkStart w:id="2854" w:name="_Toc509323005"/>
      <w:bookmarkStart w:id="2855" w:name="_Toc509323378"/>
      <w:bookmarkStart w:id="2856" w:name="_Toc509323702"/>
      <w:bookmarkStart w:id="2857" w:name="_Toc509324026"/>
      <w:bookmarkStart w:id="2858" w:name="_Toc509324350"/>
      <w:bookmarkStart w:id="2859" w:name="_Toc509324719"/>
      <w:bookmarkStart w:id="2860" w:name="_Toc509325088"/>
      <w:bookmarkStart w:id="2861" w:name="_Toc509325457"/>
      <w:bookmarkStart w:id="2862" w:name="_Toc509325826"/>
      <w:bookmarkStart w:id="2863" w:name="_Toc509326201"/>
      <w:bookmarkStart w:id="2864" w:name="_Toc509326576"/>
      <w:bookmarkStart w:id="2865" w:name="_Toc509326951"/>
      <w:bookmarkStart w:id="2866" w:name="_Toc509327267"/>
      <w:bookmarkStart w:id="2867" w:name="_Toc509327642"/>
      <w:bookmarkStart w:id="2868" w:name="_Toc509328017"/>
      <w:bookmarkStart w:id="2869" w:name="_Toc509332809"/>
      <w:bookmarkStart w:id="2870" w:name="_Toc509333222"/>
      <w:bookmarkStart w:id="2871" w:name="_Toc509333635"/>
      <w:bookmarkStart w:id="2872" w:name="_Toc509335548"/>
      <w:bookmarkStart w:id="2873" w:name="_Toc509336479"/>
      <w:bookmarkStart w:id="2874" w:name="_Toc509336911"/>
      <w:bookmarkStart w:id="2875" w:name="_Toc509337338"/>
      <w:bookmarkStart w:id="2876" w:name="_Toc509337765"/>
      <w:bookmarkStart w:id="2877" w:name="_Toc509338095"/>
      <w:bookmarkStart w:id="2878" w:name="_Toc509382636"/>
      <w:bookmarkStart w:id="2879" w:name="_Toc509383068"/>
      <w:bookmarkStart w:id="2880" w:name="_Toc509383947"/>
      <w:bookmarkStart w:id="2881" w:name="_Toc509404619"/>
      <w:bookmarkStart w:id="2882" w:name="_Toc509310679"/>
      <w:bookmarkStart w:id="2883" w:name="_Toc509311074"/>
      <w:bookmarkStart w:id="2884" w:name="_Toc509311475"/>
      <w:bookmarkStart w:id="2885" w:name="_Toc509311913"/>
      <w:bookmarkStart w:id="2886" w:name="_Toc509312339"/>
      <w:bookmarkStart w:id="2887" w:name="_Toc509312678"/>
      <w:bookmarkStart w:id="2888" w:name="_Toc509313019"/>
      <w:bookmarkStart w:id="2889" w:name="_Toc509313421"/>
      <w:bookmarkStart w:id="2890" w:name="_Toc509316858"/>
      <w:bookmarkStart w:id="2891" w:name="_Toc509317171"/>
      <w:bookmarkStart w:id="2892" w:name="_Toc509317463"/>
      <w:bookmarkStart w:id="2893" w:name="_Toc509317776"/>
      <w:bookmarkStart w:id="2894" w:name="_Toc509318089"/>
      <w:bookmarkStart w:id="2895" w:name="_Toc509319075"/>
      <w:bookmarkStart w:id="2896" w:name="_Toc509319437"/>
      <w:bookmarkStart w:id="2897" w:name="_Toc509320211"/>
      <w:bookmarkStart w:id="2898" w:name="_Toc509322180"/>
      <w:bookmarkStart w:id="2899" w:name="_Toc509322504"/>
      <w:bookmarkStart w:id="2900" w:name="_Toc509323006"/>
      <w:bookmarkStart w:id="2901" w:name="_Toc509323379"/>
      <w:bookmarkStart w:id="2902" w:name="_Toc509323703"/>
      <w:bookmarkStart w:id="2903" w:name="_Toc509324027"/>
      <w:bookmarkStart w:id="2904" w:name="_Toc509324351"/>
      <w:bookmarkStart w:id="2905" w:name="_Toc509324720"/>
      <w:bookmarkStart w:id="2906" w:name="_Toc509325089"/>
      <w:bookmarkStart w:id="2907" w:name="_Toc509325458"/>
      <w:bookmarkStart w:id="2908" w:name="_Toc509325827"/>
      <w:bookmarkStart w:id="2909" w:name="_Toc509326202"/>
      <w:bookmarkStart w:id="2910" w:name="_Toc509326577"/>
      <w:bookmarkStart w:id="2911" w:name="_Toc509326952"/>
      <w:bookmarkStart w:id="2912" w:name="_Toc509327268"/>
      <w:bookmarkStart w:id="2913" w:name="_Toc509327643"/>
      <w:bookmarkStart w:id="2914" w:name="_Toc509328018"/>
      <w:bookmarkStart w:id="2915" w:name="_Toc509332810"/>
      <w:bookmarkStart w:id="2916" w:name="_Toc509333223"/>
      <w:bookmarkStart w:id="2917" w:name="_Toc509333636"/>
      <w:bookmarkStart w:id="2918" w:name="_Toc509335039"/>
      <w:bookmarkStart w:id="2919" w:name="_Toc509335549"/>
      <w:bookmarkStart w:id="2920" w:name="_Toc509336480"/>
      <w:bookmarkStart w:id="2921" w:name="_Toc509336912"/>
      <w:bookmarkStart w:id="2922" w:name="_Toc509337339"/>
      <w:bookmarkStart w:id="2923" w:name="_Toc509337766"/>
      <w:bookmarkStart w:id="2924" w:name="_Toc509338096"/>
      <w:bookmarkStart w:id="2925" w:name="_Toc509382637"/>
      <w:bookmarkStart w:id="2926" w:name="_Toc509383069"/>
      <w:bookmarkStart w:id="2927" w:name="_Toc509383948"/>
      <w:bookmarkStart w:id="2928" w:name="_Toc509404620"/>
      <w:bookmarkStart w:id="2929" w:name="_Toc509310680"/>
      <w:bookmarkStart w:id="2930" w:name="_Toc509311075"/>
      <w:bookmarkStart w:id="2931" w:name="_Toc509311476"/>
      <w:bookmarkStart w:id="2932" w:name="_Toc509311914"/>
      <w:bookmarkStart w:id="2933" w:name="_Toc509312340"/>
      <w:bookmarkStart w:id="2934" w:name="_Toc509312679"/>
      <w:bookmarkStart w:id="2935" w:name="_Toc509313020"/>
      <w:bookmarkStart w:id="2936" w:name="_Toc509313422"/>
      <w:bookmarkStart w:id="2937" w:name="_Toc509316859"/>
      <w:bookmarkStart w:id="2938" w:name="_Toc509317172"/>
      <w:bookmarkStart w:id="2939" w:name="_Toc509317464"/>
      <w:bookmarkStart w:id="2940" w:name="_Toc509317777"/>
      <w:bookmarkStart w:id="2941" w:name="_Toc509318090"/>
      <w:bookmarkStart w:id="2942" w:name="_Toc509319076"/>
      <w:bookmarkStart w:id="2943" w:name="_Toc509319438"/>
      <w:bookmarkStart w:id="2944" w:name="_Toc509320212"/>
      <w:bookmarkStart w:id="2945" w:name="_Toc509322181"/>
      <w:bookmarkStart w:id="2946" w:name="_Toc509322505"/>
      <w:bookmarkStart w:id="2947" w:name="_Toc509323007"/>
      <w:bookmarkStart w:id="2948" w:name="_Toc509323380"/>
      <w:bookmarkStart w:id="2949" w:name="_Toc509323704"/>
      <w:bookmarkStart w:id="2950" w:name="_Toc509324028"/>
      <w:bookmarkStart w:id="2951" w:name="_Toc509324352"/>
      <w:bookmarkStart w:id="2952" w:name="_Toc509324721"/>
      <w:bookmarkStart w:id="2953" w:name="_Toc509325090"/>
      <w:bookmarkStart w:id="2954" w:name="_Toc509325459"/>
      <w:bookmarkStart w:id="2955" w:name="_Toc509325828"/>
      <w:bookmarkStart w:id="2956" w:name="_Toc509326203"/>
      <w:bookmarkStart w:id="2957" w:name="_Toc509326578"/>
      <w:bookmarkStart w:id="2958" w:name="_Toc509326953"/>
      <w:bookmarkStart w:id="2959" w:name="_Toc509327269"/>
      <w:bookmarkStart w:id="2960" w:name="_Toc509327644"/>
      <w:bookmarkStart w:id="2961" w:name="_Toc509328019"/>
      <w:bookmarkStart w:id="2962" w:name="_Toc509332811"/>
      <w:bookmarkStart w:id="2963" w:name="_Toc509333224"/>
      <w:bookmarkStart w:id="2964" w:name="_Toc509333637"/>
      <w:bookmarkStart w:id="2965" w:name="_Toc509335550"/>
      <w:bookmarkStart w:id="2966" w:name="_Toc509336481"/>
      <w:bookmarkStart w:id="2967" w:name="_Toc509336913"/>
      <w:bookmarkStart w:id="2968" w:name="_Toc509337340"/>
      <w:bookmarkStart w:id="2969" w:name="_Toc509337767"/>
      <w:bookmarkStart w:id="2970" w:name="_Toc509338097"/>
      <w:bookmarkStart w:id="2971" w:name="_Toc509382638"/>
      <w:bookmarkStart w:id="2972" w:name="_Toc509383070"/>
      <w:bookmarkStart w:id="2973" w:name="_Toc509383949"/>
      <w:bookmarkStart w:id="2974" w:name="_Toc509404621"/>
      <w:bookmarkStart w:id="2975" w:name="_Toc509310682"/>
      <w:bookmarkStart w:id="2976" w:name="_Toc509311077"/>
      <w:bookmarkStart w:id="2977" w:name="_Toc509311478"/>
      <w:bookmarkStart w:id="2978" w:name="_Toc509311916"/>
      <w:bookmarkStart w:id="2979" w:name="_Toc509312342"/>
      <w:bookmarkStart w:id="2980" w:name="_Toc509312681"/>
      <w:bookmarkStart w:id="2981" w:name="_Toc509313022"/>
      <w:bookmarkStart w:id="2982" w:name="_Toc509313424"/>
      <w:bookmarkStart w:id="2983" w:name="_Toc509316861"/>
      <w:bookmarkStart w:id="2984" w:name="_Toc509317174"/>
      <w:bookmarkStart w:id="2985" w:name="_Toc509317466"/>
      <w:bookmarkStart w:id="2986" w:name="_Toc509317779"/>
      <w:bookmarkStart w:id="2987" w:name="_Toc509318092"/>
      <w:bookmarkStart w:id="2988" w:name="_Toc509319078"/>
      <w:bookmarkStart w:id="2989" w:name="_Toc509319440"/>
      <w:bookmarkStart w:id="2990" w:name="_Toc509320214"/>
      <w:bookmarkStart w:id="2991" w:name="_Toc509322183"/>
      <w:bookmarkStart w:id="2992" w:name="_Toc509322507"/>
      <w:bookmarkStart w:id="2993" w:name="_Toc509323009"/>
      <w:bookmarkStart w:id="2994" w:name="_Toc509323382"/>
      <w:bookmarkStart w:id="2995" w:name="_Toc509323706"/>
      <w:bookmarkStart w:id="2996" w:name="_Toc509324030"/>
      <w:bookmarkStart w:id="2997" w:name="_Toc509324354"/>
      <w:bookmarkStart w:id="2998" w:name="_Toc509324723"/>
      <w:bookmarkStart w:id="2999" w:name="_Toc509325092"/>
      <w:bookmarkStart w:id="3000" w:name="_Toc509325461"/>
      <w:bookmarkStart w:id="3001" w:name="_Toc509325830"/>
      <w:bookmarkStart w:id="3002" w:name="_Toc509326205"/>
      <w:bookmarkStart w:id="3003" w:name="_Toc509326580"/>
      <w:bookmarkStart w:id="3004" w:name="_Toc509326955"/>
      <w:bookmarkStart w:id="3005" w:name="_Toc509327271"/>
      <w:bookmarkStart w:id="3006" w:name="_Toc509327646"/>
      <w:bookmarkStart w:id="3007" w:name="_Toc509328021"/>
      <w:bookmarkStart w:id="3008" w:name="_Toc509332813"/>
      <w:bookmarkStart w:id="3009" w:name="_Toc509333226"/>
      <w:bookmarkStart w:id="3010" w:name="_Toc509333639"/>
      <w:bookmarkStart w:id="3011" w:name="_Toc509335552"/>
      <w:bookmarkStart w:id="3012" w:name="_Toc509336483"/>
      <w:bookmarkStart w:id="3013" w:name="_Toc509336915"/>
      <w:bookmarkStart w:id="3014" w:name="_Toc509337342"/>
      <w:bookmarkStart w:id="3015" w:name="_Toc509337769"/>
      <w:bookmarkStart w:id="3016" w:name="_Toc509338099"/>
      <w:bookmarkStart w:id="3017" w:name="_Toc509382640"/>
      <w:bookmarkStart w:id="3018" w:name="_Toc509383072"/>
      <w:bookmarkStart w:id="3019" w:name="_Toc509383951"/>
      <w:bookmarkStart w:id="3020" w:name="_Toc509404623"/>
      <w:bookmarkStart w:id="3021" w:name="_Toc509310684"/>
      <w:bookmarkStart w:id="3022" w:name="_Toc509311079"/>
      <w:bookmarkStart w:id="3023" w:name="_Toc509311480"/>
      <w:bookmarkStart w:id="3024" w:name="_Toc509311918"/>
      <w:bookmarkStart w:id="3025" w:name="_Toc509312344"/>
      <w:bookmarkStart w:id="3026" w:name="_Toc509312683"/>
      <w:bookmarkStart w:id="3027" w:name="_Toc509313024"/>
      <w:bookmarkStart w:id="3028" w:name="_Toc509313426"/>
      <w:bookmarkStart w:id="3029" w:name="_Toc509316863"/>
      <w:bookmarkStart w:id="3030" w:name="_Toc509317176"/>
      <w:bookmarkStart w:id="3031" w:name="_Toc509317468"/>
      <w:bookmarkStart w:id="3032" w:name="_Toc509317781"/>
      <w:bookmarkStart w:id="3033" w:name="_Toc509318094"/>
      <w:bookmarkStart w:id="3034" w:name="_Toc509319080"/>
      <w:bookmarkStart w:id="3035" w:name="_Toc509319442"/>
      <w:bookmarkStart w:id="3036" w:name="_Toc509320216"/>
      <w:bookmarkStart w:id="3037" w:name="_Toc509322185"/>
      <w:bookmarkStart w:id="3038" w:name="_Toc509322509"/>
      <w:bookmarkStart w:id="3039" w:name="_Toc509323011"/>
      <w:bookmarkStart w:id="3040" w:name="_Toc509323384"/>
      <w:bookmarkStart w:id="3041" w:name="_Toc509323708"/>
      <w:bookmarkStart w:id="3042" w:name="_Toc509324032"/>
      <w:bookmarkStart w:id="3043" w:name="_Toc509324356"/>
      <w:bookmarkStart w:id="3044" w:name="_Toc509324725"/>
      <w:bookmarkStart w:id="3045" w:name="_Toc509325094"/>
      <w:bookmarkStart w:id="3046" w:name="_Toc509325463"/>
      <w:bookmarkStart w:id="3047" w:name="_Toc509325832"/>
      <w:bookmarkStart w:id="3048" w:name="_Toc509326207"/>
      <w:bookmarkStart w:id="3049" w:name="_Toc509326582"/>
      <w:bookmarkStart w:id="3050" w:name="_Toc509326957"/>
      <w:bookmarkStart w:id="3051" w:name="_Toc509327273"/>
      <w:bookmarkStart w:id="3052" w:name="_Toc509327648"/>
      <w:bookmarkStart w:id="3053" w:name="_Toc509328023"/>
      <w:bookmarkStart w:id="3054" w:name="_Toc509332815"/>
      <w:bookmarkStart w:id="3055" w:name="_Toc509333228"/>
      <w:bookmarkStart w:id="3056" w:name="_Toc509333641"/>
      <w:bookmarkStart w:id="3057" w:name="_Toc509335044"/>
      <w:bookmarkStart w:id="3058" w:name="_Toc509335554"/>
      <w:bookmarkStart w:id="3059" w:name="_Toc509336485"/>
      <w:bookmarkStart w:id="3060" w:name="_Toc509336917"/>
      <w:bookmarkStart w:id="3061" w:name="_Toc509337344"/>
      <w:bookmarkStart w:id="3062" w:name="_Toc509337771"/>
      <w:bookmarkStart w:id="3063" w:name="_Toc509338101"/>
      <w:bookmarkStart w:id="3064" w:name="_Toc509382642"/>
      <w:bookmarkStart w:id="3065" w:name="_Toc509383074"/>
      <w:bookmarkStart w:id="3066" w:name="_Toc509383953"/>
      <w:bookmarkStart w:id="3067" w:name="_Toc509404625"/>
      <w:bookmarkStart w:id="3068" w:name="_Toc509310686"/>
      <w:bookmarkStart w:id="3069" w:name="_Toc509311081"/>
      <w:bookmarkStart w:id="3070" w:name="_Toc509311482"/>
      <w:bookmarkStart w:id="3071" w:name="_Toc509311920"/>
      <w:bookmarkStart w:id="3072" w:name="_Toc509312346"/>
      <w:bookmarkStart w:id="3073" w:name="_Toc509312685"/>
      <w:bookmarkStart w:id="3074" w:name="_Toc509313026"/>
      <w:bookmarkStart w:id="3075" w:name="_Toc509313428"/>
      <w:bookmarkStart w:id="3076" w:name="_Toc509316865"/>
      <w:bookmarkStart w:id="3077" w:name="_Toc509317178"/>
      <w:bookmarkStart w:id="3078" w:name="_Toc509317470"/>
      <w:bookmarkStart w:id="3079" w:name="_Toc509317783"/>
      <w:bookmarkStart w:id="3080" w:name="_Toc509318096"/>
      <w:bookmarkStart w:id="3081" w:name="_Toc509319082"/>
      <w:bookmarkStart w:id="3082" w:name="_Toc509319444"/>
      <w:bookmarkStart w:id="3083" w:name="_Toc509320218"/>
      <w:bookmarkStart w:id="3084" w:name="_Toc509322187"/>
      <w:bookmarkStart w:id="3085" w:name="_Toc509322511"/>
      <w:bookmarkStart w:id="3086" w:name="_Toc509323013"/>
      <w:bookmarkStart w:id="3087" w:name="_Toc509323386"/>
      <w:bookmarkStart w:id="3088" w:name="_Toc509323710"/>
      <w:bookmarkStart w:id="3089" w:name="_Toc509324034"/>
      <w:bookmarkStart w:id="3090" w:name="_Toc509324358"/>
      <w:bookmarkStart w:id="3091" w:name="_Toc509324727"/>
      <w:bookmarkStart w:id="3092" w:name="_Toc509325096"/>
      <w:bookmarkStart w:id="3093" w:name="_Toc509325465"/>
      <w:bookmarkStart w:id="3094" w:name="_Toc509325834"/>
      <w:bookmarkStart w:id="3095" w:name="_Toc509326209"/>
      <w:bookmarkStart w:id="3096" w:name="_Toc509326584"/>
      <w:bookmarkStart w:id="3097" w:name="_Toc509326959"/>
      <w:bookmarkStart w:id="3098" w:name="_Toc509327275"/>
      <w:bookmarkStart w:id="3099" w:name="_Toc509327650"/>
      <w:bookmarkStart w:id="3100" w:name="_Toc509328025"/>
      <w:bookmarkStart w:id="3101" w:name="_Toc509332817"/>
      <w:bookmarkStart w:id="3102" w:name="_Toc509333230"/>
      <w:bookmarkStart w:id="3103" w:name="_Toc509333643"/>
      <w:bookmarkStart w:id="3104" w:name="_Toc509335556"/>
      <w:bookmarkStart w:id="3105" w:name="_Toc509336487"/>
      <w:bookmarkStart w:id="3106" w:name="_Toc509336919"/>
      <w:bookmarkStart w:id="3107" w:name="_Toc509337346"/>
      <w:bookmarkStart w:id="3108" w:name="_Toc509337773"/>
      <w:bookmarkStart w:id="3109" w:name="_Toc509338103"/>
      <w:bookmarkStart w:id="3110" w:name="_Toc509382644"/>
      <w:bookmarkStart w:id="3111" w:name="_Toc509383076"/>
      <w:bookmarkStart w:id="3112" w:name="_Toc509383955"/>
      <w:bookmarkStart w:id="3113" w:name="_Toc509404627"/>
      <w:bookmarkStart w:id="3114" w:name="_Toc509310688"/>
      <w:bookmarkStart w:id="3115" w:name="_Toc509311083"/>
      <w:bookmarkStart w:id="3116" w:name="_Toc509311484"/>
      <w:bookmarkStart w:id="3117" w:name="_Toc509311922"/>
      <w:bookmarkStart w:id="3118" w:name="_Toc509312348"/>
      <w:bookmarkStart w:id="3119" w:name="_Toc509312687"/>
      <w:bookmarkStart w:id="3120" w:name="_Toc509313028"/>
      <w:bookmarkStart w:id="3121" w:name="_Toc509313430"/>
      <w:bookmarkStart w:id="3122" w:name="_Toc509316867"/>
      <w:bookmarkStart w:id="3123" w:name="_Toc509317180"/>
      <w:bookmarkStart w:id="3124" w:name="_Toc509317472"/>
      <w:bookmarkStart w:id="3125" w:name="_Toc509317785"/>
      <w:bookmarkStart w:id="3126" w:name="_Toc509318098"/>
      <w:bookmarkStart w:id="3127" w:name="_Toc509319084"/>
      <w:bookmarkStart w:id="3128" w:name="_Toc509319446"/>
      <w:bookmarkStart w:id="3129" w:name="_Toc509320220"/>
      <w:bookmarkStart w:id="3130" w:name="_Toc509322189"/>
      <w:bookmarkStart w:id="3131" w:name="_Toc509322513"/>
      <w:bookmarkStart w:id="3132" w:name="_Toc509323015"/>
      <w:bookmarkStart w:id="3133" w:name="_Toc509323388"/>
      <w:bookmarkStart w:id="3134" w:name="_Toc509323712"/>
      <w:bookmarkStart w:id="3135" w:name="_Toc509324036"/>
      <w:bookmarkStart w:id="3136" w:name="_Toc509324360"/>
      <w:bookmarkStart w:id="3137" w:name="_Toc509324729"/>
      <w:bookmarkStart w:id="3138" w:name="_Toc509325098"/>
      <w:bookmarkStart w:id="3139" w:name="_Toc509325467"/>
      <w:bookmarkStart w:id="3140" w:name="_Toc509325836"/>
      <w:bookmarkStart w:id="3141" w:name="_Toc509326211"/>
      <w:bookmarkStart w:id="3142" w:name="_Toc509326586"/>
      <w:bookmarkStart w:id="3143" w:name="_Toc509326961"/>
      <w:bookmarkStart w:id="3144" w:name="_Toc509327277"/>
      <w:bookmarkStart w:id="3145" w:name="_Toc509327652"/>
      <w:bookmarkStart w:id="3146" w:name="_Toc509328027"/>
      <w:bookmarkStart w:id="3147" w:name="_Toc509332819"/>
      <w:bookmarkStart w:id="3148" w:name="_Toc509333232"/>
      <w:bookmarkStart w:id="3149" w:name="_Toc509333645"/>
      <w:bookmarkStart w:id="3150" w:name="_Toc509335048"/>
      <w:bookmarkStart w:id="3151" w:name="_Toc509335558"/>
      <w:bookmarkStart w:id="3152" w:name="_Toc509336489"/>
      <w:bookmarkStart w:id="3153" w:name="_Toc509336921"/>
      <w:bookmarkStart w:id="3154" w:name="_Toc509337348"/>
      <w:bookmarkStart w:id="3155" w:name="_Toc509337775"/>
      <w:bookmarkStart w:id="3156" w:name="_Toc509338105"/>
      <w:bookmarkStart w:id="3157" w:name="_Toc509382646"/>
      <w:bookmarkStart w:id="3158" w:name="_Toc509383078"/>
      <w:bookmarkStart w:id="3159" w:name="_Toc509383957"/>
      <w:bookmarkStart w:id="3160" w:name="_Toc509404629"/>
      <w:bookmarkStart w:id="3161" w:name="_Toc509310689"/>
      <w:bookmarkStart w:id="3162" w:name="_Toc509311084"/>
      <w:bookmarkStart w:id="3163" w:name="_Toc509311485"/>
      <w:bookmarkStart w:id="3164" w:name="_Toc509311923"/>
      <w:bookmarkStart w:id="3165" w:name="_Toc509312349"/>
      <w:bookmarkStart w:id="3166" w:name="_Toc509312688"/>
      <w:bookmarkStart w:id="3167" w:name="_Toc509313029"/>
      <w:bookmarkStart w:id="3168" w:name="_Toc509313431"/>
      <w:bookmarkStart w:id="3169" w:name="_Toc509316868"/>
      <w:bookmarkStart w:id="3170" w:name="_Toc509317181"/>
      <w:bookmarkStart w:id="3171" w:name="_Toc509317473"/>
      <w:bookmarkStart w:id="3172" w:name="_Toc509317786"/>
      <w:bookmarkStart w:id="3173" w:name="_Toc509318099"/>
      <w:bookmarkStart w:id="3174" w:name="_Toc509319085"/>
      <w:bookmarkStart w:id="3175" w:name="_Toc509319447"/>
      <w:bookmarkStart w:id="3176" w:name="_Toc509320221"/>
      <w:bookmarkStart w:id="3177" w:name="_Toc509322190"/>
      <w:bookmarkStart w:id="3178" w:name="_Toc509322514"/>
      <w:bookmarkStart w:id="3179" w:name="_Toc509323016"/>
      <w:bookmarkStart w:id="3180" w:name="_Toc509323389"/>
      <w:bookmarkStart w:id="3181" w:name="_Toc509323713"/>
      <w:bookmarkStart w:id="3182" w:name="_Toc509324037"/>
      <w:bookmarkStart w:id="3183" w:name="_Toc509324361"/>
      <w:bookmarkStart w:id="3184" w:name="_Toc509324730"/>
      <w:bookmarkStart w:id="3185" w:name="_Toc509325099"/>
      <w:bookmarkStart w:id="3186" w:name="_Toc509325468"/>
      <w:bookmarkStart w:id="3187" w:name="_Toc509325837"/>
      <w:bookmarkStart w:id="3188" w:name="_Toc509326212"/>
      <w:bookmarkStart w:id="3189" w:name="_Toc509326587"/>
      <w:bookmarkStart w:id="3190" w:name="_Toc509326962"/>
      <w:bookmarkStart w:id="3191" w:name="_Toc509327278"/>
      <w:bookmarkStart w:id="3192" w:name="_Toc509327653"/>
      <w:bookmarkStart w:id="3193" w:name="_Toc509328028"/>
      <w:bookmarkStart w:id="3194" w:name="_Toc509332820"/>
      <w:bookmarkStart w:id="3195" w:name="_Toc509333233"/>
      <w:bookmarkStart w:id="3196" w:name="_Toc509333646"/>
      <w:bookmarkStart w:id="3197" w:name="_Toc509335049"/>
      <w:bookmarkStart w:id="3198" w:name="_Toc509335559"/>
      <w:bookmarkStart w:id="3199" w:name="_Toc509336490"/>
      <w:bookmarkStart w:id="3200" w:name="_Toc509336922"/>
      <w:bookmarkStart w:id="3201" w:name="_Toc509337349"/>
      <w:bookmarkStart w:id="3202" w:name="_Toc509337776"/>
      <w:bookmarkStart w:id="3203" w:name="_Toc509338106"/>
      <w:bookmarkStart w:id="3204" w:name="_Toc509382647"/>
      <w:bookmarkStart w:id="3205" w:name="_Toc509383079"/>
      <w:bookmarkStart w:id="3206" w:name="_Toc509383958"/>
      <w:bookmarkStart w:id="3207" w:name="_Toc509404630"/>
      <w:bookmarkStart w:id="3208" w:name="_Toc509310690"/>
      <w:bookmarkStart w:id="3209" w:name="_Toc509311085"/>
      <w:bookmarkStart w:id="3210" w:name="_Toc509311486"/>
      <w:bookmarkStart w:id="3211" w:name="_Toc509311924"/>
      <w:bookmarkStart w:id="3212" w:name="_Toc509312350"/>
      <w:bookmarkStart w:id="3213" w:name="_Toc509312689"/>
      <w:bookmarkStart w:id="3214" w:name="_Toc509313030"/>
      <w:bookmarkStart w:id="3215" w:name="_Toc509313432"/>
      <w:bookmarkStart w:id="3216" w:name="_Toc509316869"/>
      <w:bookmarkStart w:id="3217" w:name="_Toc509317182"/>
      <w:bookmarkStart w:id="3218" w:name="_Toc509317474"/>
      <w:bookmarkStart w:id="3219" w:name="_Toc509317787"/>
      <w:bookmarkStart w:id="3220" w:name="_Toc509318100"/>
      <w:bookmarkStart w:id="3221" w:name="_Toc509319086"/>
      <w:bookmarkStart w:id="3222" w:name="_Toc509319448"/>
      <w:bookmarkStart w:id="3223" w:name="_Toc509320222"/>
      <w:bookmarkStart w:id="3224" w:name="_Toc509322191"/>
      <w:bookmarkStart w:id="3225" w:name="_Toc509322515"/>
      <w:bookmarkStart w:id="3226" w:name="_Toc509323017"/>
      <w:bookmarkStart w:id="3227" w:name="_Toc509323390"/>
      <w:bookmarkStart w:id="3228" w:name="_Toc509323714"/>
      <w:bookmarkStart w:id="3229" w:name="_Toc509324038"/>
      <w:bookmarkStart w:id="3230" w:name="_Toc509324362"/>
      <w:bookmarkStart w:id="3231" w:name="_Toc509324731"/>
      <w:bookmarkStart w:id="3232" w:name="_Toc509325100"/>
      <w:bookmarkStart w:id="3233" w:name="_Toc509325469"/>
      <w:bookmarkStart w:id="3234" w:name="_Toc509325838"/>
      <w:bookmarkStart w:id="3235" w:name="_Toc509326213"/>
      <w:bookmarkStart w:id="3236" w:name="_Toc509326588"/>
      <w:bookmarkStart w:id="3237" w:name="_Toc509326963"/>
      <w:bookmarkStart w:id="3238" w:name="_Toc509327279"/>
      <w:bookmarkStart w:id="3239" w:name="_Toc509327654"/>
      <w:bookmarkStart w:id="3240" w:name="_Toc509328029"/>
      <w:bookmarkStart w:id="3241" w:name="_Toc509332821"/>
      <w:bookmarkStart w:id="3242" w:name="_Toc509333234"/>
      <w:bookmarkStart w:id="3243" w:name="_Toc509333647"/>
      <w:bookmarkStart w:id="3244" w:name="_Toc509335050"/>
      <w:bookmarkStart w:id="3245" w:name="_Toc509335560"/>
      <w:bookmarkStart w:id="3246" w:name="_Toc509336491"/>
      <w:bookmarkStart w:id="3247" w:name="_Toc509336923"/>
      <w:bookmarkStart w:id="3248" w:name="_Toc509337350"/>
      <w:bookmarkStart w:id="3249" w:name="_Toc509337777"/>
      <w:bookmarkStart w:id="3250" w:name="_Toc509338107"/>
      <w:bookmarkStart w:id="3251" w:name="_Toc509382648"/>
      <w:bookmarkStart w:id="3252" w:name="_Toc509383080"/>
      <w:bookmarkStart w:id="3253" w:name="_Toc509383959"/>
      <w:bookmarkStart w:id="3254" w:name="_Toc509404631"/>
      <w:bookmarkStart w:id="3255" w:name="_Toc509310691"/>
      <w:bookmarkStart w:id="3256" w:name="_Toc509311086"/>
      <w:bookmarkStart w:id="3257" w:name="_Toc509311487"/>
      <w:bookmarkStart w:id="3258" w:name="_Toc509311925"/>
      <w:bookmarkStart w:id="3259" w:name="_Toc509312351"/>
      <w:bookmarkStart w:id="3260" w:name="_Toc509312690"/>
      <w:bookmarkStart w:id="3261" w:name="_Toc509313031"/>
      <w:bookmarkStart w:id="3262" w:name="_Toc509313433"/>
      <w:bookmarkStart w:id="3263" w:name="_Toc509316870"/>
      <w:bookmarkStart w:id="3264" w:name="_Toc509317183"/>
      <w:bookmarkStart w:id="3265" w:name="_Toc509317475"/>
      <w:bookmarkStart w:id="3266" w:name="_Toc509317788"/>
      <w:bookmarkStart w:id="3267" w:name="_Toc509318101"/>
      <w:bookmarkStart w:id="3268" w:name="_Toc509319087"/>
      <w:bookmarkStart w:id="3269" w:name="_Toc509319449"/>
      <w:bookmarkStart w:id="3270" w:name="_Toc509320223"/>
      <w:bookmarkStart w:id="3271" w:name="_Toc509322192"/>
      <w:bookmarkStart w:id="3272" w:name="_Toc509322516"/>
      <w:bookmarkStart w:id="3273" w:name="_Toc509323018"/>
      <w:bookmarkStart w:id="3274" w:name="_Toc509323391"/>
      <w:bookmarkStart w:id="3275" w:name="_Toc509323715"/>
      <w:bookmarkStart w:id="3276" w:name="_Toc509324039"/>
      <w:bookmarkStart w:id="3277" w:name="_Toc509324363"/>
      <w:bookmarkStart w:id="3278" w:name="_Toc509324732"/>
      <w:bookmarkStart w:id="3279" w:name="_Toc509325101"/>
      <w:bookmarkStart w:id="3280" w:name="_Toc509325470"/>
      <w:bookmarkStart w:id="3281" w:name="_Toc509325839"/>
      <w:bookmarkStart w:id="3282" w:name="_Toc509326214"/>
      <w:bookmarkStart w:id="3283" w:name="_Toc509326589"/>
      <w:bookmarkStart w:id="3284" w:name="_Toc509326964"/>
      <w:bookmarkStart w:id="3285" w:name="_Toc509327280"/>
      <w:bookmarkStart w:id="3286" w:name="_Toc509327655"/>
      <w:bookmarkStart w:id="3287" w:name="_Toc509328030"/>
      <w:bookmarkStart w:id="3288" w:name="_Toc509332822"/>
      <w:bookmarkStart w:id="3289" w:name="_Toc509333235"/>
      <w:bookmarkStart w:id="3290" w:name="_Toc509333648"/>
      <w:bookmarkStart w:id="3291" w:name="_Toc509335051"/>
      <w:bookmarkStart w:id="3292" w:name="_Toc509335561"/>
      <w:bookmarkStart w:id="3293" w:name="_Toc509336492"/>
      <w:bookmarkStart w:id="3294" w:name="_Toc509336924"/>
      <w:bookmarkStart w:id="3295" w:name="_Toc509337351"/>
      <w:bookmarkStart w:id="3296" w:name="_Toc509337778"/>
      <w:bookmarkStart w:id="3297" w:name="_Toc509338108"/>
      <w:bookmarkStart w:id="3298" w:name="_Toc509382649"/>
      <w:bookmarkStart w:id="3299" w:name="_Toc509383081"/>
      <w:bookmarkStart w:id="3300" w:name="_Toc509383960"/>
      <w:bookmarkStart w:id="3301" w:name="_Toc509404632"/>
      <w:bookmarkStart w:id="3302" w:name="_Toc509310694"/>
      <w:bookmarkStart w:id="3303" w:name="_Toc509311089"/>
      <w:bookmarkStart w:id="3304" w:name="_Toc509311490"/>
      <w:bookmarkStart w:id="3305" w:name="_Toc509311928"/>
      <w:bookmarkStart w:id="3306" w:name="_Toc509312354"/>
      <w:bookmarkStart w:id="3307" w:name="_Toc509312693"/>
      <w:bookmarkStart w:id="3308" w:name="_Toc509313034"/>
      <w:bookmarkStart w:id="3309" w:name="_Toc509313436"/>
      <w:bookmarkStart w:id="3310" w:name="_Toc509316873"/>
      <w:bookmarkStart w:id="3311" w:name="_Toc509317186"/>
      <w:bookmarkStart w:id="3312" w:name="_Toc509317478"/>
      <w:bookmarkStart w:id="3313" w:name="_Toc509317791"/>
      <w:bookmarkStart w:id="3314" w:name="_Toc509318104"/>
      <w:bookmarkStart w:id="3315" w:name="_Toc509319090"/>
      <w:bookmarkStart w:id="3316" w:name="_Toc509319452"/>
      <w:bookmarkStart w:id="3317" w:name="_Toc509320226"/>
      <w:bookmarkStart w:id="3318" w:name="_Toc509322195"/>
      <w:bookmarkStart w:id="3319" w:name="_Toc509322519"/>
      <w:bookmarkStart w:id="3320" w:name="_Toc509323021"/>
      <w:bookmarkStart w:id="3321" w:name="_Toc509323394"/>
      <w:bookmarkStart w:id="3322" w:name="_Toc509323718"/>
      <w:bookmarkStart w:id="3323" w:name="_Toc509324042"/>
      <w:bookmarkStart w:id="3324" w:name="_Toc509324366"/>
      <w:bookmarkStart w:id="3325" w:name="_Toc509324735"/>
      <w:bookmarkStart w:id="3326" w:name="_Toc509325104"/>
      <w:bookmarkStart w:id="3327" w:name="_Toc509325473"/>
      <w:bookmarkStart w:id="3328" w:name="_Toc509325842"/>
      <w:bookmarkStart w:id="3329" w:name="_Toc509326217"/>
      <w:bookmarkStart w:id="3330" w:name="_Toc509326592"/>
      <w:bookmarkStart w:id="3331" w:name="_Toc509326967"/>
      <w:bookmarkStart w:id="3332" w:name="_Toc509327283"/>
      <w:bookmarkStart w:id="3333" w:name="_Toc509327658"/>
      <w:bookmarkStart w:id="3334" w:name="_Toc509328033"/>
      <w:bookmarkStart w:id="3335" w:name="_Toc509332825"/>
      <w:bookmarkStart w:id="3336" w:name="_Toc509333238"/>
      <w:bookmarkStart w:id="3337" w:name="_Toc509333651"/>
      <w:bookmarkStart w:id="3338" w:name="_Toc509335054"/>
      <w:bookmarkStart w:id="3339" w:name="_Toc509335564"/>
      <w:bookmarkStart w:id="3340" w:name="_Toc509336495"/>
      <w:bookmarkStart w:id="3341" w:name="_Toc509336927"/>
      <w:bookmarkStart w:id="3342" w:name="_Toc509337354"/>
      <w:bookmarkStart w:id="3343" w:name="_Toc509337781"/>
      <w:bookmarkStart w:id="3344" w:name="_Toc509338111"/>
      <w:bookmarkStart w:id="3345" w:name="_Toc509382652"/>
      <w:bookmarkStart w:id="3346" w:name="_Toc509383084"/>
      <w:bookmarkStart w:id="3347" w:name="_Toc509383963"/>
      <w:bookmarkStart w:id="3348" w:name="_Toc509404635"/>
      <w:bookmarkStart w:id="3349" w:name="_Toc509310695"/>
      <w:bookmarkStart w:id="3350" w:name="_Toc509311090"/>
      <w:bookmarkStart w:id="3351" w:name="_Toc509311491"/>
      <w:bookmarkStart w:id="3352" w:name="_Toc509311929"/>
      <w:bookmarkStart w:id="3353" w:name="_Toc509312355"/>
      <w:bookmarkStart w:id="3354" w:name="_Toc509312694"/>
      <w:bookmarkStart w:id="3355" w:name="_Toc509313035"/>
      <w:bookmarkStart w:id="3356" w:name="_Toc509313437"/>
      <w:bookmarkStart w:id="3357" w:name="_Toc509316874"/>
      <w:bookmarkStart w:id="3358" w:name="_Toc509317187"/>
      <w:bookmarkStart w:id="3359" w:name="_Toc509317479"/>
      <w:bookmarkStart w:id="3360" w:name="_Toc509317792"/>
      <w:bookmarkStart w:id="3361" w:name="_Toc509318105"/>
      <w:bookmarkStart w:id="3362" w:name="_Toc509319091"/>
      <w:bookmarkStart w:id="3363" w:name="_Toc509319453"/>
      <w:bookmarkStart w:id="3364" w:name="_Toc509320227"/>
      <w:bookmarkStart w:id="3365" w:name="_Toc509322196"/>
      <w:bookmarkStart w:id="3366" w:name="_Toc509322520"/>
      <w:bookmarkStart w:id="3367" w:name="_Toc509323022"/>
      <w:bookmarkStart w:id="3368" w:name="_Toc509323395"/>
      <w:bookmarkStart w:id="3369" w:name="_Toc509323719"/>
      <w:bookmarkStart w:id="3370" w:name="_Toc509324043"/>
      <w:bookmarkStart w:id="3371" w:name="_Toc509324367"/>
      <w:bookmarkStart w:id="3372" w:name="_Toc509324736"/>
      <w:bookmarkStart w:id="3373" w:name="_Toc509325105"/>
      <w:bookmarkStart w:id="3374" w:name="_Toc509325474"/>
      <w:bookmarkStart w:id="3375" w:name="_Toc509325843"/>
      <w:bookmarkStart w:id="3376" w:name="_Toc509326218"/>
      <w:bookmarkStart w:id="3377" w:name="_Toc509326593"/>
      <w:bookmarkStart w:id="3378" w:name="_Toc509326968"/>
      <w:bookmarkStart w:id="3379" w:name="_Toc509327284"/>
      <w:bookmarkStart w:id="3380" w:name="_Toc509327659"/>
      <w:bookmarkStart w:id="3381" w:name="_Toc509328034"/>
      <w:bookmarkStart w:id="3382" w:name="_Toc509332826"/>
      <w:bookmarkStart w:id="3383" w:name="_Toc509333239"/>
      <w:bookmarkStart w:id="3384" w:name="_Toc509333652"/>
      <w:bookmarkStart w:id="3385" w:name="_Toc509335055"/>
      <w:bookmarkStart w:id="3386" w:name="_Toc509335565"/>
      <w:bookmarkStart w:id="3387" w:name="_Toc509336496"/>
      <w:bookmarkStart w:id="3388" w:name="_Toc509336928"/>
      <w:bookmarkStart w:id="3389" w:name="_Toc509337355"/>
      <w:bookmarkStart w:id="3390" w:name="_Toc509337782"/>
      <w:bookmarkStart w:id="3391" w:name="_Toc509338112"/>
      <w:bookmarkStart w:id="3392" w:name="_Toc509382653"/>
      <w:bookmarkStart w:id="3393" w:name="_Toc509383085"/>
      <w:bookmarkStart w:id="3394" w:name="_Toc509383964"/>
      <w:bookmarkStart w:id="3395" w:name="_Toc509404636"/>
      <w:bookmarkStart w:id="3396" w:name="_Toc509310696"/>
      <w:bookmarkStart w:id="3397" w:name="_Toc509311091"/>
      <w:bookmarkStart w:id="3398" w:name="_Toc509311492"/>
      <w:bookmarkStart w:id="3399" w:name="_Toc509311930"/>
      <w:bookmarkStart w:id="3400" w:name="_Toc509312356"/>
      <w:bookmarkStart w:id="3401" w:name="_Toc509312695"/>
      <w:bookmarkStart w:id="3402" w:name="_Toc509313036"/>
      <w:bookmarkStart w:id="3403" w:name="_Toc509313438"/>
      <w:bookmarkStart w:id="3404" w:name="_Toc509316875"/>
      <w:bookmarkStart w:id="3405" w:name="_Toc509317188"/>
      <w:bookmarkStart w:id="3406" w:name="_Toc509317480"/>
      <w:bookmarkStart w:id="3407" w:name="_Toc509317793"/>
      <w:bookmarkStart w:id="3408" w:name="_Toc509318106"/>
      <w:bookmarkStart w:id="3409" w:name="_Toc509319092"/>
      <w:bookmarkStart w:id="3410" w:name="_Toc509319454"/>
      <w:bookmarkStart w:id="3411" w:name="_Toc509320228"/>
      <w:bookmarkStart w:id="3412" w:name="_Toc509322197"/>
      <w:bookmarkStart w:id="3413" w:name="_Toc509322521"/>
      <w:bookmarkStart w:id="3414" w:name="_Toc509323023"/>
      <w:bookmarkStart w:id="3415" w:name="_Toc509323396"/>
      <w:bookmarkStart w:id="3416" w:name="_Toc509323720"/>
      <w:bookmarkStart w:id="3417" w:name="_Toc509324044"/>
      <w:bookmarkStart w:id="3418" w:name="_Toc509324368"/>
      <w:bookmarkStart w:id="3419" w:name="_Toc509324737"/>
      <w:bookmarkStart w:id="3420" w:name="_Toc509325106"/>
      <w:bookmarkStart w:id="3421" w:name="_Toc509325475"/>
      <w:bookmarkStart w:id="3422" w:name="_Toc509325844"/>
      <w:bookmarkStart w:id="3423" w:name="_Toc509326219"/>
      <w:bookmarkStart w:id="3424" w:name="_Toc509326594"/>
      <w:bookmarkStart w:id="3425" w:name="_Toc509326969"/>
      <w:bookmarkStart w:id="3426" w:name="_Toc509327285"/>
      <w:bookmarkStart w:id="3427" w:name="_Toc509327660"/>
      <w:bookmarkStart w:id="3428" w:name="_Toc509328035"/>
      <w:bookmarkStart w:id="3429" w:name="_Toc509332827"/>
      <w:bookmarkStart w:id="3430" w:name="_Toc509333240"/>
      <w:bookmarkStart w:id="3431" w:name="_Toc509333653"/>
      <w:bookmarkStart w:id="3432" w:name="_Toc509335056"/>
      <w:bookmarkStart w:id="3433" w:name="_Toc509335566"/>
      <w:bookmarkStart w:id="3434" w:name="_Toc509336497"/>
      <w:bookmarkStart w:id="3435" w:name="_Toc509336929"/>
      <w:bookmarkStart w:id="3436" w:name="_Toc509337356"/>
      <w:bookmarkStart w:id="3437" w:name="_Toc509337783"/>
      <w:bookmarkStart w:id="3438" w:name="_Toc509338113"/>
      <w:bookmarkStart w:id="3439" w:name="_Toc509382654"/>
      <w:bookmarkStart w:id="3440" w:name="_Toc509383086"/>
      <w:bookmarkStart w:id="3441" w:name="_Toc509383965"/>
      <w:bookmarkStart w:id="3442" w:name="_Toc509404637"/>
      <w:bookmarkStart w:id="3443" w:name="_Toc509310698"/>
      <w:bookmarkStart w:id="3444" w:name="_Toc509311093"/>
      <w:bookmarkStart w:id="3445" w:name="_Toc509311494"/>
      <w:bookmarkStart w:id="3446" w:name="_Toc509311932"/>
      <w:bookmarkStart w:id="3447" w:name="_Toc509312358"/>
      <w:bookmarkStart w:id="3448" w:name="_Toc509312697"/>
      <w:bookmarkStart w:id="3449" w:name="_Toc509313038"/>
      <w:bookmarkStart w:id="3450" w:name="_Toc509313440"/>
      <w:bookmarkStart w:id="3451" w:name="_Toc509316877"/>
      <w:bookmarkStart w:id="3452" w:name="_Toc509317190"/>
      <w:bookmarkStart w:id="3453" w:name="_Toc509317482"/>
      <w:bookmarkStart w:id="3454" w:name="_Toc509317795"/>
      <w:bookmarkStart w:id="3455" w:name="_Toc509318108"/>
      <w:bookmarkStart w:id="3456" w:name="_Toc509319094"/>
      <w:bookmarkStart w:id="3457" w:name="_Toc509319456"/>
      <w:bookmarkStart w:id="3458" w:name="_Toc509320230"/>
      <w:bookmarkStart w:id="3459" w:name="_Toc509322199"/>
      <w:bookmarkStart w:id="3460" w:name="_Toc509322523"/>
      <w:bookmarkStart w:id="3461" w:name="_Toc509323025"/>
      <w:bookmarkStart w:id="3462" w:name="_Toc509323398"/>
      <w:bookmarkStart w:id="3463" w:name="_Toc509323722"/>
      <w:bookmarkStart w:id="3464" w:name="_Toc509324046"/>
      <w:bookmarkStart w:id="3465" w:name="_Toc509324370"/>
      <w:bookmarkStart w:id="3466" w:name="_Toc509324739"/>
      <w:bookmarkStart w:id="3467" w:name="_Toc509325108"/>
      <w:bookmarkStart w:id="3468" w:name="_Toc509325477"/>
      <w:bookmarkStart w:id="3469" w:name="_Toc509325846"/>
      <w:bookmarkStart w:id="3470" w:name="_Toc509326221"/>
      <w:bookmarkStart w:id="3471" w:name="_Toc509326596"/>
      <w:bookmarkStart w:id="3472" w:name="_Toc509326971"/>
      <w:bookmarkStart w:id="3473" w:name="_Toc509327287"/>
      <w:bookmarkStart w:id="3474" w:name="_Toc509327662"/>
      <w:bookmarkStart w:id="3475" w:name="_Toc509328037"/>
      <w:bookmarkStart w:id="3476" w:name="_Toc509332829"/>
      <w:bookmarkStart w:id="3477" w:name="_Toc509333242"/>
      <w:bookmarkStart w:id="3478" w:name="_Toc509333655"/>
      <w:bookmarkStart w:id="3479" w:name="_Toc509335058"/>
      <w:bookmarkStart w:id="3480" w:name="_Toc509335568"/>
      <w:bookmarkStart w:id="3481" w:name="_Toc509336499"/>
      <w:bookmarkStart w:id="3482" w:name="_Toc509336931"/>
      <w:bookmarkStart w:id="3483" w:name="_Toc509337358"/>
      <w:bookmarkStart w:id="3484" w:name="_Toc509337785"/>
      <w:bookmarkStart w:id="3485" w:name="_Toc509338115"/>
      <w:bookmarkStart w:id="3486" w:name="_Toc509382656"/>
      <w:bookmarkStart w:id="3487" w:name="_Toc509383088"/>
      <w:bookmarkStart w:id="3488" w:name="_Toc509383967"/>
      <w:bookmarkStart w:id="3489" w:name="_Toc509404639"/>
      <w:bookmarkStart w:id="3490" w:name="_Toc509310700"/>
      <w:bookmarkStart w:id="3491" w:name="_Toc509311095"/>
      <w:bookmarkStart w:id="3492" w:name="_Toc509311496"/>
      <w:bookmarkStart w:id="3493" w:name="_Toc509311934"/>
      <w:bookmarkStart w:id="3494" w:name="_Toc509312360"/>
      <w:bookmarkStart w:id="3495" w:name="_Toc509312699"/>
      <w:bookmarkStart w:id="3496" w:name="_Toc509313040"/>
      <w:bookmarkStart w:id="3497" w:name="_Toc509313442"/>
      <w:bookmarkStart w:id="3498" w:name="_Toc509316879"/>
      <w:bookmarkStart w:id="3499" w:name="_Toc509317192"/>
      <w:bookmarkStart w:id="3500" w:name="_Toc509317484"/>
      <w:bookmarkStart w:id="3501" w:name="_Toc509317797"/>
      <w:bookmarkStart w:id="3502" w:name="_Toc509318110"/>
      <w:bookmarkStart w:id="3503" w:name="_Toc509319096"/>
      <w:bookmarkStart w:id="3504" w:name="_Toc509319458"/>
      <w:bookmarkStart w:id="3505" w:name="_Toc509320232"/>
      <w:bookmarkStart w:id="3506" w:name="_Toc509322201"/>
      <w:bookmarkStart w:id="3507" w:name="_Toc509322525"/>
      <w:bookmarkStart w:id="3508" w:name="_Toc509323027"/>
      <w:bookmarkStart w:id="3509" w:name="_Toc509323400"/>
      <w:bookmarkStart w:id="3510" w:name="_Toc509323724"/>
      <w:bookmarkStart w:id="3511" w:name="_Toc509324048"/>
      <w:bookmarkStart w:id="3512" w:name="_Toc509324372"/>
      <w:bookmarkStart w:id="3513" w:name="_Toc509324741"/>
      <w:bookmarkStart w:id="3514" w:name="_Toc509325110"/>
      <w:bookmarkStart w:id="3515" w:name="_Toc509325479"/>
      <w:bookmarkStart w:id="3516" w:name="_Toc509325848"/>
      <w:bookmarkStart w:id="3517" w:name="_Toc509326223"/>
      <w:bookmarkStart w:id="3518" w:name="_Toc509326598"/>
      <w:bookmarkStart w:id="3519" w:name="_Toc509326973"/>
      <w:bookmarkStart w:id="3520" w:name="_Toc509327289"/>
      <w:bookmarkStart w:id="3521" w:name="_Toc509327664"/>
      <w:bookmarkStart w:id="3522" w:name="_Toc509328039"/>
      <w:bookmarkStart w:id="3523" w:name="_Toc509332831"/>
      <w:bookmarkStart w:id="3524" w:name="_Toc509333244"/>
      <w:bookmarkStart w:id="3525" w:name="_Toc509333657"/>
      <w:bookmarkStart w:id="3526" w:name="_Toc509335060"/>
      <w:bookmarkStart w:id="3527" w:name="_Toc509335570"/>
      <w:bookmarkStart w:id="3528" w:name="_Toc509336501"/>
      <w:bookmarkStart w:id="3529" w:name="_Toc509336933"/>
      <w:bookmarkStart w:id="3530" w:name="_Toc509337360"/>
      <w:bookmarkStart w:id="3531" w:name="_Toc509337787"/>
      <w:bookmarkStart w:id="3532" w:name="_Toc509338117"/>
      <w:bookmarkStart w:id="3533" w:name="_Toc509382658"/>
      <w:bookmarkStart w:id="3534" w:name="_Toc509383090"/>
      <w:bookmarkStart w:id="3535" w:name="_Toc509383969"/>
      <w:bookmarkStart w:id="3536" w:name="_Toc509404641"/>
      <w:bookmarkStart w:id="3537" w:name="_Toc509310706"/>
      <w:bookmarkStart w:id="3538" w:name="_Toc509311101"/>
      <w:bookmarkStart w:id="3539" w:name="_Toc509311502"/>
      <w:bookmarkStart w:id="3540" w:name="_Toc509311940"/>
      <w:bookmarkStart w:id="3541" w:name="_Toc509312366"/>
      <w:bookmarkStart w:id="3542" w:name="_Toc509312705"/>
      <w:bookmarkStart w:id="3543" w:name="_Toc509313046"/>
      <w:bookmarkStart w:id="3544" w:name="_Toc509313448"/>
      <w:bookmarkStart w:id="3545" w:name="_Toc509316885"/>
      <w:bookmarkStart w:id="3546" w:name="_Toc509317198"/>
      <w:bookmarkStart w:id="3547" w:name="_Toc509317490"/>
      <w:bookmarkStart w:id="3548" w:name="_Toc509317803"/>
      <w:bookmarkStart w:id="3549" w:name="_Toc509318116"/>
      <w:bookmarkStart w:id="3550" w:name="_Toc509319102"/>
      <w:bookmarkStart w:id="3551" w:name="_Toc509319464"/>
      <w:bookmarkStart w:id="3552" w:name="_Toc509320238"/>
      <w:bookmarkStart w:id="3553" w:name="_Toc509322207"/>
      <w:bookmarkStart w:id="3554" w:name="_Toc509322531"/>
      <w:bookmarkStart w:id="3555" w:name="_Toc509323033"/>
      <w:bookmarkStart w:id="3556" w:name="_Toc509323406"/>
      <w:bookmarkStart w:id="3557" w:name="_Toc509323730"/>
      <w:bookmarkStart w:id="3558" w:name="_Toc509324054"/>
      <w:bookmarkStart w:id="3559" w:name="_Toc509324378"/>
      <w:bookmarkStart w:id="3560" w:name="_Toc509324747"/>
      <w:bookmarkStart w:id="3561" w:name="_Toc509325116"/>
      <w:bookmarkStart w:id="3562" w:name="_Toc509325485"/>
      <w:bookmarkStart w:id="3563" w:name="_Toc509325854"/>
      <w:bookmarkStart w:id="3564" w:name="_Toc509326229"/>
      <w:bookmarkStart w:id="3565" w:name="_Toc509326604"/>
      <w:bookmarkStart w:id="3566" w:name="_Toc509326979"/>
      <w:bookmarkStart w:id="3567" w:name="_Toc509327295"/>
      <w:bookmarkStart w:id="3568" w:name="_Toc509327670"/>
      <w:bookmarkStart w:id="3569" w:name="_Toc509328045"/>
      <w:bookmarkStart w:id="3570" w:name="_Toc509332837"/>
      <w:bookmarkStart w:id="3571" w:name="_Toc509333250"/>
      <w:bookmarkStart w:id="3572" w:name="_Toc509333663"/>
      <w:bookmarkStart w:id="3573" w:name="_Toc509335066"/>
      <w:bookmarkStart w:id="3574" w:name="_Toc509335576"/>
      <w:bookmarkStart w:id="3575" w:name="_Toc509336507"/>
      <w:bookmarkStart w:id="3576" w:name="_Toc509336939"/>
      <w:bookmarkStart w:id="3577" w:name="_Toc509337366"/>
      <w:bookmarkStart w:id="3578" w:name="_Toc509337793"/>
      <w:bookmarkStart w:id="3579" w:name="_Toc509338123"/>
      <w:bookmarkStart w:id="3580" w:name="_Toc509382664"/>
      <w:bookmarkStart w:id="3581" w:name="_Toc509383096"/>
      <w:bookmarkStart w:id="3582" w:name="_Toc509383975"/>
      <w:bookmarkStart w:id="3583" w:name="_Toc509404647"/>
      <w:bookmarkStart w:id="3584" w:name="_Toc509310707"/>
      <w:bookmarkStart w:id="3585" w:name="_Toc509311102"/>
      <w:bookmarkStart w:id="3586" w:name="_Toc509311503"/>
      <w:bookmarkStart w:id="3587" w:name="_Toc509311941"/>
      <w:bookmarkStart w:id="3588" w:name="_Toc509312367"/>
      <w:bookmarkStart w:id="3589" w:name="_Toc509312706"/>
      <w:bookmarkStart w:id="3590" w:name="_Toc509313047"/>
      <w:bookmarkStart w:id="3591" w:name="_Toc509313449"/>
      <w:bookmarkStart w:id="3592" w:name="_Toc509316886"/>
      <w:bookmarkStart w:id="3593" w:name="_Toc509317199"/>
      <w:bookmarkStart w:id="3594" w:name="_Toc509317491"/>
      <w:bookmarkStart w:id="3595" w:name="_Toc509317804"/>
      <w:bookmarkStart w:id="3596" w:name="_Toc509318117"/>
      <w:bookmarkStart w:id="3597" w:name="_Toc509319103"/>
      <w:bookmarkStart w:id="3598" w:name="_Toc509319465"/>
      <w:bookmarkStart w:id="3599" w:name="_Toc509320239"/>
      <w:bookmarkStart w:id="3600" w:name="_Toc509322208"/>
      <w:bookmarkStart w:id="3601" w:name="_Toc509322532"/>
      <w:bookmarkStart w:id="3602" w:name="_Toc509323034"/>
      <w:bookmarkStart w:id="3603" w:name="_Toc509323407"/>
      <w:bookmarkStart w:id="3604" w:name="_Toc509323731"/>
      <w:bookmarkStart w:id="3605" w:name="_Toc509324055"/>
      <w:bookmarkStart w:id="3606" w:name="_Toc509324379"/>
      <w:bookmarkStart w:id="3607" w:name="_Toc509324748"/>
      <w:bookmarkStart w:id="3608" w:name="_Toc509325117"/>
      <w:bookmarkStart w:id="3609" w:name="_Toc509325486"/>
      <w:bookmarkStart w:id="3610" w:name="_Toc509325855"/>
      <w:bookmarkStart w:id="3611" w:name="_Toc509326230"/>
      <w:bookmarkStart w:id="3612" w:name="_Toc509326605"/>
      <w:bookmarkStart w:id="3613" w:name="_Toc509326980"/>
      <w:bookmarkStart w:id="3614" w:name="_Toc509327296"/>
      <w:bookmarkStart w:id="3615" w:name="_Toc509327671"/>
      <w:bookmarkStart w:id="3616" w:name="_Toc509328046"/>
      <w:bookmarkStart w:id="3617" w:name="_Toc509332838"/>
      <w:bookmarkStart w:id="3618" w:name="_Toc509333251"/>
      <w:bookmarkStart w:id="3619" w:name="_Toc509333664"/>
      <w:bookmarkStart w:id="3620" w:name="_Toc509335067"/>
      <w:bookmarkStart w:id="3621" w:name="_Toc509335577"/>
      <w:bookmarkStart w:id="3622" w:name="_Toc509336508"/>
      <w:bookmarkStart w:id="3623" w:name="_Toc509336940"/>
      <w:bookmarkStart w:id="3624" w:name="_Toc509337367"/>
      <w:bookmarkStart w:id="3625" w:name="_Toc509337794"/>
      <w:bookmarkStart w:id="3626" w:name="_Toc509338124"/>
      <w:bookmarkStart w:id="3627" w:name="_Toc509382665"/>
      <w:bookmarkStart w:id="3628" w:name="_Toc509383097"/>
      <w:bookmarkStart w:id="3629" w:name="_Toc509383976"/>
      <w:bookmarkStart w:id="3630" w:name="_Toc509404648"/>
      <w:bookmarkStart w:id="3631" w:name="_Toc509310709"/>
      <w:bookmarkStart w:id="3632" w:name="_Toc509311104"/>
      <w:bookmarkStart w:id="3633" w:name="_Toc509311505"/>
      <w:bookmarkStart w:id="3634" w:name="_Toc509311943"/>
      <w:bookmarkStart w:id="3635" w:name="_Toc509312369"/>
      <w:bookmarkStart w:id="3636" w:name="_Toc509312708"/>
      <w:bookmarkStart w:id="3637" w:name="_Toc509313049"/>
      <w:bookmarkStart w:id="3638" w:name="_Toc509313451"/>
      <w:bookmarkStart w:id="3639" w:name="_Toc509316888"/>
      <w:bookmarkStart w:id="3640" w:name="_Toc509317201"/>
      <w:bookmarkStart w:id="3641" w:name="_Toc509317493"/>
      <w:bookmarkStart w:id="3642" w:name="_Toc509317806"/>
      <w:bookmarkStart w:id="3643" w:name="_Toc509318119"/>
      <w:bookmarkStart w:id="3644" w:name="_Toc509319105"/>
      <w:bookmarkStart w:id="3645" w:name="_Toc509319467"/>
      <w:bookmarkStart w:id="3646" w:name="_Toc509320241"/>
      <w:bookmarkStart w:id="3647" w:name="_Toc509322210"/>
      <w:bookmarkStart w:id="3648" w:name="_Toc509322534"/>
      <w:bookmarkStart w:id="3649" w:name="_Toc509323036"/>
      <w:bookmarkStart w:id="3650" w:name="_Toc509323409"/>
      <w:bookmarkStart w:id="3651" w:name="_Toc509323733"/>
      <w:bookmarkStart w:id="3652" w:name="_Toc509324057"/>
      <w:bookmarkStart w:id="3653" w:name="_Toc509324381"/>
      <w:bookmarkStart w:id="3654" w:name="_Toc509324750"/>
      <w:bookmarkStart w:id="3655" w:name="_Toc509325119"/>
      <w:bookmarkStart w:id="3656" w:name="_Toc509325488"/>
      <w:bookmarkStart w:id="3657" w:name="_Toc509325857"/>
      <w:bookmarkStart w:id="3658" w:name="_Toc509326232"/>
      <w:bookmarkStart w:id="3659" w:name="_Toc509326607"/>
      <w:bookmarkStart w:id="3660" w:name="_Toc509326982"/>
      <w:bookmarkStart w:id="3661" w:name="_Toc509327298"/>
      <w:bookmarkStart w:id="3662" w:name="_Toc509327673"/>
      <w:bookmarkStart w:id="3663" w:name="_Toc509328048"/>
      <w:bookmarkStart w:id="3664" w:name="_Toc509332840"/>
      <w:bookmarkStart w:id="3665" w:name="_Toc509333253"/>
      <w:bookmarkStart w:id="3666" w:name="_Toc509333666"/>
      <w:bookmarkStart w:id="3667" w:name="_Toc509335069"/>
      <w:bookmarkStart w:id="3668" w:name="_Toc509335579"/>
      <w:bookmarkStart w:id="3669" w:name="_Toc509336510"/>
      <w:bookmarkStart w:id="3670" w:name="_Toc509336942"/>
      <w:bookmarkStart w:id="3671" w:name="_Toc509337369"/>
      <w:bookmarkStart w:id="3672" w:name="_Toc509337796"/>
      <w:bookmarkStart w:id="3673" w:name="_Toc509338126"/>
      <w:bookmarkStart w:id="3674" w:name="_Toc509382667"/>
      <w:bookmarkStart w:id="3675" w:name="_Toc509383099"/>
      <w:bookmarkStart w:id="3676" w:name="_Toc509383978"/>
      <w:bookmarkStart w:id="3677" w:name="_Toc509404650"/>
      <w:bookmarkStart w:id="3678" w:name="_Toc509310712"/>
      <w:bookmarkStart w:id="3679" w:name="_Toc509311107"/>
      <w:bookmarkStart w:id="3680" w:name="_Toc509311508"/>
      <w:bookmarkStart w:id="3681" w:name="_Toc509311946"/>
      <w:bookmarkStart w:id="3682" w:name="_Toc509312372"/>
      <w:bookmarkStart w:id="3683" w:name="_Toc509312711"/>
      <w:bookmarkStart w:id="3684" w:name="_Toc509313052"/>
      <w:bookmarkStart w:id="3685" w:name="_Toc509313454"/>
      <w:bookmarkStart w:id="3686" w:name="_Toc509316891"/>
      <w:bookmarkStart w:id="3687" w:name="_Toc509317204"/>
      <w:bookmarkStart w:id="3688" w:name="_Toc509317496"/>
      <w:bookmarkStart w:id="3689" w:name="_Toc509317809"/>
      <w:bookmarkStart w:id="3690" w:name="_Toc509318122"/>
      <w:bookmarkStart w:id="3691" w:name="_Toc509319108"/>
      <w:bookmarkStart w:id="3692" w:name="_Toc509319470"/>
      <w:bookmarkStart w:id="3693" w:name="_Toc509320244"/>
      <w:bookmarkStart w:id="3694" w:name="_Toc509322213"/>
      <w:bookmarkStart w:id="3695" w:name="_Toc509322537"/>
      <w:bookmarkStart w:id="3696" w:name="_Toc509323039"/>
      <w:bookmarkStart w:id="3697" w:name="_Toc509323412"/>
      <w:bookmarkStart w:id="3698" w:name="_Toc509323736"/>
      <w:bookmarkStart w:id="3699" w:name="_Toc509324060"/>
      <w:bookmarkStart w:id="3700" w:name="_Toc509324384"/>
      <w:bookmarkStart w:id="3701" w:name="_Toc509324753"/>
      <w:bookmarkStart w:id="3702" w:name="_Toc509325122"/>
      <w:bookmarkStart w:id="3703" w:name="_Toc509325491"/>
      <w:bookmarkStart w:id="3704" w:name="_Toc509325860"/>
      <w:bookmarkStart w:id="3705" w:name="_Toc509326235"/>
      <w:bookmarkStart w:id="3706" w:name="_Toc509326610"/>
      <w:bookmarkStart w:id="3707" w:name="_Toc509326985"/>
      <w:bookmarkStart w:id="3708" w:name="_Toc509327301"/>
      <w:bookmarkStart w:id="3709" w:name="_Toc509327676"/>
      <w:bookmarkStart w:id="3710" w:name="_Toc509328051"/>
      <w:bookmarkStart w:id="3711" w:name="_Toc509332843"/>
      <w:bookmarkStart w:id="3712" w:name="_Toc509333256"/>
      <w:bookmarkStart w:id="3713" w:name="_Toc509333669"/>
      <w:bookmarkStart w:id="3714" w:name="_Toc509335072"/>
      <w:bookmarkStart w:id="3715" w:name="_Toc509335582"/>
      <w:bookmarkStart w:id="3716" w:name="_Toc509336513"/>
      <w:bookmarkStart w:id="3717" w:name="_Toc509336945"/>
      <w:bookmarkStart w:id="3718" w:name="_Toc509337372"/>
      <w:bookmarkStart w:id="3719" w:name="_Toc509337799"/>
      <w:bookmarkStart w:id="3720" w:name="_Toc509338129"/>
      <w:bookmarkStart w:id="3721" w:name="_Toc509382670"/>
      <w:bookmarkStart w:id="3722" w:name="_Toc509383102"/>
      <w:bookmarkStart w:id="3723" w:name="_Toc509383981"/>
      <w:bookmarkStart w:id="3724" w:name="_Toc509404653"/>
      <w:bookmarkStart w:id="3725" w:name="_Toc509310713"/>
      <w:bookmarkStart w:id="3726" w:name="_Toc509311108"/>
      <w:bookmarkStart w:id="3727" w:name="_Toc509311509"/>
      <w:bookmarkStart w:id="3728" w:name="_Toc509311947"/>
      <w:bookmarkStart w:id="3729" w:name="_Toc509312373"/>
      <w:bookmarkStart w:id="3730" w:name="_Toc509312712"/>
      <w:bookmarkStart w:id="3731" w:name="_Toc509313053"/>
      <w:bookmarkStart w:id="3732" w:name="_Toc509313455"/>
      <w:bookmarkStart w:id="3733" w:name="_Toc509316892"/>
      <w:bookmarkStart w:id="3734" w:name="_Toc509317205"/>
      <w:bookmarkStart w:id="3735" w:name="_Toc509317497"/>
      <w:bookmarkStart w:id="3736" w:name="_Toc509317810"/>
      <w:bookmarkStart w:id="3737" w:name="_Toc509318123"/>
      <w:bookmarkStart w:id="3738" w:name="_Toc509319109"/>
      <w:bookmarkStart w:id="3739" w:name="_Toc509319471"/>
      <w:bookmarkStart w:id="3740" w:name="_Toc509320245"/>
      <w:bookmarkStart w:id="3741" w:name="_Toc509322214"/>
      <w:bookmarkStart w:id="3742" w:name="_Toc509322538"/>
      <w:bookmarkStart w:id="3743" w:name="_Toc509323040"/>
      <w:bookmarkStart w:id="3744" w:name="_Toc509323413"/>
      <w:bookmarkStart w:id="3745" w:name="_Toc509323737"/>
      <w:bookmarkStart w:id="3746" w:name="_Toc509324061"/>
      <w:bookmarkStart w:id="3747" w:name="_Toc509324385"/>
      <w:bookmarkStart w:id="3748" w:name="_Toc509324754"/>
      <w:bookmarkStart w:id="3749" w:name="_Toc509325123"/>
      <w:bookmarkStart w:id="3750" w:name="_Toc509325492"/>
      <w:bookmarkStart w:id="3751" w:name="_Toc509325861"/>
      <w:bookmarkStart w:id="3752" w:name="_Toc509326236"/>
      <w:bookmarkStart w:id="3753" w:name="_Toc509326611"/>
      <w:bookmarkStart w:id="3754" w:name="_Toc509326986"/>
      <w:bookmarkStart w:id="3755" w:name="_Toc509327302"/>
      <w:bookmarkStart w:id="3756" w:name="_Toc509327677"/>
      <w:bookmarkStart w:id="3757" w:name="_Toc509328052"/>
      <w:bookmarkStart w:id="3758" w:name="_Toc509332844"/>
      <w:bookmarkStart w:id="3759" w:name="_Toc509333257"/>
      <w:bookmarkStart w:id="3760" w:name="_Toc509333670"/>
      <w:bookmarkStart w:id="3761" w:name="_Toc509335073"/>
      <w:bookmarkStart w:id="3762" w:name="_Toc509335583"/>
      <w:bookmarkStart w:id="3763" w:name="_Toc509336514"/>
      <w:bookmarkStart w:id="3764" w:name="_Toc509336946"/>
      <w:bookmarkStart w:id="3765" w:name="_Toc509337373"/>
      <w:bookmarkStart w:id="3766" w:name="_Toc509337800"/>
      <w:bookmarkStart w:id="3767" w:name="_Toc509338130"/>
      <w:bookmarkStart w:id="3768" w:name="_Toc509382671"/>
      <w:bookmarkStart w:id="3769" w:name="_Toc509383103"/>
      <w:bookmarkStart w:id="3770" w:name="_Toc509383982"/>
      <w:bookmarkStart w:id="3771" w:name="_Toc509404654"/>
      <w:bookmarkStart w:id="3772" w:name="_Toc509310715"/>
      <w:bookmarkStart w:id="3773" w:name="_Toc509311110"/>
      <w:bookmarkStart w:id="3774" w:name="_Toc509311511"/>
      <w:bookmarkStart w:id="3775" w:name="_Toc509311949"/>
      <w:bookmarkStart w:id="3776" w:name="_Toc509312375"/>
      <w:bookmarkStart w:id="3777" w:name="_Toc509312714"/>
      <w:bookmarkStart w:id="3778" w:name="_Toc509313055"/>
      <w:bookmarkStart w:id="3779" w:name="_Toc509313457"/>
      <w:bookmarkStart w:id="3780" w:name="_Toc509316894"/>
      <w:bookmarkStart w:id="3781" w:name="_Toc509317207"/>
      <w:bookmarkStart w:id="3782" w:name="_Toc509317499"/>
      <w:bookmarkStart w:id="3783" w:name="_Toc509317812"/>
      <w:bookmarkStart w:id="3784" w:name="_Toc509318125"/>
      <w:bookmarkStart w:id="3785" w:name="_Toc509319111"/>
      <w:bookmarkStart w:id="3786" w:name="_Toc509319473"/>
      <w:bookmarkStart w:id="3787" w:name="_Toc509320247"/>
      <w:bookmarkStart w:id="3788" w:name="_Toc509322216"/>
      <w:bookmarkStart w:id="3789" w:name="_Toc509322540"/>
      <w:bookmarkStart w:id="3790" w:name="_Toc509323042"/>
      <w:bookmarkStart w:id="3791" w:name="_Toc509323415"/>
      <w:bookmarkStart w:id="3792" w:name="_Toc509323739"/>
      <w:bookmarkStart w:id="3793" w:name="_Toc509324063"/>
      <w:bookmarkStart w:id="3794" w:name="_Toc509324387"/>
      <w:bookmarkStart w:id="3795" w:name="_Toc509324756"/>
      <w:bookmarkStart w:id="3796" w:name="_Toc509325125"/>
      <w:bookmarkStart w:id="3797" w:name="_Toc509325494"/>
      <w:bookmarkStart w:id="3798" w:name="_Toc509325863"/>
      <w:bookmarkStart w:id="3799" w:name="_Toc509326238"/>
      <w:bookmarkStart w:id="3800" w:name="_Toc509326613"/>
      <w:bookmarkStart w:id="3801" w:name="_Toc509326988"/>
      <w:bookmarkStart w:id="3802" w:name="_Toc509327304"/>
      <w:bookmarkStart w:id="3803" w:name="_Toc509327679"/>
      <w:bookmarkStart w:id="3804" w:name="_Toc509328054"/>
      <w:bookmarkStart w:id="3805" w:name="_Toc509332846"/>
      <w:bookmarkStart w:id="3806" w:name="_Toc509333259"/>
      <w:bookmarkStart w:id="3807" w:name="_Toc509333672"/>
      <w:bookmarkStart w:id="3808" w:name="_Toc509335075"/>
      <w:bookmarkStart w:id="3809" w:name="_Toc509335585"/>
      <w:bookmarkStart w:id="3810" w:name="_Toc509336516"/>
      <w:bookmarkStart w:id="3811" w:name="_Toc509336948"/>
      <w:bookmarkStart w:id="3812" w:name="_Toc509337375"/>
      <w:bookmarkStart w:id="3813" w:name="_Toc509337802"/>
      <w:bookmarkStart w:id="3814" w:name="_Toc509338132"/>
      <w:bookmarkStart w:id="3815" w:name="_Toc509382673"/>
      <w:bookmarkStart w:id="3816" w:name="_Toc509383105"/>
      <w:bookmarkStart w:id="3817" w:name="_Toc509383984"/>
      <w:bookmarkStart w:id="3818" w:name="_Toc509404656"/>
      <w:bookmarkStart w:id="3819" w:name="_Toc509310717"/>
      <w:bookmarkStart w:id="3820" w:name="_Toc509311112"/>
      <w:bookmarkStart w:id="3821" w:name="_Toc509311513"/>
      <w:bookmarkStart w:id="3822" w:name="_Toc509311951"/>
      <w:bookmarkStart w:id="3823" w:name="_Toc509312377"/>
      <w:bookmarkStart w:id="3824" w:name="_Toc509312716"/>
      <w:bookmarkStart w:id="3825" w:name="_Toc509313057"/>
      <w:bookmarkStart w:id="3826" w:name="_Toc509313459"/>
      <w:bookmarkStart w:id="3827" w:name="_Toc509316896"/>
      <w:bookmarkStart w:id="3828" w:name="_Toc509317209"/>
      <w:bookmarkStart w:id="3829" w:name="_Toc509317501"/>
      <w:bookmarkStart w:id="3830" w:name="_Toc509317814"/>
      <w:bookmarkStart w:id="3831" w:name="_Toc509318127"/>
      <w:bookmarkStart w:id="3832" w:name="_Toc509319113"/>
      <w:bookmarkStart w:id="3833" w:name="_Toc509319475"/>
      <w:bookmarkStart w:id="3834" w:name="_Toc509320249"/>
      <w:bookmarkStart w:id="3835" w:name="_Toc509322218"/>
      <w:bookmarkStart w:id="3836" w:name="_Toc509322542"/>
      <w:bookmarkStart w:id="3837" w:name="_Toc509323044"/>
      <w:bookmarkStart w:id="3838" w:name="_Toc509323417"/>
      <w:bookmarkStart w:id="3839" w:name="_Toc509323741"/>
      <w:bookmarkStart w:id="3840" w:name="_Toc509324065"/>
      <w:bookmarkStart w:id="3841" w:name="_Toc509324389"/>
      <w:bookmarkStart w:id="3842" w:name="_Toc509324758"/>
      <w:bookmarkStart w:id="3843" w:name="_Toc509325127"/>
      <w:bookmarkStart w:id="3844" w:name="_Toc509325496"/>
      <w:bookmarkStart w:id="3845" w:name="_Toc509325865"/>
      <w:bookmarkStart w:id="3846" w:name="_Toc509326240"/>
      <w:bookmarkStart w:id="3847" w:name="_Toc509326615"/>
      <w:bookmarkStart w:id="3848" w:name="_Toc509326990"/>
      <w:bookmarkStart w:id="3849" w:name="_Toc509327306"/>
      <w:bookmarkStart w:id="3850" w:name="_Toc509327681"/>
      <w:bookmarkStart w:id="3851" w:name="_Toc509328056"/>
      <w:bookmarkStart w:id="3852" w:name="_Toc509332848"/>
      <w:bookmarkStart w:id="3853" w:name="_Toc509333261"/>
      <w:bookmarkStart w:id="3854" w:name="_Toc509333674"/>
      <w:bookmarkStart w:id="3855" w:name="_Toc509335077"/>
      <w:bookmarkStart w:id="3856" w:name="_Toc509335587"/>
      <w:bookmarkStart w:id="3857" w:name="_Toc509336518"/>
      <w:bookmarkStart w:id="3858" w:name="_Toc509336950"/>
      <w:bookmarkStart w:id="3859" w:name="_Toc509337377"/>
      <w:bookmarkStart w:id="3860" w:name="_Toc509337804"/>
      <w:bookmarkStart w:id="3861" w:name="_Toc509338134"/>
      <w:bookmarkStart w:id="3862" w:name="_Toc509382675"/>
      <w:bookmarkStart w:id="3863" w:name="_Toc509383107"/>
      <w:bookmarkStart w:id="3864" w:name="_Toc509383986"/>
      <w:bookmarkStart w:id="3865" w:name="_Toc509404658"/>
      <w:bookmarkStart w:id="3866" w:name="_Toc509310719"/>
      <w:bookmarkStart w:id="3867" w:name="_Toc509311114"/>
      <w:bookmarkStart w:id="3868" w:name="_Toc509311515"/>
      <w:bookmarkStart w:id="3869" w:name="_Toc509311953"/>
      <w:bookmarkStart w:id="3870" w:name="_Toc509312379"/>
      <w:bookmarkStart w:id="3871" w:name="_Toc509312718"/>
      <w:bookmarkStart w:id="3872" w:name="_Toc509313059"/>
      <w:bookmarkStart w:id="3873" w:name="_Toc509313461"/>
      <w:bookmarkStart w:id="3874" w:name="_Toc509316898"/>
      <w:bookmarkStart w:id="3875" w:name="_Toc509317211"/>
      <w:bookmarkStart w:id="3876" w:name="_Toc509317503"/>
      <w:bookmarkStart w:id="3877" w:name="_Toc509317816"/>
      <w:bookmarkStart w:id="3878" w:name="_Toc509318129"/>
      <w:bookmarkStart w:id="3879" w:name="_Toc509319115"/>
      <w:bookmarkStart w:id="3880" w:name="_Toc509319477"/>
      <w:bookmarkStart w:id="3881" w:name="_Toc509320251"/>
      <w:bookmarkStart w:id="3882" w:name="_Toc509322220"/>
      <w:bookmarkStart w:id="3883" w:name="_Toc509322544"/>
      <w:bookmarkStart w:id="3884" w:name="_Toc509323046"/>
      <w:bookmarkStart w:id="3885" w:name="_Toc509323419"/>
      <w:bookmarkStart w:id="3886" w:name="_Toc509323743"/>
      <w:bookmarkStart w:id="3887" w:name="_Toc509324067"/>
      <w:bookmarkStart w:id="3888" w:name="_Toc509324391"/>
      <w:bookmarkStart w:id="3889" w:name="_Toc509324760"/>
      <w:bookmarkStart w:id="3890" w:name="_Toc509325129"/>
      <w:bookmarkStart w:id="3891" w:name="_Toc509325498"/>
      <w:bookmarkStart w:id="3892" w:name="_Toc509325867"/>
      <w:bookmarkStart w:id="3893" w:name="_Toc509326242"/>
      <w:bookmarkStart w:id="3894" w:name="_Toc509326617"/>
      <w:bookmarkStart w:id="3895" w:name="_Toc509326992"/>
      <w:bookmarkStart w:id="3896" w:name="_Toc509327308"/>
      <w:bookmarkStart w:id="3897" w:name="_Toc509327683"/>
      <w:bookmarkStart w:id="3898" w:name="_Toc509328058"/>
      <w:bookmarkStart w:id="3899" w:name="_Toc509332850"/>
      <w:bookmarkStart w:id="3900" w:name="_Toc509333263"/>
      <w:bookmarkStart w:id="3901" w:name="_Toc509333676"/>
      <w:bookmarkStart w:id="3902" w:name="_Toc509335079"/>
      <w:bookmarkStart w:id="3903" w:name="_Toc509335589"/>
      <w:bookmarkStart w:id="3904" w:name="_Toc509336520"/>
      <w:bookmarkStart w:id="3905" w:name="_Toc509336952"/>
      <w:bookmarkStart w:id="3906" w:name="_Toc509337379"/>
      <w:bookmarkStart w:id="3907" w:name="_Toc509337806"/>
      <w:bookmarkStart w:id="3908" w:name="_Toc509338136"/>
      <w:bookmarkStart w:id="3909" w:name="_Toc509382677"/>
      <w:bookmarkStart w:id="3910" w:name="_Toc509383109"/>
      <w:bookmarkStart w:id="3911" w:name="_Toc509383988"/>
      <w:bookmarkStart w:id="3912" w:name="_Toc509404660"/>
      <w:bookmarkStart w:id="3913" w:name="_Toc509310721"/>
      <w:bookmarkStart w:id="3914" w:name="_Toc509311116"/>
      <w:bookmarkStart w:id="3915" w:name="_Toc509311517"/>
      <w:bookmarkStart w:id="3916" w:name="_Toc509311955"/>
      <w:bookmarkStart w:id="3917" w:name="_Toc509312381"/>
      <w:bookmarkStart w:id="3918" w:name="_Toc509312720"/>
      <w:bookmarkStart w:id="3919" w:name="_Toc509313061"/>
      <w:bookmarkStart w:id="3920" w:name="_Toc509313463"/>
      <w:bookmarkStart w:id="3921" w:name="_Toc509316900"/>
      <w:bookmarkStart w:id="3922" w:name="_Toc509317213"/>
      <w:bookmarkStart w:id="3923" w:name="_Toc509317505"/>
      <w:bookmarkStart w:id="3924" w:name="_Toc509317818"/>
      <w:bookmarkStart w:id="3925" w:name="_Toc509318131"/>
      <w:bookmarkStart w:id="3926" w:name="_Toc509319117"/>
      <w:bookmarkStart w:id="3927" w:name="_Toc509319479"/>
      <w:bookmarkStart w:id="3928" w:name="_Toc509320253"/>
      <w:bookmarkStart w:id="3929" w:name="_Toc509322222"/>
      <w:bookmarkStart w:id="3930" w:name="_Toc509322546"/>
      <w:bookmarkStart w:id="3931" w:name="_Toc509323048"/>
      <w:bookmarkStart w:id="3932" w:name="_Toc509323421"/>
      <w:bookmarkStart w:id="3933" w:name="_Toc509323745"/>
      <w:bookmarkStart w:id="3934" w:name="_Toc509324069"/>
      <w:bookmarkStart w:id="3935" w:name="_Toc509324393"/>
      <w:bookmarkStart w:id="3936" w:name="_Toc509324762"/>
      <w:bookmarkStart w:id="3937" w:name="_Toc509325131"/>
      <w:bookmarkStart w:id="3938" w:name="_Toc509325500"/>
      <w:bookmarkStart w:id="3939" w:name="_Toc509325869"/>
      <w:bookmarkStart w:id="3940" w:name="_Toc509326244"/>
      <w:bookmarkStart w:id="3941" w:name="_Toc509326619"/>
      <w:bookmarkStart w:id="3942" w:name="_Toc509326994"/>
      <w:bookmarkStart w:id="3943" w:name="_Toc509327310"/>
      <w:bookmarkStart w:id="3944" w:name="_Toc509327685"/>
      <w:bookmarkStart w:id="3945" w:name="_Toc509328060"/>
      <w:bookmarkStart w:id="3946" w:name="_Toc509332852"/>
      <w:bookmarkStart w:id="3947" w:name="_Toc509333265"/>
      <w:bookmarkStart w:id="3948" w:name="_Toc509333678"/>
      <w:bookmarkStart w:id="3949" w:name="_Toc509335081"/>
      <w:bookmarkStart w:id="3950" w:name="_Toc509335591"/>
      <w:bookmarkStart w:id="3951" w:name="_Toc509336522"/>
      <w:bookmarkStart w:id="3952" w:name="_Toc509336954"/>
      <w:bookmarkStart w:id="3953" w:name="_Toc509337381"/>
      <w:bookmarkStart w:id="3954" w:name="_Toc509337808"/>
      <w:bookmarkStart w:id="3955" w:name="_Toc509338138"/>
      <w:bookmarkStart w:id="3956" w:name="_Toc509382679"/>
      <w:bookmarkStart w:id="3957" w:name="_Toc509383111"/>
      <w:bookmarkStart w:id="3958" w:name="_Toc509383990"/>
      <w:bookmarkStart w:id="3959" w:name="_Toc509404662"/>
      <w:bookmarkStart w:id="3960" w:name="_Toc509310723"/>
      <w:bookmarkStart w:id="3961" w:name="_Toc509311118"/>
      <w:bookmarkStart w:id="3962" w:name="_Toc509311519"/>
      <w:bookmarkStart w:id="3963" w:name="_Toc509311957"/>
      <w:bookmarkStart w:id="3964" w:name="_Toc509312383"/>
      <w:bookmarkStart w:id="3965" w:name="_Toc509312722"/>
      <w:bookmarkStart w:id="3966" w:name="_Toc509313063"/>
      <w:bookmarkStart w:id="3967" w:name="_Toc509313465"/>
      <w:bookmarkStart w:id="3968" w:name="_Toc509316902"/>
      <w:bookmarkStart w:id="3969" w:name="_Toc509317215"/>
      <w:bookmarkStart w:id="3970" w:name="_Toc509317507"/>
      <w:bookmarkStart w:id="3971" w:name="_Toc509317820"/>
      <w:bookmarkStart w:id="3972" w:name="_Toc509318133"/>
      <w:bookmarkStart w:id="3973" w:name="_Toc509319119"/>
      <w:bookmarkStart w:id="3974" w:name="_Toc509319481"/>
      <w:bookmarkStart w:id="3975" w:name="_Toc509320255"/>
      <w:bookmarkStart w:id="3976" w:name="_Toc509322224"/>
      <w:bookmarkStart w:id="3977" w:name="_Toc509322548"/>
      <w:bookmarkStart w:id="3978" w:name="_Toc509323050"/>
      <w:bookmarkStart w:id="3979" w:name="_Toc509323423"/>
      <w:bookmarkStart w:id="3980" w:name="_Toc509323747"/>
      <w:bookmarkStart w:id="3981" w:name="_Toc509324071"/>
      <w:bookmarkStart w:id="3982" w:name="_Toc509324395"/>
      <w:bookmarkStart w:id="3983" w:name="_Toc509324764"/>
      <w:bookmarkStart w:id="3984" w:name="_Toc509325133"/>
      <w:bookmarkStart w:id="3985" w:name="_Toc509325502"/>
      <w:bookmarkStart w:id="3986" w:name="_Toc509325871"/>
      <w:bookmarkStart w:id="3987" w:name="_Toc509326246"/>
      <w:bookmarkStart w:id="3988" w:name="_Toc509326621"/>
      <w:bookmarkStart w:id="3989" w:name="_Toc509326996"/>
      <w:bookmarkStart w:id="3990" w:name="_Toc509327312"/>
      <w:bookmarkStart w:id="3991" w:name="_Toc509327687"/>
      <w:bookmarkStart w:id="3992" w:name="_Toc509328062"/>
      <w:bookmarkStart w:id="3993" w:name="_Toc509332854"/>
      <w:bookmarkStart w:id="3994" w:name="_Toc509333267"/>
      <w:bookmarkStart w:id="3995" w:name="_Toc509333680"/>
      <w:bookmarkStart w:id="3996" w:name="_Toc509335083"/>
      <w:bookmarkStart w:id="3997" w:name="_Toc509335593"/>
      <w:bookmarkStart w:id="3998" w:name="_Toc509336524"/>
      <w:bookmarkStart w:id="3999" w:name="_Toc509336956"/>
      <w:bookmarkStart w:id="4000" w:name="_Toc509337383"/>
      <w:bookmarkStart w:id="4001" w:name="_Toc509337810"/>
      <w:bookmarkStart w:id="4002" w:name="_Toc509338140"/>
      <w:bookmarkStart w:id="4003" w:name="_Toc509382681"/>
      <w:bookmarkStart w:id="4004" w:name="_Toc509383113"/>
      <w:bookmarkStart w:id="4005" w:name="_Toc509383992"/>
      <w:bookmarkStart w:id="4006" w:name="_Toc509404664"/>
      <w:bookmarkStart w:id="4007" w:name="_Toc509310725"/>
      <w:bookmarkStart w:id="4008" w:name="_Toc509311120"/>
      <w:bookmarkStart w:id="4009" w:name="_Toc509311521"/>
      <w:bookmarkStart w:id="4010" w:name="_Toc509311959"/>
      <w:bookmarkStart w:id="4011" w:name="_Toc509312385"/>
      <w:bookmarkStart w:id="4012" w:name="_Toc509312724"/>
      <w:bookmarkStart w:id="4013" w:name="_Toc509313065"/>
      <w:bookmarkStart w:id="4014" w:name="_Toc509313467"/>
      <w:bookmarkStart w:id="4015" w:name="_Toc509316904"/>
      <w:bookmarkStart w:id="4016" w:name="_Toc509317217"/>
      <w:bookmarkStart w:id="4017" w:name="_Toc509317509"/>
      <w:bookmarkStart w:id="4018" w:name="_Toc509317822"/>
      <w:bookmarkStart w:id="4019" w:name="_Toc509318135"/>
      <w:bookmarkStart w:id="4020" w:name="_Toc509319121"/>
      <w:bookmarkStart w:id="4021" w:name="_Toc509319483"/>
      <w:bookmarkStart w:id="4022" w:name="_Toc509320257"/>
      <w:bookmarkStart w:id="4023" w:name="_Toc509322226"/>
      <w:bookmarkStart w:id="4024" w:name="_Toc509322550"/>
      <w:bookmarkStart w:id="4025" w:name="_Toc509323052"/>
      <w:bookmarkStart w:id="4026" w:name="_Toc509323425"/>
      <w:bookmarkStart w:id="4027" w:name="_Toc509323749"/>
      <w:bookmarkStart w:id="4028" w:name="_Toc509324073"/>
      <w:bookmarkStart w:id="4029" w:name="_Toc509324397"/>
      <w:bookmarkStart w:id="4030" w:name="_Toc509324766"/>
      <w:bookmarkStart w:id="4031" w:name="_Toc509325135"/>
      <w:bookmarkStart w:id="4032" w:name="_Toc509325504"/>
      <w:bookmarkStart w:id="4033" w:name="_Toc509325873"/>
      <w:bookmarkStart w:id="4034" w:name="_Toc509326248"/>
      <w:bookmarkStart w:id="4035" w:name="_Toc509326623"/>
      <w:bookmarkStart w:id="4036" w:name="_Toc509326998"/>
      <w:bookmarkStart w:id="4037" w:name="_Toc509327314"/>
      <w:bookmarkStart w:id="4038" w:name="_Toc509327689"/>
      <w:bookmarkStart w:id="4039" w:name="_Toc509328064"/>
      <w:bookmarkStart w:id="4040" w:name="_Toc509332856"/>
      <w:bookmarkStart w:id="4041" w:name="_Toc509333269"/>
      <w:bookmarkStart w:id="4042" w:name="_Toc509333682"/>
      <w:bookmarkStart w:id="4043" w:name="_Toc509335085"/>
      <w:bookmarkStart w:id="4044" w:name="_Toc509335595"/>
      <w:bookmarkStart w:id="4045" w:name="_Toc509336526"/>
      <w:bookmarkStart w:id="4046" w:name="_Toc509336958"/>
      <w:bookmarkStart w:id="4047" w:name="_Toc509337385"/>
      <w:bookmarkStart w:id="4048" w:name="_Toc509337812"/>
      <w:bookmarkStart w:id="4049" w:name="_Toc509338142"/>
      <w:bookmarkStart w:id="4050" w:name="_Toc509382683"/>
      <w:bookmarkStart w:id="4051" w:name="_Toc509383115"/>
      <w:bookmarkStart w:id="4052" w:name="_Toc509383994"/>
      <w:bookmarkStart w:id="4053" w:name="_Toc509404666"/>
      <w:bookmarkStart w:id="4054" w:name="_Toc509131625"/>
      <w:bookmarkStart w:id="4055" w:name="_Toc509310726"/>
      <w:bookmarkStart w:id="4056" w:name="_Toc509311121"/>
      <w:bookmarkStart w:id="4057" w:name="_Toc509311522"/>
      <w:bookmarkStart w:id="4058" w:name="_Toc509311960"/>
      <w:bookmarkStart w:id="4059" w:name="_Toc509312386"/>
      <w:bookmarkStart w:id="4060" w:name="_Toc509312725"/>
      <w:bookmarkStart w:id="4061" w:name="_Toc509313066"/>
      <w:bookmarkStart w:id="4062" w:name="_Toc509313468"/>
      <w:bookmarkStart w:id="4063" w:name="_Toc509316905"/>
      <w:bookmarkStart w:id="4064" w:name="_Toc509317218"/>
      <w:bookmarkStart w:id="4065" w:name="_Toc509317510"/>
      <w:bookmarkStart w:id="4066" w:name="_Toc509317823"/>
      <w:bookmarkStart w:id="4067" w:name="_Toc509318136"/>
      <w:bookmarkStart w:id="4068" w:name="_Toc509319122"/>
      <w:bookmarkStart w:id="4069" w:name="_Toc509319484"/>
      <w:bookmarkStart w:id="4070" w:name="_Toc509320258"/>
      <w:bookmarkStart w:id="4071" w:name="_Toc509322227"/>
      <w:bookmarkStart w:id="4072" w:name="_Toc509322551"/>
      <w:bookmarkStart w:id="4073" w:name="_Toc509323053"/>
      <w:bookmarkStart w:id="4074" w:name="_Toc509323426"/>
      <w:bookmarkStart w:id="4075" w:name="_Toc509323750"/>
      <w:bookmarkStart w:id="4076" w:name="_Toc509324074"/>
      <w:bookmarkStart w:id="4077" w:name="_Toc509324398"/>
      <w:bookmarkStart w:id="4078" w:name="_Toc509324767"/>
      <w:bookmarkStart w:id="4079" w:name="_Toc509325136"/>
      <w:bookmarkStart w:id="4080" w:name="_Toc509325505"/>
      <w:bookmarkStart w:id="4081" w:name="_Toc509325874"/>
      <w:bookmarkStart w:id="4082" w:name="_Toc509326249"/>
      <w:bookmarkStart w:id="4083" w:name="_Toc509326624"/>
      <w:bookmarkStart w:id="4084" w:name="_Toc509326999"/>
      <w:bookmarkStart w:id="4085" w:name="_Toc509327315"/>
      <w:bookmarkStart w:id="4086" w:name="_Toc509327690"/>
      <w:bookmarkStart w:id="4087" w:name="_Toc509328065"/>
      <w:bookmarkStart w:id="4088" w:name="_Toc509332857"/>
      <w:bookmarkStart w:id="4089" w:name="_Toc509333270"/>
      <w:bookmarkStart w:id="4090" w:name="_Toc509333683"/>
      <w:bookmarkStart w:id="4091" w:name="_Toc509335086"/>
      <w:bookmarkStart w:id="4092" w:name="_Toc509335596"/>
      <w:bookmarkStart w:id="4093" w:name="_Toc509336527"/>
      <w:bookmarkStart w:id="4094" w:name="_Toc509336959"/>
      <w:bookmarkStart w:id="4095" w:name="_Toc509337386"/>
      <w:bookmarkStart w:id="4096" w:name="_Toc509337813"/>
      <w:bookmarkStart w:id="4097" w:name="_Toc509338143"/>
      <w:bookmarkStart w:id="4098" w:name="_Toc509382684"/>
      <w:bookmarkStart w:id="4099" w:name="_Toc509383116"/>
      <w:bookmarkStart w:id="4100" w:name="_Toc509383995"/>
      <w:bookmarkStart w:id="4101" w:name="_Toc509404667"/>
      <w:bookmarkStart w:id="4102" w:name="_Toc509131636"/>
      <w:bookmarkStart w:id="4103" w:name="_Toc509310737"/>
      <w:bookmarkStart w:id="4104" w:name="_Toc509311132"/>
      <w:bookmarkStart w:id="4105" w:name="_Toc509311533"/>
      <w:bookmarkStart w:id="4106" w:name="_Toc509311971"/>
      <w:bookmarkStart w:id="4107" w:name="_Toc509312397"/>
      <w:bookmarkStart w:id="4108" w:name="_Toc509312736"/>
      <w:bookmarkStart w:id="4109" w:name="_Toc509313077"/>
      <w:bookmarkStart w:id="4110" w:name="_Toc509313479"/>
      <w:bookmarkStart w:id="4111" w:name="_Toc509316916"/>
      <w:bookmarkStart w:id="4112" w:name="_Toc509317229"/>
      <w:bookmarkStart w:id="4113" w:name="_Toc509317521"/>
      <w:bookmarkStart w:id="4114" w:name="_Toc509317834"/>
      <w:bookmarkStart w:id="4115" w:name="_Toc509318147"/>
      <w:bookmarkStart w:id="4116" w:name="_Toc509319133"/>
      <w:bookmarkStart w:id="4117" w:name="_Toc509319495"/>
      <w:bookmarkStart w:id="4118" w:name="_Toc509320269"/>
      <w:bookmarkStart w:id="4119" w:name="_Toc509322238"/>
      <w:bookmarkStart w:id="4120" w:name="_Toc509322562"/>
      <w:bookmarkStart w:id="4121" w:name="_Toc509323064"/>
      <w:bookmarkStart w:id="4122" w:name="_Toc509323437"/>
      <w:bookmarkStart w:id="4123" w:name="_Toc509323761"/>
      <w:bookmarkStart w:id="4124" w:name="_Toc509324085"/>
      <w:bookmarkStart w:id="4125" w:name="_Toc509324409"/>
      <w:bookmarkStart w:id="4126" w:name="_Toc509324778"/>
      <w:bookmarkStart w:id="4127" w:name="_Toc509325147"/>
      <w:bookmarkStart w:id="4128" w:name="_Toc509325516"/>
      <w:bookmarkStart w:id="4129" w:name="_Toc509325885"/>
      <w:bookmarkStart w:id="4130" w:name="_Toc509326260"/>
      <w:bookmarkStart w:id="4131" w:name="_Toc509326635"/>
      <w:bookmarkStart w:id="4132" w:name="_Toc509327010"/>
      <w:bookmarkStart w:id="4133" w:name="_Toc509327326"/>
      <w:bookmarkStart w:id="4134" w:name="_Toc509327701"/>
      <w:bookmarkStart w:id="4135" w:name="_Toc509328076"/>
      <w:bookmarkStart w:id="4136" w:name="_Toc509332868"/>
      <w:bookmarkStart w:id="4137" w:name="_Toc509333281"/>
      <w:bookmarkStart w:id="4138" w:name="_Toc509333694"/>
      <w:bookmarkStart w:id="4139" w:name="_Toc509335097"/>
      <w:bookmarkStart w:id="4140" w:name="_Toc509335607"/>
      <w:bookmarkStart w:id="4141" w:name="_Toc509336538"/>
      <w:bookmarkStart w:id="4142" w:name="_Toc509336970"/>
      <w:bookmarkStart w:id="4143" w:name="_Toc509337397"/>
      <w:bookmarkStart w:id="4144" w:name="_Toc509337824"/>
      <w:bookmarkStart w:id="4145" w:name="_Toc509338154"/>
      <w:bookmarkStart w:id="4146" w:name="_Toc509382695"/>
      <w:bookmarkStart w:id="4147" w:name="_Toc509383127"/>
      <w:bookmarkStart w:id="4148" w:name="_Toc509384006"/>
      <w:bookmarkStart w:id="4149" w:name="_Toc509404678"/>
      <w:bookmarkStart w:id="4150" w:name="_Toc509131638"/>
      <w:bookmarkStart w:id="4151" w:name="_Toc509310739"/>
      <w:bookmarkStart w:id="4152" w:name="_Toc509311134"/>
      <w:bookmarkStart w:id="4153" w:name="_Toc509311535"/>
      <w:bookmarkStart w:id="4154" w:name="_Toc509311973"/>
      <w:bookmarkStart w:id="4155" w:name="_Toc509312399"/>
      <w:bookmarkStart w:id="4156" w:name="_Toc509312738"/>
      <w:bookmarkStart w:id="4157" w:name="_Toc509313079"/>
      <w:bookmarkStart w:id="4158" w:name="_Toc509313481"/>
      <w:bookmarkStart w:id="4159" w:name="_Toc509316918"/>
      <w:bookmarkStart w:id="4160" w:name="_Toc509317231"/>
      <w:bookmarkStart w:id="4161" w:name="_Toc509317523"/>
      <w:bookmarkStart w:id="4162" w:name="_Toc509317836"/>
      <w:bookmarkStart w:id="4163" w:name="_Toc509318149"/>
      <w:bookmarkStart w:id="4164" w:name="_Toc509319135"/>
      <w:bookmarkStart w:id="4165" w:name="_Toc509319497"/>
      <w:bookmarkStart w:id="4166" w:name="_Toc509320271"/>
      <w:bookmarkStart w:id="4167" w:name="_Toc509322240"/>
      <w:bookmarkStart w:id="4168" w:name="_Toc509322564"/>
      <w:bookmarkStart w:id="4169" w:name="_Toc509323066"/>
      <w:bookmarkStart w:id="4170" w:name="_Toc509323439"/>
      <w:bookmarkStart w:id="4171" w:name="_Toc509323763"/>
      <w:bookmarkStart w:id="4172" w:name="_Toc509324087"/>
      <w:bookmarkStart w:id="4173" w:name="_Toc509324411"/>
      <w:bookmarkStart w:id="4174" w:name="_Toc509324780"/>
      <w:bookmarkStart w:id="4175" w:name="_Toc509325149"/>
      <w:bookmarkStart w:id="4176" w:name="_Toc509325518"/>
      <w:bookmarkStart w:id="4177" w:name="_Toc509325887"/>
      <w:bookmarkStart w:id="4178" w:name="_Toc509326262"/>
      <w:bookmarkStart w:id="4179" w:name="_Toc509326637"/>
      <w:bookmarkStart w:id="4180" w:name="_Toc509327012"/>
      <w:bookmarkStart w:id="4181" w:name="_Toc509327328"/>
      <w:bookmarkStart w:id="4182" w:name="_Toc509327703"/>
      <w:bookmarkStart w:id="4183" w:name="_Toc509328078"/>
      <w:bookmarkStart w:id="4184" w:name="_Toc509332870"/>
      <w:bookmarkStart w:id="4185" w:name="_Toc509333283"/>
      <w:bookmarkStart w:id="4186" w:name="_Toc509333696"/>
      <w:bookmarkStart w:id="4187" w:name="_Toc509335099"/>
      <w:bookmarkStart w:id="4188" w:name="_Toc509335609"/>
      <w:bookmarkStart w:id="4189" w:name="_Toc509336540"/>
      <w:bookmarkStart w:id="4190" w:name="_Toc509336972"/>
      <w:bookmarkStart w:id="4191" w:name="_Toc509337399"/>
      <w:bookmarkStart w:id="4192" w:name="_Toc509337826"/>
      <w:bookmarkStart w:id="4193" w:name="_Toc509338156"/>
      <w:bookmarkStart w:id="4194" w:name="_Toc509382697"/>
      <w:bookmarkStart w:id="4195" w:name="_Toc509383129"/>
      <w:bookmarkStart w:id="4196" w:name="_Toc509384008"/>
      <w:bookmarkStart w:id="4197" w:name="_Toc509404680"/>
      <w:bookmarkStart w:id="4198" w:name="_Toc509131642"/>
      <w:bookmarkStart w:id="4199" w:name="_Toc509310743"/>
      <w:bookmarkStart w:id="4200" w:name="_Toc509311138"/>
      <w:bookmarkStart w:id="4201" w:name="_Toc509311539"/>
      <w:bookmarkStart w:id="4202" w:name="_Toc509311977"/>
      <w:bookmarkStart w:id="4203" w:name="_Toc509312403"/>
      <w:bookmarkStart w:id="4204" w:name="_Toc509312742"/>
      <w:bookmarkStart w:id="4205" w:name="_Toc509313083"/>
      <w:bookmarkStart w:id="4206" w:name="_Toc509313485"/>
      <w:bookmarkStart w:id="4207" w:name="_Toc509316922"/>
      <w:bookmarkStart w:id="4208" w:name="_Toc509317235"/>
      <w:bookmarkStart w:id="4209" w:name="_Toc509317527"/>
      <w:bookmarkStart w:id="4210" w:name="_Toc509317840"/>
      <w:bookmarkStart w:id="4211" w:name="_Toc509318153"/>
      <w:bookmarkStart w:id="4212" w:name="_Toc509319139"/>
      <w:bookmarkStart w:id="4213" w:name="_Toc509319501"/>
      <w:bookmarkStart w:id="4214" w:name="_Toc509320275"/>
      <w:bookmarkStart w:id="4215" w:name="_Toc509322244"/>
      <w:bookmarkStart w:id="4216" w:name="_Toc509322568"/>
      <w:bookmarkStart w:id="4217" w:name="_Toc509323070"/>
      <w:bookmarkStart w:id="4218" w:name="_Toc509323443"/>
      <w:bookmarkStart w:id="4219" w:name="_Toc509323767"/>
      <w:bookmarkStart w:id="4220" w:name="_Toc509324091"/>
      <w:bookmarkStart w:id="4221" w:name="_Toc509324415"/>
      <w:bookmarkStart w:id="4222" w:name="_Toc509324784"/>
      <w:bookmarkStart w:id="4223" w:name="_Toc509325153"/>
      <w:bookmarkStart w:id="4224" w:name="_Toc509325522"/>
      <w:bookmarkStart w:id="4225" w:name="_Toc509325891"/>
      <w:bookmarkStart w:id="4226" w:name="_Toc509326266"/>
      <w:bookmarkStart w:id="4227" w:name="_Toc509326641"/>
      <w:bookmarkStart w:id="4228" w:name="_Toc509327016"/>
      <w:bookmarkStart w:id="4229" w:name="_Toc509327332"/>
      <w:bookmarkStart w:id="4230" w:name="_Toc509327707"/>
      <w:bookmarkStart w:id="4231" w:name="_Toc509328082"/>
      <w:bookmarkStart w:id="4232" w:name="_Toc509332874"/>
      <w:bookmarkStart w:id="4233" w:name="_Toc509333287"/>
      <w:bookmarkStart w:id="4234" w:name="_Toc509333700"/>
      <w:bookmarkStart w:id="4235" w:name="_Toc509335103"/>
      <w:bookmarkStart w:id="4236" w:name="_Toc509335613"/>
      <w:bookmarkStart w:id="4237" w:name="_Toc509336544"/>
      <w:bookmarkStart w:id="4238" w:name="_Toc509336976"/>
      <w:bookmarkStart w:id="4239" w:name="_Toc509337403"/>
      <w:bookmarkStart w:id="4240" w:name="_Toc509337830"/>
      <w:bookmarkStart w:id="4241" w:name="_Toc509338160"/>
      <w:bookmarkStart w:id="4242" w:name="_Toc509382701"/>
      <w:bookmarkStart w:id="4243" w:name="_Toc509383133"/>
      <w:bookmarkStart w:id="4244" w:name="_Toc509384012"/>
      <w:bookmarkStart w:id="4245" w:name="_Toc509404684"/>
      <w:bookmarkStart w:id="4246" w:name="_Toc509131644"/>
      <w:bookmarkStart w:id="4247" w:name="_Toc509310745"/>
      <w:bookmarkStart w:id="4248" w:name="_Toc509311140"/>
      <w:bookmarkStart w:id="4249" w:name="_Toc509311541"/>
      <w:bookmarkStart w:id="4250" w:name="_Toc509311979"/>
      <w:bookmarkStart w:id="4251" w:name="_Toc509312405"/>
      <w:bookmarkStart w:id="4252" w:name="_Toc509312744"/>
      <w:bookmarkStart w:id="4253" w:name="_Toc509313085"/>
      <w:bookmarkStart w:id="4254" w:name="_Toc509313487"/>
      <w:bookmarkStart w:id="4255" w:name="_Toc509316924"/>
      <w:bookmarkStart w:id="4256" w:name="_Toc509317237"/>
      <w:bookmarkStart w:id="4257" w:name="_Toc509317529"/>
      <w:bookmarkStart w:id="4258" w:name="_Toc509317842"/>
      <w:bookmarkStart w:id="4259" w:name="_Toc509318155"/>
      <w:bookmarkStart w:id="4260" w:name="_Toc509319141"/>
      <w:bookmarkStart w:id="4261" w:name="_Toc509319503"/>
      <w:bookmarkStart w:id="4262" w:name="_Toc509320277"/>
      <w:bookmarkStart w:id="4263" w:name="_Toc509322246"/>
      <w:bookmarkStart w:id="4264" w:name="_Toc509322570"/>
      <w:bookmarkStart w:id="4265" w:name="_Toc509323072"/>
      <w:bookmarkStart w:id="4266" w:name="_Toc509323445"/>
      <w:bookmarkStart w:id="4267" w:name="_Toc509323769"/>
      <w:bookmarkStart w:id="4268" w:name="_Toc509324093"/>
      <w:bookmarkStart w:id="4269" w:name="_Toc509324417"/>
      <w:bookmarkStart w:id="4270" w:name="_Toc509324786"/>
      <w:bookmarkStart w:id="4271" w:name="_Toc509325155"/>
      <w:bookmarkStart w:id="4272" w:name="_Toc509325524"/>
      <w:bookmarkStart w:id="4273" w:name="_Toc509325893"/>
      <w:bookmarkStart w:id="4274" w:name="_Toc509326268"/>
      <w:bookmarkStart w:id="4275" w:name="_Toc509326643"/>
      <w:bookmarkStart w:id="4276" w:name="_Toc509327018"/>
      <w:bookmarkStart w:id="4277" w:name="_Toc509327334"/>
      <w:bookmarkStart w:id="4278" w:name="_Toc509327709"/>
      <w:bookmarkStart w:id="4279" w:name="_Toc509328084"/>
      <w:bookmarkStart w:id="4280" w:name="_Toc509332876"/>
      <w:bookmarkStart w:id="4281" w:name="_Toc509333289"/>
      <w:bookmarkStart w:id="4282" w:name="_Toc509333702"/>
      <w:bookmarkStart w:id="4283" w:name="_Toc509335105"/>
      <w:bookmarkStart w:id="4284" w:name="_Toc509335615"/>
      <w:bookmarkStart w:id="4285" w:name="_Toc509336546"/>
      <w:bookmarkStart w:id="4286" w:name="_Toc509336978"/>
      <w:bookmarkStart w:id="4287" w:name="_Toc509337405"/>
      <w:bookmarkStart w:id="4288" w:name="_Toc509337832"/>
      <w:bookmarkStart w:id="4289" w:name="_Toc509338162"/>
      <w:bookmarkStart w:id="4290" w:name="_Toc509382703"/>
      <w:bookmarkStart w:id="4291" w:name="_Toc509383135"/>
      <w:bookmarkStart w:id="4292" w:name="_Toc509384014"/>
      <w:bookmarkStart w:id="4293" w:name="_Toc509404686"/>
      <w:bookmarkStart w:id="4294" w:name="_Toc509067135"/>
      <w:bookmarkStart w:id="4295" w:name="_Toc509068569"/>
      <w:bookmarkStart w:id="4296" w:name="_Toc509069076"/>
      <w:bookmarkStart w:id="4297" w:name="_Toc509131645"/>
      <w:bookmarkStart w:id="4298" w:name="_Toc509310746"/>
      <w:bookmarkStart w:id="4299" w:name="_Toc509311141"/>
      <w:bookmarkStart w:id="4300" w:name="_Toc509311542"/>
      <w:bookmarkStart w:id="4301" w:name="_Toc509311980"/>
      <w:bookmarkStart w:id="4302" w:name="_Toc509312406"/>
      <w:bookmarkStart w:id="4303" w:name="_Toc509312745"/>
      <w:bookmarkStart w:id="4304" w:name="_Toc509313086"/>
      <w:bookmarkStart w:id="4305" w:name="_Toc509313488"/>
      <w:bookmarkStart w:id="4306" w:name="_Toc509316925"/>
      <w:bookmarkStart w:id="4307" w:name="_Toc509317238"/>
      <w:bookmarkStart w:id="4308" w:name="_Toc509317530"/>
      <w:bookmarkStart w:id="4309" w:name="_Toc509317843"/>
      <w:bookmarkStart w:id="4310" w:name="_Toc509318156"/>
      <w:bookmarkStart w:id="4311" w:name="_Toc509319142"/>
      <w:bookmarkStart w:id="4312" w:name="_Toc509319504"/>
      <w:bookmarkStart w:id="4313" w:name="_Toc509320278"/>
      <w:bookmarkStart w:id="4314" w:name="_Toc509322247"/>
      <w:bookmarkStart w:id="4315" w:name="_Toc509322571"/>
      <w:bookmarkStart w:id="4316" w:name="_Toc509323073"/>
      <w:bookmarkStart w:id="4317" w:name="_Toc509323446"/>
      <w:bookmarkStart w:id="4318" w:name="_Toc509323770"/>
      <w:bookmarkStart w:id="4319" w:name="_Toc509324094"/>
      <w:bookmarkStart w:id="4320" w:name="_Toc509324418"/>
      <w:bookmarkStart w:id="4321" w:name="_Toc509324787"/>
      <w:bookmarkStart w:id="4322" w:name="_Toc509325156"/>
      <w:bookmarkStart w:id="4323" w:name="_Toc509325525"/>
      <w:bookmarkStart w:id="4324" w:name="_Toc509325894"/>
      <w:bookmarkStart w:id="4325" w:name="_Toc509326269"/>
      <w:bookmarkStart w:id="4326" w:name="_Toc509326644"/>
      <w:bookmarkStart w:id="4327" w:name="_Toc509327019"/>
      <w:bookmarkStart w:id="4328" w:name="_Toc509327335"/>
      <w:bookmarkStart w:id="4329" w:name="_Toc509327710"/>
      <w:bookmarkStart w:id="4330" w:name="_Toc509328085"/>
      <w:bookmarkStart w:id="4331" w:name="_Toc509332877"/>
      <w:bookmarkStart w:id="4332" w:name="_Toc509333290"/>
      <w:bookmarkStart w:id="4333" w:name="_Toc509333703"/>
      <w:bookmarkStart w:id="4334" w:name="_Toc509335106"/>
      <w:bookmarkStart w:id="4335" w:name="_Toc509335616"/>
      <w:bookmarkStart w:id="4336" w:name="_Toc509336547"/>
      <w:bookmarkStart w:id="4337" w:name="_Toc509336979"/>
      <w:bookmarkStart w:id="4338" w:name="_Toc509337406"/>
      <w:bookmarkStart w:id="4339" w:name="_Toc509337833"/>
      <w:bookmarkStart w:id="4340" w:name="_Toc509338163"/>
      <w:bookmarkStart w:id="4341" w:name="_Toc509382704"/>
      <w:bookmarkStart w:id="4342" w:name="_Toc509383136"/>
      <w:bookmarkStart w:id="4343" w:name="_Toc509384015"/>
      <w:bookmarkStart w:id="4344" w:name="_Toc509404687"/>
      <w:bookmarkStart w:id="4345" w:name="_Toc509067136"/>
      <w:bookmarkStart w:id="4346" w:name="_Toc509068570"/>
      <w:bookmarkStart w:id="4347" w:name="_Toc509069077"/>
      <w:bookmarkStart w:id="4348" w:name="_Toc509131646"/>
      <w:bookmarkStart w:id="4349" w:name="_Toc509310747"/>
      <w:bookmarkStart w:id="4350" w:name="_Toc509311142"/>
      <w:bookmarkStart w:id="4351" w:name="_Toc509311543"/>
      <w:bookmarkStart w:id="4352" w:name="_Toc509311981"/>
      <w:bookmarkStart w:id="4353" w:name="_Toc509312407"/>
      <w:bookmarkStart w:id="4354" w:name="_Toc509312746"/>
      <w:bookmarkStart w:id="4355" w:name="_Toc509313087"/>
      <w:bookmarkStart w:id="4356" w:name="_Toc509313489"/>
      <w:bookmarkStart w:id="4357" w:name="_Toc509316926"/>
      <w:bookmarkStart w:id="4358" w:name="_Toc509317239"/>
      <w:bookmarkStart w:id="4359" w:name="_Toc509317531"/>
      <w:bookmarkStart w:id="4360" w:name="_Toc509317844"/>
      <w:bookmarkStart w:id="4361" w:name="_Toc509318157"/>
      <w:bookmarkStart w:id="4362" w:name="_Toc509319143"/>
      <w:bookmarkStart w:id="4363" w:name="_Toc509319505"/>
      <w:bookmarkStart w:id="4364" w:name="_Toc509320279"/>
      <w:bookmarkStart w:id="4365" w:name="_Toc509322248"/>
      <w:bookmarkStart w:id="4366" w:name="_Toc509322572"/>
      <w:bookmarkStart w:id="4367" w:name="_Toc509323074"/>
      <w:bookmarkStart w:id="4368" w:name="_Toc509323447"/>
      <w:bookmarkStart w:id="4369" w:name="_Toc509323771"/>
      <w:bookmarkStart w:id="4370" w:name="_Toc509324095"/>
      <w:bookmarkStart w:id="4371" w:name="_Toc509324419"/>
      <w:bookmarkStart w:id="4372" w:name="_Toc509324788"/>
      <w:bookmarkStart w:id="4373" w:name="_Toc509325157"/>
      <w:bookmarkStart w:id="4374" w:name="_Toc509325526"/>
      <w:bookmarkStart w:id="4375" w:name="_Toc509325895"/>
      <w:bookmarkStart w:id="4376" w:name="_Toc509326270"/>
      <w:bookmarkStart w:id="4377" w:name="_Toc509326645"/>
      <w:bookmarkStart w:id="4378" w:name="_Toc509327020"/>
      <w:bookmarkStart w:id="4379" w:name="_Toc509327336"/>
      <w:bookmarkStart w:id="4380" w:name="_Toc509327711"/>
      <w:bookmarkStart w:id="4381" w:name="_Toc509328086"/>
      <w:bookmarkStart w:id="4382" w:name="_Toc509332878"/>
      <w:bookmarkStart w:id="4383" w:name="_Toc509333291"/>
      <w:bookmarkStart w:id="4384" w:name="_Toc509333704"/>
      <w:bookmarkStart w:id="4385" w:name="_Toc509335107"/>
      <w:bookmarkStart w:id="4386" w:name="_Toc509335617"/>
      <w:bookmarkStart w:id="4387" w:name="_Toc509336548"/>
      <w:bookmarkStart w:id="4388" w:name="_Toc509336980"/>
      <w:bookmarkStart w:id="4389" w:name="_Toc509337407"/>
      <w:bookmarkStart w:id="4390" w:name="_Toc509337834"/>
      <w:bookmarkStart w:id="4391" w:name="_Toc509338164"/>
      <w:bookmarkStart w:id="4392" w:name="_Toc509382705"/>
      <w:bookmarkStart w:id="4393" w:name="_Toc509383137"/>
      <w:bookmarkStart w:id="4394" w:name="_Toc509384016"/>
      <w:bookmarkStart w:id="4395" w:name="_Toc509404688"/>
      <w:bookmarkStart w:id="4396" w:name="_Toc509310748"/>
      <w:bookmarkStart w:id="4397" w:name="_Toc509311143"/>
      <w:bookmarkStart w:id="4398" w:name="_Toc509311544"/>
      <w:bookmarkStart w:id="4399" w:name="_Toc509311982"/>
      <w:bookmarkStart w:id="4400" w:name="_Toc509312408"/>
      <w:bookmarkStart w:id="4401" w:name="_Toc509312747"/>
      <w:bookmarkStart w:id="4402" w:name="_Toc509313088"/>
      <w:bookmarkStart w:id="4403" w:name="_Toc509313490"/>
      <w:bookmarkStart w:id="4404" w:name="_Toc509316927"/>
      <w:bookmarkStart w:id="4405" w:name="_Toc509317240"/>
      <w:bookmarkStart w:id="4406" w:name="_Toc509317532"/>
      <w:bookmarkStart w:id="4407" w:name="_Toc509317845"/>
      <w:bookmarkStart w:id="4408" w:name="_Toc509318158"/>
      <w:bookmarkStart w:id="4409" w:name="_Toc509319144"/>
      <w:bookmarkStart w:id="4410" w:name="_Toc509319506"/>
      <w:bookmarkStart w:id="4411" w:name="_Toc509320280"/>
      <w:bookmarkStart w:id="4412" w:name="_Toc509322249"/>
      <w:bookmarkStart w:id="4413" w:name="_Toc509322573"/>
      <w:bookmarkStart w:id="4414" w:name="_Toc509323075"/>
      <w:bookmarkStart w:id="4415" w:name="_Toc509323448"/>
      <w:bookmarkStart w:id="4416" w:name="_Toc509323772"/>
      <w:bookmarkStart w:id="4417" w:name="_Toc509324096"/>
      <w:bookmarkStart w:id="4418" w:name="_Toc509324420"/>
      <w:bookmarkStart w:id="4419" w:name="_Toc509324789"/>
      <w:bookmarkStart w:id="4420" w:name="_Toc509325158"/>
      <w:bookmarkStart w:id="4421" w:name="_Toc509325527"/>
      <w:bookmarkStart w:id="4422" w:name="_Toc509325896"/>
      <w:bookmarkStart w:id="4423" w:name="_Toc509326271"/>
      <w:bookmarkStart w:id="4424" w:name="_Toc509326646"/>
      <w:bookmarkStart w:id="4425" w:name="_Toc509327021"/>
      <w:bookmarkStart w:id="4426" w:name="_Toc509327337"/>
      <w:bookmarkStart w:id="4427" w:name="_Toc509327712"/>
      <w:bookmarkStart w:id="4428" w:name="_Toc509328087"/>
      <w:bookmarkStart w:id="4429" w:name="_Toc509332879"/>
      <w:bookmarkStart w:id="4430" w:name="_Toc509333292"/>
      <w:bookmarkStart w:id="4431" w:name="_Toc509333705"/>
      <w:bookmarkStart w:id="4432" w:name="_Toc509335108"/>
      <w:bookmarkStart w:id="4433" w:name="_Toc509335618"/>
      <w:bookmarkStart w:id="4434" w:name="_Toc509336549"/>
      <w:bookmarkStart w:id="4435" w:name="_Toc509336981"/>
      <w:bookmarkStart w:id="4436" w:name="_Toc509337408"/>
      <w:bookmarkStart w:id="4437" w:name="_Toc509337835"/>
      <w:bookmarkStart w:id="4438" w:name="_Toc509338165"/>
      <w:bookmarkStart w:id="4439" w:name="_Toc509382706"/>
      <w:bookmarkStart w:id="4440" w:name="_Toc509383138"/>
      <w:bookmarkStart w:id="4441" w:name="_Toc509384017"/>
      <w:bookmarkStart w:id="4442" w:name="_Toc509404689"/>
      <w:bookmarkStart w:id="4443" w:name="_Toc509067138"/>
      <w:bookmarkStart w:id="4444" w:name="_Toc509068572"/>
      <w:bookmarkStart w:id="4445" w:name="_Toc509069079"/>
      <w:bookmarkStart w:id="4446" w:name="_Toc509131648"/>
      <w:bookmarkStart w:id="4447" w:name="_Toc509310752"/>
      <w:bookmarkStart w:id="4448" w:name="_Toc509311147"/>
      <w:bookmarkStart w:id="4449" w:name="_Toc509311548"/>
      <w:bookmarkStart w:id="4450" w:name="_Toc509311986"/>
      <w:bookmarkStart w:id="4451" w:name="_Toc509312412"/>
      <w:bookmarkStart w:id="4452" w:name="_Toc509312751"/>
      <w:bookmarkStart w:id="4453" w:name="_Toc509313092"/>
      <w:bookmarkStart w:id="4454" w:name="_Toc509313494"/>
      <w:bookmarkStart w:id="4455" w:name="_Toc509316931"/>
      <w:bookmarkStart w:id="4456" w:name="_Toc509317244"/>
      <w:bookmarkStart w:id="4457" w:name="_Toc509317536"/>
      <w:bookmarkStart w:id="4458" w:name="_Toc509317849"/>
      <w:bookmarkStart w:id="4459" w:name="_Toc509318162"/>
      <w:bookmarkStart w:id="4460" w:name="_Toc509319148"/>
      <w:bookmarkStart w:id="4461" w:name="_Toc509319510"/>
      <w:bookmarkStart w:id="4462" w:name="_Toc509320284"/>
      <w:bookmarkStart w:id="4463" w:name="_Toc509322253"/>
      <w:bookmarkStart w:id="4464" w:name="_Toc509322577"/>
      <w:bookmarkStart w:id="4465" w:name="_Toc509323079"/>
      <w:bookmarkStart w:id="4466" w:name="_Toc509323452"/>
      <w:bookmarkStart w:id="4467" w:name="_Toc509323776"/>
      <w:bookmarkStart w:id="4468" w:name="_Toc509324100"/>
      <w:bookmarkStart w:id="4469" w:name="_Toc509324424"/>
      <w:bookmarkStart w:id="4470" w:name="_Toc509324793"/>
      <w:bookmarkStart w:id="4471" w:name="_Toc509325162"/>
      <w:bookmarkStart w:id="4472" w:name="_Toc509325531"/>
      <w:bookmarkStart w:id="4473" w:name="_Toc509325900"/>
      <w:bookmarkStart w:id="4474" w:name="_Toc509326275"/>
      <w:bookmarkStart w:id="4475" w:name="_Toc509326650"/>
      <w:bookmarkStart w:id="4476" w:name="_Toc509327025"/>
      <w:bookmarkStart w:id="4477" w:name="_Toc509327341"/>
      <w:bookmarkStart w:id="4478" w:name="_Toc509327716"/>
      <w:bookmarkStart w:id="4479" w:name="_Toc509328091"/>
      <w:bookmarkStart w:id="4480" w:name="_Toc509332883"/>
      <w:bookmarkStart w:id="4481" w:name="_Toc509333296"/>
      <w:bookmarkStart w:id="4482" w:name="_Toc509333709"/>
      <w:bookmarkStart w:id="4483" w:name="_Toc509335112"/>
      <w:bookmarkStart w:id="4484" w:name="_Toc509335622"/>
      <w:bookmarkStart w:id="4485" w:name="_Toc509336553"/>
      <w:bookmarkStart w:id="4486" w:name="_Toc509336985"/>
      <w:bookmarkStart w:id="4487" w:name="_Toc509337412"/>
      <w:bookmarkStart w:id="4488" w:name="_Toc509337839"/>
      <w:bookmarkStart w:id="4489" w:name="_Toc509338169"/>
      <w:bookmarkStart w:id="4490" w:name="_Toc509382710"/>
      <w:bookmarkStart w:id="4491" w:name="_Toc509383142"/>
      <w:bookmarkStart w:id="4492" w:name="_Toc509384021"/>
      <w:bookmarkStart w:id="4493" w:name="_Toc509404693"/>
      <w:bookmarkStart w:id="4494" w:name="_Toc509067139"/>
      <w:bookmarkStart w:id="4495" w:name="_Toc509068573"/>
      <w:bookmarkStart w:id="4496" w:name="_Toc509069080"/>
      <w:bookmarkStart w:id="4497" w:name="_Toc509131649"/>
      <w:bookmarkStart w:id="4498" w:name="_Toc509310753"/>
      <w:bookmarkStart w:id="4499" w:name="_Toc509311148"/>
      <w:bookmarkStart w:id="4500" w:name="_Toc509311549"/>
      <w:bookmarkStart w:id="4501" w:name="_Toc509311987"/>
      <w:bookmarkStart w:id="4502" w:name="_Toc509312413"/>
      <w:bookmarkStart w:id="4503" w:name="_Toc509312752"/>
      <w:bookmarkStart w:id="4504" w:name="_Toc509313093"/>
      <w:bookmarkStart w:id="4505" w:name="_Toc509313495"/>
      <w:bookmarkStart w:id="4506" w:name="_Toc509316932"/>
      <w:bookmarkStart w:id="4507" w:name="_Toc509317245"/>
      <w:bookmarkStart w:id="4508" w:name="_Toc509317537"/>
      <w:bookmarkStart w:id="4509" w:name="_Toc509317850"/>
      <w:bookmarkStart w:id="4510" w:name="_Toc509318163"/>
      <w:bookmarkStart w:id="4511" w:name="_Toc509319149"/>
      <w:bookmarkStart w:id="4512" w:name="_Toc509319511"/>
      <w:bookmarkStart w:id="4513" w:name="_Toc509320285"/>
      <w:bookmarkStart w:id="4514" w:name="_Toc509322254"/>
      <w:bookmarkStart w:id="4515" w:name="_Toc509322578"/>
      <w:bookmarkStart w:id="4516" w:name="_Toc509323080"/>
      <w:bookmarkStart w:id="4517" w:name="_Toc509323453"/>
      <w:bookmarkStart w:id="4518" w:name="_Toc509323777"/>
      <w:bookmarkStart w:id="4519" w:name="_Toc509324101"/>
      <w:bookmarkStart w:id="4520" w:name="_Toc509324425"/>
      <w:bookmarkStart w:id="4521" w:name="_Toc509324794"/>
      <w:bookmarkStart w:id="4522" w:name="_Toc509325163"/>
      <w:bookmarkStart w:id="4523" w:name="_Toc509325532"/>
      <w:bookmarkStart w:id="4524" w:name="_Toc509325901"/>
      <w:bookmarkStart w:id="4525" w:name="_Toc509326276"/>
      <w:bookmarkStart w:id="4526" w:name="_Toc509326651"/>
      <w:bookmarkStart w:id="4527" w:name="_Toc509327026"/>
      <w:bookmarkStart w:id="4528" w:name="_Toc509327342"/>
      <w:bookmarkStart w:id="4529" w:name="_Toc509327717"/>
      <w:bookmarkStart w:id="4530" w:name="_Toc509328092"/>
      <w:bookmarkStart w:id="4531" w:name="_Toc509332884"/>
      <w:bookmarkStart w:id="4532" w:name="_Toc509333297"/>
      <w:bookmarkStart w:id="4533" w:name="_Toc509333710"/>
      <w:bookmarkStart w:id="4534" w:name="_Toc509335113"/>
      <w:bookmarkStart w:id="4535" w:name="_Toc509335623"/>
      <w:bookmarkStart w:id="4536" w:name="_Toc509336554"/>
      <w:bookmarkStart w:id="4537" w:name="_Toc509336986"/>
      <w:bookmarkStart w:id="4538" w:name="_Toc509337413"/>
      <w:bookmarkStart w:id="4539" w:name="_Toc509337840"/>
      <w:bookmarkStart w:id="4540" w:name="_Toc509338170"/>
      <w:bookmarkStart w:id="4541" w:name="_Toc509382711"/>
      <w:bookmarkStart w:id="4542" w:name="_Toc509383143"/>
      <w:bookmarkStart w:id="4543" w:name="_Toc509384022"/>
      <w:bookmarkStart w:id="4544" w:name="_Toc509404694"/>
      <w:bookmarkStart w:id="4545" w:name="_Toc509310754"/>
      <w:bookmarkStart w:id="4546" w:name="_Toc509311149"/>
      <w:bookmarkStart w:id="4547" w:name="_Toc509311550"/>
      <w:bookmarkStart w:id="4548" w:name="_Toc509311988"/>
      <w:bookmarkStart w:id="4549" w:name="_Toc509312414"/>
      <w:bookmarkStart w:id="4550" w:name="_Toc509312753"/>
      <w:bookmarkStart w:id="4551" w:name="_Toc509313094"/>
      <w:bookmarkStart w:id="4552" w:name="_Toc509313496"/>
      <w:bookmarkStart w:id="4553" w:name="_Toc509316933"/>
      <w:bookmarkStart w:id="4554" w:name="_Toc509317246"/>
      <w:bookmarkStart w:id="4555" w:name="_Toc509317538"/>
      <w:bookmarkStart w:id="4556" w:name="_Toc509317851"/>
      <w:bookmarkStart w:id="4557" w:name="_Toc509318164"/>
      <w:bookmarkStart w:id="4558" w:name="_Toc509319150"/>
      <w:bookmarkStart w:id="4559" w:name="_Toc509319512"/>
      <w:bookmarkStart w:id="4560" w:name="_Toc509320286"/>
      <w:bookmarkStart w:id="4561" w:name="_Toc509322255"/>
      <w:bookmarkStart w:id="4562" w:name="_Toc509322579"/>
      <w:bookmarkStart w:id="4563" w:name="_Toc509323081"/>
      <w:bookmarkStart w:id="4564" w:name="_Toc509323454"/>
      <w:bookmarkStart w:id="4565" w:name="_Toc509323778"/>
      <w:bookmarkStart w:id="4566" w:name="_Toc509324102"/>
      <w:bookmarkStart w:id="4567" w:name="_Toc509324426"/>
      <w:bookmarkStart w:id="4568" w:name="_Toc509324795"/>
      <w:bookmarkStart w:id="4569" w:name="_Toc509325164"/>
      <w:bookmarkStart w:id="4570" w:name="_Toc509325533"/>
      <w:bookmarkStart w:id="4571" w:name="_Toc509325902"/>
      <w:bookmarkStart w:id="4572" w:name="_Toc509326277"/>
      <w:bookmarkStart w:id="4573" w:name="_Toc509326652"/>
      <w:bookmarkStart w:id="4574" w:name="_Toc509327027"/>
      <w:bookmarkStart w:id="4575" w:name="_Toc509327343"/>
      <w:bookmarkStart w:id="4576" w:name="_Toc509327718"/>
      <w:bookmarkStart w:id="4577" w:name="_Toc509328093"/>
      <w:bookmarkStart w:id="4578" w:name="_Toc509332885"/>
      <w:bookmarkStart w:id="4579" w:name="_Toc509333298"/>
      <w:bookmarkStart w:id="4580" w:name="_Toc509333711"/>
      <w:bookmarkStart w:id="4581" w:name="_Toc509335114"/>
      <w:bookmarkStart w:id="4582" w:name="_Toc509335624"/>
      <w:bookmarkStart w:id="4583" w:name="_Toc509336555"/>
      <w:bookmarkStart w:id="4584" w:name="_Toc509336987"/>
      <w:bookmarkStart w:id="4585" w:name="_Toc509337414"/>
      <w:bookmarkStart w:id="4586" w:name="_Toc509337841"/>
      <w:bookmarkStart w:id="4587" w:name="_Toc509338171"/>
      <w:bookmarkStart w:id="4588" w:name="_Toc509382712"/>
      <w:bookmarkStart w:id="4589" w:name="_Toc509383144"/>
      <w:bookmarkStart w:id="4590" w:name="_Toc509384023"/>
      <w:bookmarkStart w:id="4591" w:name="_Toc509404695"/>
      <w:bookmarkStart w:id="4592" w:name="_Toc509310756"/>
      <w:bookmarkStart w:id="4593" w:name="_Toc509311151"/>
      <w:bookmarkStart w:id="4594" w:name="_Toc509311552"/>
      <w:bookmarkStart w:id="4595" w:name="_Toc509311990"/>
      <w:bookmarkStart w:id="4596" w:name="_Toc509312416"/>
      <w:bookmarkStart w:id="4597" w:name="_Toc509312755"/>
      <w:bookmarkStart w:id="4598" w:name="_Toc509313096"/>
      <w:bookmarkStart w:id="4599" w:name="_Toc509313498"/>
      <w:bookmarkStart w:id="4600" w:name="_Toc509316935"/>
      <w:bookmarkStart w:id="4601" w:name="_Toc509317248"/>
      <w:bookmarkStart w:id="4602" w:name="_Toc509317540"/>
      <w:bookmarkStart w:id="4603" w:name="_Toc509317853"/>
      <w:bookmarkStart w:id="4604" w:name="_Toc509318166"/>
      <w:bookmarkStart w:id="4605" w:name="_Toc509319152"/>
      <w:bookmarkStart w:id="4606" w:name="_Toc509319514"/>
      <w:bookmarkStart w:id="4607" w:name="_Toc509320288"/>
      <w:bookmarkStart w:id="4608" w:name="_Toc509322257"/>
      <w:bookmarkStart w:id="4609" w:name="_Toc509322581"/>
      <w:bookmarkStart w:id="4610" w:name="_Toc509323083"/>
      <w:bookmarkStart w:id="4611" w:name="_Toc509323456"/>
      <w:bookmarkStart w:id="4612" w:name="_Toc509323780"/>
      <w:bookmarkStart w:id="4613" w:name="_Toc509324104"/>
      <w:bookmarkStart w:id="4614" w:name="_Toc509324428"/>
      <w:bookmarkStart w:id="4615" w:name="_Toc509324797"/>
      <w:bookmarkStart w:id="4616" w:name="_Toc509325166"/>
      <w:bookmarkStart w:id="4617" w:name="_Toc509325535"/>
      <w:bookmarkStart w:id="4618" w:name="_Toc509325904"/>
      <w:bookmarkStart w:id="4619" w:name="_Toc509326279"/>
      <w:bookmarkStart w:id="4620" w:name="_Toc509326654"/>
      <w:bookmarkStart w:id="4621" w:name="_Toc509327029"/>
      <w:bookmarkStart w:id="4622" w:name="_Toc509327345"/>
      <w:bookmarkStart w:id="4623" w:name="_Toc509327720"/>
      <w:bookmarkStart w:id="4624" w:name="_Toc509328095"/>
      <w:bookmarkStart w:id="4625" w:name="_Toc509332887"/>
      <w:bookmarkStart w:id="4626" w:name="_Toc509333300"/>
      <w:bookmarkStart w:id="4627" w:name="_Toc509333713"/>
      <w:bookmarkStart w:id="4628" w:name="_Toc509335116"/>
      <w:bookmarkStart w:id="4629" w:name="_Toc509335626"/>
      <w:bookmarkStart w:id="4630" w:name="_Toc509336557"/>
      <w:bookmarkStart w:id="4631" w:name="_Toc509336989"/>
      <w:bookmarkStart w:id="4632" w:name="_Toc509337416"/>
      <w:bookmarkStart w:id="4633" w:name="_Toc509337843"/>
      <w:bookmarkStart w:id="4634" w:name="_Toc509338173"/>
      <w:bookmarkStart w:id="4635" w:name="_Toc509382714"/>
      <w:bookmarkStart w:id="4636" w:name="_Toc509383146"/>
      <w:bookmarkStart w:id="4637" w:name="_Toc509384025"/>
      <w:bookmarkStart w:id="4638" w:name="_Toc509404697"/>
      <w:bookmarkStart w:id="4639" w:name="_Toc509310757"/>
      <w:bookmarkStart w:id="4640" w:name="_Toc509311152"/>
      <w:bookmarkStart w:id="4641" w:name="_Toc509311553"/>
      <w:bookmarkStart w:id="4642" w:name="_Toc509311991"/>
      <w:bookmarkStart w:id="4643" w:name="_Toc509312417"/>
      <w:bookmarkStart w:id="4644" w:name="_Toc509312756"/>
      <w:bookmarkStart w:id="4645" w:name="_Toc509313097"/>
      <w:bookmarkStart w:id="4646" w:name="_Toc509313499"/>
      <w:bookmarkStart w:id="4647" w:name="_Toc509316936"/>
      <w:bookmarkStart w:id="4648" w:name="_Toc509317249"/>
      <w:bookmarkStart w:id="4649" w:name="_Toc509317541"/>
      <w:bookmarkStart w:id="4650" w:name="_Toc509317854"/>
      <w:bookmarkStart w:id="4651" w:name="_Toc509318167"/>
      <w:bookmarkStart w:id="4652" w:name="_Toc509319153"/>
      <w:bookmarkStart w:id="4653" w:name="_Toc509319515"/>
      <w:bookmarkStart w:id="4654" w:name="_Toc509320289"/>
      <w:bookmarkStart w:id="4655" w:name="_Toc509322258"/>
      <w:bookmarkStart w:id="4656" w:name="_Toc509322582"/>
      <w:bookmarkStart w:id="4657" w:name="_Toc509323084"/>
      <w:bookmarkStart w:id="4658" w:name="_Toc509323457"/>
      <w:bookmarkStart w:id="4659" w:name="_Toc509323781"/>
      <w:bookmarkStart w:id="4660" w:name="_Toc509324105"/>
      <w:bookmarkStart w:id="4661" w:name="_Toc509324429"/>
      <w:bookmarkStart w:id="4662" w:name="_Toc509324798"/>
      <w:bookmarkStart w:id="4663" w:name="_Toc509325167"/>
      <w:bookmarkStart w:id="4664" w:name="_Toc509325536"/>
      <w:bookmarkStart w:id="4665" w:name="_Toc509325905"/>
      <w:bookmarkStart w:id="4666" w:name="_Toc509326280"/>
      <w:bookmarkStart w:id="4667" w:name="_Toc509326655"/>
      <w:bookmarkStart w:id="4668" w:name="_Toc509327030"/>
      <w:bookmarkStart w:id="4669" w:name="_Toc509327346"/>
      <w:bookmarkStart w:id="4670" w:name="_Toc509327721"/>
      <w:bookmarkStart w:id="4671" w:name="_Toc509328096"/>
      <w:bookmarkStart w:id="4672" w:name="_Toc509332888"/>
      <w:bookmarkStart w:id="4673" w:name="_Toc509333301"/>
      <w:bookmarkStart w:id="4674" w:name="_Toc509333714"/>
      <w:bookmarkStart w:id="4675" w:name="_Toc509335117"/>
      <w:bookmarkStart w:id="4676" w:name="_Toc509335627"/>
      <w:bookmarkStart w:id="4677" w:name="_Toc509336558"/>
      <w:bookmarkStart w:id="4678" w:name="_Toc509336990"/>
      <w:bookmarkStart w:id="4679" w:name="_Toc509337417"/>
      <w:bookmarkStart w:id="4680" w:name="_Toc509337844"/>
      <w:bookmarkStart w:id="4681" w:name="_Toc509338174"/>
      <w:bookmarkStart w:id="4682" w:name="_Toc509382715"/>
      <w:bookmarkStart w:id="4683" w:name="_Toc509383147"/>
      <w:bookmarkStart w:id="4684" w:name="_Toc509384026"/>
      <w:bookmarkStart w:id="4685" w:name="_Toc509404698"/>
      <w:bookmarkStart w:id="4686" w:name="_Toc509310758"/>
      <w:bookmarkStart w:id="4687" w:name="_Toc509311153"/>
      <w:bookmarkStart w:id="4688" w:name="_Toc509311554"/>
      <w:bookmarkStart w:id="4689" w:name="_Toc509311992"/>
      <w:bookmarkStart w:id="4690" w:name="_Toc509312418"/>
      <w:bookmarkStart w:id="4691" w:name="_Toc509312757"/>
      <w:bookmarkStart w:id="4692" w:name="_Toc509313098"/>
      <w:bookmarkStart w:id="4693" w:name="_Toc509313500"/>
      <w:bookmarkStart w:id="4694" w:name="_Toc509316937"/>
      <w:bookmarkStart w:id="4695" w:name="_Toc509317250"/>
      <w:bookmarkStart w:id="4696" w:name="_Toc509317542"/>
      <w:bookmarkStart w:id="4697" w:name="_Toc509317855"/>
      <w:bookmarkStart w:id="4698" w:name="_Toc509318168"/>
      <w:bookmarkStart w:id="4699" w:name="_Toc509319154"/>
      <w:bookmarkStart w:id="4700" w:name="_Toc509319516"/>
      <w:bookmarkStart w:id="4701" w:name="_Toc509320290"/>
      <w:bookmarkStart w:id="4702" w:name="_Toc509322259"/>
      <w:bookmarkStart w:id="4703" w:name="_Toc509322583"/>
      <w:bookmarkStart w:id="4704" w:name="_Toc509323085"/>
      <w:bookmarkStart w:id="4705" w:name="_Toc509323458"/>
      <w:bookmarkStart w:id="4706" w:name="_Toc509323782"/>
      <w:bookmarkStart w:id="4707" w:name="_Toc509324106"/>
      <w:bookmarkStart w:id="4708" w:name="_Toc509324430"/>
      <w:bookmarkStart w:id="4709" w:name="_Toc509324799"/>
      <w:bookmarkStart w:id="4710" w:name="_Toc509325168"/>
      <w:bookmarkStart w:id="4711" w:name="_Toc509325537"/>
      <w:bookmarkStart w:id="4712" w:name="_Toc509325906"/>
      <w:bookmarkStart w:id="4713" w:name="_Toc509326281"/>
      <w:bookmarkStart w:id="4714" w:name="_Toc509326656"/>
      <w:bookmarkStart w:id="4715" w:name="_Toc509327031"/>
      <w:bookmarkStart w:id="4716" w:name="_Toc509327347"/>
      <w:bookmarkStart w:id="4717" w:name="_Toc509327722"/>
      <w:bookmarkStart w:id="4718" w:name="_Toc509328097"/>
      <w:bookmarkStart w:id="4719" w:name="_Toc509332889"/>
      <w:bookmarkStart w:id="4720" w:name="_Toc509333302"/>
      <w:bookmarkStart w:id="4721" w:name="_Toc509333715"/>
      <w:bookmarkStart w:id="4722" w:name="_Toc509335118"/>
      <w:bookmarkStart w:id="4723" w:name="_Toc509335628"/>
      <w:bookmarkStart w:id="4724" w:name="_Toc509336559"/>
      <w:bookmarkStart w:id="4725" w:name="_Toc509336991"/>
      <w:bookmarkStart w:id="4726" w:name="_Toc509337418"/>
      <w:bookmarkStart w:id="4727" w:name="_Toc509337845"/>
      <w:bookmarkStart w:id="4728" w:name="_Toc509338175"/>
      <w:bookmarkStart w:id="4729" w:name="_Toc509382716"/>
      <w:bookmarkStart w:id="4730" w:name="_Toc509383148"/>
      <w:bookmarkStart w:id="4731" w:name="_Toc509384027"/>
      <w:bookmarkStart w:id="4732" w:name="_Toc509404699"/>
      <w:bookmarkStart w:id="4733" w:name="_Toc509310759"/>
      <w:bookmarkStart w:id="4734" w:name="_Toc509311154"/>
      <w:bookmarkStart w:id="4735" w:name="_Toc509311555"/>
      <w:bookmarkStart w:id="4736" w:name="_Toc509311993"/>
      <w:bookmarkStart w:id="4737" w:name="_Toc509312419"/>
      <w:bookmarkStart w:id="4738" w:name="_Toc509312758"/>
      <w:bookmarkStart w:id="4739" w:name="_Toc509313099"/>
      <w:bookmarkStart w:id="4740" w:name="_Toc509313501"/>
      <w:bookmarkStart w:id="4741" w:name="_Toc509316938"/>
      <w:bookmarkStart w:id="4742" w:name="_Toc509317251"/>
      <w:bookmarkStart w:id="4743" w:name="_Toc509317543"/>
      <w:bookmarkStart w:id="4744" w:name="_Toc509317856"/>
      <w:bookmarkStart w:id="4745" w:name="_Toc509318169"/>
      <w:bookmarkStart w:id="4746" w:name="_Toc509319155"/>
      <w:bookmarkStart w:id="4747" w:name="_Toc509319517"/>
      <w:bookmarkStart w:id="4748" w:name="_Toc509320291"/>
      <w:bookmarkStart w:id="4749" w:name="_Toc509322260"/>
      <w:bookmarkStart w:id="4750" w:name="_Toc509322584"/>
      <w:bookmarkStart w:id="4751" w:name="_Toc509323086"/>
      <w:bookmarkStart w:id="4752" w:name="_Toc509323459"/>
      <w:bookmarkStart w:id="4753" w:name="_Toc509323783"/>
      <w:bookmarkStart w:id="4754" w:name="_Toc509324107"/>
      <w:bookmarkStart w:id="4755" w:name="_Toc509324431"/>
      <w:bookmarkStart w:id="4756" w:name="_Toc509324800"/>
      <w:bookmarkStart w:id="4757" w:name="_Toc509325169"/>
      <w:bookmarkStart w:id="4758" w:name="_Toc509325538"/>
      <w:bookmarkStart w:id="4759" w:name="_Toc509325907"/>
      <w:bookmarkStart w:id="4760" w:name="_Toc509326282"/>
      <w:bookmarkStart w:id="4761" w:name="_Toc509326657"/>
      <w:bookmarkStart w:id="4762" w:name="_Toc509327032"/>
      <w:bookmarkStart w:id="4763" w:name="_Toc509327348"/>
      <w:bookmarkStart w:id="4764" w:name="_Toc509327723"/>
      <w:bookmarkStart w:id="4765" w:name="_Toc509328098"/>
      <w:bookmarkStart w:id="4766" w:name="_Toc509332890"/>
      <w:bookmarkStart w:id="4767" w:name="_Toc509333303"/>
      <w:bookmarkStart w:id="4768" w:name="_Toc509333716"/>
      <w:bookmarkStart w:id="4769" w:name="_Toc509335119"/>
      <w:bookmarkStart w:id="4770" w:name="_Toc509335629"/>
      <w:bookmarkStart w:id="4771" w:name="_Toc509336560"/>
      <w:bookmarkStart w:id="4772" w:name="_Toc509336992"/>
      <w:bookmarkStart w:id="4773" w:name="_Toc509337419"/>
      <w:bookmarkStart w:id="4774" w:name="_Toc509337846"/>
      <w:bookmarkStart w:id="4775" w:name="_Toc509338176"/>
      <w:bookmarkStart w:id="4776" w:name="_Toc509382717"/>
      <w:bookmarkStart w:id="4777" w:name="_Toc509383149"/>
      <w:bookmarkStart w:id="4778" w:name="_Toc509384028"/>
      <w:bookmarkStart w:id="4779" w:name="_Toc509404700"/>
      <w:bookmarkStart w:id="4780" w:name="_Toc509310760"/>
      <w:bookmarkStart w:id="4781" w:name="_Toc509311155"/>
      <w:bookmarkStart w:id="4782" w:name="_Toc509311556"/>
      <w:bookmarkStart w:id="4783" w:name="_Toc509311994"/>
      <w:bookmarkStart w:id="4784" w:name="_Toc509312420"/>
      <w:bookmarkStart w:id="4785" w:name="_Toc509312759"/>
      <w:bookmarkStart w:id="4786" w:name="_Toc509313100"/>
      <w:bookmarkStart w:id="4787" w:name="_Toc509313502"/>
      <w:bookmarkStart w:id="4788" w:name="_Toc509316939"/>
      <w:bookmarkStart w:id="4789" w:name="_Toc509317252"/>
      <w:bookmarkStart w:id="4790" w:name="_Toc509317544"/>
      <w:bookmarkStart w:id="4791" w:name="_Toc509317857"/>
      <w:bookmarkStart w:id="4792" w:name="_Toc509318170"/>
      <w:bookmarkStart w:id="4793" w:name="_Toc509319156"/>
      <w:bookmarkStart w:id="4794" w:name="_Toc509319518"/>
      <w:bookmarkStart w:id="4795" w:name="_Toc509320292"/>
      <w:bookmarkStart w:id="4796" w:name="_Toc509322261"/>
      <w:bookmarkStart w:id="4797" w:name="_Toc509322585"/>
      <w:bookmarkStart w:id="4798" w:name="_Toc509323087"/>
      <w:bookmarkStart w:id="4799" w:name="_Toc509323460"/>
      <w:bookmarkStart w:id="4800" w:name="_Toc509323784"/>
      <w:bookmarkStart w:id="4801" w:name="_Toc509324108"/>
      <w:bookmarkStart w:id="4802" w:name="_Toc509324432"/>
      <w:bookmarkStart w:id="4803" w:name="_Toc509324801"/>
      <w:bookmarkStart w:id="4804" w:name="_Toc509325170"/>
      <w:bookmarkStart w:id="4805" w:name="_Toc509325539"/>
      <w:bookmarkStart w:id="4806" w:name="_Toc509325908"/>
      <w:bookmarkStart w:id="4807" w:name="_Toc509326283"/>
      <w:bookmarkStart w:id="4808" w:name="_Toc509326658"/>
      <w:bookmarkStart w:id="4809" w:name="_Toc509327033"/>
      <w:bookmarkStart w:id="4810" w:name="_Toc509327349"/>
      <w:bookmarkStart w:id="4811" w:name="_Toc509327724"/>
      <w:bookmarkStart w:id="4812" w:name="_Toc509328099"/>
      <w:bookmarkStart w:id="4813" w:name="_Toc509332891"/>
      <w:bookmarkStart w:id="4814" w:name="_Toc509333304"/>
      <w:bookmarkStart w:id="4815" w:name="_Toc509333717"/>
      <w:bookmarkStart w:id="4816" w:name="_Toc509335120"/>
      <w:bookmarkStart w:id="4817" w:name="_Toc509335630"/>
      <w:bookmarkStart w:id="4818" w:name="_Toc509336561"/>
      <w:bookmarkStart w:id="4819" w:name="_Toc509336993"/>
      <w:bookmarkStart w:id="4820" w:name="_Toc509337420"/>
      <w:bookmarkStart w:id="4821" w:name="_Toc509337847"/>
      <w:bookmarkStart w:id="4822" w:name="_Toc509338177"/>
      <w:bookmarkStart w:id="4823" w:name="_Toc509382718"/>
      <w:bookmarkStart w:id="4824" w:name="_Toc509383150"/>
      <w:bookmarkStart w:id="4825" w:name="_Toc509384029"/>
      <w:bookmarkStart w:id="4826" w:name="_Toc509404701"/>
      <w:bookmarkStart w:id="4827" w:name="_Toc509131651"/>
      <w:bookmarkStart w:id="4828" w:name="_Toc509131652"/>
      <w:bookmarkStart w:id="4829" w:name="_Toc509131653"/>
      <w:bookmarkStart w:id="4830" w:name="_Toc509131654"/>
      <w:bookmarkStart w:id="4831" w:name="_Toc509131655"/>
      <w:bookmarkStart w:id="4832" w:name="_Toc509131656"/>
      <w:bookmarkStart w:id="4833" w:name="_Toc509131657"/>
      <w:bookmarkStart w:id="4834" w:name="_Toc509131658"/>
      <w:bookmarkStart w:id="4835" w:name="_Toc509131659"/>
      <w:bookmarkStart w:id="4836" w:name="_Toc509310768"/>
      <w:bookmarkStart w:id="4837" w:name="_Toc509311163"/>
      <w:bookmarkStart w:id="4838" w:name="_Toc509311564"/>
      <w:bookmarkStart w:id="4839" w:name="_Toc509312002"/>
      <w:bookmarkStart w:id="4840" w:name="_Toc509312428"/>
      <w:bookmarkStart w:id="4841" w:name="_Toc509312767"/>
      <w:bookmarkStart w:id="4842" w:name="_Toc509313108"/>
      <w:bookmarkStart w:id="4843" w:name="_Toc509313510"/>
      <w:bookmarkStart w:id="4844" w:name="_Toc509316947"/>
      <w:bookmarkStart w:id="4845" w:name="_Toc509317260"/>
      <w:bookmarkStart w:id="4846" w:name="_Toc509317552"/>
      <w:bookmarkStart w:id="4847" w:name="_Toc509317865"/>
      <w:bookmarkStart w:id="4848" w:name="_Toc509318178"/>
      <w:bookmarkStart w:id="4849" w:name="_Toc509319164"/>
      <w:bookmarkStart w:id="4850" w:name="_Toc509319526"/>
      <w:bookmarkStart w:id="4851" w:name="_Toc509320300"/>
      <w:bookmarkStart w:id="4852" w:name="_Toc509322269"/>
      <w:bookmarkStart w:id="4853" w:name="_Toc509322593"/>
      <w:bookmarkStart w:id="4854" w:name="_Toc509323095"/>
      <w:bookmarkStart w:id="4855" w:name="_Toc509323468"/>
      <w:bookmarkStart w:id="4856" w:name="_Toc509323792"/>
      <w:bookmarkStart w:id="4857" w:name="_Toc509324116"/>
      <w:bookmarkStart w:id="4858" w:name="_Toc509324440"/>
      <w:bookmarkStart w:id="4859" w:name="_Toc509324809"/>
      <w:bookmarkStart w:id="4860" w:name="_Toc509325178"/>
      <w:bookmarkStart w:id="4861" w:name="_Toc509325547"/>
      <w:bookmarkStart w:id="4862" w:name="_Toc509325916"/>
      <w:bookmarkStart w:id="4863" w:name="_Toc509326291"/>
      <w:bookmarkStart w:id="4864" w:name="_Toc509326666"/>
      <w:bookmarkStart w:id="4865" w:name="_Toc509327041"/>
      <w:bookmarkStart w:id="4866" w:name="_Toc509327357"/>
      <w:bookmarkStart w:id="4867" w:name="_Toc509327732"/>
      <w:bookmarkStart w:id="4868" w:name="_Toc509328107"/>
      <w:bookmarkStart w:id="4869" w:name="_Toc509332899"/>
      <w:bookmarkStart w:id="4870" w:name="_Toc509333312"/>
      <w:bookmarkStart w:id="4871" w:name="_Toc509333725"/>
      <w:bookmarkStart w:id="4872" w:name="_Toc509335128"/>
      <w:bookmarkStart w:id="4873" w:name="_Toc509335638"/>
      <w:bookmarkStart w:id="4874" w:name="_Toc509336569"/>
      <w:bookmarkStart w:id="4875" w:name="_Toc509337001"/>
      <w:bookmarkStart w:id="4876" w:name="_Toc509337428"/>
      <w:bookmarkStart w:id="4877" w:name="_Toc509337855"/>
      <w:bookmarkStart w:id="4878" w:name="_Toc509338185"/>
      <w:bookmarkStart w:id="4879" w:name="_Toc509382726"/>
      <w:bookmarkStart w:id="4880" w:name="_Toc509383158"/>
      <w:bookmarkStart w:id="4881" w:name="_Toc509384037"/>
      <w:bookmarkStart w:id="4882" w:name="_Toc509404709"/>
      <w:bookmarkStart w:id="4883" w:name="_Toc510206800"/>
      <w:bookmarkStart w:id="4884" w:name="_Toc510207593"/>
      <w:bookmarkStart w:id="4885" w:name="_Toc510517532"/>
      <w:bookmarkStart w:id="4886" w:name="_Toc510593480"/>
      <w:bookmarkStart w:id="4887" w:name="_Toc510593857"/>
      <w:bookmarkStart w:id="4888" w:name="_Toc510606479"/>
      <w:bookmarkStart w:id="4889" w:name="_Toc510606903"/>
      <w:bookmarkStart w:id="4890" w:name="_Toc510609565"/>
      <w:bookmarkStart w:id="4891" w:name="_Toc510612647"/>
      <w:bookmarkStart w:id="4892" w:name="_Toc510615419"/>
      <w:bookmarkStart w:id="4893" w:name="_Toc510616601"/>
      <w:bookmarkStart w:id="4894" w:name="_Toc510206801"/>
      <w:bookmarkStart w:id="4895" w:name="_Toc510207594"/>
      <w:bookmarkStart w:id="4896" w:name="_Toc510517533"/>
      <w:bookmarkStart w:id="4897" w:name="_Toc510593481"/>
      <w:bookmarkStart w:id="4898" w:name="_Toc510593858"/>
      <w:bookmarkStart w:id="4899" w:name="_Toc510606480"/>
      <w:bookmarkStart w:id="4900" w:name="_Toc510606904"/>
      <w:bookmarkStart w:id="4901" w:name="_Toc510609566"/>
      <w:bookmarkStart w:id="4902" w:name="_Toc510612648"/>
      <w:bookmarkStart w:id="4903" w:name="_Toc510615420"/>
      <w:bookmarkStart w:id="4904" w:name="_Toc510616602"/>
      <w:bookmarkStart w:id="4905" w:name="_Toc510206803"/>
      <w:bookmarkStart w:id="4906" w:name="_Toc510207596"/>
      <w:bookmarkStart w:id="4907" w:name="_Toc510517535"/>
      <w:bookmarkStart w:id="4908" w:name="_Toc510593483"/>
      <w:bookmarkStart w:id="4909" w:name="_Toc510593860"/>
      <w:bookmarkStart w:id="4910" w:name="_Toc510606482"/>
      <w:bookmarkStart w:id="4911" w:name="_Toc510606906"/>
      <w:bookmarkStart w:id="4912" w:name="_Toc510609568"/>
      <w:bookmarkStart w:id="4913" w:name="_Toc510612650"/>
      <w:bookmarkStart w:id="4914" w:name="_Toc510615422"/>
      <w:bookmarkStart w:id="4915" w:name="_Toc510616604"/>
      <w:bookmarkStart w:id="4916" w:name="_Toc510206804"/>
      <w:bookmarkStart w:id="4917" w:name="_Toc510207597"/>
      <w:bookmarkStart w:id="4918" w:name="_Toc510517536"/>
      <w:bookmarkStart w:id="4919" w:name="_Toc510593484"/>
      <w:bookmarkStart w:id="4920" w:name="_Toc510593861"/>
      <w:bookmarkStart w:id="4921" w:name="_Toc510606483"/>
      <w:bookmarkStart w:id="4922" w:name="_Toc510606907"/>
      <w:bookmarkStart w:id="4923" w:name="_Toc510609569"/>
      <w:bookmarkStart w:id="4924" w:name="_Toc510612651"/>
      <w:bookmarkStart w:id="4925" w:name="_Toc510615423"/>
      <w:bookmarkStart w:id="4926" w:name="_Toc510616605"/>
      <w:bookmarkStart w:id="4927" w:name="_Toc509316949"/>
      <w:bookmarkStart w:id="4928" w:name="_Toc510206807"/>
      <w:bookmarkStart w:id="4929" w:name="_Toc510207600"/>
      <w:bookmarkStart w:id="4930" w:name="_Toc510517539"/>
      <w:bookmarkStart w:id="4931" w:name="_Toc510593487"/>
      <w:bookmarkStart w:id="4932" w:name="_Toc510593864"/>
      <w:bookmarkStart w:id="4933" w:name="_Toc510606486"/>
      <w:bookmarkStart w:id="4934" w:name="_Toc510606910"/>
      <w:bookmarkStart w:id="4935" w:name="_Toc510609572"/>
      <w:bookmarkStart w:id="4936" w:name="_Toc510612654"/>
      <w:bookmarkStart w:id="4937" w:name="_Toc510615426"/>
      <w:bookmarkStart w:id="4938" w:name="_Toc510616608"/>
      <w:bookmarkStart w:id="4939" w:name="_Toc510206808"/>
      <w:bookmarkStart w:id="4940" w:name="_Toc510207601"/>
      <w:bookmarkStart w:id="4941" w:name="_Toc510517540"/>
      <w:bookmarkStart w:id="4942" w:name="_Toc510593488"/>
      <w:bookmarkStart w:id="4943" w:name="_Toc510593865"/>
      <w:bookmarkStart w:id="4944" w:name="_Toc510606487"/>
      <w:bookmarkStart w:id="4945" w:name="_Toc510606911"/>
      <w:bookmarkStart w:id="4946" w:name="_Toc510608378"/>
      <w:bookmarkStart w:id="4947" w:name="_Toc510609341"/>
      <w:bookmarkStart w:id="4948" w:name="_Toc510609573"/>
      <w:bookmarkStart w:id="4949" w:name="_Toc510610326"/>
      <w:bookmarkStart w:id="4950" w:name="_Toc510612655"/>
      <w:bookmarkStart w:id="4951" w:name="_Toc510615427"/>
      <w:bookmarkStart w:id="4952" w:name="_Toc510616609"/>
      <w:bookmarkStart w:id="4953" w:name="_Toc509317262"/>
      <w:bookmarkStart w:id="4954" w:name="_Toc509317554"/>
      <w:bookmarkStart w:id="4955" w:name="_Toc509317867"/>
      <w:bookmarkStart w:id="4956" w:name="_Toc509318180"/>
      <w:bookmarkStart w:id="4957" w:name="_Toc509319166"/>
      <w:bookmarkStart w:id="4958" w:name="_Toc509319528"/>
      <w:bookmarkStart w:id="4959" w:name="_Toc509320302"/>
      <w:bookmarkStart w:id="4960" w:name="_Toc509322271"/>
      <w:bookmarkStart w:id="4961" w:name="_Toc509322595"/>
      <w:bookmarkStart w:id="4962" w:name="_Toc509323097"/>
      <w:bookmarkStart w:id="4963" w:name="_Toc509323470"/>
      <w:bookmarkStart w:id="4964" w:name="_Toc509323794"/>
      <w:bookmarkStart w:id="4965" w:name="_Toc509324118"/>
      <w:bookmarkStart w:id="4966" w:name="_Toc509324442"/>
      <w:bookmarkStart w:id="4967" w:name="_Toc509324811"/>
      <w:bookmarkStart w:id="4968" w:name="_Toc509325180"/>
      <w:bookmarkStart w:id="4969" w:name="_Toc509325549"/>
      <w:bookmarkStart w:id="4970" w:name="_Toc509325918"/>
      <w:bookmarkStart w:id="4971" w:name="_Toc509326293"/>
      <w:bookmarkStart w:id="4972" w:name="_Toc509326668"/>
      <w:bookmarkStart w:id="4973" w:name="_Toc509327043"/>
      <w:bookmarkStart w:id="4974" w:name="_Toc509327359"/>
      <w:bookmarkStart w:id="4975" w:name="_Toc509327734"/>
      <w:bookmarkStart w:id="4976" w:name="_Toc509328109"/>
      <w:bookmarkStart w:id="4977" w:name="_Toc509332901"/>
      <w:bookmarkStart w:id="4978" w:name="_Toc509333314"/>
      <w:bookmarkStart w:id="4979" w:name="_Toc509333727"/>
      <w:bookmarkStart w:id="4980" w:name="_Toc509335130"/>
      <w:bookmarkStart w:id="4981" w:name="_Toc509335640"/>
      <w:bookmarkStart w:id="4982" w:name="_Toc509336571"/>
      <w:bookmarkStart w:id="4983" w:name="_Toc509337003"/>
      <w:bookmarkStart w:id="4984" w:name="_Toc509337430"/>
      <w:bookmarkStart w:id="4985" w:name="_Toc509337857"/>
      <w:bookmarkStart w:id="4986" w:name="_Toc509338187"/>
      <w:bookmarkStart w:id="4987" w:name="_Toc509382728"/>
      <w:bookmarkStart w:id="4988" w:name="_Toc509383160"/>
      <w:bookmarkStart w:id="4989" w:name="_Toc509384039"/>
      <w:bookmarkStart w:id="4990" w:name="_Toc509404711"/>
      <w:bookmarkStart w:id="4991" w:name="_Toc509316950"/>
      <w:bookmarkStart w:id="4992" w:name="_Toc509317263"/>
      <w:bookmarkStart w:id="4993" w:name="_Toc509317555"/>
      <w:bookmarkStart w:id="4994" w:name="_Toc509317868"/>
      <w:bookmarkStart w:id="4995" w:name="_Toc509318181"/>
      <w:bookmarkStart w:id="4996" w:name="_Toc509319167"/>
      <w:bookmarkStart w:id="4997" w:name="_Toc509319529"/>
      <w:bookmarkStart w:id="4998" w:name="_Toc509320303"/>
      <w:bookmarkStart w:id="4999" w:name="_Toc509322272"/>
      <w:bookmarkStart w:id="5000" w:name="_Toc509322596"/>
      <w:bookmarkStart w:id="5001" w:name="_Toc509323098"/>
      <w:bookmarkStart w:id="5002" w:name="_Toc509323471"/>
      <w:bookmarkStart w:id="5003" w:name="_Toc509323795"/>
      <w:bookmarkStart w:id="5004" w:name="_Toc509324119"/>
      <w:bookmarkStart w:id="5005" w:name="_Toc509324443"/>
      <w:bookmarkStart w:id="5006" w:name="_Toc509324812"/>
      <w:bookmarkStart w:id="5007" w:name="_Toc509325181"/>
      <w:bookmarkStart w:id="5008" w:name="_Toc509325550"/>
      <w:bookmarkStart w:id="5009" w:name="_Toc509325919"/>
      <w:bookmarkStart w:id="5010" w:name="_Toc509326294"/>
      <w:bookmarkStart w:id="5011" w:name="_Toc509326669"/>
      <w:bookmarkStart w:id="5012" w:name="_Toc509327044"/>
      <w:bookmarkStart w:id="5013" w:name="_Toc509327360"/>
      <w:bookmarkStart w:id="5014" w:name="_Toc509327735"/>
      <w:bookmarkStart w:id="5015" w:name="_Toc509328110"/>
      <w:bookmarkStart w:id="5016" w:name="_Toc509332902"/>
      <w:bookmarkStart w:id="5017" w:name="_Toc509333315"/>
      <w:bookmarkStart w:id="5018" w:name="_Toc509333728"/>
      <w:bookmarkStart w:id="5019" w:name="_Toc509335131"/>
      <w:bookmarkStart w:id="5020" w:name="_Toc509335641"/>
      <w:bookmarkStart w:id="5021" w:name="_Toc509336572"/>
      <w:bookmarkStart w:id="5022" w:name="_Toc509337004"/>
      <w:bookmarkStart w:id="5023" w:name="_Toc509337431"/>
      <w:bookmarkStart w:id="5024" w:name="_Toc509337858"/>
      <w:bookmarkStart w:id="5025" w:name="_Toc509338188"/>
      <w:bookmarkStart w:id="5026" w:name="_Toc509382729"/>
      <w:bookmarkStart w:id="5027" w:name="_Toc509383161"/>
      <w:bookmarkStart w:id="5028" w:name="_Toc509384040"/>
      <w:bookmarkStart w:id="5029" w:name="_Toc509404712"/>
      <w:bookmarkStart w:id="5030" w:name="_Toc508287405"/>
      <w:bookmarkStart w:id="5031" w:name="_Toc508724910"/>
      <w:bookmarkStart w:id="5032" w:name="_Toc508733453"/>
      <w:bookmarkStart w:id="5033" w:name="_Toc508735086"/>
      <w:bookmarkStart w:id="5034" w:name="_Toc508809706"/>
      <w:bookmarkStart w:id="5035" w:name="_Toc509069090"/>
      <w:bookmarkStart w:id="5036" w:name="_Toc509313251"/>
      <w:bookmarkStart w:id="5037" w:name="_Toc509323796"/>
      <w:bookmarkStart w:id="5038" w:name="_Toc509327361"/>
      <w:bookmarkStart w:id="5039" w:name="_Toc509332903"/>
      <w:bookmarkStart w:id="5040" w:name="_Toc509334687"/>
      <w:bookmarkStart w:id="5041" w:name="_Toc509337859"/>
      <w:bookmarkStart w:id="5042" w:name="_Toc510517541"/>
      <w:bookmarkStart w:id="5043" w:name="_Toc510612656"/>
      <w:bookmarkStart w:id="5044" w:name="_Toc510683708"/>
      <w:bookmarkStart w:id="5045" w:name="_Toc515348878"/>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r>
        <w:rPr>
          <w:noProof/>
          <w:szCs w:val="24"/>
        </w:rPr>
        <w:t>The objectives</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r>
        <w:rPr>
          <w:noProof/>
          <w:szCs w:val="24"/>
        </w:rPr>
        <w:t xml:space="preserve"> </w:t>
      </w:r>
    </w:p>
    <w:p>
      <w:pPr>
        <w:pStyle w:val="Heading2"/>
        <w:spacing w:line="264" w:lineRule="auto"/>
        <w:rPr>
          <w:noProof/>
          <w:szCs w:val="24"/>
        </w:rPr>
      </w:pPr>
      <w:bookmarkStart w:id="5046" w:name="_Toc514577196"/>
      <w:bookmarkStart w:id="5047" w:name="_Toc514577318"/>
      <w:bookmarkStart w:id="5048" w:name="_Toc510517542"/>
      <w:bookmarkStart w:id="5049" w:name="_Toc510612657"/>
      <w:bookmarkStart w:id="5050" w:name="_Toc510683709"/>
      <w:bookmarkStart w:id="5051" w:name="_Toc515348879"/>
      <w:bookmarkStart w:id="5052" w:name="_Toc508287406"/>
      <w:bookmarkStart w:id="5053" w:name="_Toc509323797"/>
      <w:bookmarkStart w:id="5054" w:name="_Toc509327362"/>
      <w:bookmarkStart w:id="5055" w:name="_Toc509332904"/>
      <w:bookmarkStart w:id="5056" w:name="_Toc509337860"/>
      <w:bookmarkStart w:id="5057" w:name="_Ref509417723"/>
      <w:bookmarkStart w:id="5058" w:name="_Toc508724911"/>
      <w:bookmarkStart w:id="5059" w:name="_Toc508733454"/>
      <w:bookmarkStart w:id="5060" w:name="_Toc508735087"/>
      <w:bookmarkStart w:id="5061" w:name="_Ref508790882"/>
      <w:bookmarkStart w:id="5062" w:name="_Toc508809707"/>
      <w:bookmarkStart w:id="5063" w:name="_Toc509069091"/>
      <w:bookmarkStart w:id="5064" w:name="_Toc509313252"/>
      <w:bookmarkStart w:id="5065" w:name="_Toc509334688"/>
      <w:bookmarkEnd w:id="5046"/>
      <w:bookmarkEnd w:id="5047"/>
      <w:r>
        <w:rPr>
          <w:noProof/>
          <w:szCs w:val="24"/>
        </w:rPr>
        <w:t xml:space="preserve">General objectives of </w:t>
      </w:r>
      <w:bookmarkEnd w:id="5048"/>
      <w:bookmarkEnd w:id="5049"/>
      <w:r>
        <w:rPr>
          <w:noProof/>
          <w:szCs w:val="24"/>
        </w:rPr>
        <w:t>InvestEU Programme</w:t>
      </w:r>
      <w:bookmarkEnd w:id="5050"/>
      <w:bookmarkEnd w:id="5051"/>
    </w:p>
    <w:p>
      <w:pPr>
        <w:spacing w:line="264" w:lineRule="auto"/>
        <w:rPr>
          <w:rFonts w:cs="Times New Roman"/>
          <w:noProof/>
          <w:szCs w:val="24"/>
        </w:rPr>
      </w:pPr>
      <w:r>
        <w:rPr>
          <w:rFonts w:cs="Times New Roman"/>
          <w:noProof/>
          <w:szCs w:val="24"/>
        </w:rPr>
        <w:t xml:space="preserve">As single investment support scheme for internal Union policies, the InvestEU Programme is both a policy instrument and a delivery tool. As a policy instrument, the InvestEU Programme </w:t>
      </w:r>
      <w:r>
        <w:rPr>
          <w:rFonts w:eastAsia="Times New Roman" w:cs="Times New Roman"/>
          <w:iCs/>
          <w:noProof/>
          <w:szCs w:val="24"/>
        </w:rPr>
        <w:t xml:space="preserve">general objective is to </w:t>
      </w:r>
      <w:r>
        <w:rPr>
          <w:rFonts w:cs="Times New Roman"/>
          <w:noProof/>
          <w:szCs w:val="24"/>
        </w:rPr>
        <w:t>support EU policy priorities by financing investment operations that contribute to:</w:t>
      </w:r>
    </w:p>
    <w:p>
      <w:pPr>
        <w:pStyle w:val="Bulet"/>
        <w:spacing w:line="264" w:lineRule="auto"/>
        <w:rPr>
          <w:noProof/>
          <w:szCs w:val="24"/>
        </w:rPr>
      </w:pPr>
      <w:r>
        <w:rPr>
          <w:noProof/>
          <w:szCs w:val="24"/>
        </w:rPr>
        <w:t>the competitiveness of the Union, including innovation and digitisation;</w:t>
      </w:r>
    </w:p>
    <w:p>
      <w:pPr>
        <w:pStyle w:val="Bulet"/>
        <w:spacing w:line="264" w:lineRule="auto"/>
        <w:rPr>
          <w:noProof/>
          <w:szCs w:val="24"/>
        </w:rPr>
      </w:pPr>
      <w:r>
        <w:rPr>
          <w:noProof/>
          <w:szCs w:val="24"/>
        </w:rPr>
        <w:t xml:space="preserve">the sustainability of the Union economy and its growth; </w:t>
      </w:r>
    </w:p>
    <w:p>
      <w:pPr>
        <w:pStyle w:val="Bulet"/>
        <w:spacing w:line="264" w:lineRule="auto"/>
        <w:rPr>
          <w:noProof/>
          <w:szCs w:val="24"/>
        </w:rPr>
      </w:pPr>
      <w:r>
        <w:rPr>
          <w:noProof/>
          <w:szCs w:val="24"/>
        </w:rPr>
        <w:t>the social resilience and inclusiveness of the Union; and</w:t>
      </w:r>
    </w:p>
    <w:p>
      <w:pPr>
        <w:pStyle w:val="Bulet"/>
        <w:spacing w:line="264" w:lineRule="auto"/>
        <w:rPr>
          <w:b/>
          <w:noProof/>
          <w:szCs w:val="24"/>
        </w:rPr>
      </w:pPr>
      <w:r>
        <w:rPr>
          <w:noProof/>
          <w:szCs w:val="24"/>
        </w:rPr>
        <w:t xml:space="preserve">the integration of the Union capital markets and the strengthening of the Single Market, including solutions addressing the fragmentation of the Union capital markets, diversifying sources of financing for Union enterprises and promoting sustainable finance. </w:t>
      </w:r>
    </w:p>
    <w:p>
      <w:pPr>
        <w:spacing w:line="264" w:lineRule="auto"/>
        <w:rPr>
          <w:rFonts w:cs="Times New Roman"/>
          <w:noProof/>
          <w:szCs w:val="24"/>
        </w:rPr>
      </w:pPr>
      <w:r>
        <w:rPr>
          <w:rFonts w:cs="Times New Roman"/>
          <w:noProof/>
          <w:szCs w:val="24"/>
        </w:rPr>
        <w:t>The</w:t>
      </w:r>
      <w:r>
        <w:rPr>
          <w:rFonts w:cs="Times New Roman"/>
          <w:iCs/>
          <w:noProof/>
          <w:szCs w:val="24"/>
        </w:rPr>
        <w:t xml:space="preserve"> objective</w:t>
      </w:r>
      <w:r>
        <w:rPr>
          <w:rFonts w:cs="Times New Roman"/>
          <w:bCs/>
          <w:iCs/>
          <w:noProof/>
          <w:szCs w:val="24"/>
        </w:rPr>
        <w:t xml:space="preserve"> is to mobilise public and private investment operations within the EU </w:t>
      </w:r>
      <w:r>
        <w:rPr>
          <w:rFonts w:cs="Times New Roman"/>
          <w:noProof/>
          <w:szCs w:val="24"/>
        </w:rPr>
        <w:t>addressing market failures and investment gaps that hamper the achievement of</w:t>
      </w:r>
      <w:r>
        <w:rPr>
          <w:rFonts w:eastAsia="MyriadPro-Light" w:cs="Times New Roman"/>
          <w:noProof/>
          <w:szCs w:val="24"/>
        </w:rPr>
        <w:t xml:space="preserve"> EU goals regarding sustainability, competitiveness and inclusive growth</w:t>
      </w:r>
      <w:r>
        <w:rPr>
          <w:rFonts w:cs="Times New Roman"/>
          <w:noProof/>
          <w:szCs w:val="24"/>
        </w:rPr>
        <w:t>. Underpinned by an EU guarantee, the InvestEU Fund will contribute to the modernisation of the EU budget and will increase the impact of the EU budget by "</w:t>
      </w:r>
      <w:r>
        <w:rPr>
          <w:rFonts w:cs="Times New Roman"/>
          <w:i/>
          <w:noProof/>
          <w:szCs w:val="24"/>
        </w:rPr>
        <w:t>doing more with less</w:t>
      </w:r>
      <w:r>
        <w:rPr>
          <w:rFonts w:cs="Times New Roman"/>
          <w:noProof/>
          <w:szCs w:val="24"/>
        </w:rPr>
        <w:t xml:space="preserve">". </w:t>
      </w:r>
    </w:p>
    <w:p>
      <w:pPr>
        <w:spacing w:line="264" w:lineRule="auto"/>
        <w:rPr>
          <w:rFonts w:cs="Times New Roman"/>
          <w:noProof/>
          <w:szCs w:val="24"/>
        </w:rPr>
      </w:pPr>
      <w:r>
        <w:rPr>
          <w:rFonts w:cs="Times New Roman"/>
          <w:noProof/>
          <w:szCs w:val="24"/>
        </w:rPr>
        <w:t xml:space="preserve">The InvestEU Programme should have the capacity to shape the EU strategy to tackle the subdued investment activity in Europe. With this, it should increase the competitiveness of the Union and contribute to the economic growth and job creation. By diversifying the sources of funding and promoting long term and sustainable finance, the InvestEU Programme will contribute to the integration of European capital markets and the strengthening of the Single Market. As an EU wide resource pooling financial, market, technical and policy expertise, the InvestEU Fud shall also be a catalyser for financial innovation at the service of policy objectives. </w:t>
      </w:r>
    </w:p>
    <w:p>
      <w:pPr>
        <w:pStyle w:val="Heading2"/>
        <w:spacing w:line="264" w:lineRule="auto"/>
        <w:rPr>
          <w:noProof/>
          <w:szCs w:val="24"/>
        </w:rPr>
      </w:pPr>
      <w:bookmarkStart w:id="5066" w:name="_Toc515348880"/>
      <w:bookmarkStart w:id="5067" w:name="_Toc510517543"/>
      <w:bookmarkStart w:id="5068" w:name="_Toc510612658"/>
      <w:bookmarkStart w:id="5069" w:name="_Toc510683710"/>
      <w:r>
        <w:rPr>
          <w:noProof/>
          <w:szCs w:val="24"/>
        </w:rPr>
        <w:t>Specific objectives</w:t>
      </w:r>
      <w:bookmarkEnd w:id="5066"/>
      <w:r>
        <w:rPr>
          <w:noProof/>
          <w:szCs w:val="24"/>
        </w:rPr>
        <w:t xml:space="preserve"> </w:t>
      </w:r>
    </w:p>
    <w:p>
      <w:pPr>
        <w:pStyle w:val="Point0"/>
        <w:spacing w:line="264" w:lineRule="auto"/>
        <w:ind w:left="851" w:hanging="851"/>
        <w:jc w:val="both"/>
        <w:rPr>
          <w:noProof/>
        </w:rPr>
      </w:pPr>
      <w:r>
        <w:rPr>
          <w:noProof/>
        </w:rPr>
        <w:t>In particular the InvestEU Programme would aim at the following specific objectives:</w:t>
      </w:r>
    </w:p>
    <w:p>
      <w:pPr>
        <w:pStyle w:val="ListParagraph"/>
        <w:numPr>
          <w:ilvl w:val="0"/>
          <w:numId w:val="55"/>
        </w:numPr>
        <w:spacing w:after="120" w:line="264" w:lineRule="auto"/>
        <w:rPr>
          <w:rFonts w:eastAsia="Times New Roman" w:cs="Times New Roman"/>
          <w:noProof/>
          <w:szCs w:val="24"/>
        </w:rPr>
      </w:pPr>
      <w:r>
        <w:rPr>
          <w:rFonts w:eastAsia="Times New Roman" w:cs="Times New Roman"/>
          <w:noProof/>
          <w:szCs w:val="24"/>
        </w:rPr>
        <w:t>to promote financing and investment operations supporting sustainable infrastructure;</w:t>
      </w:r>
    </w:p>
    <w:p>
      <w:pPr>
        <w:pStyle w:val="ListParagraph"/>
        <w:numPr>
          <w:ilvl w:val="0"/>
          <w:numId w:val="55"/>
        </w:numPr>
        <w:spacing w:after="120" w:line="264" w:lineRule="auto"/>
        <w:rPr>
          <w:rFonts w:eastAsia="Times New Roman" w:cs="Times New Roman"/>
          <w:noProof/>
          <w:szCs w:val="24"/>
        </w:rPr>
      </w:pPr>
      <w:r>
        <w:rPr>
          <w:rFonts w:eastAsia="Times New Roman" w:cs="Times New Roman"/>
          <w:noProof/>
          <w:szCs w:val="24"/>
        </w:rPr>
        <w:t>to promote financing and investment operations supporting research, innovation and digitisation;</w:t>
      </w:r>
    </w:p>
    <w:p>
      <w:pPr>
        <w:pStyle w:val="ListParagraph"/>
        <w:numPr>
          <w:ilvl w:val="0"/>
          <w:numId w:val="55"/>
        </w:numPr>
        <w:spacing w:after="120" w:line="264" w:lineRule="auto"/>
        <w:rPr>
          <w:rFonts w:eastAsia="Times New Roman" w:cs="Times New Roman"/>
          <w:noProof/>
          <w:szCs w:val="24"/>
        </w:rPr>
      </w:pPr>
      <w:r>
        <w:rPr>
          <w:rFonts w:eastAsia="Times New Roman" w:cs="Times New Roman"/>
          <w:noProof/>
          <w:szCs w:val="24"/>
        </w:rPr>
        <w:t>to increase the access to and the availability of finance for SMEs and, in duly justified cases, for small mid-cap companies; and</w:t>
      </w:r>
    </w:p>
    <w:p>
      <w:pPr>
        <w:pStyle w:val="ListParagraph"/>
        <w:numPr>
          <w:ilvl w:val="0"/>
          <w:numId w:val="55"/>
        </w:numPr>
        <w:spacing w:after="120" w:line="264" w:lineRule="auto"/>
        <w:rPr>
          <w:rFonts w:eastAsia="Times New Roman" w:cs="Times New Roman"/>
          <w:bCs/>
          <w:iCs/>
          <w:noProof/>
          <w:szCs w:val="24"/>
        </w:rPr>
      </w:pPr>
      <w:r>
        <w:rPr>
          <w:rFonts w:eastAsia="Times New Roman" w:cs="Times New Roman"/>
          <w:noProof/>
          <w:szCs w:val="24"/>
        </w:rPr>
        <w:t>to increase the access to and the availability of finance to social enterprises, promote financing and investment operations supporting social investment and skills and develop and consolidate social investment markets.</w:t>
      </w:r>
    </w:p>
    <w:p>
      <w:pPr>
        <w:spacing w:after="120" w:line="264" w:lineRule="auto"/>
        <w:rPr>
          <w:rFonts w:eastAsia="Times New Roman" w:cs="Times New Roman"/>
          <w:bCs/>
          <w:iCs/>
          <w:noProof/>
          <w:szCs w:val="24"/>
        </w:rPr>
      </w:pPr>
      <w:r>
        <w:rPr>
          <w:rFonts w:cs="Times New Roman"/>
          <w:noProof/>
          <w:szCs w:val="24"/>
        </w:rPr>
        <w:t>As a delivery tool, the InvestEU Programme aims at implementing financial instruments and budgetary guarantees more efficiently, achieving economies of scale, increasing the visibility of EU action and enhancing the reporting and accountability framework applicable to those instruments.</w:t>
      </w:r>
      <w:r>
        <w:rPr>
          <w:rFonts w:eastAsia="Times New Roman" w:cs="Times New Roman"/>
          <w:bCs/>
          <w:iCs/>
          <w:noProof/>
          <w:szCs w:val="24"/>
        </w:rPr>
        <w:t xml:space="preserve"> The proposed structure aims at simplification, increased flexibility, and removal of potential overlaps between seemingly similar EU support instruments.</w:t>
      </w:r>
    </w:p>
    <w:p>
      <w:pPr>
        <w:spacing w:after="120" w:line="264" w:lineRule="auto"/>
        <w:rPr>
          <w:rFonts w:eastAsia="Times New Roman" w:cs="Times New Roman"/>
          <w:bCs/>
          <w:iCs/>
          <w:noProof/>
          <w:szCs w:val="24"/>
        </w:rPr>
      </w:pPr>
      <w:r>
        <w:rPr>
          <w:rFonts w:eastAsia="Times New Roman" w:cs="Times New Roman"/>
          <w:bCs/>
          <w:iCs/>
          <w:noProof/>
          <w:szCs w:val="24"/>
        </w:rPr>
        <w:t>The InvestEU Programme interventions will be channelled through four thematic policy windows, each one entailing two compartments, one at EU level and one under ESIF, the Member State compartment (see section 3.1,):</w:t>
      </w:r>
    </w:p>
    <w:p>
      <w:pPr>
        <w:pStyle w:val="Bulet"/>
        <w:spacing w:line="264" w:lineRule="auto"/>
        <w:rPr>
          <w:noProof/>
          <w:szCs w:val="24"/>
        </w:rPr>
      </w:pPr>
      <w:r>
        <w:rPr>
          <w:noProof/>
          <w:szCs w:val="24"/>
        </w:rPr>
        <w:t xml:space="preserve">Sustainable infrastructure; </w:t>
      </w:r>
    </w:p>
    <w:p>
      <w:pPr>
        <w:pStyle w:val="Bulet"/>
        <w:spacing w:line="264" w:lineRule="auto"/>
        <w:rPr>
          <w:noProof/>
          <w:szCs w:val="24"/>
        </w:rPr>
      </w:pPr>
      <w:r>
        <w:rPr>
          <w:noProof/>
          <w:szCs w:val="24"/>
        </w:rPr>
        <w:t xml:space="preserve">Research, innovation and digitalisation; </w:t>
      </w:r>
    </w:p>
    <w:p>
      <w:pPr>
        <w:pStyle w:val="Bulet"/>
        <w:spacing w:line="264" w:lineRule="auto"/>
        <w:rPr>
          <w:noProof/>
          <w:szCs w:val="24"/>
        </w:rPr>
      </w:pPr>
      <w:r>
        <w:rPr>
          <w:noProof/>
          <w:szCs w:val="24"/>
        </w:rPr>
        <w:t xml:space="preserve">Small and medium-sized enterprises; and </w:t>
      </w:r>
    </w:p>
    <w:p>
      <w:pPr>
        <w:pStyle w:val="Bulet"/>
        <w:spacing w:line="264" w:lineRule="auto"/>
        <w:rPr>
          <w:noProof/>
          <w:szCs w:val="24"/>
        </w:rPr>
      </w:pPr>
      <w:r>
        <w:rPr>
          <w:noProof/>
          <w:szCs w:val="24"/>
        </w:rPr>
        <w:t xml:space="preserve">Social investment and skills. </w:t>
      </w:r>
    </w:p>
    <w:p>
      <w:pPr>
        <w:spacing w:line="264" w:lineRule="auto"/>
        <w:rPr>
          <w:rFonts w:cs="Times New Roman"/>
          <w:noProof/>
          <w:szCs w:val="24"/>
        </w:rPr>
      </w:pPr>
      <w:r>
        <w:rPr>
          <w:rFonts w:cs="Times New Roman"/>
          <w:noProof/>
          <w:szCs w:val="24"/>
        </w:rPr>
        <w:t>In addition, the InvestEU Programme will include the InvestEU Advisory for project development and advisory support throughout the investment cycle to foster the origination and development of projects. The TA support will be provided in the InvestEU policy areas and will also ensure a single point of access for final beneficiaries including project promoters and intermediaries.</w:t>
      </w:r>
    </w:p>
    <w:bookmarkEnd w:id="5067"/>
    <w:bookmarkEnd w:id="5068"/>
    <w:bookmarkEnd w:id="5069"/>
    <w:p>
      <w:pPr>
        <w:spacing w:line="264" w:lineRule="auto"/>
        <w:rPr>
          <w:rFonts w:cs="Times New Roman"/>
          <w:iCs/>
          <w:noProof/>
          <w:szCs w:val="24"/>
        </w:rPr>
      </w:pPr>
      <w:r>
        <w:rPr>
          <w:rFonts w:cs="Times New Roman"/>
          <w:noProof/>
          <w:szCs w:val="24"/>
        </w:rPr>
        <w:t xml:space="preserve">These general and specific objectives will be taken into account in section 5 (Delivery mechanism) and section 6 (Performance measurement). The above general and specific objectives are translated into </w:t>
      </w:r>
      <w:r>
        <w:rPr>
          <w:rFonts w:cs="Times New Roman"/>
          <w:iCs/>
          <w:noProof/>
          <w:szCs w:val="24"/>
        </w:rPr>
        <w:t>operational objectives for each policy area, as detailed below.</w:t>
      </w:r>
    </w:p>
    <w:p>
      <w:pPr>
        <w:pStyle w:val="Heading3"/>
        <w:spacing w:line="264" w:lineRule="auto"/>
        <w:rPr>
          <w:rFonts w:eastAsia="MS Mincho"/>
          <w:noProof/>
          <w:szCs w:val="24"/>
          <w:lang w:eastAsia="ja-JP"/>
        </w:rPr>
      </w:pPr>
      <w:bookmarkStart w:id="5070" w:name="_Toc514577204"/>
      <w:bookmarkStart w:id="5071" w:name="_Toc514577205"/>
      <w:bookmarkStart w:id="5072" w:name="_Toc514577206"/>
      <w:bookmarkStart w:id="5073" w:name="_Toc514577207"/>
      <w:bookmarkEnd w:id="5070"/>
      <w:bookmarkEnd w:id="5071"/>
      <w:bookmarkEnd w:id="5072"/>
      <w:bookmarkEnd w:id="5073"/>
      <w:r>
        <w:rPr>
          <w:rFonts w:eastAsia="MS Mincho"/>
          <w:noProof/>
          <w:szCs w:val="24"/>
          <w:lang w:eastAsia="ja-JP"/>
        </w:rPr>
        <w:t>Sustainable Infrastructure Window</w:t>
      </w:r>
    </w:p>
    <w:p>
      <w:pPr>
        <w:spacing w:after="120" w:line="264" w:lineRule="auto"/>
        <w:rPr>
          <w:rFonts w:cs="Times New Roman"/>
          <w:bCs/>
          <w:noProof/>
          <w:szCs w:val="24"/>
        </w:rPr>
      </w:pPr>
      <w:r>
        <w:rPr>
          <w:rFonts w:cs="Times New Roman"/>
          <w:bCs/>
          <w:noProof/>
          <w:szCs w:val="24"/>
        </w:rPr>
        <w:t>The objective of the investment support from the InvestEU Fund under this window would be the provision of finance to sustainable infrastructure</w:t>
      </w:r>
      <w:r>
        <w:rPr>
          <w:rStyle w:val="FootnoteReference"/>
          <w:rFonts w:cs="Times New Roman"/>
          <w:bCs/>
          <w:noProof/>
          <w:szCs w:val="24"/>
        </w:rPr>
        <w:footnoteReference w:id="56"/>
      </w:r>
      <w:r>
        <w:rPr>
          <w:rFonts w:cs="Times New Roman"/>
          <w:bCs/>
          <w:noProof/>
          <w:szCs w:val="24"/>
        </w:rPr>
        <w:t xml:space="preserve"> in areas such as transport, energy (including energy efficiency), network infrastructure (smart grids, energy storage, e-mobility), broadband, environmental related sectors (e.g. </w:t>
      </w:r>
      <w:r>
        <w:rPr>
          <w:rFonts w:cs="Times New Roman"/>
          <w:noProof/>
          <w:szCs w:val="24"/>
        </w:rPr>
        <w:t xml:space="preserve">waste, water, air, circular economy), </w:t>
      </w:r>
      <w:r>
        <w:rPr>
          <w:rFonts w:cs="Times New Roman"/>
          <w:bCs/>
          <w:noProof/>
          <w:szCs w:val="24"/>
        </w:rPr>
        <w:t xml:space="preserve">innovative sectors (such as green infrastructure and other natural-capital related projects), and emerging priorities in areas such as urban mobility and digital service (see scoping paper on Sustainable Infrastructure available in Annex 4). </w:t>
      </w:r>
    </w:p>
    <w:p>
      <w:pPr>
        <w:pStyle w:val="Bulet"/>
        <w:numPr>
          <w:ilvl w:val="0"/>
          <w:numId w:val="0"/>
        </w:numPr>
        <w:spacing w:line="264" w:lineRule="auto"/>
        <w:ind w:left="360" w:hanging="360"/>
        <w:rPr>
          <w:noProof/>
          <w:szCs w:val="24"/>
        </w:rPr>
      </w:pPr>
      <w:r>
        <w:rPr>
          <w:noProof/>
          <w:szCs w:val="24"/>
        </w:rPr>
        <w:t xml:space="preserve">Support from the InvestEU Fund under this policy window will: </w:t>
      </w:r>
    </w:p>
    <w:p>
      <w:pPr>
        <w:pStyle w:val="Bulet"/>
        <w:spacing w:line="264" w:lineRule="auto"/>
        <w:rPr>
          <w:noProof/>
          <w:szCs w:val="24"/>
        </w:rPr>
      </w:pPr>
      <w:r>
        <w:rPr>
          <w:noProof/>
          <w:szCs w:val="24"/>
        </w:rPr>
        <w:t>Orient capital flows towards sustainable infrastructure investment, in order to achieve sustainable and inclusive growth</w:t>
      </w:r>
      <w:r>
        <w:rPr>
          <w:rStyle w:val="FootnoteReference"/>
          <w:noProof/>
          <w:szCs w:val="24"/>
        </w:rPr>
        <w:footnoteReference w:id="57"/>
      </w:r>
      <w:r>
        <w:rPr>
          <w:noProof/>
          <w:szCs w:val="24"/>
        </w:rPr>
        <w:t>;</w:t>
      </w:r>
    </w:p>
    <w:p>
      <w:pPr>
        <w:pStyle w:val="Bulet"/>
        <w:spacing w:line="264" w:lineRule="auto"/>
        <w:rPr>
          <w:noProof/>
          <w:szCs w:val="24"/>
        </w:rPr>
      </w:pPr>
      <w:r>
        <w:rPr>
          <w:noProof/>
          <w:szCs w:val="24"/>
        </w:rPr>
        <w:t xml:space="preserve">Stimulate investment needed to respond to the challenge of climate change mitigation and of meeting the greenhouse gas emission reduction commitments by 2030 taken by the EU under the Paris agreement; </w:t>
      </w:r>
    </w:p>
    <w:p>
      <w:pPr>
        <w:pStyle w:val="Bulet"/>
        <w:spacing w:line="264" w:lineRule="auto"/>
        <w:rPr>
          <w:noProof/>
          <w:szCs w:val="24"/>
        </w:rPr>
      </w:pPr>
      <w:r>
        <w:rPr>
          <w:noProof/>
          <w:szCs w:val="24"/>
        </w:rPr>
        <w:t>Contribute to coordinated investments in infrastructure projects involving several Member States (cross-border projects), in particular the financing of trans-European networks;</w:t>
      </w:r>
    </w:p>
    <w:p>
      <w:pPr>
        <w:pStyle w:val="Bulet"/>
        <w:spacing w:line="264" w:lineRule="auto"/>
        <w:rPr>
          <w:noProof/>
          <w:szCs w:val="24"/>
        </w:rPr>
      </w:pPr>
      <w:r>
        <w:rPr>
          <w:noProof/>
          <w:szCs w:val="24"/>
        </w:rPr>
        <w:t>Address emerging market needs, new technological developments and priorities;</w:t>
      </w:r>
    </w:p>
    <w:p>
      <w:pPr>
        <w:pStyle w:val="Bulet"/>
        <w:spacing w:line="264" w:lineRule="auto"/>
        <w:rPr>
          <w:noProof/>
          <w:szCs w:val="24"/>
        </w:rPr>
      </w:pPr>
      <w:r>
        <w:rPr>
          <w:noProof/>
          <w:szCs w:val="24"/>
        </w:rPr>
        <w:t>Promote interoperability;</w:t>
      </w:r>
    </w:p>
    <w:p>
      <w:pPr>
        <w:pStyle w:val="Bulet"/>
        <w:spacing w:line="264" w:lineRule="auto"/>
        <w:rPr>
          <w:noProof/>
          <w:szCs w:val="24"/>
        </w:rPr>
      </w:pPr>
      <w:r>
        <w:rPr>
          <w:noProof/>
          <w:szCs w:val="24"/>
        </w:rPr>
        <w:t>Foster cross-sectoral synergies between energy, transport and digitalisation; and</w:t>
      </w:r>
    </w:p>
    <w:p>
      <w:pPr>
        <w:pStyle w:val="Bulet"/>
        <w:spacing w:line="264" w:lineRule="auto"/>
        <w:rPr>
          <w:noProof/>
          <w:szCs w:val="24"/>
        </w:rPr>
      </w:pPr>
      <w:r>
        <w:rPr>
          <w:noProof/>
          <w:szCs w:val="24"/>
        </w:rPr>
        <w:t>Provide assistance to continue to build more capacity for developing projects, platforms and programmes.</w:t>
      </w:r>
    </w:p>
    <w:p>
      <w:pPr>
        <w:spacing w:before="240" w:after="0" w:line="264" w:lineRule="auto"/>
        <w:rPr>
          <w:rFonts w:cs="Times New Roman"/>
          <w:i/>
          <w:noProof/>
          <w:szCs w:val="24"/>
        </w:rPr>
      </w:pPr>
      <w:r>
        <w:rPr>
          <w:rFonts w:cs="Times New Roman"/>
          <w:i/>
          <w:noProof/>
          <w:szCs w:val="24"/>
        </w:rPr>
        <w:t>Sustainability proofing of infrastructure investments</w:t>
      </w:r>
    </w:p>
    <w:p>
      <w:pPr>
        <w:tabs>
          <w:tab w:val="left" w:pos="426"/>
        </w:tabs>
        <w:spacing w:before="240" w:after="120" w:line="264" w:lineRule="auto"/>
        <w:rPr>
          <w:rFonts w:eastAsia="Times New Roman" w:cs="Times New Roman"/>
          <w:bCs/>
          <w:noProof/>
          <w:color w:val="000000"/>
          <w:szCs w:val="24"/>
        </w:rPr>
      </w:pPr>
      <w:r>
        <w:rPr>
          <w:rFonts w:eastAsia="Times New Roman" w:cs="Times New Roman"/>
          <w:bCs/>
          <w:noProof/>
          <w:color w:val="000000"/>
          <w:szCs w:val="24"/>
        </w:rPr>
        <w:t xml:space="preserve">Long-lifetime infrastructure should be resilient to potential effects of climate change and other environmental challenges. </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Climate change adaptation and mitigation considerations need to be integrated throughout the project cycle. Projects shall be subject to climate proofing, which entails two components: first, ensuring the resilience to the current and future adverse impact of climate change through a climate vulnerability and risk assessment and integration of relevant adaptation options; second, accounting for the cost of greenhouse gas emissions in the cost-benefit analysis facilitating due consideration of low-carbon options. Major projects – funded by the European Regional Development Fund and Cohesion Fund in the 2014-2020 programming period – are already subject to climate proofing</w:t>
      </w:r>
      <w:r>
        <w:rPr>
          <w:rFonts w:eastAsia="Times New Roman" w:cs="Times New Roman"/>
          <w:bCs/>
          <w:noProof/>
          <w:color w:val="000000"/>
          <w:szCs w:val="24"/>
          <w:vertAlign w:val="superscript"/>
        </w:rPr>
        <w:footnoteReference w:id="58"/>
      </w:r>
      <w:r>
        <w:rPr>
          <w:rFonts w:eastAsia="Times New Roman" w:cs="Times New Roman"/>
          <w:bCs/>
          <w:noProof/>
          <w:color w:val="000000"/>
          <w:szCs w:val="24"/>
        </w:rPr>
        <w:t>.</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Factors such as the increase in weather related risks caused by climate change should also be taken into account when making investment decisions. In addition, other environmental challenges other than deriving from climate change per se should be addressed (such as biodiversity loss, air, water and soil pollution, due to fragmentation and degradation of land and unsustainable land-use,). </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For investments in new sustainable infrastructure, negative externalities related to climate and other environmental risks need to be taken into account in the overall project risk assessments and mitigation strategies during planning and development phases. </w:t>
      </w:r>
    </w:p>
    <w:p>
      <w:pPr>
        <w:tabs>
          <w:tab w:val="left" w:pos="426"/>
        </w:tabs>
        <w:spacing w:after="120" w:line="264" w:lineRule="auto"/>
        <w:rPr>
          <w:rFonts w:cs="Times New Roman"/>
          <w:noProof/>
          <w:szCs w:val="24"/>
        </w:rPr>
      </w:pPr>
      <w:r>
        <w:rPr>
          <w:rFonts w:cs="Times New Roman"/>
          <w:noProof/>
          <w:szCs w:val="24"/>
        </w:rPr>
        <w:t>The sustainability proofing of investments will need to reflect the latest developments in the field, notably the progress made to develop an EU taxonomy under the Commission Action Plan on Financing Sustainable Growth</w:t>
      </w:r>
      <w:r>
        <w:rPr>
          <w:rStyle w:val="FootnoteReference"/>
          <w:rFonts w:cs="Times New Roman"/>
          <w:noProof/>
          <w:szCs w:val="24"/>
        </w:rPr>
        <w:footnoteReference w:id="59"/>
      </w:r>
      <w:r>
        <w:rPr>
          <w:rFonts w:cs="Times New Roman"/>
          <w:noProof/>
          <w:szCs w:val="24"/>
        </w:rPr>
        <w:t>.</w:t>
      </w:r>
    </w:p>
    <w:p>
      <w:pPr>
        <w:pStyle w:val="Heading3"/>
        <w:spacing w:line="264" w:lineRule="auto"/>
        <w:rPr>
          <w:noProof/>
          <w:szCs w:val="24"/>
        </w:rPr>
      </w:pPr>
      <w:r>
        <w:rPr>
          <w:noProof/>
          <w:szCs w:val="24"/>
        </w:rPr>
        <w:t>Research, Innovation and Digitalisation Window</w:t>
      </w:r>
    </w:p>
    <w:p>
      <w:pPr>
        <w:spacing w:after="120" w:line="264" w:lineRule="auto"/>
        <w:rPr>
          <w:rFonts w:cs="Times New Roman"/>
          <w:noProof/>
          <w:szCs w:val="24"/>
        </w:rPr>
      </w:pPr>
      <w:r>
        <w:rPr>
          <w:rFonts w:cs="Times New Roman"/>
          <w:noProof/>
          <w:szCs w:val="24"/>
        </w:rPr>
        <w:t xml:space="preserve">The Research, Innovation and Digitalisation Window will aim to mobilise significant R&amp;I investments to deliver higher productivity, economic growth and better living standards. It will stimulate all innovation: from radical to incremental. </w:t>
      </w:r>
    </w:p>
    <w:p>
      <w:pPr>
        <w:autoSpaceDE w:val="0"/>
        <w:autoSpaceDN w:val="0"/>
        <w:adjustRightInd w:val="0"/>
        <w:spacing w:after="120" w:line="264" w:lineRule="auto"/>
        <w:rPr>
          <w:rFonts w:eastAsia="Calibri" w:cs="Times New Roman"/>
          <w:i/>
          <w:iCs/>
          <w:noProof/>
          <w:szCs w:val="24"/>
        </w:rPr>
      </w:pPr>
      <w:r>
        <w:rPr>
          <w:rFonts w:cs="Times New Roman"/>
          <w:noProof/>
          <w:szCs w:val="24"/>
        </w:rPr>
        <w:t xml:space="preserve">The specific objectives of the Research, Innovation and Digitalisation window will aim to: </w:t>
      </w:r>
    </w:p>
    <w:p>
      <w:pPr>
        <w:pStyle w:val="Bulet"/>
        <w:spacing w:line="264" w:lineRule="auto"/>
        <w:rPr>
          <w:noProof/>
          <w:szCs w:val="24"/>
        </w:rPr>
      </w:pPr>
      <w:r>
        <w:rPr>
          <w:noProof/>
          <w:szCs w:val="24"/>
        </w:rPr>
        <w:t>Improve access to and availability of finance for R&amp;I projects adapted to the different needs and risk appetite of potential final beneficiaries at various stages of the innovation cycle;</w:t>
      </w:r>
    </w:p>
    <w:p>
      <w:pPr>
        <w:pStyle w:val="Bulet"/>
        <w:spacing w:line="264" w:lineRule="auto"/>
        <w:rPr>
          <w:noProof/>
          <w:szCs w:val="24"/>
        </w:rPr>
      </w:pPr>
      <w:r>
        <w:rPr>
          <w:noProof/>
          <w:szCs w:val="24"/>
        </w:rPr>
        <w:t>Create critical mass of financing to stimulate industrial scale demonstration of innovative technologies, disruptive innovation and support high-risk investments in R&amp;I and new technologies to boost the EU’s global competitiveness;</w:t>
      </w:r>
    </w:p>
    <w:p>
      <w:pPr>
        <w:pStyle w:val="Bulet"/>
        <w:spacing w:line="264" w:lineRule="auto"/>
        <w:rPr>
          <w:noProof/>
          <w:szCs w:val="24"/>
        </w:rPr>
      </w:pPr>
      <w:r>
        <w:rPr>
          <w:noProof/>
          <w:szCs w:val="24"/>
        </w:rPr>
        <w:t>De-risk investment in R&amp;I and help upscale and deploy innovative solutions at commercial scale;</w:t>
      </w:r>
    </w:p>
    <w:p>
      <w:pPr>
        <w:pStyle w:val="Bulet"/>
        <w:spacing w:line="264" w:lineRule="auto"/>
        <w:rPr>
          <w:noProof/>
          <w:szCs w:val="24"/>
        </w:rPr>
      </w:pPr>
      <w:r>
        <w:rPr>
          <w:noProof/>
          <w:szCs w:val="24"/>
        </w:rPr>
        <w:t xml:space="preserve">Support innovation diffusion and transfer established solutions to new markets to improve innovation performance across the EU; </w:t>
      </w:r>
    </w:p>
    <w:p>
      <w:pPr>
        <w:pStyle w:val="Bulet"/>
        <w:spacing w:line="264" w:lineRule="auto"/>
        <w:rPr>
          <w:noProof/>
          <w:szCs w:val="24"/>
        </w:rPr>
      </w:pPr>
      <w:r>
        <w:rPr>
          <w:noProof/>
          <w:szCs w:val="24"/>
        </w:rPr>
        <w:t>Address investment gaps through supporting new Financial Products and innovative financing solutions such as crowd-lending or hybrid instruments and cross-border financing options;</w:t>
      </w:r>
    </w:p>
    <w:p>
      <w:pPr>
        <w:pStyle w:val="Bulet"/>
        <w:spacing w:line="264" w:lineRule="auto"/>
        <w:rPr>
          <w:noProof/>
          <w:szCs w:val="24"/>
        </w:rPr>
      </w:pPr>
      <w:r>
        <w:rPr>
          <w:noProof/>
          <w:szCs w:val="24"/>
        </w:rPr>
        <w:t>Foster the transfer of best practices between financial intermediaries with a view to encourage the emergence of a broad product offering supporting R&amp;I activities and R&amp;I-intensive entities; and</w:t>
      </w:r>
    </w:p>
    <w:p>
      <w:pPr>
        <w:pStyle w:val="Bulet"/>
        <w:spacing w:line="264" w:lineRule="auto"/>
        <w:rPr>
          <w:noProof/>
          <w:szCs w:val="24"/>
        </w:rPr>
      </w:pPr>
      <w:r>
        <w:rPr>
          <w:noProof/>
          <w:szCs w:val="24"/>
        </w:rPr>
        <w:t>Provide technical assistance to improve investment readiness and bankability of R&amp;I projects, including deep tech</w:t>
      </w:r>
      <w:r>
        <w:rPr>
          <w:rStyle w:val="FootnoteReference"/>
          <w:noProof/>
          <w:szCs w:val="24"/>
        </w:rPr>
        <w:footnoteReference w:id="60"/>
      </w:r>
      <w:r>
        <w:rPr>
          <w:noProof/>
          <w:szCs w:val="24"/>
        </w:rPr>
        <w:t xml:space="preserve"> companies, middle market firms, universities, technology transfer offices, public research organisations and large research infrastructures.</w:t>
      </w:r>
    </w:p>
    <w:p>
      <w:pPr>
        <w:pStyle w:val="Heading3"/>
        <w:spacing w:line="264" w:lineRule="auto"/>
        <w:rPr>
          <w:noProof/>
          <w:szCs w:val="24"/>
        </w:rPr>
      </w:pPr>
      <w:r>
        <w:rPr>
          <w:noProof/>
          <w:szCs w:val="24"/>
        </w:rPr>
        <w:t xml:space="preserve">SME Window </w:t>
      </w:r>
    </w:p>
    <w:p>
      <w:pPr>
        <w:spacing w:line="264" w:lineRule="auto"/>
        <w:rPr>
          <w:rFonts w:cs="Times New Roman"/>
          <w:noProof/>
          <w:szCs w:val="24"/>
        </w:rPr>
      </w:pPr>
      <w:r>
        <w:rPr>
          <w:rFonts w:cs="Times New Roman"/>
          <w:noProof/>
          <w:szCs w:val="24"/>
        </w:rPr>
        <w:t>The main objective of the SME Window is to increase the access to and availability of finance for European SMEs, in</w:t>
      </w:r>
      <w:r>
        <w:rPr>
          <w:rFonts w:cs="Times New Roman"/>
          <w:b/>
          <w:bCs/>
          <w:noProof/>
          <w:szCs w:val="24"/>
        </w:rPr>
        <w:t xml:space="preserve"> </w:t>
      </w:r>
      <w:r>
        <w:rPr>
          <w:rFonts w:cs="Times New Roman"/>
          <w:bCs/>
          <w:noProof/>
          <w:szCs w:val="24"/>
        </w:rPr>
        <w:t>s</w:t>
      </w:r>
      <w:r>
        <w:rPr>
          <w:rFonts w:cs="Times New Roman"/>
          <w:noProof/>
          <w:szCs w:val="24"/>
        </w:rPr>
        <w:t xml:space="preserve">upport of employment creation and economic growth. </w:t>
      </w:r>
    </w:p>
    <w:p>
      <w:pPr>
        <w:spacing w:line="264" w:lineRule="auto"/>
        <w:rPr>
          <w:rFonts w:cs="Times New Roman"/>
          <w:noProof/>
          <w:szCs w:val="24"/>
        </w:rPr>
      </w:pPr>
      <w:r>
        <w:rPr>
          <w:rFonts w:cs="Times New Roman"/>
          <w:noProof/>
          <w:szCs w:val="24"/>
        </w:rPr>
        <w:t>This could be achieved by providing support for categories of SMEs for which the access to finance problem is the most pronounced – start-ups, younger and smaller companies, SMEs lacking sufficient collateral to realise their investment projects linked to the growth of the company, and innovative companies. At the same time, the SME window would also aim to promote the implementation of specific policy priorities of the EU that do not receive sufficient level of support from the private sector. For example, the areas of internationalisation, digitisation or the uptake of innovation, and in sectors such as innovative SMEs and the cultural and creative industries. Furthermore, the capacity of financial intermediaries to work with SMEs, e.g. in the cultural and creative sectors, needs to be improved so that they can fully play their market role of channelling private investment resources to these areas and thus increase their growth potential. The SME window could also contribute to supporting farm investments for restructuration and modernisation, as well as rural entrepreneurship.</w:t>
      </w:r>
    </w:p>
    <w:p>
      <w:pPr>
        <w:spacing w:line="264" w:lineRule="auto"/>
        <w:rPr>
          <w:rFonts w:cs="Times New Roman"/>
          <w:noProof/>
          <w:szCs w:val="24"/>
        </w:rPr>
      </w:pPr>
      <w:r>
        <w:rPr>
          <w:rFonts w:cs="Times New Roman"/>
          <w:noProof/>
          <w:szCs w:val="24"/>
        </w:rPr>
        <w:t xml:space="preserve">The SME Window will also support the Capital Markets Union strategy by promoting more diversified sources of funding and overcoming fragmentation of capital markets as a means to increase the ability of SMEs to withstand economic downturns and making the financial system more resilient during economic shocks. </w:t>
      </w:r>
    </w:p>
    <w:p>
      <w:pPr>
        <w:spacing w:line="264" w:lineRule="auto"/>
        <w:rPr>
          <w:rFonts w:cs="Times New Roman"/>
          <w:noProof/>
          <w:szCs w:val="24"/>
        </w:rPr>
      </w:pPr>
      <w:r>
        <w:rPr>
          <w:rFonts w:cs="Times New Roman"/>
          <w:noProof/>
          <w:szCs w:val="24"/>
        </w:rPr>
        <w:t xml:space="preserve">The EU-level </w:t>
      </w:r>
      <w:r>
        <w:rPr>
          <w:rFonts w:cs="Times New Roman"/>
          <w:bCs/>
          <w:noProof/>
          <w:szCs w:val="24"/>
        </w:rPr>
        <w:t>debt products</w:t>
      </w:r>
      <w:r>
        <w:rPr>
          <w:rFonts w:cs="Times New Roman"/>
          <w:noProof/>
          <w:szCs w:val="24"/>
        </w:rPr>
        <w:t xml:space="preserve"> should focus on SMEs that would not receive support from the market due to the perceived higher risk or the lack of collateral. Where justified, more dedicated support may be provided for SMEs or organisations or, were justified to small mid-caps, for a specific sector or a specific policy orientation.</w:t>
      </w:r>
    </w:p>
    <w:p>
      <w:pPr>
        <w:spacing w:line="264" w:lineRule="auto"/>
        <w:rPr>
          <w:rFonts w:cs="Times New Roman"/>
          <w:noProof/>
          <w:szCs w:val="24"/>
        </w:rPr>
      </w:pPr>
      <w:r>
        <w:rPr>
          <w:rFonts w:cs="Times New Roman"/>
          <w:noProof/>
          <w:szCs w:val="24"/>
        </w:rPr>
        <w:t xml:space="preserve">Concerning equity in particular, the aim would be to increase private equity investments in R&amp;I-intensive or high-risk SMEs and small midcaps and tackle market gaps that are not properly addressed by national and regional programmes. The strengthening of the EU equity industry's ability to attract institutional and other investors to operate on a pan-European basis and to provide European exit strategies for leading growing companies will also be targeted. </w:t>
      </w:r>
    </w:p>
    <w:p>
      <w:pPr>
        <w:spacing w:line="264" w:lineRule="auto"/>
        <w:rPr>
          <w:rFonts w:cs="Times New Roman"/>
          <w:noProof/>
          <w:szCs w:val="24"/>
        </w:rPr>
      </w:pPr>
      <w:r>
        <w:rPr>
          <w:rFonts w:cs="Times New Roman"/>
          <w:noProof/>
          <w:szCs w:val="24"/>
        </w:rPr>
        <w:t>To ease high growth SMEs to scale up beyond the private equity markets notably when going public, the window could also support and facilitate SMEs seeking a listing on a SME Growth Market</w:t>
      </w:r>
      <w:r>
        <w:rPr>
          <w:rStyle w:val="FootnoteReference"/>
          <w:rFonts w:cs="Times New Roman"/>
          <w:noProof/>
          <w:szCs w:val="24"/>
        </w:rPr>
        <w:footnoteReference w:id="61"/>
      </w:r>
      <w:r>
        <w:rPr>
          <w:rFonts w:cs="Times New Roman"/>
          <w:noProof/>
          <w:szCs w:val="24"/>
        </w:rPr>
        <w:t xml:space="preserve"> – Multilateral Trading Facility created by MiFID II, aiming to improve the functioning of the entire funding escalator of the SMEs and providing fast and profitable exit opportunities for venture capital and private equity investors.</w:t>
      </w:r>
    </w:p>
    <w:p>
      <w:pPr>
        <w:spacing w:line="264" w:lineRule="auto"/>
        <w:rPr>
          <w:rFonts w:cs="Times New Roman"/>
          <w:noProof/>
          <w:szCs w:val="24"/>
        </w:rPr>
      </w:pPr>
      <w:r>
        <w:rPr>
          <w:rFonts w:cs="Times New Roman"/>
          <w:noProof/>
          <w:szCs w:val="24"/>
        </w:rPr>
        <w:t>It is essential to ensure the complementarity and EU-added value of the support by focusing it on market gaps which are not adequately addressed through national or regional programmes. A possibility to avoid such overlaps would be that support targets especially those countries where the access to finance problem is most pronounced and not addressed nationally.</w:t>
      </w:r>
    </w:p>
    <w:p>
      <w:pPr>
        <w:pStyle w:val="Heading3"/>
        <w:spacing w:line="264" w:lineRule="auto"/>
        <w:rPr>
          <w:noProof/>
          <w:szCs w:val="24"/>
        </w:rPr>
      </w:pPr>
      <w:r>
        <w:rPr>
          <w:noProof/>
          <w:szCs w:val="24"/>
        </w:rPr>
        <w:t>Social, skills and human capital Window</w:t>
      </w:r>
    </w:p>
    <w:p>
      <w:pPr>
        <w:spacing w:line="264" w:lineRule="auto"/>
        <w:rPr>
          <w:rFonts w:cs="Times New Roman"/>
          <w:noProof/>
          <w:szCs w:val="24"/>
        </w:rPr>
      </w:pPr>
      <w:r>
        <w:rPr>
          <w:rFonts w:cs="Times New Roman"/>
          <w:noProof/>
          <w:szCs w:val="24"/>
        </w:rPr>
        <w:t>The European Pillar of Social Rights recognises among its core principles the right to education, training and lifelong learning as well as to social protection including childcare, housing, healthcare and long-term care.</w:t>
      </w:r>
    </w:p>
    <w:p>
      <w:pPr>
        <w:spacing w:line="264" w:lineRule="auto"/>
        <w:rPr>
          <w:rFonts w:cs="Times New Roman"/>
          <w:noProof/>
          <w:szCs w:val="24"/>
        </w:rPr>
      </w:pPr>
      <w:r>
        <w:rPr>
          <w:rFonts w:cs="Times New Roman"/>
          <w:noProof/>
          <w:szCs w:val="24"/>
        </w:rPr>
        <w:t>The general objective of the Social Investment and Skills Window would be to support private and public investment in social infrastructure in areas such as education, social housing, and health, as well as to develop and consolidate the nascent market structures</w:t>
      </w:r>
      <w:r>
        <w:rPr>
          <w:rFonts w:cs="Times New Roman"/>
          <w:b/>
          <w:noProof/>
          <w:szCs w:val="24"/>
        </w:rPr>
        <w:t xml:space="preserve"> </w:t>
      </w:r>
      <w:r>
        <w:rPr>
          <w:rFonts w:cs="Times New Roman"/>
          <w:noProof/>
          <w:szCs w:val="24"/>
        </w:rPr>
        <w:t>underlying the European social economy and social enterprises</w:t>
      </w:r>
      <w:r>
        <w:rPr>
          <w:rStyle w:val="FootnoteReference"/>
          <w:rFonts w:cs="Times New Roman"/>
          <w:noProof/>
          <w:szCs w:val="24"/>
        </w:rPr>
        <w:footnoteReference w:id="62"/>
      </w:r>
      <w:r>
        <w:rPr>
          <w:rFonts w:cs="Times New Roman"/>
          <w:noProof/>
          <w:szCs w:val="24"/>
        </w:rPr>
        <w:t xml:space="preserve"> and the training and education sectors, both in terms of financing support and technical assistance/capacity building. </w:t>
      </w:r>
    </w:p>
    <w:p>
      <w:pPr>
        <w:pStyle w:val="Bulet"/>
        <w:numPr>
          <w:ilvl w:val="0"/>
          <w:numId w:val="0"/>
        </w:numPr>
        <w:spacing w:line="264" w:lineRule="auto"/>
        <w:rPr>
          <w:noProof/>
          <w:szCs w:val="24"/>
        </w:rPr>
      </w:pPr>
      <w:r>
        <w:rPr>
          <w:noProof/>
          <w:szCs w:val="24"/>
        </w:rPr>
        <w:t xml:space="preserve">Taking account of and providing leverage to policy instruments in support of the social dimension of the EU in the next MFF and against the backdrop of the European Pillar of Social Rights, </w:t>
      </w:r>
      <w:r>
        <w:rPr>
          <w:noProof/>
          <w:szCs w:val="24"/>
          <w:lang w:eastAsia="ja-JP"/>
        </w:rPr>
        <w:t>support from this Window will aim to</w:t>
      </w:r>
      <w:r>
        <w:rPr>
          <w:noProof/>
          <w:szCs w:val="24"/>
        </w:rPr>
        <w:t>:</w:t>
      </w:r>
    </w:p>
    <w:p>
      <w:pPr>
        <w:pStyle w:val="Bulet"/>
        <w:spacing w:line="264" w:lineRule="auto"/>
        <w:rPr>
          <w:noProof/>
          <w:szCs w:val="24"/>
        </w:rPr>
      </w:pPr>
      <w:r>
        <w:rPr>
          <w:noProof/>
          <w:szCs w:val="24"/>
        </w:rPr>
        <w:t>Consolidate the nascent market structures underlying the European social economy organisations and social enterprises ecosystem;</w:t>
      </w:r>
    </w:p>
    <w:p>
      <w:pPr>
        <w:pStyle w:val="Bulet"/>
        <w:spacing w:line="264" w:lineRule="auto"/>
        <w:rPr>
          <w:noProof/>
          <w:szCs w:val="24"/>
        </w:rPr>
      </w:pPr>
      <w:r>
        <w:rPr>
          <w:noProof/>
          <w:szCs w:val="24"/>
        </w:rPr>
        <w:t xml:space="preserve">Increase access to, and the availability of, microfinance for vulnerable persons (e.g. unemployed, youth, elderly, migrants) and micro-enterprises, social enterprises; </w:t>
      </w:r>
    </w:p>
    <w:p>
      <w:pPr>
        <w:pStyle w:val="Bulet"/>
        <w:spacing w:line="264" w:lineRule="auto"/>
        <w:rPr>
          <w:noProof/>
          <w:szCs w:val="24"/>
        </w:rPr>
      </w:pPr>
      <w:r>
        <w:rPr>
          <w:noProof/>
          <w:szCs w:val="24"/>
        </w:rPr>
        <w:t>Build up a stronger capital market for social infrastructure promoters investing in areas such as education (including childcare), social housing, and health (including long-term care);</w:t>
      </w:r>
    </w:p>
    <w:p>
      <w:pPr>
        <w:pStyle w:val="Bulet"/>
        <w:spacing w:line="264" w:lineRule="auto"/>
        <w:rPr>
          <w:noProof/>
          <w:szCs w:val="24"/>
        </w:rPr>
      </w:pPr>
      <w:r>
        <w:rPr>
          <w:noProof/>
          <w:szCs w:val="24"/>
        </w:rPr>
        <w:t>Support human capital investments (both demand and supply side), for students and workers and other persons in need of initial training, reskilling and upskilling, as well as for education and training providers, start-ups and companies at large;</w:t>
      </w:r>
    </w:p>
    <w:p>
      <w:pPr>
        <w:pStyle w:val="Bulet"/>
        <w:spacing w:line="264" w:lineRule="auto"/>
        <w:rPr>
          <w:noProof/>
          <w:szCs w:val="24"/>
        </w:rPr>
      </w:pPr>
      <w:r>
        <w:rPr>
          <w:noProof/>
          <w:szCs w:val="24"/>
        </w:rPr>
        <w:t>Support the Commission’s future action in the field of social enterprises at EU level</w:t>
      </w:r>
      <w:r>
        <w:rPr>
          <w:rStyle w:val="FootnoteReference"/>
          <w:noProof/>
          <w:szCs w:val="24"/>
        </w:rPr>
        <w:footnoteReference w:id="63"/>
      </w:r>
      <w:r>
        <w:rPr>
          <w:noProof/>
          <w:szCs w:val="24"/>
        </w:rPr>
        <w:t>; and</w:t>
      </w:r>
    </w:p>
    <w:p>
      <w:pPr>
        <w:pStyle w:val="Bulet"/>
        <w:spacing w:line="264" w:lineRule="auto"/>
        <w:rPr>
          <w:noProof/>
          <w:szCs w:val="24"/>
        </w:rPr>
      </w:pPr>
      <w:r>
        <w:rPr>
          <w:noProof/>
          <w:szCs w:val="24"/>
        </w:rPr>
        <w:t>Support the emergence and consolidation of social investment markets by boosting both the supply and demand sides; supporting investment readiness and capacity building of public authorities and of intermediaries active in the micro-finance, social economy organisations and social enterprise finance sector.</w:t>
      </w:r>
    </w:p>
    <w:p>
      <w:pPr>
        <w:pStyle w:val="Heading2"/>
        <w:spacing w:line="264" w:lineRule="auto"/>
        <w:rPr>
          <w:noProof/>
          <w:szCs w:val="24"/>
        </w:rPr>
      </w:pPr>
      <w:bookmarkStart w:id="5074" w:name="_Toc510593492"/>
      <w:bookmarkStart w:id="5075" w:name="_Toc510593869"/>
      <w:bookmarkStart w:id="5076" w:name="_Toc510606491"/>
      <w:bookmarkStart w:id="5077" w:name="_Toc510606915"/>
      <w:bookmarkStart w:id="5078" w:name="_Toc510609577"/>
      <w:bookmarkStart w:id="5079" w:name="_Toc510612659"/>
      <w:bookmarkStart w:id="5080" w:name="_Toc510615431"/>
      <w:bookmarkStart w:id="5081" w:name="_Toc510616613"/>
      <w:bookmarkStart w:id="5082" w:name="_Toc510206812"/>
      <w:bookmarkStart w:id="5083" w:name="_Toc510207605"/>
      <w:bookmarkStart w:id="5084" w:name="_Toc510517544"/>
      <w:bookmarkStart w:id="5085" w:name="_Toc510593502"/>
      <w:bookmarkStart w:id="5086" w:name="_Toc510593879"/>
      <w:bookmarkStart w:id="5087" w:name="_Toc510606501"/>
      <w:bookmarkStart w:id="5088" w:name="_Toc510606925"/>
      <w:bookmarkStart w:id="5089" w:name="_Toc510609587"/>
      <w:bookmarkStart w:id="5090" w:name="_Toc510612669"/>
      <w:bookmarkStart w:id="5091" w:name="_Toc510615441"/>
      <w:bookmarkStart w:id="5092" w:name="_Toc510616623"/>
      <w:bookmarkStart w:id="5093" w:name="_Toc510206818"/>
      <w:bookmarkStart w:id="5094" w:name="_Toc510207611"/>
      <w:bookmarkStart w:id="5095" w:name="_Toc510517550"/>
      <w:bookmarkStart w:id="5096" w:name="_Toc510593508"/>
      <w:bookmarkStart w:id="5097" w:name="_Toc510593885"/>
      <w:bookmarkStart w:id="5098" w:name="_Toc510606507"/>
      <w:bookmarkStart w:id="5099" w:name="_Toc510606931"/>
      <w:bookmarkStart w:id="5100" w:name="_Toc510609593"/>
      <w:bookmarkStart w:id="5101" w:name="_Toc510612675"/>
      <w:bookmarkStart w:id="5102" w:name="_Toc510615447"/>
      <w:bookmarkStart w:id="5103" w:name="_Toc510616629"/>
      <w:bookmarkStart w:id="5104" w:name="_Toc510206819"/>
      <w:bookmarkStart w:id="5105" w:name="_Toc510207612"/>
      <w:bookmarkStart w:id="5106" w:name="_Toc510517551"/>
      <w:bookmarkStart w:id="5107" w:name="_Toc510593509"/>
      <w:bookmarkStart w:id="5108" w:name="_Toc510593886"/>
      <w:bookmarkStart w:id="5109" w:name="_Toc510606508"/>
      <w:bookmarkStart w:id="5110" w:name="_Toc510606932"/>
      <w:bookmarkStart w:id="5111" w:name="_Toc510609594"/>
      <w:bookmarkStart w:id="5112" w:name="_Toc510612676"/>
      <w:bookmarkStart w:id="5113" w:name="_Toc510615448"/>
      <w:bookmarkStart w:id="5114" w:name="_Toc510616630"/>
      <w:bookmarkStart w:id="5115" w:name="_Toc510206820"/>
      <w:bookmarkStart w:id="5116" w:name="_Toc510207613"/>
      <w:bookmarkStart w:id="5117" w:name="_Toc510517552"/>
      <w:bookmarkStart w:id="5118" w:name="_Toc510593510"/>
      <w:bookmarkStart w:id="5119" w:name="_Toc510593887"/>
      <w:bookmarkStart w:id="5120" w:name="_Toc510606509"/>
      <w:bookmarkStart w:id="5121" w:name="_Toc510606933"/>
      <w:bookmarkStart w:id="5122" w:name="_Toc510609595"/>
      <w:bookmarkStart w:id="5123" w:name="_Toc510612677"/>
      <w:bookmarkStart w:id="5124" w:name="_Toc510615449"/>
      <w:bookmarkStart w:id="5125" w:name="_Toc510616631"/>
      <w:bookmarkStart w:id="5126" w:name="_Toc510206822"/>
      <w:bookmarkStart w:id="5127" w:name="_Toc510207615"/>
      <w:bookmarkStart w:id="5128" w:name="_Toc510517554"/>
      <w:bookmarkStart w:id="5129" w:name="_Toc510593512"/>
      <w:bookmarkStart w:id="5130" w:name="_Toc510593889"/>
      <w:bookmarkStart w:id="5131" w:name="_Toc510606511"/>
      <w:bookmarkStart w:id="5132" w:name="_Toc510606935"/>
      <w:bookmarkStart w:id="5133" w:name="_Toc510609597"/>
      <w:bookmarkStart w:id="5134" w:name="_Toc510612679"/>
      <w:bookmarkStart w:id="5135" w:name="_Toc510615451"/>
      <w:bookmarkStart w:id="5136" w:name="_Toc510616633"/>
      <w:bookmarkStart w:id="5137" w:name="_Toc510206824"/>
      <w:bookmarkStart w:id="5138" w:name="_Toc510207617"/>
      <w:bookmarkStart w:id="5139" w:name="_Toc510517556"/>
      <w:bookmarkStart w:id="5140" w:name="_Toc510593514"/>
      <w:bookmarkStart w:id="5141" w:name="_Toc510593891"/>
      <w:bookmarkStart w:id="5142" w:name="_Toc510606513"/>
      <w:bookmarkStart w:id="5143" w:name="_Toc510606937"/>
      <w:bookmarkStart w:id="5144" w:name="_Toc510609599"/>
      <w:bookmarkStart w:id="5145" w:name="_Toc510612681"/>
      <w:bookmarkStart w:id="5146" w:name="_Toc510615453"/>
      <w:bookmarkStart w:id="5147" w:name="_Toc510616635"/>
      <w:bookmarkStart w:id="5148" w:name="_Toc510206841"/>
      <w:bookmarkStart w:id="5149" w:name="_Toc510207634"/>
      <w:bookmarkStart w:id="5150" w:name="_Toc510517573"/>
      <w:bookmarkStart w:id="5151" w:name="_Toc510593531"/>
      <w:bookmarkStart w:id="5152" w:name="_Toc510593908"/>
      <w:bookmarkStart w:id="5153" w:name="_Toc510606530"/>
      <w:bookmarkStart w:id="5154" w:name="_Toc510606954"/>
      <w:bookmarkStart w:id="5155" w:name="_Toc510609616"/>
      <w:bookmarkStart w:id="5156" w:name="_Toc510612698"/>
      <w:bookmarkStart w:id="5157" w:name="_Toc510615470"/>
      <w:bookmarkStart w:id="5158" w:name="_Toc510616652"/>
      <w:bookmarkStart w:id="5159" w:name="_Toc510206842"/>
      <w:bookmarkStart w:id="5160" w:name="_Toc510207635"/>
      <w:bookmarkStart w:id="5161" w:name="_Toc510517574"/>
      <w:bookmarkStart w:id="5162" w:name="_Toc510593532"/>
      <w:bookmarkStart w:id="5163" w:name="_Toc510593909"/>
      <w:bookmarkStart w:id="5164" w:name="_Toc510606531"/>
      <w:bookmarkStart w:id="5165" w:name="_Toc510606955"/>
      <w:bookmarkStart w:id="5166" w:name="_Toc510609617"/>
      <w:bookmarkStart w:id="5167" w:name="_Toc510612699"/>
      <w:bookmarkStart w:id="5168" w:name="_Toc510615471"/>
      <w:bookmarkStart w:id="5169" w:name="_Toc510616653"/>
      <w:bookmarkStart w:id="5170" w:name="_Toc510206843"/>
      <w:bookmarkStart w:id="5171" w:name="_Toc510207636"/>
      <w:bookmarkStart w:id="5172" w:name="_Toc510517575"/>
      <w:bookmarkStart w:id="5173" w:name="_Toc510593533"/>
      <w:bookmarkStart w:id="5174" w:name="_Toc510593910"/>
      <w:bookmarkStart w:id="5175" w:name="_Toc510606532"/>
      <w:bookmarkStart w:id="5176" w:name="_Toc510606956"/>
      <w:bookmarkStart w:id="5177" w:name="_Toc510609618"/>
      <w:bookmarkStart w:id="5178" w:name="_Toc510612700"/>
      <w:bookmarkStart w:id="5179" w:name="_Toc510615472"/>
      <w:bookmarkStart w:id="5180" w:name="_Toc510616654"/>
      <w:bookmarkStart w:id="5181" w:name="_Toc510206845"/>
      <w:bookmarkStart w:id="5182" w:name="_Toc510207638"/>
      <w:bookmarkStart w:id="5183" w:name="_Toc510517577"/>
      <w:bookmarkStart w:id="5184" w:name="_Toc510593535"/>
      <w:bookmarkStart w:id="5185" w:name="_Toc510593912"/>
      <w:bookmarkStart w:id="5186" w:name="_Toc510606534"/>
      <w:bookmarkStart w:id="5187" w:name="_Toc510606958"/>
      <w:bookmarkStart w:id="5188" w:name="_Toc510609620"/>
      <w:bookmarkStart w:id="5189" w:name="_Toc510612702"/>
      <w:bookmarkStart w:id="5190" w:name="_Toc510615474"/>
      <w:bookmarkStart w:id="5191" w:name="_Toc510616656"/>
      <w:bookmarkStart w:id="5192" w:name="_Toc510206846"/>
      <w:bookmarkStart w:id="5193" w:name="_Toc510207639"/>
      <w:bookmarkStart w:id="5194" w:name="_Toc510517578"/>
      <w:bookmarkStart w:id="5195" w:name="_Toc510593536"/>
      <w:bookmarkStart w:id="5196" w:name="_Toc510593913"/>
      <w:bookmarkStart w:id="5197" w:name="_Toc510606535"/>
      <w:bookmarkStart w:id="5198" w:name="_Toc510606959"/>
      <w:bookmarkStart w:id="5199" w:name="_Toc510609621"/>
      <w:bookmarkStart w:id="5200" w:name="_Toc510612703"/>
      <w:bookmarkStart w:id="5201" w:name="_Toc510615475"/>
      <w:bookmarkStart w:id="5202" w:name="_Toc510616657"/>
      <w:bookmarkStart w:id="5203" w:name="_Toc510206847"/>
      <w:bookmarkStart w:id="5204" w:name="_Toc510207640"/>
      <w:bookmarkStart w:id="5205" w:name="_Toc510517579"/>
      <w:bookmarkStart w:id="5206" w:name="_Toc510593537"/>
      <w:bookmarkStart w:id="5207" w:name="_Toc510593914"/>
      <w:bookmarkStart w:id="5208" w:name="_Toc510606536"/>
      <w:bookmarkStart w:id="5209" w:name="_Toc510606960"/>
      <w:bookmarkStart w:id="5210" w:name="_Toc510609622"/>
      <w:bookmarkStart w:id="5211" w:name="_Toc510612704"/>
      <w:bookmarkStart w:id="5212" w:name="_Toc510615476"/>
      <w:bookmarkStart w:id="5213" w:name="_Toc510616658"/>
      <w:bookmarkStart w:id="5214" w:name="_Toc509310772"/>
      <w:bookmarkStart w:id="5215" w:name="_Toc509311167"/>
      <w:bookmarkStart w:id="5216" w:name="_Toc509311568"/>
      <w:bookmarkStart w:id="5217" w:name="_Toc509312006"/>
      <w:bookmarkStart w:id="5218" w:name="_Toc509312432"/>
      <w:bookmarkStart w:id="5219" w:name="_Toc509312771"/>
      <w:bookmarkStart w:id="5220" w:name="_Toc509313112"/>
      <w:bookmarkStart w:id="5221" w:name="_Toc509313514"/>
      <w:bookmarkStart w:id="5222" w:name="_Toc509316953"/>
      <w:bookmarkStart w:id="5223" w:name="_Toc509317266"/>
      <w:bookmarkStart w:id="5224" w:name="_Toc509317558"/>
      <w:bookmarkStart w:id="5225" w:name="_Toc509317871"/>
      <w:bookmarkStart w:id="5226" w:name="_Toc509318184"/>
      <w:bookmarkStart w:id="5227" w:name="_Toc509319170"/>
      <w:bookmarkStart w:id="5228" w:name="_Toc509319532"/>
      <w:bookmarkStart w:id="5229" w:name="_Toc509320306"/>
      <w:bookmarkStart w:id="5230" w:name="_Toc509322275"/>
      <w:bookmarkStart w:id="5231" w:name="_Toc509322599"/>
      <w:bookmarkStart w:id="5232" w:name="_Toc509323101"/>
      <w:bookmarkStart w:id="5233" w:name="_Toc509323474"/>
      <w:bookmarkStart w:id="5234" w:name="_Toc509323798"/>
      <w:bookmarkStart w:id="5235" w:name="_Toc509324122"/>
      <w:bookmarkStart w:id="5236" w:name="_Toc509324446"/>
      <w:bookmarkStart w:id="5237" w:name="_Toc509324815"/>
      <w:bookmarkStart w:id="5238" w:name="_Toc509325184"/>
      <w:bookmarkStart w:id="5239" w:name="_Toc509325553"/>
      <w:bookmarkStart w:id="5240" w:name="_Toc509325922"/>
      <w:bookmarkStart w:id="5241" w:name="_Toc509326297"/>
      <w:bookmarkStart w:id="5242" w:name="_Toc509326672"/>
      <w:bookmarkStart w:id="5243" w:name="_Toc509327047"/>
      <w:bookmarkStart w:id="5244" w:name="_Toc509327363"/>
      <w:bookmarkStart w:id="5245" w:name="_Toc509327738"/>
      <w:bookmarkStart w:id="5246" w:name="_Toc509328113"/>
      <w:bookmarkStart w:id="5247" w:name="_Toc509332905"/>
      <w:bookmarkStart w:id="5248" w:name="_Toc509333318"/>
      <w:bookmarkStart w:id="5249" w:name="_Toc509333731"/>
      <w:bookmarkStart w:id="5250" w:name="_Toc509335134"/>
      <w:bookmarkStart w:id="5251" w:name="_Toc509335644"/>
      <w:bookmarkStart w:id="5252" w:name="_Toc509336575"/>
      <w:bookmarkStart w:id="5253" w:name="_Toc509337007"/>
      <w:bookmarkStart w:id="5254" w:name="_Toc509337434"/>
      <w:bookmarkStart w:id="5255" w:name="_Toc509337861"/>
      <w:bookmarkStart w:id="5256" w:name="_Toc509338191"/>
      <w:bookmarkStart w:id="5257" w:name="_Toc509382732"/>
      <w:bookmarkStart w:id="5258" w:name="_Toc509383164"/>
      <w:bookmarkStart w:id="5259" w:name="_Toc509384043"/>
      <w:bookmarkStart w:id="5260" w:name="_Toc509404715"/>
      <w:bookmarkStart w:id="5261" w:name="_Toc510206848"/>
      <w:bookmarkStart w:id="5262" w:name="_Toc510207641"/>
      <w:bookmarkStart w:id="5263" w:name="_Toc510517580"/>
      <w:bookmarkStart w:id="5264" w:name="_Toc510593538"/>
      <w:bookmarkStart w:id="5265" w:name="_Toc510593915"/>
      <w:bookmarkStart w:id="5266" w:name="_Toc510606537"/>
      <w:bookmarkStart w:id="5267" w:name="_Toc510606961"/>
      <w:bookmarkStart w:id="5268" w:name="_Toc510609623"/>
      <w:bookmarkStart w:id="5269" w:name="_Toc510612705"/>
      <w:bookmarkStart w:id="5270" w:name="_Toc510615477"/>
      <w:bookmarkStart w:id="5271" w:name="_Toc510616659"/>
      <w:bookmarkStart w:id="5272" w:name="_Toc510206849"/>
      <w:bookmarkStart w:id="5273" w:name="_Toc510207642"/>
      <w:bookmarkStart w:id="5274" w:name="_Toc510517581"/>
      <w:bookmarkStart w:id="5275" w:name="_Toc510593539"/>
      <w:bookmarkStart w:id="5276" w:name="_Toc510593916"/>
      <w:bookmarkStart w:id="5277" w:name="_Toc510606538"/>
      <w:bookmarkStart w:id="5278" w:name="_Toc510606962"/>
      <w:bookmarkStart w:id="5279" w:name="_Toc510609624"/>
      <w:bookmarkStart w:id="5280" w:name="_Toc510612706"/>
      <w:bookmarkStart w:id="5281" w:name="_Toc510615478"/>
      <w:bookmarkStart w:id="5282" w:name="_Toc510616660"/>
      <w:bookmarkStart w:id="5283" w:name="_Toc510206852"/>
      <w:bookmarkStart w:id="5284" w:name="_Toc510207645"/>
      <w:bookmarkStart w:id="5285" w:name="_Toc510517584"/>
      <w:bookmarkStart w:id="5286" w:name="_Toc510593542"/>
      <w:bookmarkStart w:id="5287" w:name="_Toc510593919"/>
      <w:bookmarkStart w:id="5288" w:name="_Toc510606541"/>
      <w:bookmarkStart w:id="5289" w:name="_Toc510606965"/>
      <w:bookmarkStart w:id="5290" w:name="_Toc510609627"/>
      <w:bookmarkStart w:id="5291" w:name="_Toc510612709"/>
      <w:bookmarkStart w:id="5292" w:name="_Toc510615481"/>
      <w:bookmarkStart w:id="5293" w:name="_Toc510616663"/>
      <w:bookmarkStart w:id="5294" w:name="_Toc510206854"/>
      <w:bookmarkStart w:id="5295" w:name="_Toc510207647"/>
      <w:bookmarkStart w:id="5296" w:name="_Toc510517586"/>
      <w:bookmarkStart w:id="5297" w:name="_Toc510593544"/>
      <w:bookmarkStart w:id="5298" w:name="_Toc510593921"/>
      <w:bookmarkStart w:id="5299" w:name="_Toc510606543"/>
      <w:bookmarkStart w:id="5300" w:name="_Toc510606967"/>
      <w:bookmarkStart w:id="5301" w:name="_Toc510609629"/>
      <w:bookmarkStart w:id="5302" w:name="_Toc510612711"/>
      <w:bookmarkStart w:id="5303" w:name="_Toc510615483"/>
      <w:bookmarkStart w:id="5304" w:name="_Toc510616665"/>
      <w:bookmarkStart w:id="5305" w:name="_Toc510206855"/>
      <w:bookmarkStart w:id="5306" w:name="_Toc510207648"/>
      <w:bookmarkStart w:id="5307" w:name="_Toc510517587"/>
      <w:bookmarkStart w:id="5308" w:name="_Toc510593545"/>
      <w:bookmarkStart w:id="5309" w:name="_Toc510593922"/>
      <w:bookmarkStart w:id="5310" w:name="_Toc510606544"/>
      <w:bookmarkStart w:id="5311" w:name="_Toc510606968"/>
      <w:bookmarkStart w:id="5312" w:name="_Toc510609630"/>
      <w:bookmarkStart w:id="5313" w:name="_Toc510612712"/>
      <w:bookmarkStart w:id="5314" w:name="_Toc510615484"/>
      <w:bookmarkStart w:id="5315" w:name="_Toc510616666"/>
      <w:bookmarkStart w:id="5316" w:name="_Toc510206856"/>
      <w:bookmarkStart w:id="5317" w:name="_Toc510207649"/>
      <w:bookmarkStart w:id="5318" w:name="_Toc510517588"/>
      <w:bookmarkStart w:id="5319" w:name="_Toc510593546"/>
      <w:bookmarkStart w:id="5320" w:name="_Toc510593923"/>
      <w:bookmarkStart w:id="5321" w:name="_Toc510606545"/>
      <w:bookmarkStart w:id="5322" w:name="_Toc510606969"/>
      <w:bookmarkStart w:id="5323" w:name="_Toc510609631"/>
      <w:bookmarkStart w:id="5324" w:name="_Toc510612713"/>
      <w:bookmarkStart w:id="5325" w:name="_Toc510615485"/>
      <w:bookmarkStart w:id="5326" w:name="_Toc510616667"/>
      <w:bookmarkStart w:id="5327" w:name="_Toc510206857"/>
      <w:bookmarkStart w:id="5328" w:name="_Toc510207650"/>
      <w:bookmarkStart w:id="5329" w:name="_Toc510517589"/>
      <w:bookmarkStart w:id="5330" w:name="_Toc510593547"/>
      <w:bookmarkStart w:id="5331" w:name="_Toc510593924"/>
      <w:bookmarkStart w:id="5332" w:name="_Toc510606546"/>
      <w:bookmarkStart w:id="5333" w:name="_Toc510606970"/>
      <w:bookmarkStart w:id="5334" w:name="_Toc510609632"/>
      <w:bookmarkStart w:id="5335" w:name="_Toc510612714"/>
      <w:bookmarkStart w:id="5336" w:name="_Toc510615486"/>
      <w:bookmarkStart w:id="5337" w:name="_Toc510616668"/>
      <w:bookmarkStart w:id="5338" w:name="_Toc510206858"/>
      <w:bookmarkStart w:id="5339" w:name="_Toc510207651"/>
      <w:bookmarkStart w:id="5340" w:name="_Toc510517590"/>
      <w:bookmarkStart w:id="5341" w:name="_Toc510593548"/>
      <w:bookmarkStart w:id="5342" w:name="_Toc510593925"/>
      <w:bookmarkStart w:id="5343" w:name="_Toc510606547"/>
      <w:bookmarkStart w:id="5344" w:name="_Toc510606971"/>
      <w:bookmarkStart w:id="5345" w:name="_Toc510609633"/>
      <w:bookmarkStart w:id="5346" w:name="_Toc510612715"/>
      <w:bookmarkStart w:id="5347" w:name="_Toc510615487"/>
      <w:bookmarkStart w:id="5348" w:name="_Toc510616669"/>
      <w:bookmarkStart w:id="5349" w:name="_Toc510206859"/>
      <w:bookmarkStart w:id="5350" w:name="_Toc510207652"/>
      <w:bookmarkStart w:id="5351" w:name="_Toc510517591"/>
      <w:bookmarkStart w:id="5352" w:name="_Toc510593549"/>
      <w:bookmarkStart w:id="5353" w:name="_Toc510593926"/>
      <w:bookmarkStart w:id="5354" w:name="_Toc510606548"/>
      <w:bookmarkStart w:id="5355" w:name="_Toc510606972"/>
      <w:bookmarkStart w:id="5356" w:name="_Toc510609634"/>
      <w:bookmarkStart w:id="5357" w:name="_Toc510612716"/>
      <w:bookmarkStart w:id="5358" w:name="_Toc510615488"/>
      <w:bookmarkStart w:id="5359" w:name="_Toc510616670"/>
      <w:bookmarkStart w:id="5360" w:name="_Toc510206860"/>
      <w:bookmarkStart w:id="5361" w:name="_Toc510207653"/>
      <w:bookmarkStart w:id="5362" w:name="_Toc510517592"/>
      <w:bookmarkStart w:id="5363" w:name="_Toc510593550"/>
      <w:bookmarkStart w:id="5364" w:name="_Toc510593927"/>
      <w:bookmarkStart w:id="5365" w:name="_Toc510606549"/>
      <w:bookmarkStart w:id="5366" w:name="_Toc510606973"/>
      <w:bookmarkStart w:id="5367" w:name="_Toc510609635"/>
      <w:bookmarkStart w:id="5368" w:name="_Toc510612717"/>
      <w:bookmarkStart w:id="5369" w:name="_Toc510615489"/>
      <w:bookmarkStart w:id="5370" w:name="_Toc510616671"/>
      <w:bookmarkStart w:id="5371" w:name="_Toc510206861"/>
      <w:bookmarkStart w:id="5372" w:name="_Toc510207654"/>
      <w:bookmarkStart w:id="5373" w:name="_Toc510517593"/>
      <w:bookmarkStart w:id="5374" w:name="_Toc510593551"/>
      <w:bookmarkStart w:id="5375" w:name="_Toc510593928"/>
      <w:bookmarkStart w:id="5376" w:name="_Toc510606550"/>
      <w:bookmarkStart w:id="5377" w:name="_Toc510606974"/>
      <w:bookmarkStart w:id="5378" w:name="_Toc510609636"/>
      <w:bookmarkStart w:id="5379" w:name="_Toc510612718"/>
      <w:bookmarkStart w:id="5380" w:name="_Toc510615490"/>
      <w:bookmarkStart w:id="5381" w:name="_Toc510616672"/>
      <w:bookmarkStart w:id="5382" w:name="_Toc510206862"/>
      <w:bookmarkStart w:id="5383" w:name="_Toc510207655"/>
      <w:bookmarkStart w:id="5384" w:name="_Toc510517594"/>
      <w:bookmarkStart w:id="5385" w:name="_Toc510593552"/>
      <w:bookmarkStart w:id="5386" w:name="_Toc510593929"/>
      <w:bookmarkStart w:id="5387" w:name="_Toc510606551"/>
      <w:bookmarkStart w:id="5388" w:name="_Toc510606975"/>
      <w:bookmarkStart w:id="5389" w:name="_Toc510609637"/>
      <w:bookmarkStart w:id="5390" w:name="_Toc510612719"/>
      <w:bookmarkStart w:id="5391" w:name="_Toc510615491"/>
      <w:bookmarkStart w:id="5392" w:name="_Toc510616673"/>
      <w:bookmarkStart w:id="5393" w:name="_Toc510206863"/>
      <w:bookmarkStart w:id="5394" w:name="_Toc510207656"/>
      <w:bookmarkStart w:id="5395" w:name="_Toc510517595"/>
      <w:bookmarkStart w:id="5396" w:name="_Toc510593553"/>
      <w:bookmarkStart w:id="5397" w:name="_Toc510593930"/>
      <w:bookmarkStart w:id="5398" w:name="_Toc510606552"/>
      <w:bookmarkStart w:id="5399" w:name="_Toc510606976"/>
      <w:bookmarkStart w:id="5400" w:name="_Toc510609638"/>
      <w:bookmarkStart w:id="5401" w:name="_Toc510612720"/>
      <w:bookmarkStart w:id="5402" w:name="_Toc510615492"/>
      <w:bookmarkStart w:id="5403" w:name="_Toc510616674"/>
      <w:bookmarkStart w:id="5404" w:name="_Toc510206864"/>
      <w:bookmarkStart w:id="5405" w:name="_Toc510207657"/>
      <w:bookmarkStart w:id="5406" w:name="_Toc510517596"/>
      <w:bookmarkStart w:id="5407" w:name="_Toc510593554"/>
      <w:bookmarkStart w:id="5408" w:name="_Toc510593931"/>
      <w:bookmarkStart w:id="5409" w:name="_Toc510606553"/>
      <w:bookmarkStart w:id="5410" w:name="_Toc510606977"/>
      <w:bookmarkStart w:id="5411" w:name="_Toc510609639"/>
      <w:bookmarkStart w:id="5412" w:name="_Toc510612721"/>
      <w:bookmarkStart w:id="5413" w:name="_Toc510615493"/>
      <w:bookmarkStart w:id="5414" w:name="_Toc510616675"/>
      <w:bookmarkStart w:id="5415" w:name="_Toc510206865"/>
      <w:bookmarkStart w:id="5416" w:name="_Toc510207658"/>
      <w:bookmarkStart w:id="5417" w:name="_Toc510517597"/>
      <w:bookmarkStart w:id="5418" w:name="_Toc510593555"/>
      <w:bookmarkStart w:id="5419" w:name="_Toc510593932"/>
      <w:bookmarkStart w:id="5420" w:name="_Toc510606554"/>
      <w:bookmarkStart w:id="5421" w:name="_Toc510606978"/>
      <w:bookmarkStart w:id="5422" w:name="_Toc510609640"/>
      <w:bookmarkStart w:id="5423" w:name="_Toc510612722"/>
      <w:bookmarkStart w:id="5424" w:name="_Toc510615494"/>
      <w:bookmarkStart w:id="5425" w:name="_Toc510616676"/>
      <w:bookmarkStart w:id="5426" w:name="_Toc510206866"/>
      <w:bookmarkStart w:id="5427" w:name="_Toc510207659"/>
      <w:bookmarkStart w:id="5428" w:name="_Toc510517598"/>
      <w:bookmarkStart w:id="5429" w:name="_Toc510593556"/>
      <w:bookmarkStart w:id="5430" w:name="_Toc510593933"/>
      <w:bookmarkStart w:id="5431" w:name="_Toc510606555"/>
      <w:bookmarkStart w:id="5432" w:name="_Toc510606979"/>
      <w:bookmarkStart w:id="5433" w:name="_Toc510609641"/>
      <w:bookmarkStart w:id="5434" w:name="_Toc510612723"/>
      <w:bookmarkStart w:id="5435" w:name="_Toc510615495"/>
      <w:bookmarkStart w:id="5436" w:name="_Toc510616677"/>
      <w:bookmarkStart w:id="5437" w:name="_Toc510206868"/>
      <w:bookmarkStart w:id="5438" w:name="_Toc510207661"/>
      <w:bookmarkStart w:id="5439" w:name="_Toc510517600"/>
      <w:bookmarkStart w:id="5440" w:name="_Toc510593558"/>
      <w:bookmarkStart w:id="5441" w:name="_Toc510593935"/>
      <w:bookmarkStart w:id="5442" w:name="_Toc510606556"/>
      <w:bookmarkStart w:id="5443" w:name="_Toc510606980"/>
      <w:bookmarkStart w:id="5444" w:name="_Toc510609642"/>
      <w:bookmarkStart w:id="5445" w:name="_Toc510612724"/>
      <w:bookmarkStart w:id="5446" w:name="_Toc510615496"/>
      <w:bookmarkStart w:id="5447" w:name="_Toc510616678"/>
      <w:bookmarkStart w:id="5448" w:name="_Toc510206869"/>
      <w:bookmarkStart w:id="5449" w:name="_Toc510207662"/>
      <w:bookmarkStart w:id="5450" w:name="_Toc510517601"/>
      <w:bookmarkStart w:id="5451" w:name="_Toc510593559"/>
      <w:bookmarkStart w:id="5452" w:name="_Toc510593936"/>
      <w:bookmarkStart w:id="5453" w:name="_Toc510606557"/>
      <w:bookmarkStart w:id="5454" w:name="_Toc510606981"/>
      <w:bookmarkStart w:id="5455" w:name="_Toc510609643"/>
      <w:bookmarkStart w:id="5456" w:name="_Toc510612725"/>
      <w:bookmarkStart w:id="5457" w:name="_Toc510615497"/>
      <w:bookmarkStart w:id="5458" w:name="_Toc510616679"/>
      <w:bookmarkStart w:id="5459" w:name="_Toc510206871"/>
      <w:bookmarkStart w:id="5460" w:name="_Toc510207664"/>
      <w:bookmarkStart w:id="5461" w:name="_Toc510517603"/>
      <w:bookmarkStart w:id="5462" w:name="_Toc510593561"/>
      <w:bookmarkStart w:id="5463" w:name="_Toc510593938"/>
      <w:bookmarkStart w:id="5464" w:name="_Toc510606559"/>
      <w:bookmarkStart w:id="5465" w:name="_Toc510606983"/>
      <w:bookmarkStart w:id="5466" w:name="_Toc510609645"/>
      <w:bookmarkStart w:id="5467" w:name="_Toc510612727"/>
      <w:bookmarkStart w:id="5468" w:name="_Toc510615499"/>
      <w:bookmarkStart w:id="5469" w:name="_Toc510616681"/>
      <w:bookmarkStart w:id="5470" w:name="_Toc510206872"/>
      <w:bookmarkStart w:id="5471" w:name="_Toc510207665"/>
      <w:bookmarkStart w:id="5472" w:name="_Toc510517604"/>
      <w:bookmarkStart w:id="5473" w:name="_Toc510593562"/>
      <w:bookmarkStart w:id="5474" w:name="_Toc510593939"/>
      <w:bookmarkStart w:id="5475" w:name="_Toc510606560"/>
      <w:bookmarkStart w:id="5476" w:name="_Toc510606984"/>
      <w:bookmarkStart w:id="5477" w:name="_Toc510609646"/>
      <w:bookmarkStart w:id="5478" w:name="_Toc510612728"/>
      <w:bookmarkStart w:id="5479" w:name="_Toc510615500"/>
      <w:bookmarkStart w:id="5480" w:name="_Toc510616682"/>
      <w:bookmarkStart w:id="5481" w:name="_Toc510206875"/>
      <w:bookmarkStart w:id="5482" w:name="_Toc510207668"/>
      <w:bookmarkStart w:id="5483" w:name="_Toc510517607"/>
      <w:bookmarkStart w:id="5484" w:name="_Toc510593565"/>
      <w:bookmarkStart w:id="5485" w:name="_Toc510593942"/>
      <w:bookmarkStart w:id="5486" w:name="_Toc510606563"/>
      <w:bookmarkStart w:id="5487" w:name="_Toc510606987"/>
      <w:bookmarkStart w:id="5488" w:name="_Toc510609649"/>
      <w:bookmarkStart w:id="5489" w:name="_Toc510612731"/>
      <w:bookmarkStart w:id="5490" w:name="_Toc510615503"/>
      <w:bookmarkStart w:id="5491" w:name="_Toc510616685"/>
      <w:bookmarkStart w:id="5492" w:name="_Toc510206878"/>
      <w:bookmarkStart w:id="5493" w:name="_Toc510207671"/>
      <w:bookmarkStart w:id="5494" w:name="_Toc510517610"/>
      <w:bookmarkStart w:id="5495" w:name="_Toc510593568"/>
      <w:bookmarkStart w:id="5496" w:name="_Toc510593945"/>
      <w:bookmarkStart w:id="5497" w:name="_Toc510606566"/>
      <w:bookmarkStart w:id="5498" w:name="_Toc510606990"/>
      <w:bookmarkStart w:id="5499" w:name="_Toc510609652"/>
      <w:bookmarkStart w:id="5500" w:name="_Toc510612734"/>
      <w:bookmarkStart w:id="5501" w:name="_Toc510615506"/>
      <w:bookmarkStart w:id="5502" w:name="_Toc510616688"/>
      <w:bookmarkStart w:id="5503" w:name="_Toc510206882"/>
      <w:bookmarkStart w:id="5504" w:name="_Toc510207675"/>
      <w:bookmarkStart w:id="5505" w:name="_Toc510517614"/>
      <w:bookmarkStart w:id="5506" w:name="_Toc510593572"/>
      <w:bookmarkStart w:id="5507" w:name="_Toc510593949"/>
      <w:bookmarkStart w:id="5508" w:name="_Toc510606570"/>
      <w:bookmarkStart w:id="5509" w:name="_Toc510606994"/>
      <w:bookmarkStart w:id="5510" w:name="_Toc510609656"/>
      <w:bookmarkStart w:id="5511" w:name="_Toc510612738"/>
      <w:bookmarkStart w:id="5512" w:name="_Toc510615510"/>
      <w:bookmarkStart w:id="5513" w:name="_Toc510616692"/>
      <w:bookmarkStart w:id="5514" w:name="_Toc510206883"/>
      <w:bookmarkStart w:id="5515" w:name="_Toc510207676"/>
      <w:bookmarkStart w:id="5516" w:name="_Toc510517615"/>
      <w:bookmarkStart w:id="5517" w:name="_Toc510593573"/>
      <w:bookmarkStart w:id="5518" w:name="_Toc510593950"/>
      <w:bookmarkStart w:id="5519" w:name="_Toc510606571"/>
      <w:bookmarkStart w:id="5520" w:name="_Toc510606995"/>
      <w:bookmarkStart w:id="5521" w:name="_Toc510609657"/>
      <w:bookmarkStart w:id="5522" w:name="_Toc510612739"/>
      <w:bookmarkStart w:id="5523" w:name="_Toc510615511"/>
      <w:bookmarkStart w:id="5524" w:name="_Toc510616693"/>
      <w:bookmarkStart w:id="5525" w:name="_Toc510206884"/>
      <w:bookmarkStart w:id="5526" w:name="_Toc510207677"/>
      <w:bookmarkStart w:id="5527" w:name="_Toc510517616"/>
      <w:bookmarkStart w:id="5528" w:name="_Toc510593574"/>
      <w:bookmarkStart w:id="5529" w:name="_Toc510593951"/>
      <w:bookmarkStart w:id="5530" w:name="_Toc510606572"/>
      <w:bookmarkStart w:id="5531" w:name="_Toc510606996"/>
      <w:bookmarkStart w:id="5532" w:name="_Toc510609658"/>
      <w:bookmarkStart w:id="5533" w:name="_Toc510612740"/>
      <w:bookmarkStart w:id="5534" w:name="_Toc510615512"/>
      <w:bookmarkStart w:id="5535" w:name="_Toc510616694"/>
      <w:bookmarkStart w:id="5536" w:name="_Toc510206885"/>
      <w:bookmarkStart w:id="5537" w:name="_Toc510207678"/>
      <w:bookmarkStart w:id="5538" w:name="_Toc510517617"/>
      <w:bookmarkStart w:id="5539" w:name="_Toc510593575"/>
      <w:bookmarkStart w:id="5540" w:name="_Toc510593952"/>
      <w:bookmarkStart w:id="5541" w:name="_Toc510606573"/>
      <w:bookmarkStart w:id="5542" w:name="_Toc510606997"/>
      <w:bookmarkStart w:id="5543" w:name="_Toc510609659"/>
      <w:bookmarkStart w:id="5544" w:name="_Toc510612741"/>
      <w:bookmarkStart w:id="5545" w:name="_Toc510615513"/>
      <w:bookmarkStart w:id="5546" w:name="_Toc510616695"/>
      <w:bookmarkStart w:id="5547" w:name="_Toc509322281"/>
      <w:bookmarkStart w:id="5548" w:name="_Toc509322605"/>
      <w:bookmarkStart w:id="5549" w:name="_Toc509323107"/>
      <w:bookmarkStart w:id="5550" w:name="_Toc509323480"/>
      <w:bookmarkStart w:id="5551" w:name="_Toc509323804"/>
      <w:bookmarkStart w:id="5552" w:name="_Toc509324128"/>
      <w:bookmarkStart w:id="5553" w:name="_Toc509324452"/>
      <w:bookmarkStart w:id="5554" w:name="_Toc509324821"/>
      <w:bookmarkStart w:id="5555" w:name="_Toc509325190"/>
      <w:bookmarkStart w:id="5556" w:name="_Toc509325559"/>
      <w:bookmarkStart w:id="5557" w:name="_Toc509325928"/>
      <w:bookmarkStart w:id="5558" w:name="_Toc509326303"/>
      <w:bookmarkStart w:id="5559" w:name="_Toc509326678"/>
      <w:bookmarkStart w:id="5560" w:name="_Toc509327053"/>
      <w:bookmarkStart w:id="5561" w:name="_Toc509327369"/>
      <w:bookmarkStart w:id="5562" w:name="_Toc509327744"/>
      <w:bookmarkStart w:id="5563" w:name="_Toc509328119"/>
      <w:bookmarkStart w:id="5564" w:name="_Toc509332911"/>
      <w:bookmarkStart w:id="5565" w:name="_Toc509333324"/>
      <w:bookmarkStart w:id="5566" w:name="_Toc509333737"/>
      <w:bookmarkStart w:id="5567" w:name="_Toc509335140"/>
      <w:bookmarkStart w:id="5568" w:name="_Toc509335650"/>
      <w:bookmarkStart w:id="5569" w:name="_Toc509336581"/>
      <w:bookmarkStart w:id="5570" w:name="_Toc509337013"/>
      <w:bookmarkStart w:id="5571" w:name="_Toc509337440"/>
      <w:bookmarkStart w:id="5572" w:name="_Toc509337867"/>
      <w:bookmarkStart w:id="5573" w:name="_Toc509338197"/>
      <w:bookmarkStart w:id="5574" w:name="_Toc509382738"/>
      <w:bookmarkStart w:id="5575" w:name="_Toc509383170"/>
      <w:bookmarkStart w:id="5576" w:name="_Toc509384049"/>
      <w:bookmarkStart w:id="5577" w:name="_Toc509404721"/>
      <w:bookmarkStart w:id="5578" w:name="_Toc509069094"/>
      <w:bookmarkStart w:id="5579" w:name="_Toc510206887"/>
      <w:bookmarkStart w:id="5580" w:name="_Toc510207680"/>
      <w:bookmarkStart w:id="5581" w:name="_Toc510517619"/>
      <w:bookmarkStart w:id="5582" w:name="_Toc510593577"/>
      <w:bookmarkStart w:id="5583" w:name="_Toc510593954"/>
      <w:bookmarkStart w:id="5584" w:name="_Toc510606575"/>
      <w:bookmarkStart w:id="5585" w:name="_Toc510606999"/>
      <w:bookmarkStart w:id="5586" w:name="_Toc510609661"/>
      <w:bookmarkStart w:id="5587" w:name="_Toc510612743"/>
      <w:bookmarkStart w:id="5588" w:name="_Toc510615515"/>
      <w:bookmarkStart w:id="5589" w:name="_Toc510616697"/>
      <w:bookmarkStart w:id="5590" w:name="_Toc510206888"/>
      <w:bookmarkStart w:id="5591" w:name="_Toc510207681"/>
      <w:bookmarkStart w:id="5592" w:name="_Toc510517620"/>
      <w:bookmarkStart w:id="5593" w:name="_Toc510593578"/>
      <w:bookmarkStart w:id="5594" w:name="_Toc510593955"/>
      <w:bookmarkStart w:id="5595" w:name="_Toc510606576"/>
      <w:bookmarkStart w:id="5596" w:name="_Toc510607000"/>
      <w:bookmarkStart w:id="5597" w:name="_Toc510609662"/>
      <w:bookmarkStart w:id="5598" w:name="_Toc510612744"/>
      <w:bookmarkStart w:id="5599" w:name="_Toc510615516"/>
      <w:bookmarkStart w:id="5600" w:name="_Toc510616698"/>
      <w:bookmarkStart w:id="5601" w:name="_Toc510206889"/>
      <w:bookmarkStart w:id="5602" w:name="_Toc510207682"/>
      <w:bookmarkStart w:id="5603" w:name="_Toc510517621"/>
      <w:bookmarkStart w:id="5604" w:name="_Toc510593579"/>
      <w:bookmarkStart w:id="5605" w:name="_Toc510593956"/>
      <w:bookmarkStart w:id="5606" w:name="_Toc510606577"/>
      <w:bookmarkStart w:id="5607" w:name="_Toc510607001"/>
      <w:bookmarkStart w:id="5608" w:name="_Toc510609663"/>
      <w:bookmarkStart w:id="5609" w:name="_Toc510612745"/>
      <w:bookmarkStart w:id="5610" w:name="_Toc510615517"/>
      <w:bookmarkStart w:id="5611" w:name="_Toc510616699"/>
      <w:bookmarkStart w:id="5612" w:name="_Toc510206890"/>
      <w:bookmarkStart w:id="5613" w:name="_Toc510207683"/>
      <w:bookmarkStart w:id="5614" w:name="_Toc510517622"/>
      <w:bookmarkStart w:id="5615" w:name="_Toc510593580"/>
      <w:bookmarkStart w:id="5616" w:name="_Toc510593957"/>
      <w:bookmarkStart w:id="5617" w:name="_Toc510606578"/>
      <w:bookmarkStart w:id="5618" w:name="_Toc510607002"/>
      <w:bookmarkStart w:id="5619" w:name="_Toc510609664"/>
      <w:bookmarkStart w:id="5620" w:name="_Toc510612746"/>
      <w:bookmarkStart w:id="5621" w:name="_Toc510615518"/>
      <w:bookmarkStart w:id="5622" w:name="_Toc510616700"/>
      <w:bookmarkStart w:id="5623" w:name="_Toc510206891"/>
      <w:bookmarkStart w:id="5624" w:name="_Toc510207684"/>
      <w:bookmarkStart w:id="5625" w:name="_Toc510517623"/>
      <w:bookmarkStart w:id="5626" w:name="_Toc510593581"/>
      <w:bookmarkStart w:id="5627" w:name="_Toc510593958"/>
      <w:bookmarkStart w:id="5628" w:name="_Toc510606579"/>
      <w:bookmarkStart w:id="5629" w:name="_Toc510607003"/>
      <w:bookmarkStart w:id="5630" w:name="_Toc510609665"/>
      <w:bookmarkStart w:id="5631" w:name="_Toc510612747"/>
      <w:bookmarkStart w:id="5632" w:name="_Toc510615519"/>
      <w:bookmarkStart w:id="5633" w:name="_Toc510616701"/>
      <w:bookmarkStart w:id="5634" w:name="_Toc510206892"/>
      <w:bookmarkStart w:id="5635" w:name="_Toc510207685"/>
      <w:bookmarkStart w:id="5636" w:name="_Toc510517624"/>
      <w:bookmarkStart w:id="5637" w:name="_Toc510593582"/>
      <w:bookmarkStart w:id="5638" w:name="_Toc510593959"/>
      <w:bookmarkStart w:id="5639" w:name="_Toc510606580"/>
      <w:bookmarkStart w:id="5640" w:name="_Toc510607004"/>
      <w:bookmarkStart w:id="5641" w:name="_Toc510609666"/>
      <w:bookmarkStart w:id="5642" w:name="_Toc510612748"/>
      <w:bookmarkStart w:id="5643" w:name="_Toc510615520"/>
      <w:bookmarkStart w:id="5644" w:name="_Toc510616702"/>
      <w:bookmarkStart w:id="5645" w:name="_Toc510206893"/>
      <w:bookmarkStart w:id="5646" w:name="_Toc510207686"/>
      <w:bookmarkStart w:id="5647" w:name="_Toc510517625"/>
      <w:bookmarkStart w:id="5648" w:name="_Toc510593583"/>
      <w:bookmarkStart w:id="5649" w:name="_Toc510593960"/>
      <w:bookmarkStart w:id="5650" w:name="_Toc510606581"/>
      <w:bookmarkStart w:id="5651" w:name="_Toc510607005"/>
      <w:bookmarkStart w:id="5652" w:name="_Toc510609667"/>
      <w:bookmarkStart w:id="5653" w:name="_Toc510612749"/>
      <w:bookmarkStart w:id="5654" w:name="_Toc510615521"/>
      <w:bookmarkStart w:id="5655" w:name="_Toc510616703"/>
      <w:bookmarkStart w:id="5656" w:name="_Toc510206894"/>
      <w:bookmarkStart w:id="5657" w:name="_Toc510207687"/>
      <w:bookmarkStart w:id="5658" w:name="_Toc510517626"/>
      <w:bookmarkStart w:id="5659" w:name="_Toc510593584"/>
      <w:bookmarkStart w:id="5660" w:name="_Toc510593961"/>
      <w:bookmarkStart w:id="5661" w:name="_Toc510606582"/>
      <w:bookmarkStart w:id="5662" w:name="_Toc510607006"/>
      <w:bookmarkStart w:id="5663" w:name="_Toc510609668"/>
      <w:bookmarkStart w:id="5664" w:name="_Toc510612750"/>
      <w:bookmarkStart w:id="5665" w:name="_Toc510615522"/>
      <w:bookmarkStart w:id="5666" w:name="_Toc510616704"/>
      <w:bookmarkStart w:id="5667" w:name="_Toc510206895"/>
      <w:bookmarkStart w:id="5668" w:name="_Toc510207688"/>
      <w:bookmarkStart w:id="5669" w:name="_Toc510517627"/>
      <w:bookmarkStart w:id="5670" w:name="_Toc510593585"/>
      <w:bookmarkStart w:id="5671" w:name="_Toc510593962"/>
      <w:bookmarkStart w:id="5672" w:name="_Toc510606583"/>
      <w:bookmarkStart w:id="5673" w:name="_Toc510607007"/>
      <w:bookmarkStart w:id="5674" w:name="_Toc510609669"/>
      <w:bookmarkStart w:id="5675" w:name="_Toc510612751"/>
      <w:bookmarkStart w:id="5676" w:name="_Toc510615523"/>
      <w:bookmarkStart w:id="5677" w:name="_Toc510616705"/>
      <w:bookmarkStart w:id="5678" w:name="_Toc510206896"/>
      <w:bookmarkStart w:id="5679" w:name="_Toc510207689"/>
      <w:bookmarkStart w:id="5680" w:name="_Toc510517628"/>
      <w:bookmarkStart w:id="5681" w:name="_Toc510593586"/>
      <w:bookmarkStart w:id="5682" w:name="_Toc510593963"/>
      <w:bookmarkStart w:id="5683" w:name="_Toc510606584"/>
      <w:bookmarkStart w:id="5684" w:name="_Toc510607008"/>
      <w:bookmarkStart w:id="5685" w:name="_Toc510609670"/>
      <w:bookmarkStart w:id="5686" w:name="_Toc510612752"/>
      <w:bookmarkStart w:id="5687" w:name="_Toc510615524"/>
      <w:bookmarkStart w:id="5688" w:name="_Toc510616706"/>
      <w:bookmarkStart w:id="5689" w:name="_Toc510206897"/>
      <w:bookmarkStart w:id="5690" w:name="_Toc510207690"/>
      <w:bookmarkStart w:id="5691" w:name="_Toc510517629"/>
      <w:bookmarkStart w:id="5692" w:name="_Toc510593587"/>
      <w:bookmarkStart w:id="5693" w:name="_Toc510593964"/>
      <w:bookmarkStart w:id="5694" w:name="_Toc510606585"/>
      <w:bookmarkStart w:id="5695" w:name="_Toc510607009"/>
      <w:bookmarkStart w:id="5696" w:name="_Toc510609671"/>
      <w:bookmarkStart w:id="5697" w:name="_Toc510612753"/>
      <w:bookmarkStart w:id="5698" w:name="_Toc510615525"/>
      <w:bookmarkStart w:id="5699" w:name="_Toc510616707"/>
      <w:bookmarkStart w:id="5700" w:name="_Toc510206898"/>
      <w:bookmarkStart w:id="5701" w:name="_Toc510207691"/>
      <w:bookmarkStart w:id="5702" w:name="_Toc510517630"/>
      <w:bookmarkStart w:id="5703" w:name="_Toc510593588"/>
      <w:bookmarkStart w:id="5704" w:name="_Toc510593965"/>
      <w:bookmarkStart w:id="5705" w:name="_Toc510606586"/>
      <w:bookmarkStart w:id="5706" w:name="_Toc510607010"/>
      <w:bookmarkStart w:id="5707" w:name="_Toc510609672"/>
      <w:bookmarkStart w:id="5708" w:name="_Toc510612754"/>
      <w:bookmarkStart w:id="5709" w:name="_Toc510615526"/>
      <w:bookmarkStart w:id="5710" w:name="_Toc510616708"/>
      <w:bookmarkStart w:id="5711" w:name="_Toc510206899"/>
      <w:bookmarkStart w:id="5712" w:name="_Toc510207692"/>
      <w:bookmarkStart w:id="5713" w:name="_Toc510517631"/>
      <w:bookmarkStart w:id="5714" w:name="_Toc510593589"/>
      <w:bookmarkStart w:id="5715" w:name="_Toc510593966"/>
      <w:bookmarkStart w:id="5716" w:name="_Toc510606587"/>
      <w:bookmarkStart w:id="5717" w:name="_Toc510607011"/>
      <w:bookmarkStart w:id="5718" w:name="_Toc510609673"/>
      <w:bookmarkStart w:id="5719" w:name="_Toc510612755"/>
      <w:bookmarkStart w:id="5720" w:name="_Toc510615527"/>
      <w:bookmarkStart w:id="5721" w:name="_Toc510616709"/>
      <w:bookmarkStart w:id="5722" w:name="_Toc510206900"/>
      <w:bookmarkStart w:id="5723" w:name="_Toc510207693"/>
      <w:bookmarkStart w:id="5724" w:name="_Toc510517632"/>
      <w:bookmarkStart w:id="5725" w:name="_Toc510593590"/>
      <w:bookmarkStart w:id="5726" w:name="_Toc510593967"/>
      <w:bookmarkStart w:id="5727" w:name="_Toc510606588"/>
      <w:bookmarkStart w:id="5728" w:name="_Toc510607012"/>
      <w:bookmarkStart w:id="5729" w:name="_Toc510609674"/>
      <w:bookmarkStart w:id="5730" w:name="_Toc510612756"/>
      <w:bookmarkStart w:id="5731" w:name="_Toc510615528"/>
      <w:bookmarkStart w:id="5732" w:name="_Toc510616710"/>
      <w:bookmarkStart w:id="5733" w:name="_Toc510206901"/>
      <w:bookmarkStart w:id="5734" w:name="_Toc510207694"/>
      <w:bookmarkStart w:id="5735" w:name="_Toc510517633"/>
      <w:bookmarkStart w:id="5736" w:name="_Toc510593591"/>
      <w:bookmarkStart w:id="5737" w:name="_Toc510593968"/>
      <w:bookmarkStart w:id="5738" w:name="_Toc510606589"/>
      <w:bookmarkStart w:id="5739" w:name="_Toc510607013"/>
      <w:bookmarkStart w:id="5740" w:name="_Toc510609675"/>
      <w:bookmarkStart w:id="5741" w:name="_Toc510612757"/>
      <w:bookmarkStart w:id="5742" w:name="_Toc510615529"/>
      <w:bookmarkStart w:id="5743" w:name="_Toc510616711"/>
      <w:bookmarkStart w:id="5744" w:name="_Toc510206902"/>
      <w:bookmarkStart w:id="5745" w:name="_Toc510207695"/>
      <w:bookmarkStart w:id="5746" w:name="_Toc510517634"/>
      <w:bookmarkStart w:id="5747" w:name="_Toc510593592"/>
      <w:bookmarkStart w:id="5748" w:name="_Toc510593969"/>
      <w:bookmarkStart w:id="5749" w:name="_Toc510606590"/>
      <w:bookmarkStart w:id="5750" w:name="_Toc510607014"/>
      <w:bookmarkStart w:id="5751" w:name="_Toc510609676"/>
      <w:bookmarkStart w:id="5752" w:name="_Toc510612758"/>
      <w:bookmarkStart w:id="5753" w:name="_Toc510615530"/>
      <w:bookmarkStart w:id="5754" w:name="_Toc510616712"/>
      <w:bookmarkStart w:id="5755" w:name="_Toc510206903"/>
      <w:bookmarkStart w:id="5756" w:name="_Toc510207696"/>
      <w:bookmarkStart w:id="5757" w:name="_Toc510517635"/>
      <w:bookmarkStart w:id="5758" w:name="_Toc510593593"/>
      <w:bookmarkStart w:id="5759" w:name="_Toc510593970"/>
      <w:bookmarkStart w:id="5760" w:name="_Toc510606591"/>
      <w:bookmarkStart w:id="5761" w:name="_Toc510607015"/>
      <w:bookmarkStart w:id="5762" w:name="_Toc510609677"/>
      <w:bookmarkStart w:id="5763" w:name="_Toc510612759"/>
      <w:bookmarkStart w:id="5764" w:name="_Toc510615531"/>
      <w:bookmarkStart w:id="5765" w:name="_Toc510616713"/>
      <w:bookmarkStart w:id="5766" w:name="_Toc510206904"/>
      <w:bookmarkStart w:id="5767" w:name="_Toc510207697"/>
      <w:bookmarkStart w:id="5768" w:name="_Toc510517636"/>
      <w:bookmarkStart w:id="5769" w:name="_Toc510593594"/>
      <w:bookmarkStart w:id="5770" w:name="_Toc510593971"/>
      <w:bookmarkStart w:id="5771" w:name="_Toc510606592"/>
      <w:bookmarkStart w:id="5772" w:name="_Toc510607016"/>
      <w:bookmarkStart w:id="5773" w:name="_Toc510609678"/>
      <w:bookmarkStart w:id="5774" w:name="_Toc510612760"/>
      <w:bookmarkStart w:id="5775" w:name="_Toc510615532"/>
      <w:bookmarkStart w:id="5776" w:name="_Toc510616714"/>
      <w:bookmarkStart w:id="5777" w:name="_Toc510206905"/>
      <w:bookmarkStart w:id="5778" w:name="_Toc510207698"/>
      <w:bookmarkStart w:id="5779" w:name="_Toc510517637"/>
      <w:bookmarkStart w:id="5780" w:name="_Toc510593595"/>
      <w:bookmarkStart w:id="5781" w:name="_Toc510593972"/>
      <w:bookmarkStart w:id="5782" w:name="_Toc510606593"/>
      <w:bookmarkStart w:id="5783" w:name="_Toc510607017"/>
      <w:bookmarkStart w:id="5784" w:name="_Toc510609679"/>
      <w:bookmarkStart w:id="5785" w:name="_Toc510612761"/>
      <w:bookmarkStart w:id="5786" w:name="_Toc510615533"/>
      <w:bookmarkStart w:id="5787" w:name="_Toc510616715"/>
      <w:bookmarkStart w:id="5788" w:name="_Toc510206906"/>
      <w:bookmarkStart w:id="5789" w:name="_Toc510207699"/>
      <w:bookmarkStart w:id="5790" w:name="_Toc510517638"/>
      <w:bookmarkStart w:id="5791" w:name="_Toc510593596"/>
      <w:bookmarkStart w:id="5792" w:name="_Toc510593973"/>
      <w:bookmarkStart w:id="5793" w:name="_Toc510606594"/>
      <w:bookmarkStart w:id="5794" w:name="_Toc510607018"/>
      <w:bookmarkStart w:id="5795" w:name="_Toc510609680"/>
      <w:bookmarkStart w:id="5796" w:name="_Toc510612762"/>
      <w:bookmarkStart w:id="5797" w:name="_Toc510615534"/>
      <w:bookmarkStart w:id="5798" w:name="_Toc510616716"/>
      <w:bookmarkStart w:id="5799" w:name="_Toc510206907"/>
      <w:bookmarkStart w:id="5800" w:name="_Toc510207700"/>
      <w:bookmarkStart w:id="5801" w:name="_Toc510517639"/>
      <w:bookmarkStart w:id="5802" w:name="_Toc510593597"/>
      <w:bookmarkStart w:id="5803" w:name="_Toc510593974"/>
      <w:bookmarkStart w:id="5804" w:name="_Toc510606595"/>
      <w:bookmarkStart w:id="5805" w:name="_Toc510607019"/>
      <w:bookmarkStart w:id="5806" w:name="_Toc510609681"/>
      <w:bookmarkStart w:id="5807" w:name="_Toc510612763"/>
      <w:bookmarkStart w:id="5808" w:name="_Toc510615535"/>
      <w:bookmarkStart w:id="5809" w:name="_Toc510616717"/>
      <w:bookmarkStart w:id="5810" w:name="_Toc510206908"/>
      <w:bookmarkStart w:id="5811" w:name="_Toc510207701"/>
      <w:bookmarkStart w:id="5812" w:name="_Toc510517640"/>
      <w:bookmarkStart w:id="5813" w:name="_Toc510593598"/>
      <w:bookmarkStart w:id="5814" w:name="_Toc510593975"/>
      <w:bookmarkStart w:id="5815" w:name="_Toc510606596"/>
      <w:bookmarkStart w:id="5816" w:name="_Toc510607020"/>
      <w:bookmarkStart w:id="5817" w:name="_Toc510609682"/>
      <w:bookmarkStart w:id="5818" w:name="_Toc510612764"/>
      <w:bookmarkStart w:id="5819" w:name="_Toc510615536"/>
      <w:bookmarkStart w:id="5820" w:name="_Toc510616718"/>
      <w:bookmarkStart w:id="5821" w:name="_Toc510206909"/>
      <w:bookmarkStart w:id="5822" w:name="_Toc510207702"/>
      <w:bookmarkStart w:id="5823" w:name="_Toc510517641"/>
      <w:bookmarkStart w:id="5824" w:name="_Toc510593599"/>
      <w:bookmarkStart w:id="5825" w:name="_Toc510593976"/>
      <w:bookmarkStart w:id="5826" w:name="_Toc510606597"/>
      <w:bookmarkStart w:id="5827" w:name="_Toc510607021"/>
      <w:bookmarkStart w:id="5828" w:name="_Toc510609683"/>
      <w:bookmarkStart w:id="5829" w:name="_Toc510612765"/>
      <w:bookmarkStart w:id="5830" w:name="_Toc510615537"/>
      <w:bookmarkStart w:id="5831" w:name="_Toc510616719"/>
      <w:bookmarkStart w:id="5832" w:name="_Toc510206910"/>
      <w:bookmarkStart w:id="5833" w:name="_Toc510207703"/>
      <w:bookmarkStart w:id="5834" w:name="_Toc510517642"/>
      <w:bookmarkStart w:id="5835" w:name="_Toc510593600"/>
      <w:bookmarkStart w:id="5836" w:name="_Toc510593977"/>
      <w:bookmarkStart w:id="5837" w:name="_Toc510606598"/>
      <w:bookmarkStart w:id="5838" w:name="_Toc510607022"/>
      <w:bookmarkStart w:id="5839" w:name="_Toc510609684"/>
      <w:bookmarkStart w:id="5840" w:name="_Toc510612766"/>
      <w:bookmarkStart w:id="5841" w:name="_Toc510615538"/>
      <w:bookmarkStart w:id="5842" w:name="_Toc510616720"/>
      <w:bookmarkStart w:id="5843" w:name="_Toc510206911"/>
      <w:bookmarkStart w:id="5844" w:name="_Toc510207704"/>
      <w:bookmarkStart w:id="5845" w:name="_Toc510517643"/>
      <w:bookmarkStart w:id="5846" w:name="_Toc510593601"/>
      <w:bookmarkStart w:id="5847" w:name="_Toc510593978"/>
      <w:bookmarkStart w:id="5848" w:name="_Toc510606599"/>
      <w:bookmarkStart w:id="5849" w:name="_Toc510607023"/>
      <w:bookmarkStart w:id="5850" w:name="_Toc510609685"/>
      <w:bookmarkStart w:id="5851" w:name="_Toc510612767"/>
      <w:bookmarkStart w:id="5852" w:name="_Toc510615539"/>
      <w:bookmarkStart w:id="5853" w:name="_Toc510616721"/>
      <w:bookmarkStart w:id="5854" w:name="_Toc509067174"/>
      <w:bookmarkStart w:id="5855" w:name="_Toc509068608"/>
      <w:bookmarkStart w:id="5856" w:name="_Toc509067176"/>
      <w:bookmarkStart w:id="5857" w:name="_Toc509068610"/>
      <w:bookmarkStart w:id="5858" w:name="_Toc509067200"/>
      <w:bookmarkStart w:id="5859" w:name="_Toc509068634"/>
      <w:bookmarkStart w:id="5860" w:name="_Toc509067219"/>
      <w:bookmarkStart w:id="5861" w:name="_Toc509068653"/>
      <w:bookmarkStart w:id="5862" w:name="_Toc509069096"/>
      <w:bookmarkStart w:id="5863" w:name="_Toc509069097"/>
      <w:bookmarkStart w:id="5864" w:name="_Toc509069098"/>
      <w:bookmarkStart w:id="5865" w:name="_Toc509069099"/>
      <w:bookmarkStart w:id="5866" w:name="_Toc509069100"/>
      <w:bookmarkStart w:id="5867" w:name="_Toc509069101"/>
      <w:bookmarkStart w:id="5868" w:name="_Toc509069102"/>
      <w:bookmarkStart w:id="5869" w:name="_Toc509069103"/>
      <w:bookmarkStart w:id="5870" w:name="_Toc509069104"/>
      <w:bookmarkStart w:id="5871" w:name="_Toc509069105"/>
      <w:bookmarkStart w:id="5872" w:name="_Toc509069106"/>
      <w:bookmarkStart w:id="5873" w:name="_Toc509069107"/>
      <w:bookmarkStart w:id="5874" w:name="_Toc509069108"/>
      <w:bookmarkStart w:id="5875" w:name="_Toc509069109"/>
      <w:bookmarkStart w:id="5876" w:name="_Toc509069110"/>
      <w:bookmarkStart w:id="5877" w:name="_Toc509069111"/>
      <w:bookmarkStart w:id="5878" w:name="_Toc509069112"/>
      <w:bookmarkStart w:id="5879" w:name="_Toc509069113"/>
      <w:bookmarkStart w:id="5880" w:name="_Toc509069114"/>
      <w:bookmarkStart w:id="5881" w:name="_Toc509069115"/>
      <w:bookmarkStart w:id="5882" w:name="_Toc509069116"/>
      <w:bookmarkStart w:id="5883" w:name="_Toc509069117"/>
      <w:bookmarkStart w:id="5884" w:name="_Toc509069119"/>
      <w:bookmarkStart w:id="5885" w:name="_Toc509069120"/>
      <w:bookmarkStart w:id="5886" w:name="_Toc509069121"/>
      <w:bookmarkStart w:id="5887" w:name="_Toc509069122"/>
      <w:bookmarkStart w:id="5888" w:name="_Toc509069123"/>
      <w:bookmarkStart w:id="5889" w:name="_Toc509069124"/>
      <w:bookmarkStart w:id="5890" w:name="_Toc509069125"/>
      <w:bookmarkStart w:id="5891" w:name="_Toc509069126"/>
      <w:bookmarkStart w:id="5892" w:name="_Toc509069128"/>
      <w:bookmarkStart w:id="5893" w:name="_Toc509069129"/>
      <w:bookmarkStart w:id="5894" w:name="_Toc509069130"/>
      <w:bookmarkStart w:id="5895" w:name="_Toc509069131"/>
      <w:bookmarkStart w:id="5896" w:name="_Toc509069132"/>
      <w:bookmarkStart w:id="5897" w:name="_Toc509069133"/>
      <w:bookmarkStart w:id="5898" w:name="_Toc509069134"/>
      <w:bookmarkStart w:id="5899" w:name="_Toc509069135"/>
      <w:bookmarkStart w:id="5900" w:name="_Toc509069136"/>
      <w:bookmarkStart w:id="5901" w:name="_Toc509069137"/>
      <w:bookmarkStart w:id="5902" w:name="_Toc509069138"/>
      <w:bookmarkStart w:id="5903" w:name="_Toc509069139"/>
      <w:bookmarkStart w:id="5904" w:name="_Toc509069140"/>
      <w:bookmarkStart w:id="5905" w:name="_Toc509069141"/>
      <w:bookmarkStart w:id="5906" w:name="_Toc509069142"/>
      <w:bookmarkStart w:id="5907" w:name="_Toc509069145"/>
      <w:bookmarkStart w:id="5908" w:name="_Toc509069146"/>
      <w:bookmarkStart w:id="5909" w:name="_Toc509069147"/>
      <w:bookmarkStart w:id="5910" w:name="_Toc509069152"/>
      <w:bookmarkStart w:id="5911" w:name="_Toc509069153"/>
      <w:bookmarkStart w:id="5912" w:name="_Toc509069154"/>
      <w:bookmarkStart w:id="5913" w:name="_Toc509069160"/>
      <w:bookmarkStart w:id="5914" w:name="_Toc510206917"/>
      <w:bookmarkStart w:id="5915" w:name="_Toc510207710"/>
      <w:bookmarkStart w:id="5916" w:name="_Toc510517649"/>
      <w:bookmarkStart w:id="5917" w:name="_Toc510593607"/>
      <w:bookmarkStart w:id="5918" w:name="_Toc510593984"/>
      <w:bookmarkStart w:id="5919" w:name="_Toc510606603"/>
      <w:bookmarkStart w:id="5920" w:name="_Toc510607027"/>
      <w:bookmarkStart w:id="5921" w:name="_Toc510609689"/>
      <w:bookmarkStart w:id="5922" w:name="_Toc510612771"/>
      <w:bookmarkStart w:id="5923" w:name="_Toc510615543"/>
      <w:bookmarkStart w:id="5924" w:name="_Toc510616725"/>
      <w:bookmarkStart w:id="5925" w:name="_Toc510206919"/>
      <w:bookmarkStart w:id="5926" w:name="_Toc510207712"/>
      <w:bookmarkStart w:id="5927" w:name="_Toc510517651"/>
      <w:bookmarkStart w:id="5928" w:name="_Toc510593609"/>
      <w:bookmarkStart w:id="5929" w:name="_Toc510593986"/>
      <w:bookmarkStart w:id="5930" w:name="_Toc510606605"/>
      <w:bookmarkStart w:id="5931" w:name="_Toc510607029"/>
      <w:bookmarkStart w:id="5932" w:name="_Toc510609691"/>
      <w:bookmarkStart w:id="5933" w:name="_Toc510612773"/>
      <w:bookmarkStart w:id="5934" w:name="_Toc510615545"/>
      <w:bookmarkStart w:id="5935" w:name="_Toc510616727"/>
      <w:bookmarkStart w:id="5936" w:name="_Toc510206920"/>
      <w:bookmarkStart w:id="5937" w:name="_Toc510207713"/>
      <w:bookmarkStart w:id="5938" w:name="_Toc510517652"/>
      <w:bookmarkStart w:id="5939" w:name="_Toc510593610"/>
      <w:bookmarkStart w:id="5940" w:name="_Toc510593987"/>
      <w:bookmarkStart w:id="5941" w:name="_Toc510606606"/>
      <w:bookmarkStart w:id="5942" w:name="_Toc510607030"/>
      <w:bookmarkStart w:id="5943" w:name="_Toc510609692"/>
      <w:bookmarkStart w:id="5944" w:name="_Toc510612774"/>
      <w:bookmarkStart w:id="5945" w:name="_Toc510615546"/>
      <w:bookmarkStart w:id="5946" w:name="_Toc510616728"/>
      <w:bookmarkStart w:id="5947" w:name="_Toc510206921"/>
      <w:bookmarkStart w:id="5948" w:name="_Toc510207714"/>
      <w:bookmarkStart w:id="5949" w:name="_Toc510517653"/>
      <w:bookmarkStart w:id="5950" w:name="_Toc510593611"/>
      <w:bookmarkStart w:id="5951" w:name="_Toc510593988"/>
      <w:bookmarkStart w:id="5952" w:name="_Toc510606607"/>
      <w:bookmarkStart w:id="5953" w:name="_Toc510607031"/>
      <w:bookmarkStart w:id="5954" w:name="_Toc510609693"/>
      <w:bookmarkStart w:id="5955" w:name="_Toc510612775"/>
      <w:bookmarkStart w:id="5956" w:name="_Toc510615547"/>
      <w:bookmarkStart w:id="5957" w:name="_Toc510616729"/>
      <w:bookmarkStart w:id="5958" w:name="_Toc510206922"/>
      <w:bookmarkStart w:id="5959" w:name="_Toc510207715"/>
      <w:bookmarkStart w:id="5960" w:name="_Toc510517654"/>
      <w:bookmarkStart w:id="5961" w:name="_Toc510593612"/>
      <w:bookmarkStart w:id="5962" w:name="_Toc510593989"/>
      <w:bookmarkStart w:id="5963" w:name="_Toc510606608"/>
      <w:bookmarkStart w:id="5964" w:name="_Toc510607032"/>
      <w:bookmarkStart w:id="5965" w:name="_Toc510609694"/>
      <w:bookmarkStart w:id="5966" w:name="_Toc510612776"/>
      <w:bookmarkStart w:id="5967" w:name="_Toc510615548"/>
      <w:bookmarkStart w:id="5968" w:name="_Toc510616730"/>
      <w:bookmarkStart w:id="5969" w:name="_Toc510206923"/>
      <w:bookmarkStart w:id="5970" w:name="_Toc510207716"/>
      <w:bookmarkStart w:id="5971" w:name="_Toc510517655"/>
      <w:bookmarkStart w:id="5972" w:name="_Toc510593613"/>
      <w:bookmarkStart w:id="5973" w:name="_Toc510593990"/>
      <w:bookmarkStart w:id="5974" w:name="_Toc510606609"/>
      <w:bookmarkStart w:id="5975" w:name="_Toc510607033"/>
      <w:bookmarkStart w:id="5976" w:name="_Toc510609695"/>
      <w:bookmarkStart w:id="5977" w:name="_Toc510612777"/>
      <w:bookmarkStart w:id="5978" w:name="_Toc510615549"/>
      <w:bookmarkStart w:id="5979" w:name="_Toc510616731"/>
      <w:bookmarkStart w:id="5980" w:name="_Toc510206926"/>
      <w:bookmarkStart w:id="5981" w:name="_Toc510207719"/>
      <w:bookmarkStart w:id="5982" w:name="_Toc510517658"/>
      <w:bookmarkStart w:id="5983" w:name="_Toc510593616"/>
      <w:bookmarkStart w:id="5984" w:name="_Toc510593993"/>
      <w:bookmarkStart w:id="5985" w:name="_Toc510606612"/>
      <w:bookmarkStart w:id="5986" w:name="_Toc510607036"/>
      <w:bookmarkStart w:id="5987" w:name="_Toc510609698"/>
      <w:bookmarkStart w:id="5988" w:name="_Toc510612780"/>
      <w:bookmarkStart w:id="5989" w:name="_Toc510615552"/>
      <w:bookmarkStart w:id="5990" w:name="_Toc510616734"/>
      <w:bookmarkStart w:id="5991" w:name="_Toc510206927"/>
      <w:bookmarkStart w:id="5992" w:name="_Toc510207720"/>
      <w:bookmarkStart w:id="5993" w:name="_Toc510517659"/>
      <w:bookmarkStart w:id="5994" w:name="_Toc510593617"/>
      <w:bookmarkStart w:id="5995" w:name="_Toc510593994"/>
      <w:bookmarkStart w:id="5996" w:name="_Toc510606613"/>
      <w:bookmarkStart w:id="5997" w:name="_Toc510607037"/>
      <w:bookmarkStart w:id="5998" w:name="_Toc510609699"/>
      <w:bookmarkStart w:id="5999" w:name="_Toc510612781"/>
      <w:bookmarkStart w:id="6000" w:name="_Toc510615553"/>
      <w:bookmarkStart w:id="6001" w:name="_Toc510616735"/>
      <w:bookmarkStart w:id="6002" w:name="_Toc510206928"/>
      <w:bookmarkStart w:id="6003" w:name="_Toc510207721"/>
      <w:bookmarkStart w:id="6004" w:name="_Toc510517660"/>
      <w:bookmarkStart w:id="6005" w:name="_Toc510593618"/>
      <w:bookmarkStart w:id="6006" w:name="_Toc510593995"/>
      <w:bookmarkStart w:id="6007" w:name="_Toc510606614"/>
      <w:bookmarkStart w:id="6008" w:name="_Toc510607038"/>
      <w:bookmarkStart w:id="6009" w:name="_Toc510609700"/>
      <w:bookmarkStart w:id="6010" w:name="_Toc510612782"/>
      <w:bookmarkStart w:id="6011" w:name="_Toc510615554"/>
      <w:bookmarkStart w:id="6012" w:name="_Toc510616736"/>
      <w:bookmarkStart w:id="6013" w:name="_Toc510206964"/>
      <w:bookmarkStart w:id="6014" w:name="_Toc510207757"/>
      <w:bookmarkStart w:id="6015" w:name="_Toc510517696"/>
      <w:bookmarkStart w:id="6016" w:name="_Toc510593654"/>
      <w:bookmarkStart w:id="6017" w:name="_Toc510594031"/>
      <w:bookmarkStart w:id="6018" w:name="_Toc510606650"/>
      <w:bookmarkStart w:id="6019" w:name="_Toc510607074"/>
      <w:bookmarkStart w:id="6020" w:name="_Toc510609736"/>
      <w:bookmarkStart w:id="6021" w:name="_Toc510612818"/>
      <w:bookmarkStart w:id="6022" w:name="_Toc510615590"/>
      <w:bookmarkStart w:id="6023" w:name="_Toc510616772"/>
      <w:bookmarkStart w:id="6024" w:name="_Toc510206966"/>
      <w:bookmarkStart w:id="6025" w:name="_Toc510207759"/>
      <w:bookmarkStart w:id="6026" w:name="_Toc510517698"/>
      <w:bookmarkStart w:id="6027" w:name="_Toc510593656"/>
      <w:bookmarkStart w:id="6028" w:name="_Toc510594033"/>
      <w:bookmarkStart w:id="6029" w:name="_Toc510606652"/>
      <w:bookmarkStart w:id="6030" w:name="_Toc510607076"/>
      <w:bookmarkStart w:id="6031" w:name="_Toc510609738"/>
      <w:bookmarkStart w:id="6032" w:name="_Toc510612820"/>
      <w:bookmarkStart w:id="6033" w:name="_Toc510615592"/>
      <w:bookmarkStart w:id="6034" w:name="_Toc510616774"/>
      <w:bookmarkStart w:id="6035" w:name="_Toc510206967"/>
      <w:bookmarkStart w:id="6036" w:name="_Toc510207760"/>
      <w:bookmarkStart w:id="6037" w:name="_Toc510517699"/>
      <w:bookmarkStart w:id="6038" w:name="_Toc510593657"/>
      <w:bookmarkStart w:id="6039" w:name="_Toc510594034"/>
      <w:bookmarkStart w:id="6040" w:name="_Toc510606653"/>
      <w:bookmarkStart w:id="6041" w:name="_Toc510607077"/>
      <w:bookmarkStart w:id="6042" w:name="_Toc510609739"/>
      <w:bookmarkStart w:id="6043" w:name="_Toc510612821"/>
      <w:bookmarkStart w:id="6044" w:name="_Toc510615593"/>
      <w:bookmarkStart w:id="6045" w:name="_Toc510616775"/>
      <w:bookmarkStart w:id="6046" w:name="_Toc503943813"/>
      <w:bookmarkStart w:id="6047" w:name="_Toc503943814"/>
      <w:bookmarkStart w:id="6048" w:name="_Toc503943815"/>
      <w:bookmarkStart w:id="6049" w:name="_Toc503943816"/>
      <w:bookmarkStart w:id="6050" w:name="_Toc503943818"/>
      <w:bookmarkStart w:id="6051" w:name="_Toc503943819"/>
      <w:bookmarkStart w:id="6052" w:name="_Toc503943821"/>
      <w:bookmarkStart w:id="6053" w:name="_Toc503943822"/>
      <w:bookmarkStart w:id="6054" w:name="_Toc503943823"/>
      <w:bookmarkStart w:id="6055" w:name="_Toc503943824"/>
      <w:bookmarkStart w:id="6056" w:name="_Toc503943825"/>
      <w:bookmarkStart w:id="6057" w:name="_Toc503943827"/>
      <w:bookmarkStart w:id="6058" w:name="_Toc510206969"/>
      <w:bookmarkStart w:id="6059" w:name="_Toc510207762"/>
      <w:bookmarkStart w:id="6060" w:name="_Toc510517211"/>
      <w:bookmarkStart w:id="6061" w:name="_Toc510517370"/>
      <w:bookmarkStart w:id="6062" w:name="_Toc510517701"/>
      <w:bookmarkStart w:id="6063" w:name="_Toc510517900"/>
      <w:bookmarkStart w:id="6064" w:name="_Toc510593659"/>
      <w:bookmarkStart w:id="6065" w:name="_Toc510594036"/>
      <w:bookmarkStart w:id="6066" w:name="_Toc510606655"/>
      <w:bookmarkStart w:id="6067" w:name="_Toc510607079"/>
      <w:bookmarkStart w:id="6068" w:name="_Toc510608388"/>
      <w:bookmarkStart w:id="6069" w:name="_Toc510609351"/>
      <w:bookmarkStart w:id="6070" w:name="_Toc510609741"/>
      <w:bookmarkStart w:id="6071" w:name="_Toc510610336"/>
      <w:bookmarkStart w:id="6072" w:name="_Toc510612823"/>
      <w:bookmarkStart w:id="6073" w:name="_Toc510615595"/>
      <w:bookmarkStart w:id="6074" w:name="_Toc510616777"/>
      <w:bookmarkStart w:id="6075" w:name="_Toc510206972"/>
      <w:bookmarkStart w:id="6076" w:name="_Toc510207765"/>
      <w:bookmarkStart w:id="6077" w:name="_Toc510517704"/>
      <w:bookmarkStart w:id="6078" w:name="_Toc510593662"/>
      <w:bookmarkStart w:id="6079" w:name="_Toc510594039"/>
      <w:bookmarkStart w:id="6080" w:name="_Toc510606658"/>
      <w:bookmarkStart w:id="6081" w:name="_Toc510607082"/>
      <w:bookmarkStart w:id="6082" w:name="_Toc510609744"/>
      <w:bookmarkStart w:id="6083" w:name="_Toc510612826"/>
      <w:bookmarkStart w:id="6084" w:name="_Toc510615598"/>
      <w:bookmarkStart w:id="6085" w:name="_Toc510616780"/>
      <w:bookmarkStart w:id="6086" w:name="_Toc510206973"/>
      <w:bookmarkStart w:id="6087" w:name="_Toc510207766"/>
      <w:bookmarkStart w:id="6088" w:name="_Toc510517215"/>
      <w:bookmarkStart w:id="6089" w:name="_Toc510517374"/>
      <w:bookmarkStart w:id="6090" w:name="_Toc510517705"/>
      <w:bookmarkStart w:id="6091" w:name="_Toc510517904"/>
      <w:bookmarkStart w:id="6092" w:name="_Toc510593663"/>
      <w:bookmarkStart w:id="6093" w:name="_Toc510594040"/>
      <w:bookmarkStart w:id="6094" w:name="_Toc510606659"/>
      <w:bookmarkStart w:id="6095" w:name="_Toc510607083"/>
      <w:bookmarkStart w:id="6096" w:name="_Toc510608392"/>
      <w:bookmarkStart w:id="6097" w:name="_Toc510609355"/>
      <w:bookmarkStart w:id="6098" w:name="_Toc510609745"/>
      <w:bookmarkStart w:id="6099" w:name="_Toc510610340"/>
      <w:bookmarkStart w:id="6100" w:name="_Toc510612827"/>
      <w:bookmarkStart w:id="6101" w:name="_Toc510615599"/>
      <w:bookmarkStart w:id="6102" w:name="_Toc510616781"/>
      <w:bookmarkStart w:id="6103" w:name="_Toc509067239"/>
      <w:bookmarkStart w:id="6104" w:name="_Toc509068673"/>
      <w:bookmarkStart w:id="6105" w:name="_Toc509069180"/>
      <w:bookmarkStart w:id="6106" w:name="_Toc509131691"/>
      <w:bookmarkStart w:id="6107" w:name="_Toc509310796"/>
      <w:bookmarkStart w:id="6108" w:name="_Toc509311191"/>
      <w:bookmarkStart w:id="6109" w:name="_Toc509311592"/>
      <w:bookmarkStart w:id="6110" w:name="_Toc509312030"/>
      <w:bookmarkStart w:id="6111" w:name="_Toc509312456"/>
      <w:bookmarkStart w:id="6112" w:name="_Toc509312795"/>
      <w:bookmarkStart w:id="6113" w:name="_Toc509313136"/>
      <w:bookmarkStart w:id="6114" w:name="_Toc509313538"/>
      <w:bookmarkStart w:id="6115" w:name="_Toc509316977"/>
      <w:bookmarkStart w:id="6116" w:name="_Toc509317290"/>
      <w:bookmarkStart w:id="6117" w:name="_Toc509317582"/>
      <w:bookmarkStart w:id="6118" w:name="_Toc509317895"/>
      <w:bookmarkStart w:id="6119" w:name="_Toc509318208"/>
      <w:bookmarkStart w:id="6120" w:name="_Toc509319194"/>
      <w:bookmarkStart w:id="6121" w:name="_Toc509319556"/>
      <w:bookmarkStart w:id="6122" w:name="_Toc509320330"/>
      <w:bookmarkStart w:id="6123" w:name="_Toc509322302"/>
      <w:bookmarkStart w:id="6124" w:name="_Toc509322626"/>
      <w:bookmarkStart w:id="6125" w:name="_Toc509323128"/>
      <w:bookmarkStart w:id="6126" w:name="_Toc509323501"/>
      <w:bookmarkStart w:id="6127" w:name="_Toc509323825"/>
      <w:bookmarkStart w:id="6128" w:name="_Toc509324149"/>
      <w:bookmarkStart w:id="6129" w:name="_Toc509324473"/>
      <w:bookmarkStart w:id="6130" w:name="_Toc509324842"/>
      <w:bookmarkStart w:id="6131" w:name="_Toc509325211"/>
      <w:bookmarkStart w:id="6132" w:name="_Toc509325580"/>
      <w:bookmarkStart w:id="6133" w:name="_Toc509325955"/>
      <w:bookmarkStart w:id="6134" w:name="_Toc509326330"/>
      <w:bookmarkStart w:id="6135" w:name="_Toc509326705"/>
      <w:bookmarkStart w:id="6136" w:name="_Toc509327080"/>
      <w:bookmarkStart w:id="6137" w:name="_Toc509327396"/>
      <w:bookmarkStart w:id="6138" w:name="_Toc509327771"/>
      <w:bookmarkStart w:id="6139" w:name="_Toc509328146"/>
      <w:bookmarkStart w:id="6140" w:name="_Toc509332938"/>
      <w:bookmarkStart w:id="6141" w:name="_Toc509333351"/>
      <w:bookmarkStart w:id="6142" w:name="_Toc509333764"/>
      <w:bookmarkStart w:id="6143" w:name="_Toc509335167"/>
      <w:bookmarkStart w:id="6144" w:name="_Toc509335677"/>
      <w:bookmarkStart w:id="6145" w:name="_Toc509336608"/>
      <w:bookmarkStart w:id="6146" w:name="_Toc509337040"/>
      <w:bookmarkStart w:id="6147" w:name="_Toc509337467"/>
      <w:bookmarkStart w:id="6148" w:name="_Toc509337894"/>
      <w:bookmarkStart w:id="6149" w:name="_Toc509338224"/>
      <w:bookmarkStart w:id="6150" w:name="_Toc509382765"/>
      <w:bookmarkStart w:id="6151" w:name="_Toc509383197"/>
      <w:bookmarkStart w:id="6152" w:name="_Toc509384076"/>
      <w:bookmarkStart w:id="6153" w:name="_Toc509404748"/>
      <w:bookmarkStart w:id="6154" w:name="_Toc510206984"/>
      <w:bookmarkStart w:id="6155" w:name="_Toc510207777"/>
      <w:bookmarkStart w:id="6156" w:name="_Toc510517226"/>
      <w:bookmarkStart w:id="6157" w:name="_Toc510517385"/>
      <w:bookmarkStart w:id="6158" w:name="_Toc510517716"/>
      <w:bookmarkStart w:id="6159" w:name="_Toc510517915"/>
      <w:bookmarkStart w:id="6160" w:name="_Toc510593674"/>
      <w:bookmarkStart w:id="6161" w:name="_Toc510594051"/>
      <w:bookmarkStart w:id="6162" w:name="_Toc510606670"/>
      <w:bookmarkStart w:id="6163" w:name="_Toc510607094"/>
      <w:bookmarkStart w:id="6164" w:name="_Toc510608403"/>
      <w:bookmarkStart w:id="6165" w:name="_Toc510609366"/>
      <w:bookmarkStart w:id="6166" w:name="_Toc510609756"/>
      <w:bookmarkStart w:id="6167" w:name="_Toc510610351"/>
      <w:bookmarkStart w:id="6168" w:name="_Toc510612838"/>
      <w:bookmarkStart w:id="6169" w:name="_Toc510615610"/>
      <w:bookmarkStart w:id="6170" w:name="_Toc510616792"/>
      <w:bookmarkStart w:id="6171" w:name="_Toc509336619"/>
      <w:bookmarkStart w:id="6172" w:name="_Toc509337051"/>
      <w:bookmarkStart w:id="6173" w:name="_Toc509337478"/>
      <w:bookmarkStart w:id="6174" w:name="_Toc509337905"/>
      <w:bookmarkStart w:id="6175" w:name="_Toc509338235"/>
      <w:bookmarkStart w:id="6176" w:name="_Toc509382776"/>
      <w:bookmarkStart w:id="6177" w:name="_Toc509383208"/>
      <w:bookmarkStart w:id="6178" w:name="_Toc509384087"/>
      <w:bookmarkStart w:id="6179" w:name="_Toc509404759"/>
      <w:bookmarkStart w:id="6180" w:name="_Toc509310798"/>
      <w:bookmarkStart w:id="6181" w:name="_Toc509311193"/>
      <w:bookmarkStart w:id="6182" w:name="_Toc509311594"/>
      <w:bookmarkStart w:id="6183" w:name="_Toc509312032"/>
      <w:bookmarkStart w:id="6184" w:name="_Toc509312458"/>
      <w:bookmarkStart w:id="6185" w:name="_Toc509312797"/>
      <w:bookmarkStart w:id="6186" w:name="_Toc509313138"/>
      <w:bookmarkStart w:id="6187" w:name="_Toc509313540"/>
      <w:bookmarkStart w:id="6188" w:name="_Toc509316979"/>
      <w:bookmarkStart w:id="6189" w:name="_Toc509317292"/>
      <w:bookmarkStart w:id="6190" w:name="_Toc509317584"/>
      <w:bookmarkStart w:id="6191" w:name="_Toc509317897"/>
      <w:bookmarkStart w:id="6192" w:name="_Toc509318210"/>
      <w:bookmarkStart w:id="6193" w:name="_Toc509319196"/>
      <w:bookmarkStart w:id="6194" w:name="_Toc509319558"/>
      <w:bookmarkStart w:id="6195" w:name="_Toc509320332"/>
      <w:bookmarkStart w:id="6196" w:name="_Toc509322304"/>
      <w:bookmarkStart w:id="6197" w:name="_Toc509322628"/>
      <w:bookmarkStart w:id="6198" w:name="_Toc509323130"/>
      <w:bookmarkStart w:id="6199" w:name="_Toc509323503"/>
      <w:bookmarkStart w:id="6200" w:name="_Toc509323827"/>
      <w:bookmarkStart w:id="6201" w:name="_Toc509324151"/>
      <w:bookmarkStart w:id="6202" w:name="_Toc509324475"/>
      <w:bookmarkStart w:id="6203" w:name="_Toc509324844"/>
      <w:bookmarkStart w:id="6204" w:name="_Toc509325213"/>
      <w:bookmarkStart w:id="6205" w:name="_Toc509325582"/>
      <w:bookmarkStart w:id="6206" w:name="_Toc509325957"/>
      <w:bookmarkStart w:id="6207" w:name="_Toc509326332"/>
      <w:bookmarkStart w:id="6208" w:name="_Toc509326707"/>
      <w:bookmarkStart w:id="6209" w:name="_Toc509327082"/>
      <w:bookmarkStart w:id="6210" w:name="_Toc509327398"/>
      <w:bookmarkStart w:id="6211" w:name="_Toc509327773"/>
      <w:bookmarkStart w:id="6212" w:name="_Toc509328148"/>
      <w:bookmarkStart w:id="6213" w:name="_Toc509332940"/>
      <w:bookmarkStart w:id="6214" w:name="_Toc509333353"/>
      <w:bookmarkStart w:id="6215" w:name="_Toc509333766"/>
      <w:bookmarkStart w:id="6216" w:name="_Toc509335169"/>
      <w:bookmarkStart w:id="6217" w:name="_Toc509335679"/>
      <w:bookmarkStart w:id="6218" w:name="_Toc509336622"/>
      <w:bookmarkStart w:id="6219" w:name="_Toc509337054"/>
      <w:bookmarkStart w:id="6220" w:name="_Toc509337481"/>
      <w:bookmarkStart w:id="6221" w:name="_Toc509337908"/>
      <w:bookmarkStart w:id="6222" w:name="_Toc509338238"/>
      <w:bookmarkStart w:id="6223" w:name="_Toc509382779"/>
      <w:bookmarkStart w:id="6224" w:name="_Toc509383211"/>
      <w:bookmarkStart w:id="6225" w:name="_Toc509384090"/>
      <w:bookmarkStart w:id="6226" w:name="_Toc509404762"/>
      <w:bookmarkStart w:id="6227" w:name="_Toc510206986"/>
      <w:bookmarkStart w:id="6228" w:name="_Toc510207779"/>
      <w:bookmarkStart w:id="6229" w:name="_Toc510517718"/>
      <w:bookmarkStart w:id="6230" w:name="_Toc510593676"/>
      <w:bookmarkStart w:id="6231" w:name="_Toc510594053"/>
      <w:bookmarkStart w:id="6232" w:name="_Toc510606672"/>
      <w:bookmarkStart w:id="6233" w:name="_Toc510607096"/>
      <w:bookmarkStart w:id="6234" w:name="_Toc510609758"/>
      <w:bookmarkStart w:id="6235" w:name="_Toc510612840"/>
      <w:bookmarkStart w:id="6236" w:name="_Toc510615612"/>
      <w:bookmarkStart w:id="6237" w:name="_Toc510616794"/>
      <w:bookmarkStart w:id="6238" w:name="_Toc510206993"/>
      <w:bookmarkStart w:id="6239" w:name="_Toc510207786"/>
      <w:bookmarkStart w:id="6240" w:name="_Toc510517725"/>
      <w:bookmarkStart w:id="6241" w:name="_Toc510593683"/>
      <w:bookmarkStart w:id="6242" w:name="_Toc510594060"/>
      <w:bookmarkStart w:id="6243" w:name="_Toc510606679"/>
      <w:bookmarkStart w:id="6244" w:name="_Toc510607103"/>
      <w:bookmarkStart w:id="6245" w:name="_Toc510609765"/>
      <w:bookmarkStart w:id="6246" w:name="_Toc510612847"/>
      <w:bookmarkStart w:id="6247" w:name="_Toc510615619"/>
      <w:bookmarkStart w:id="6248" w:name="_Toc510616801"/>
      <w:bookmarkStart w:id="6249" w:name="_Toc510206994"/>
      <w:bookmarkStart w:id="6250" w:name="_Toc510207787"/>
      <w:bookmarkStart w:id="6251" w:name="_Toc510517726"/>
      <w:bookmarkStart w:id="6252" w:name="_Toc510593684"/>
      <w:bookmarkStart w:id="6253" w:name="_Toc510594061"/>
      <w:bookmarkStart w:id="6254" w:name="_Toc510606680"/>
      <w:bookmarkStart w:id="6255" w:name="_Toc510607104"/>
      <w:bookmarkStart w:id="6256" w:name="_Toc510609766"/>
      <w:bookmarkStart w:id="6257" w:name="_Toc510612848"/>
      <w:bookmarkStart w:id="6258" w:name="_Toc510615620"/>
      <w:bookmarkStart w:id="6259" w:name="_Toc510616802"/>
      <w:bookmarkStart w:id="6260" w:name="_Toc510206995"/>
      <w:bookmarkStart w:id="6261" w:name="_Toc510207788"/>
      <w:bookmarkStart w:id="6262" w:name="_Toc510517727"/>
      <w:bookmarkStart w:id="6263" w:name="_Toc510593685"/>
      <w:bookmarkStart w:id="6264" w:name="_Toc510594062"/>
      <w:bookmarkStart w:id="6265" w:name="_Toc510606681"/>
      <w:bookmarkStart w:id="6266" w:name="_Toc510607105"/>
      <w:bookmarkStart w:id="6267" w:name="_Toc510609767"/>
      <w:bookmarkStart w:id="6268" w:name="_Toc510612849"/>
      <w:bookmarkStart w:id="6269" w:name="_Toc510615621"/>
      <w:bookmarkStart w:id="6270" w:name="_Toc510616803"/>
      <w:bookmarkStart w:id="6271" w:name="_Toc510206996"/>
      <w:bookmarkStart w:id="6272" w:name="_Toc510207789"/>
      <w:bookmarkStart w:id="6273" w:name="_Toc510517728"/>
      <w:bookmarkStart w:id="6274" w:name="_Toc510593686"/>
      <w:bookmarkStart w:id="6275" w:name="_Toc510594063"/>
      <w:bookmarkStart w:id="6276" w:name="_Toc510606682"/>
      <w:bookmarkStart w:id="6277" w:name="_Toc510607106"/>
      <w:bookmarkStart w:id="6278" w:name="_Toc510609768"/>
      <w:bookmarkStart w:id="6279" w:name="_Toc510612850"/>
      <w:bookmarkStart w:id="6280" w:name="_Toc510615622"/>
      <w:bookmarkStart w:id="6281" w:name="_Toc510616804"/>
      <w:bookmarkStart w:id="6282" w:name="_Toc510206997"/>
      <w:bookmarkStart w:id="6283" w:name="_Toc510207790"/>
      <w:bookmarkStart w:id="6284" w:name="_Toc510517239"/>
      <w:bookmarkStart w:id="6285" w:name="_Toc510517398"/>
      <w:bookmarkStart w:id="6286" w:name="_Toc510517729"/>
      <w:bookmarkStart w:id="6287" w:name="_Toc510517928"/>
      <w:bookmarkStart w:id="6288" w:name="_Toc510593687"/>
      <w:bookmarkStart w:id="6289" w:name="_Toc510594064"/>
      <w:bookmarkStart w:id="6290" w:name="_Toc510606683"/>
      <w:bookmarkStart w:id="6291" w:name="_Toc510607107"/>
      <w:bookmarkStart w:id="6292" w:name="_Toc510608416"/>
      <w:bookmarkStart w:id="6293" w:name="_Toc510609379"/>
      <w:bookmarkStart w:id="6294" w:name="_Toc510609769"/>
      <w:bookmarkStart w:id="6295" w:name="_Toc510610364"/>
      <w:bookmarkStart w:id="6296" w:name="_Toc510612851"/>
      <w:bookmarkStart w:id="6297" w:name="_Toc510615623"/>
      <w:bookmarkStart w:id="6298" w:name="_Toc510616805"/>
      <w:bookmarkStart w:id="6299" w:name="_Toc510206998"/>
      <w:bookmarkStart w:id="6300" w:name="_Toc510207791"/>
      <w:bookmarkStart w:id="6301" w:name="_Toc510517730"/>
      <w:bookmarkStart w:id="6302" w:name="_Toc510593688"/>
      <w:bookmarkStart w:id="6303" w:name="_Toc510594065"/>
      <w:bookmarkStart w:id="6304" w:name="_Toc510606684"/>
      <w:bookmarkStart w:id="6305" w:name="_Toc510607108"/>
      <w:bookmarkStart w:id="6306" w:name="_Toc510609770"/>
      <w:bookmarkStart w:id="6307" w:name="_Toc510612852"/>
      <w:bookmarkStart w:id="6308" w:name="_Toc510615624"/>
      <w:bookmarkStart w:id="6309" w:name="_Toc510616806"/>
      <w:bookmarkStart w:id="6310" w:name="_Toc510206999"/>
      <w:bookmarkStart w:id="6311" w:name="_Toc510207792"/>
      <w:bookmarkStart w:id="6312" w:name="_Toc510517731"/>
      <w:bookmarkStart w:id="6313" w:name="_Toc510593689"/>
      <w:bookmarkStart w:id="6314" w:name="_Toc510594066"/>
      <w:bookmarkStart w:id="6315" w:name="_Toc510606685"/>
      <w:bookmarkStart w:id="6316" w:name="_Toc510607109"/>
      <w:bookmarkStart w:id="6317" w:name="_Toc510609771"/>
      <w:bookmarkStart w:id="6318" w:name="_Toc510612853"/>
      <w:bookmarkStart w:id="6319" w:name="_Toc510615625"/>
      <w:bookmarkStart w:id="6320" w:name="_Toc510616807"/>
      <w:bookmarkStart w:id="6321" w:name="_Toc510207000"/>
      <w:bookmarkStart w:id="6322" w:name="_Toc510207793"/>
      <w:bookmarkStart w:id="6323" w:name="_Toc510517242"/>
      <w:bookmarkStart w:id="6324" w:name="_Toc510517401"/>
      <w:bookmarkStart w:id="6325" w:name="_Toc510517732"/>
      <w:bookmarkStart w:id="6326" w:name="_Toc510517931"/>
      <w:bookmarkStart w:id="6327" w:name="_Toc510593690"/>
      <w:bookmarkStart w:id="6328" w:name="_Toc510594067"/>
      <w:bookmarkStart w:id="6329" w:name="_Toc510606686"/>
      <w:bookmarkStart w:id="6330" w:name="_Toc510607110"/>
      <w:bookmarkStart w:id="6331" w:name="_Toc510608419"/>
      <w:bookmarkStart w:id="6332" w:name="_Toc510609382"/>
      <w:bookmarkStart w:id="6333" w:name="_Toc510609772"/>
      <w:bookmarkStart w:id="6334" w:name="_Toc510610367"/>
      <w:bookmarkStart w:id="6335" w:name="_Toc510612854"/>
      <w:bookmarkStart w:id="6336" w:name="_Toc510615626"/>
      <w:bookmarkStart w:id="6337" w:name="_Toc510616808"/>
      <w:bookmarkStart w:id="6338" w:name="_Toc509069183"/>
      <w:bookmarkStart w:id="6339" w:name="_Toc509069184"/>
      <w:bookmarkStart w:id="6340" w:name="_Toc509069186"/>
      <w:bookmarkStart w:id="6341" w:name="_Toc509069187"/>
      <w:bookmarkStart w:id="6342" w:name="_Toc509069188"/>
      <w:bookmarkStart w:id="6343" w:name="_Toc509069189"/>
      <w:bookmarkStart w:id="6344" w:name="_Toc509069190"/>
      <w:bookmarkStart w:id="6345" w:name="_Toc509069191"/>
      <w:bookmarkStart w:id="6346" w:name="_Toc509069192"/>
      <w:bookmarkStart w:id="6347" w:name="_Toc509069193"/>
      <w:bookmarkStart w:id="6348" w:name="_Toc509069194"/>
      <w:bookmarkStart w:id="6349" w:name="_Toc510207003"/>
      <w:bookmarkStart w:id="6350" w:name="_Toc510207796"/>
      <w:bookmarkStart w:id="6351" w:name="_Toc510517245"/>
      <w:bookmarkStart w:id="6352" w:name="_Toc510517404"/>
      <w:bookmarkStart w:id="6353" w:name="_Toc510517735"/>
      <w:bookmarkStart w:id="6354" w:name="_Toc510517934"/>
      <w:bookmarkStart w:id="6355" w:name="_Toc510593693"/>
      <w:bookmarkStart w:id="6356" w:name="_Toc510594070"/>
      <w:bookmarkStart w:id="6357" w:name="_Toc510606689"/>
      <w:bookmarkStart w:id="6358" w:name="_Toc510607113"/>
      <w:bookmarkStart w:id="6359" w:name="_Toc510608422"/>
      <w:bookmarkStart w:id="6360" w:name="_Toc510609385"/>
      <w:bookmarkStart w:id="6361" w:name="_Toc510609775"/>
      <w:bookmarkStart w:id="6362" w:name="_Toc510610370"/>
      <w:bookmarkStart w:id="6363" w:name="_Toc510612857"/>
      <w:bookmarkStart w:id="6364" w:name="_Toc510615629"/>
      <w:bookmarkStart w:id="6365" w:name="_Toc510616811"/>
      <w:bookmarkStart w:id="6366" w:name="_Toc510207004"/>
      <w:bookmarkStart w:id="6367" w:name="_Toc510207797"/>
      <w:bookmarkStart w:id="6368" w:name="_Toc510517736"/>
      <w:bookmarkStart w:id="6369" w:name="_Toc510593694"/>
      <w:bookmarkStart w:id="6370" w:name="_Toc510594071"/>
      <w:bookmarkStart w:id="6371" w:name="_Toc510606690"/>
      <w:bookmarkStart w:id="6372" w:name="_Toc510607114"/>
      <w:bookmarkStart w:id="6373" w:name="_Toc510609776"/>
      <w:bookmarkStart w:id="6374" w:name="_Toc510612858"/>
      <w:bookmarkStart w:id="6375" w:name="_Toc510615630"/>
      <w:bookmarkStart w:id="6376" w:name="_Toc510616812"/>
      <w:bookmarkStart w:id="6377" w:name="_Toc510207005"/>
      <w:bookmarkStart w:id="6378" w:name="_Toc510207798"/>
      <w:bookmarkStart w:id="6379" w:name="_Toc510517737"/>
      <w:bookmarkStart w:id="6380" w:name="_Toc510593695"/>
      <w:bookmarkStart w:id="6381" w:name="_Toc510594072"/>
      <w:bookmarkStart w:id="6382" w:name="_Toc510606691"/>
      <w:bookmarkStart w:id="6383" w:name="_Toc510607115"/>
      <w:bookmarkStart w:id="6384" w:name="_Toc510609777"/>
      <w:bookmarkStart w:id="6385" w:name="_Toc510612859"/>
      <w:bookmarkStart w:id="6386" w:name="_Toc510615631"/>
      <w:bookmarkStart w:id="6387" w:name="_Toc510616813"/>
      <w:bookmarkStart w:id="6388" w:name="_Toc510207009"/>
      <w:bookmarkStart w:id="6389" w:name="_Toc510207802"/>
      <w:bookmarkStart w:id="6390" w:name="_Toc510517741"/>
      <w:bookmarkStart w:id="6391" w:name="_Toc510593699"/>
      <w:bookmarkStart w:id="6392" w:name="_Toc510594076"/>
      <w:bookmarkStart w:id="6393" w:name="_Toc510606695"/>
      <w:bookmarkStart w:id="6394" w:name="_Toc510607119"/>
      <w:bookmarkStart w:id="6395" w:name="_Toc510609781"/>
      <w:bookmarkStart w:id="6396" w:name="_Toc510612863"/>
      <w:bookmarkStart w:id="6397" w:name="_Toc510615635"/>
      <w:bookmarkStart w:id="6398" w:name="_Toc510616817"/>
      <w:bookmarkStart w:id="6399" w:name="_Toc510207010"/>
      <w:bookmarkStart w:id="6400" w:name="_Toc510207803"/>
      <w:bookmarkStart w:id="6401" w:name="_Toc510517742"/>
      <w:bookmarkStart w:id="6402" w:name="_Toc510593700"/>
      <w:bookmarkStart w:id="6403" w:name="_Toc510594077"/>
      <w:bookmarkStart w:id="6404" w:name="_Toc510606696"/>
      <w:bookmarkStart w:id="6405" w:name="_Toc510607120"/>
      <w:bookmarkStart w:id="6406" w:name="_Toc510609782"/>
      <w:bookmarkStart w:id="6407" w:name="_Toc510612864"/>
      <w:bookmarkStart w:id="6408" w:name="_Toc510615636"/>
      <w:bookmarkStart w:id="6409" w:name="_Toc510616818"/>
      <w:bookmarkStart w:id="6410" w:name="_Toc510207013"/>
      <w:bookmarkStart w:id="6411" w:name="_Toc510207806"/>
      <w:bookmarkStart w:id="6412" w:name="_Toc510517745"/>
      <w:bookmarkStart w:id="6413" w:name="_Toc510593703"/>
      <w:bookmarkStart w:id="6414" w:name="_Toc510594080"/>
      <w:bookmarkStart w:id="6415" w:name="_Toc510606699"/>
      <w:bookmarkStart w:id="6416" w:name="_Toc510607123"/>
      <w:bookmarkStart w:id="6417" w:name="_Toc510609785"/>
      <w:bookmarkStart w:id="6418" w:name="_Toc510612867"/>
      <w:bookmarkStart w:id="6419" w:name="_Toc510615639"/>
      <w:bookmarkStart w:id="6420" w:name="_Toc510616821"/>
      <w:bookmarkStart w:id="6421" w:name="_Toc510207016"/>
      <w:bookmarkStart w:id="6422" w:name="_Toc510207809"/>
      <w:bookmarkStart w:id="6423" w:name="_Toc510517748"/>
      <w:bookmarkStart w:id="6424" w:name="_Toc510593706"/>
      <w:bookmarkStart w:id="6425" w:name="_Toc510594083"/>
      <w:bookmarkStart w:id="6426" w:name="_Toc510606702"/>
      <w:bookmarkStart w:id="6427" w:name="_Toc510607126"/>
      <w:bookmarkStart w:id="6428" w:name="_Toc510609788"/>
      <w:bookmarkStart w:id="6429" w:name="_Toc510612870"/>
      <w:bookmarkStart w:id="6430" w:name="_Toc510615642"/>
      <w:bookmarkStart w:id="6431" w:name="_Toc510616824"/>
      <w:bookmarkStart w:id="6432" w:name="_Toc510207017"/>
      <w:bookmarkStart w:id="6433" w:name="_Toc510207810"/>
      <w:bookmarkStart w:id="6434" w:name="_Toc510517749"/>
      <w:bookmarkStart w:id="6435" w:name="_Toc510593707"/>
      <w:bookmarkStart w:id="6436" w:name="_Toc510594084"/>
      <w:bookmarkStart w:id="6437" w:name="_Toc510606703"/>
      <w:bookmarkStart w:id="6438" w:name="_Toc510607127"/>
      <w:bookmarkStart w:id="6439" w:name="_Toc510609789"/>
      <w:bookmarkStart w:id="6440" w:name="_Toc510612871"/>
      <w:bookmarkStart w:id="6441" w:name="_Toc510615643"/>
      <w:bookmarkStart w:id="6442" w:name="_Toc510616825"/>
      <w:bookmarkStart w:id="6443" w:name="_Toc510207019"/>
      <w:bookmarkStart w:id="6444" w:name="_Toc510207812"/>
      <w:bookmarkStart w:id="6445" w:name="_Toc510517261"/>
      <w:bookmarkStart w:id="6446" w:name="_Toc510517420"/>
      <w:bookmarkStart w:id="6447" w:name="_Toc510517751"/>
      <w:bookmarkStart w:id="6448" w:name="_Toc510517950"/>
      <w:bookmarkStart w:id="6449" w:name="_Toc510593709"/>
      <w:bookmarkStart w:id="6450" w:name="_Toc510594086"/>
      <w:bookmarkStart w:id="6451" w:name="_Toc510606705"/>
      <w:bookmarkStart w:id="6452" w:name="_Toc510607129"/>
      <w:bookmarkStart w:id="6453" w:name="_Toc510608438"/>
      <w:bookmarkStart w:id="6454" w:name="_Toc510609401"/>
      <w:bookmarkStart w:id="6455" w:name="_Toc510609791"/>
      <w:bookmarkStart w:id="6456" w:name="_Toc510610386"/>
      <w:bookmarkStart w:id="6457" w:name="_Toc510612873"/>
      <w:bookmarkStart w:id="6458" w:name="_Toc510615645"/>
      <w:bookmarkStart w:id="6459" w:name="_Toc510616827"/>
      <w:bookmarkStart w:id="6460" w:name="_Toc510207020"/>
      <w:bookmarkStart w:id="6461" w:name="_Toc510207813"/>
      <w:bookmarkStart w:id="6462" w:name="_Toc510517262"/>
      <w:bookmarkStart w:id="6463" w:name="_Toc510517421"/>
      <w:bookmarkStart w:id="6464" w:name="_Toc510517752"/>
      <w:bookmarkStart w:id="6465" w:name="_Toc510517951"/>
      <w:bookmarkStart w:id="6466" w:name="_Toc510593710"/>
      <w:bookmarkStart w:id="6467" w:name="_Toc510594087"/>
      <w:bookmarkStart w:id="6468" w:name="_Toc510606706"/>
      <w:bookmarkStart w:id="6469" w:name="_Toc510607130"/>
      <w:bookmarkStart w:id="6470" w:name="_Toc510608439"/>
      <w:bookmarkStart w:id="6471" w:name="_Toc510609402"/>
      <w:bookmarkStart w:id="6472" w:name="_Toc510609792"/>
      <w:bookmarkStart w:id="6473" w:name="_Toc510610387"/>
      <w:bookmarkStart w:id="6474" w:name="_Toc510612874"/>
      <w:bookmarkStart w:id="6475" w:name="_Toc510615646"/>
      <w:bookmarkStart w:id="6476" w:name="_Toc510616828"/>
      <w:bookmarkStart w:id="6477" w:name="_Toc510207021"/>
      <w:bookmarkStart w:id="6478" w:name="_Toc510207814"/>
      <w:bookmarkStart w:id="6479" w:name="_Toc510517753"/>
      <w:bookmarkStart w:id="6480" w:name="_Toc510593711"/>
      <w:bookmarkStart w:id="6481" w:name="_Toc510594088"/>
      <w:bookmarkStart w:id="6482" w:name="_Toc510606707"/>
      <w:bookmarkStart w:id="6483" w:name="_Toc510607131"/>
      <w:bookmarkStart w:id="6484" w:name="_Toc510609793"/>
      <w:bookmarkStart w:id="6485" w:name="_Toc510612875"/>
      <w:bookmarkStart w:id="6486" w:name="_Toc510615647"/>
      <w:bookmarkStart w:id="6487" w:name="_Toc510616829"/>
      <w:bookmarkStart w:id="6488" w:name="_Toc510207022"/>
      <w:bookmarkStart w:id="6489" w:name="_Toc510207815"/>
      <w:bookmarkStart w:id="6490" w:name="_Toc510517754"/>
      <w:bookmarkStart w:id="6491" w:name="_Toc510593712"/>
      <w:bookmarkStart w:id="6492" w:name="_Toc510594089"/>
      <w:bookmarkStart w:id="6493" w:name="_Toc510606708"/>
      <w:bookmarkStart w:id="6494" w:name="_Toc510607132"/>
      <w:bookmarkStart w:id="6495" w:name="_Toc510609794"/>
      <w:bookmarkStart w:id="6496" w:name="_Toc510612876"/>
      <w:bookmarkStart w:id="6497" w:name="_Toc510615648"/>
      <w:bookmarkStart w:id="6498" w:name="_Toc510616830"/>
      <w:bookmarkStart w:id="6499" w:name="_Toc510207023"/>
      <w:bookmarkStart w:id="6500" w:name="_Toc510207816"/>
      <w:bookmarkStart w:id="6501" w:name="_Toc510517755"/>
      <w:bookmarkStart w:id="6502" w:name="_Toc510593713"/>
      <w:bookmarkStart w:id="6503" w:name="_Toc510594090"/>
      <w:bookmarkStart w:id="6504" w:name="_Toc510606709"/>
      <w:bookmarkStart w:id="6505" w:name="_Toc510607133"/>
      <w:bookmarkStart w:id="6506" w:name="_Toc510609795"/>
      <w:bookmarkStart w:id="6507" w:name="_Toc510612877"/>
      <w:bookmarkStart w:id="6508" w:name="_Toc510615649"/>
      <w:bookmarkStart w:id="6509" w:name="_Toc510616831"/>
      <w:bookmarkStart w:id="6510" w:name="_Toc510207024"/>
      <w:bookmarkStart w:id="6511" w:name="_Toc510207817"/>
      <w:bookmarkStart w:id="6512" w:name="_Toc510517756"/>
      <w:bookmarkStart w:id="6513" w:name="_Toc510593714"/>
      <w:bookmarkStart w:id="6514" w:name="_Toc510594091"/>
      <w:bookmarkStart w:id="6515" w:name="_Toc510606710"/>
      <w:bookmarkStart w:id="6516" w:name="_Toc510607134"/>
      <w:bookmarkStart w:id="6517" w:name="_Toc510609796"/>
      <w:bookmarkStart w:id="6518" w:name="_Toc510612878"/>
      <w:bookmarkStart w:id="6519" w:name="_Toc510615650"/>
      <w:bookmarkStart w:id="6520" w:name="_Toc510616832"/>
      <w:bookmarkStart w:id="6521" w:name="_Toc510207026"/>
      <w:bookmarkStart w:id="6522" w:name="_Toc510207819"/>
      <w:bookmarkStart w:id="6523" w:name="_Toc510517758"/>
      <w:bookmarkStart w:id="6524" w:name="_Toc510593716"/>
      <w:bookmarkStart w:id="6525" w:name="_Toc510594093"/>
      <w:bookmarkStart w:id="6526" w:name="_Toc510606712"/>
      <w:bookmarkStart w:id="6527" w:name="_Toc510607136"/>
      <w:bookmarkStart w:id="6528" w:name="_Toc510609798"/>
      <w:bookmarkStart w:id="6529" w:name="_Toc510612880"/>
      <w:bookmarkStart w:id="6530" w:name="_Toc510615652"/>
      <w:bookmarkStart w:id="6531" w:name="_Toc510616834"/>
      <w:bookmarkStart w:id="6532" w:name="_Toc510207027"/>
      <w:bookmarkStart w:id="6533" w:name="_Toc510207820"/>
      <w:bookmarkStart w:id="6534" w:name="_Toc510517269"/>
      <w:bookmarkStart w:id="6535" w:name="_Toc510517428"/>
      <w:bookmarkStart w:id="6536" w:name="_Toc510517759"/>
      <w:bookmarkStart w:id="6537" w:name="_Toc510517958"/>
      <w:bookmarkStart w:id="6538" w:name="_Toc510593717"/>
      <w:bookmarkStart w:id="6539" w:name="_Toc510594094"/>
      <w:bookmarkStart w:id="6540" w:name="_Toc510606713"/>
      <w:bookmarkStart w:id="6541" w:name="_Toc510607137"/>
      <w:bookmarkStart w:id="6542" w:name="_Toc510608446"/>
      <w:bookmarkStart w:id="6543" w:name="_Toc510609409"/>
      <w:bookmarkStart w:id="6544" w:name="_Toc510609799"/>
      <w:bookmarkStart w:id="6545" w:name="_Toc510610394"/>
      <w:bookmarkStart w:id="6546" w:name="_Toc510612881"/>
      <w:bookmarkStart w:id="6547" w:name="_Toc510615653"/>
      <w:bookmarkStart w:id="6548" w:name="_Toc510616835"/>
      <w:bookmarkStart w:id="6549" w:name="_Toc510207028"/>
      <w:bookmarkStart w:id="6550" w:name="_Toc510207821"/>
      <w:bookmarkStart w:id="6551" w:name="_Toc510517760"/>
      <w:bookmarkStart w:id="6552" w:name="_Toc510593718"/>
      <w:bookmarkStart w:id="6553" w:name="_Toc510594095"/>
      <w:bookmarkStart w:id="6554" w:name="_Toc510606714"/>
      <w:bookmarkStart w:id="6555" w:name="_Toc510607138"/>
      <w:bookmarkStart w:id="6556" w:name="_Toc510609800"/>
      <w:bookmarkStart w:id="6557" w:name="_Toc510612882"/>
      <w:bookmarkStart w:id="6558" w:name="_Toc510615654"/>
      <w:bookmarkStart w:id="6559" w:name="_Toc510616836"/>
      <w:bookmarkStart w:id="6560" w:name="_Toc510207030"/>
      <w:bookmarkStart w:id="6561" w:name="_Toc510207823"/>
      <w:bookmarkStart w:id="6562" w:name="_Toc510517762"/>
      <w:bookmarkStart w:id="6563" w:name="_Toc510593720"/>
      <w:bookmarkStart w:id="6564" w:name="_Toc510594097"/>
      <w:bookmarkStart w:id="6565" w:name="_Toc510606716"/>
      <w:bookmarkStart w:id="6566" w:name="_Toc510607140"/>
      <w:bookmarkStart w:id="6567" w:name="_Toc510609802"/>
      <w:bookmarkStart w:id="6568" w:name="_Toc510612884"/>
      <w:bookmarkStart w:id="6569" w:name="_Toc510615656"/>
      <w:bookmarkStart w:id="6570" w:name="_Toc510616838"/>
      <w:bookmarkStart w:id="6571" w:name="_Toc510207031"/>
      <w:bookmarkStart w:id="6572" w:name="_Toc510207824"/>
      <w:bookmarkStart w:id="6573" w:name="_Toc510517763"/>
      <w:bookmarkStart w:id="6574" w:name="_Toc510593721"/>
      <w:bookmarkStart w:id="6575" w:name="_Toc510594098"/>
      <w:bookmarkStart w:id="6576" w:name="_Toc510606717"/>
      <w:bookmarkStart w:id="6577" w:name="_Toc510607141"/>
      <w:bookmarkStart w:id="6578" w:name="_Toc510609803"/>
      <w:bookmarkStart w:id="6579" w:name="_Toc510612885"/>
      <w:bookmarkStart w:id="6580" w:name="_Toc510615657"/>
      <w:bookmarkStart w:id="6581" w:name="_Toc510616839"/>
      <w:bookmarkStart w:id="6582" w:name="_Toc510207032"/>
      <w:bookmarkStart w:id="6583" w:name="_Toc510207825"/>
      <w:bookmarkStart w:id="6584" w:name="_Toc510517764"/>
      <w:bookmarkStart w:id="6585" w:name="_Toc510593722"/>
      <w:bookmarkStart w:id="6586" w:name="_Toc510594099"/>
      <w:bookmarkStart w:id="6587" w:name="_Toc510606718"/>
      <w:bookmarkStart w:id="6588" w:name="_Toc510607142"/>
      <w:bookmarkStart w:id="6589" w:name="_Toc510609804"/>
      <w:bookmarkStart w:id="6590" w:name="_Toc510612886"/>
      <w:bookmarkStart w:id="6591" w:name="_Toc510615658"/>
      <w:bookmarkStart w:id="6592" w:name="_Toc510616840"/>
      <w:bookmarkStart w:id="6593" w:name="_Toc510207033"/>
      <w:bookmarkStart w:id="6594" w:name="_Toc510207826"/>
      <w:bookmarkStart w:id="6595" w:name="_Toc510517275"/>
      <w:bookmarkStart w:id="6596" w:name="_Toc510517434"/>
      <w:bookmarkStart w:id="6597" w:name="_Toc510517765"/>
      <w:bookmarkStart w:id="6598" w:name="_Toc510517964"/>
      <w:bookmarkStart w:id="6599" w:name="_Toc510593723"/>
      <w:bookmarkStart w:id="6600" w:name="_Toc510594100"/>
      <w:bookmarkStart w:id="6601" w:name="_Toc510606719"/>
      <w:bookmarkStart w:id="6602" w:name="_Toc510607143"/>
      <w:bookmarkStart w:id="6603" w:name="_Toc510608452"/>
      <w:bookmarkStart w:id="6604" w:name="_Toc510609415"/>
      <w:bookmarkStart w:id="6605" w:name="_Toc510609805"/>
      <w:bookmarkStart w:id="6606" w:name="_Toc510610400"/>
      <w:bookmarkStart w:id="6607" w:name="_Toc510612887"/>
      <w:bookmarkStart w:id="6608" w:name="_Toc510615659"/>
      <w:bookmarkStart w:id="6609" w:name="_Toc510616841"/>
      <w:bookmarkStart w:id="6610" w:name="_Toc509382785"/>
      <w:bookmarkStart w:id="6611" w:name="_Toc509383217"/>
      <w:bookmarkStart w:id="6612" w:name="_Toc509384096"/>
      <w:bookmarkStart w:id="6613" w:name="_Toc509404768"/>
      <w:bookmarkStart w:id="6614" w:name="_Toc509310802"/>
      <w:bookmarkStart w:id="6615" w:name="_Toc509311197"/>
      <w:bookmarkStart w:id="6616" w:name="_Toc509311598"/>
      <w:bookmarkStart w:id="6617" w:name="_Toc509312036"/>
      <w:bookmarkStart w:id="6618" w:name="_Toc509312462"/>
      <w:bookmarkStart w:id="6619" w:name="_Toc509312801"/>
      <w:bookmarkStart w:id="6620" w:name="_Toc509313142"/>
      <w:bookmarkStart w:id="6621" w:name="_Toc509313544"/>
      <w:bookmarkStart w:id="6622" w:name="_Toc509316983"/>
      <w:bookmarkStart w:id="6623" w:name="_Toc509317296"/>
      <w:bookmarkStart w:id="6624" w:name="_Toc509317588"/>
      <w:bookmarkStart w:id="6625" w:name="_Toc509317901"/>
      <w:bookmarkStart w:id="6626" w:name="_Toc509318214"/>
      <w:bookmarkStart w:id="6627" w:name="_Toc509319200"/>
      <w:bookmarkStart w:id="6628" w:name="_Toc509319562"/>
      <w:bookmarkStart w:id="6629" w:name="_Toc509320336"/>
      <w:bookmarkStart w:id="6630" w:name="_Toc509322308"/>
      <w:bookmarkStart w:id="6631" w:name="_Toc509322632"/>
      <w:bookmarkStart w:id="6632" w:name="_Toc509323134"/>
      <w:bookmarkStart w:id="6633" w:name="_Toc509323507"/>
      <w:bookmarkStart w:id="6634" w:name="_Toc509323831"/>
      <w:bookmarkStart w:id="6635" w:name="_Toc509324155"/>
      <w:bookmarkStart w:id="6636" w:name="_Toc509324479"/>
      <w:bookmarkStart w:id="6637" w:name="_Toc509324848"/>
      <w:bookmarkStart w:id="6638" w:name="_Toc509325217"/>
      <w:bookmarkStart w:id="6639" w:name="_Toc509325586"/>
      <w:bookmarkStart w:id="6640" w:name="_Toc509325961"/>
      <w:bookmarkStart w:id="6641" w:name="_Toc509326336"/>
      <w:bookmarkStart w:id="6642" w:name="_Toc509326711"/>
      <w:bookmarkStart w:id="6643" w:name="_Toc509327086"/>
      <w:bookmarkStart w:id="6644" w:name="_Toc509327402"/>
      <w:bookmarkStart w:id="6645" w:name="_Toc509327777"/>
      <w:bookmarkStart w:id="6646" w:name="_Toc509328152"/>
      <w:bookmarkStart w:id="6647" w:name="_Toc509332944"/>
      <w:bookmarkStart w:id="6648" w:name="_Toc509333357"/>
      <w:bookmarkStart w:id="6649" w:name="_Toc509333770"/>
      <w:bookmarkStart w:id="6650" w:name="_Toc509335173"/>
      <w:bookmarkStart w:id="6651" w:name="_Toc509335683"/>
      <w:bookmarkStart w:id="6652" w:name="_Toc509336626"/>
      <w:bookmarkStart w:id="6653" w:name="_Toc509337058"/>
      <w:bookmarkStart w:id="6654" w:name="_Toc509337485"/>
      <w:bookmarkStart w:id="6655" w:name="_Toc509337912"/>
      <w:bookmarkStart w:id="6656" w:name="_Toc509338242"/>
      <w:bookmarkStart w:id="6657" w:name="_Toc509382786"/>
      <w:bookmarkStart w:id="6658" w:name="_Toc509383218"/>
      <w:bookmarkStart w:id="6659" w:name="_Toc509384097"/>
      <w:bookmarkStart w:id="6660" w:name="_Toc509404769"/>
      <w:bookmarkStart w:id="6661" w:name="_Toc509069201"/>
      <w:bookmarkStart w:id="6662" w:name="_Toc510207036"/>
      <w:bookmarkStart w:id="6663" w:name="_Toc510207829"/>
      <w:bookmarkStart w:id="6664" w:name="_Toc510517768"/>
      <w:bookmarkStart w:id="6665" w:name="_Toc510593726"/>
      <w:bookmarkStart w:id="6666" w:name="_Toc510594103"/>
      <w:bookmarkStart w:id="6667" w:name="_Toc510606722"/>
      <w:bookmarkStart w:id="6668" w:name="_Toc510607146"/>
      <w:bookmarkStart w:id="6669" w:name="_Toc510609808"/>
      <w:bookmarkStart w:id="6670" w:name="_Toc510612890"/>
      <w:bookmarkStart w:id="6671" w:name="_Toc510615662"/>
      <w:bookmarkStart w:id="6672" w:name="_Toc510616844"/>
      <w:bookmarkStart w:id="6673" w:name="_Toc510207042"/>
      <w:bookmarkStart w:id="6674" w:name="_Toc510207835"/>
      <w:bookmarkStart w:id="6675" w:name="_Toc510517774"/>
      <w:bookmarkStart w:id="6676" w:name="_Toc510593732"/>
      <w:bookmarkStart w:id="6677" w:name="_Toc510594109"/>
      <w:bookmarkStart w:id="6678" w:name="_Toc510606728"/>
      <w:bookmarkStart w:id="6679" w:name="_Toc510607152"/>
      <w:bookmarkStart w:id="6680" w:name="_Toc510609814"/>
      <w:bookmarkStart w:id="6681" w:name="_Toc510612896"/>
      <w:bookmarkStart w:id="6682" w:name="_Toc510615668"/>
      <w:bookmarkStart w:id="6683" w:name="_Toc510616850"/>
      <w:bookmarkStart w:id="6684" w:name="_Toc510207043"/>
      <w:bookmarkStart w:id="6685" w:name="_Toc510207836"/>
      <w:bookmarkStart w:id="6686" w:name="_Toc510517775"/>
      <w:bookmarkStart w:id="6687" w:name="_Toc510593733"/>
      <w:bookmarkStart w:id="6688" w:name="_Toc510594110"/>
      <w:bookmarkStart w:id="6689" w:name="_Toc510606729"/>
      <w:bookmarkStart w:id="6690" w:name="_Toc510607153"/>
      <w:bookmarkStart w:id="6691" w:name="_Toc510609815"/>
      <w:bookmarkStart w:id="6692" w:name="_Toc510612897"/>
      <w:bookmarkStart w:id="6693" w:name="_Toc510615669"/>
      <w:bookmarkStart w:id="6694" w:name="_Toc510616851"/>
      <w:bookmarkStart w:id="6695" w:name="_Toc510207044"/>
      <w:bookmarkStart w:id="6696" w:name="_Toc510207837"/>
      <w:bookmarkStart w:id="6697" w:name="_Toc510517776"/>
      <w:bookmarkStart w:id="6698" w:name="_Toc510593734"/>
      <w:bookmarkStart w:id="6699" w:name="_Toc510594111"/>
      <w:bookmarkStart w:id="6700" w:name="_Toc510606730"/>
      <w:bookmarkStart w:id="6701" w:name="_Toc510607154"/>
      <w:bookmarkStart w:id="6702" w:name="_Toc510609816"/>
      <w:bookmarkStart w:id="6703" w:name="_Toc510612898"/>
      <w:bookmarkStart w:id="6704" w:name="_Toc510615670"/>
      <w:bookmarkStart w:id="6705" w:name="_Toc510616852"/>
      <w:bookmarkStart w:id="6706" w:name="_Toc510207045"/>
      <w:bookmarkStart w:id="6707" w:name="_Toc510207838"/>
      <w:bookmarkStart w:id="6708" w:name="_Toc510517287"/>
      <w:bookmarkStart w:id="6709" w:name="_Toc510517446"/>
      <w:bookmarkStart w:id="6710" w:name="_Toc510517777"/>
      <w:bookmarkStart w:id="6711" w:name="_Toc510517976"/>
      <w:bookmarkStart w:id="6712" w:name="_Toc510593735"/>
      <w:bookmarkStart w:id="6713" w:name="_Toc510594112"/>
      <w:bookmarkStart w:id="6714" w:name="_Toc510606731"/>
      <w:bookmarkStart w:id="6715" w:name="_Toc510607155"/>
      <w:bookmarkStart w:id="6716" w:name="_Toc510608464"/>
      <w:bookmarkStart w:id="6717" w:name="_Toc510609427"/>
      <w:bookmarkStart w:id="6718" w:name="_Toc510609817"/>
      <w:bookmarkStart w:id="6719" w:name="_Toc510610412"/>
      <w:bookmarkStart w:id="6720" w:name="_Toc510612899"/>
      <w:bookmarkStart w:id="6721" w:name="_Toc510615671"/>
      <w:bookmarkStart w:id="6722" w:name="_Toc510616853"/>
      <w:bookmarkStart w:id="6723" w:name="_Toc510207046"/>
      <w:bookmarkStart w:id="6724" w:name="_Toc510207839"/>
      <w:bookmarkStart w:id="6725" w:name="_Toc510517778"/>
      <w:bookmarkStart w:id="6726" w:name="_Toc510593736"/>
      <w:bookmarkStart w:id="6727" w:name="_Toc510594113"/>
      <w:bookmarkStart w:id="6728" w:name="_Toc510606732"/>
      <w:bookmarkStart w:id="6729" w:name="_Toc510607156"/>
      <w:bookmarkStart w:id="6730" w:name="_Toc510609818"/>
      <w:bookmarkStart w:id="6731" w:name="_Toc510612900"/>
      <w:bookmarkStart w:id="6732" w:name="_Toc510615672"/>
      <w:bookmarkStart w:id="6733" w:name="_Toc510616854"/>
      <w:bookmarkStart w:id="6734" w:name="_Toc510207047"/>
      <w:bookmarkStart w:id="6735" w:name="_Toc510207840"/>
      <w:bookmarkStart w:id="6736" w:name="_Toc510517779"/>
      <w:bookmarkStart w:id="6737" w:name="_Toc510593737"/>
      <w:bookmarkStart w:id="6738" w:name="_Toc510594114"/>
      <w:bookmarkStart w:id="6739" w:name="_Toc510606733"/>
      <w:bookmarkStart w:id="6740" w:name="_Toc510607157"/>
      <w:bookmarkStart w:id="6741" w:name="_Toc510609819"/>
      <w:bookmarkStart w:id="6742" w:name="_Toc510612901"/>
      <w:bookmarkStart w:id="6743" w:name="_Toc510615673"/>
      <w:bookmarkStart w:id="6744" w:name="_Toc510616855"/>
      <w:bookmarkStart w:id="6745" w:name="_Toc510207054"/>
      <w:bookmarkStart w:id="6746" w:name="_Toc510207847"/>
      <w:bookmarkStart w:id="6747" w:name="_Toc510517786"/>
      <w:bookmarkStart w:id="6748" w:name="_Toc510593744"/>
      <w:bookmarkStart w:id="6749" w:name="_Toc510594121"/>
      <w:bookmarkStart w:id="6750" w:name="_Toc510606739"/>
      <w:bookmarkStart w:id="6751" w:name="_Toc510607163"/>
      <w:bookmarkStart w:id="6752" w:name="_Toc510609825"/>
      <w:bookmarkStart w:id="6753" w:name="_Toc510612907"/>
      <w:bookmarkStart w:id="6754" w:name="_Toc510615679"/>
      <w:bookmarkStart w:id="6755" w:name="_Toc510616861"/>
      <w:bookmarkStart w:id="6756" w:name="_Toc510207056"/>
      <w:bookmarkStart w:id="6757" w:name="_Toc510207849"/>
      <w:bookmarkStart w:id="6758" w:name="_Toc510517788"/>
      <w:bookmarkStart w:id="6759" w:name="_Toc510593746"/>
      <w:bookmarkStart w:id="6760" w:name="_Toc510594123"/>
      <w:bookmarkStart w:id="6761" w:name="_Toc510606741"/>
      <w:bookmarkStart w:id="6762" w:name="_Toc510607165"/>
      <w:bookmarkStart w:id="6763" w:name="_Toc510609827"/>
      <w:bookmarkStart w:id="6764" w:name="_Toc510612909"/>
      <w:bookmarkStart w:id="6765" w:name="_Toc510615681"/>
      <w:bookmarkStart w:id="6766" w:name="_Toc510616863"/>
      <w:bookmarkStart w:id="6767" w:name="_Toc510207057"/>
      <w:bookmarkStart w:id="6768" w:name="_Toc510207850"/>
      <w:bookmarkStart w:id="6769" w:name="_Toc510517789"/>
      <w:bookmarkStart w:id="6770" w:name="_Toc510593747"/>
      <w:bookmarkStart w:id="6771" w:name="_Toc510594124"/>
      <w:bookmarkStart w:id="6772" w:name="_Toc510606742"/>
      <w:bookmarkStart w:id="6773" w:name="_Toc510607166"/>
      <w:bookmarkStart w:id="6774" w:name="_Toc510609828"/>
      <w:bookmarkStart w:id="6775" w:name="_Toc510612910"/>
      <w:bookmarkStart w:id="6776" w:name="_Toc510615682"/>
      <w:bookmarkStart w:id="6777" w:name="_Toc510616864"/>
      <w:bookmarkStart w:id="6778" w:name="_Toc510207059"/>
      <w:bookmarkStart w:id="6779" w:name="_Toc510207852"/>
      <w:bookmarkStart w:id="6780" w:name="_Toc510517791"/>
      <w:bookmarkStart w:id="6781" w:name="_Toc510593749"/>
      <w:bookmarkStart w:id="6782" w:name="_Toc510594126"/>
      <w:bookmarkStart w:id="6783" w:name="_Toc510606744"/>
      <w:bookmarkStart w:id="6784" w:name="_Toc510607168"/>
      <w:bookmarkStart w:id="6785" w:name="_Toc510609830"/>
      <w:bookmarkStart w:id="6786" w:name="_Toc510612912"/>
      <w:bookmarkStart w:id="6787" w:name="_Toc510615684"/>
      <w:bookmarkStart w:id="6788" w:name="_Toc510616866"/>
      <w:bookmarkStart w:id="6789" w:name="_Toc510517792"/>
      <w:bookmarkStart w:id="6790" w:name="_Toc510612913"/>
      <w:bookmarkStart w:id="6791" w:name="_Toc510683711"/>
      <w:bookmarkStart w:id="6792" w:name="_Toc51534888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r>
        <w:rPr>
          <w:noProof/>
          <w:szCs w:val="24"/>
        </w:rPr>
        <w:t>Simplification</w:t>
      </w:r>
      <w:bookmarkEnd w:id="6789"/>
      <w:bookmarkEnd w:id="6790"/>
      <w:bookmarkEnd w:id="6791"/>
      <w:bookmarkEnd w:id="6792"/>
    </w:p>
    <w:p>
      <w:pPr>
        <w:spacing w:after="120" w:line="264" w:lineRule="auto"/>
        <w:rPr>
          <w:rFonts w:cs="Times New Roman"/>
          <w:noProof/>
          <w:szCs w:val="24"/>
        </w:rPr>
      </w:pPr>
      <w:r>
        <w:rPr>
          <w:rFonts w:cs="Times New Roman"/>
          <w:noProof/>
          <w:szCs w:val="24"/>
        </w:rPr>
        <w:t xml:space="preserve">Suboptimal investment situations are currently addressed through a heterogeneous and fragmented portfolio of EU financial instruments and the EFSI. These all come with different legal, administrative, and operational arrangements that result in unnecessary complexity. </w:t>
      </w:r>
    </w:p>
    <w:p>
      <w:pPr>
        <w:spacing w:after="120" w:line="264" w:lineRule="auto"/>
        <w:rPr>
          <w:rFonts w:cs="Times New Roman"/>
          <w:noProof/>
          <w:szCs w:val="24"/>
        </w:rPr>
      </w:pPr>
      <w:r>
        <w:rPr>
          <w:rFonts w:cs="Times New Roman"/>
          <w:noProof/>
          <w:color w:val="000000"/>
          <w:szCs w:val="24"/>
          <w:u w:color="000000"/>
        </w:rPr>
        <w:t xml:space="preserve">The aim of the InvestEU Fund would be to simplify the EU investment support </w:t>
      </w:r>
      <w:r>
        <w:rPr>
          <w:rFonts w:cs="Times New Roman"/>
          <w:noProof/>
          <w:szCs w:val="24"/>
        </w:rPr>
        <w:t xml:space="preserve">by constructing a single framework that would help to reduce the complexity. </w:t>
      </w:r>
      <w:r>
        <w:rPr>
          <w:rFonts w:cs="Times New Roman"/>
          <w:bCs/>
          <w:noProof/>
          <w:szCs w:val="24"/>
        </w:rPr>
        <w:t>Due to a lower number of agreements under a single set of rules,</w:t>
      </w:r>
      <w:r>
        <w:rPr>
          <w:rFonts w:cs="Times New Roman"/>
          <w:noProof/>
          <w:szCs w:val="24"/>
        </w:rPr>
        <w:t xml:space="preserve"> the InvestEU Fund will simplify the management of investment support instruments, the governance and the final beneficiaries' access to the EU support.</w:t>
      </w:r>
    </w:p>
    <w:p>
      <w:pPr>
        <w:pStyle w:val="NoSpacing"/>
        <w:spacing w:after="120" w:line="264" w:lineRule="auto"/>
        <w:rPr>
          <w:rStyle w:val="Aucun"/>
          <w:rFonts w:cs="Times New Roman"/>
          <w:noProof/>
          <w:lang w:val="en-GB"/>
        </w:rPr>
      </w:pPr>
      <w:r>
        <w:rPr>
          <w:rStyle w:val="Aucun"/>
          <w:rFonts w:cs="Times New Roman"/>
          <w:noProof/>
          <w:lang w:val="en-GB"/>
        </w:rPr>
        <w:t xml:space="preserve">Moreover, as the InvestEU Fund covers all investment support policy needs, this would allow streamlining and harmonising the reporting requirements and performance indicators. </w:t>
      </w:r>
    </w:p>
    <w:p>
      <w:pPr>
        <w:pStyle w:val="Heading2"/>
        <w:spacing w:line="264" w:lineRule="auto"/>
        <w:rPr>
          <w:noProof/>
          <w:szCs w:val="24"/>
        </w:rPr>
      </w:pPr>
      <w:bookmarkStart w:id="6793" w:name="_Toc510517793"/>
      <w:bookmarkStart w:id="6794" w:name="_Toc510612914"/>
      <w:bookmarkStart w:id="6795" w:name="_Toc510683712"/>
      <w:bookmarkStart w:id="6796" w:name="_Ref514572113"/>
      <w:bookmarkStart w:id="6797" w:name="_Toc515348882"/>
      <w:r>
        <w:rPr>
          <w:noProof/>
          <w:szCs w:val="24"/>
        </w:rPr>
        <w:t>Enhanced flexibility</w:t>
      </w:r>
      <w:bookmarkEnd w:id="6793"/>
      <w:bookmarkEnd w:id="6794"/>
      <w:bookmarkEnd w:id="6795"/>
      <w:bookmarkEnd w:id="6796"/>
      <w:bookmarkEnd w:id="6797"/>
    </w:p>
    <w:p>
      <w:pPr>
        <w:spacing w:after="120" w:line="264" w:lineRule="auto"/>
        <w:rPr>
          <w:rFonts w:cs="Times New Roman"/>
          <w:noProof/>
          <w:szCs w:val="24"/>
        </w:rPr>
      </w:pPr>
      <w:r>
        <w:rPr>
          <w:rFonts w:cs="Times New Roman"/>
          <w:noProof/>
          <w:szCs w:val="24"/>
        </w:rPr>
        <w:t xml:space="preserve">EU investment support instruments address market gaps and suboptimal investment situations. However, investment support needs are constantly evolving due to changes in technology, laws and rules, policy priorities, economic cycles, and risk appetite of financiers and investors. It should thus be possible to modify easily the products. Imposing strict and rigid rules and mechanisms would negatively affect beneficiaries. This could have negative repercussions on investment levels, growth prospects, employment, as well as on achievement of policy objectives. </w:t>
      </w:r>
    </w:p>
    <w:p>
      <w:pPr>
        <w:spacing w:after="120" w:line="264" w:lineRule="auto"/>
        <w:rPr>
          <w:rFonts w:cs="Times New Roman"/>
          <w:noProof/>
          <w:szCs w:val="24"/>
        </w:rPr>
      </w:pPr>
      <w:r>
        <w:rPr>
          <w:rFonts w:cs="Times New Roman"/>
          <w:noProof/>
          <w:szCs w:val="24"/>
        </w:rPr>
        <w:t>The EU investment support needs to respond quickly to these changes and requires flexibility in the following areas:</w:t>
      </w:r>
    </w:p>
    <w:p>
      <w:pPr>
        <w:pStyle w:val="Bulet"/>
        <w:spacing w:after="120" w:line="264" w:lineRule="auto"/>
        <w:rPr>
          <w:noProof/>
          <w:szCs w:val="24"/>
        </w:rPr>
      </w:pPr>
      <w:r>
        <w:rPr>
          <w:noProof/>
          <w:szCs w:val="24"/>
        </w:rPr>
        <w:t>Ability to align existing financial products to new market conditions. This implies an ability to change particular investment guidelines, criteria as well as the amount of support during implementation;</w:t>
      </w:r>
    </w:p>
    <w:p>
      <w:pPr>
        <w:pStyle w:val="Bulet"/>
        <w:spacing w:after="120" w:line="264" w:lineRule="auto"/>
        <w:rPr>
          <w:noProof/>
          <w:szCs w:val="24"/>
        </w:rPr>
      </w:pPr>
      <w:r>
        <w:rPr>
          <w:noProof/>
          <w:szCs w:val="24"/>
        </w:rPr>
        <w:t>Possibility to discontinue underperforming financial products or create new ones. This would also include a possibility for the Member States to withdraw contributions from a financial product set up under the InvestEU Fund Member State compartment (see section 3.2) under certain principles;</w:t>
      </w:r>
    </w:p>
    <w:p>
      <w:pPr>
        <w:pStyle w:val="Bulet"/>
        <w:spacing w:after="120" w:line="264" w:lineRule="auto"/>
        <w:rPr>
          <w:noProof/>
          <w:szCs w:val="24"/>
        </w:rPr>
      </w:pPr>
      <w:r>
        <w:rPr>
          <w:noProof/>
          <w:szCs w:val="24"/>
        </w:rPr>
        <w:t>Ability to reallocate resources between products within a specific policy window;</w:t>
      </w:r>
    </w:p>
    <w:p>
      <w:pPr>
        <w:pStyle w:val="Bulet"/>
        <w:spacing w:after="120" w:line="264" w:lineRule="auto"/>
        <w:rPr>
          <w:noProof/>
          <w:szCs w:val="24"/>
        </w:rPr>
      </w:pPr>
      <w:r>
        <w:rPr>
          <w:noProof/>
          <w:szCs w:val="24"/>
        </w:rPr>
        <w:t>Possibility to reallocate a portion of resources among policy windows. Any reallocation of resources between windows could be limited to [15% ] of the guarantee amount of any of the windows;</w:t>
      </w:r>
    </w:p>
    <w:p>
      <w:pPr>
        <w:pStyle w:val="Bulet"/>
        <w:spacing w:after="120" w:line="264" w:lineRule="auto"/>
        <w:rPr>
          <w:noProof/>
          <w:szCs w:val="24"/>
        </w:rPr>
      </w:pPr>
      <w:r>
        <w:rPr>
          <w:noProof/>
          <w:szCs w:val="24"/>
        </w:rPr>
        <w:t>Possibility to easily combine or blend, when appropriate, support under the InvestEU Fund with grants from other EU programmes;</w:t>
      </w:r>
    </w:p>
    <w:p>
      <w:pPr>
        <w:pStyle w:val="Bulet"/>
        <w:spacing w:after="120" w:line="264" w:lineRule="auto"/>
        <w:rPr>
          <w:noProof/>
          <w:szCs w:val="24"/>
        </w:rPr>
      </w:pPr>
      <w:r>
        <w:rPr>
          <w:noProof/>
          <w:szCs w:val="24"/>
        </w:rPr>
        <w:t>It should be possible to design products with specific risk coverage rates (e.g. level of first loss piece or guarantee rates) for particular market failures; and</w:t>
      </w:r>
    </w:p>
    <w:p>
      <w:pPr>
        <w:pStyle w:val="Bulet"/>
        <w:spacing w:after="120" w:line="264" w:lineRule="auto"/>
        <w:rPr>
          <w:noProof/>
          <w:szCs w:val="24"/>
        </w:rPr>
      </w:pPr>
      <w:r>
        <w:rPr>
          <w:noProof/>
          <w:szCs w:val="24"/>
        </w:rPr>
        <w:t xml:space="preserve">The Commission should also have the flexibility to grant the EU guarantee to several implementing partners that fulfil the required eligibility criteria (see section 5.3). </w:t>
      </w:r>
    </w:p>
    <w:p>
      <w:pPr>
        <w:pStyle w:val="Bulet"/>
        <w:numPr>
          <w:ilvl w:val="0"/>
          <w:numId w:val="0"/>
        </w:numPr>
        <w:spacing w:after="120" w:line="264" w:lineRule="auto"/>
        <w:ind w:left="357" w:hanging="357"/>
        <w:rPr>
          <w:noProof/>
          <w:szCs w:val="24"/>
        </w:rPr>
      </w:pPr>
    </w:p>
    <w:p>
      <w:pPr>
        <w:spacing w:after="200" w:line="264" w:lineRule="auto"/>
        <w:jc w:val="left"/>
        <w:rPr>
          <w:rFonts w:eastAsia="Times New Roman" w:cs="Times New Roman"/>
          <w:noProof/>
          <w:szCs w:val="24"/>
        </w:rPr>
      </w:pPr>
      <w:r>
        <w:rPr>
          <w:rFonts w:cs="Times New Roman"/>
          <w:noProof/>
          <w:szCs w:val="24"/>
        </w:rPr>
        <w:br w:type="page"/>
      </w:r>
    </w:p>
    <w:p>
      <w:pPr>
        <w:pStyle w:val="Bulet"/>
        <w:numPr>
          <w:ilvl w:val="0"/>
          <w:numId w:val="0"/>
        </w:numPr>
        <w:spacing w:after="120" w:line="264" w:lineRule="auto"/>
        <w:ind w:left="357" w:hanging="357"/>
        <w:rPr>
          <w:noProof/>
          <w:szCs w:val="24"/>
        </w:rPr>
      </w:pPr>
    </w:p>
    <w:p>
      <w:pPr>
        <w:pStyle w:val="Heading1"/>
        <w:spacing w:line="264" w:lineRule="auto"/>
        <w:rPr>
          <w:noProof/>
          <w:szCs w:val="24"/>
        </w:rPr>
      </w:pPr>
      <w:bookmarkStart w:id="6798" w:name="_Toc510606747"/>
      <w:bookmarkStart w:id="6799" w:name="_Toc510607171"/>
      <w:bookmarkStart w:id="6800" w:name="_Toc510608480"/>
      <w:bookmarkStart w:id="6801" w:name="_Toc510609443"/>
      <w:bookmarkStart w:id="6802" w:name="_Toc510609833"/>
      <w:bookmarkStart w:id="6803" w:name="_Toc510610428"/>
      <w:bookmarkStart w:id="6804" w:name="_Toc510612915"/>
      <w:bookmarkStart w:id="6805" w:name="_Toc510615687"/>
      <w:bookmarkStart w:id="6806" w:name="_Toc510616869"/>
      <w:bookmarkStart w:id="6807" w:name="_Toc510207062"/>
      <w:bookmarkStart w:id="6808" w:name="_Toc510207855"/>
      <w:bookmarkStart w:id="6809" w:name="_Toc510517794"/>
      <w:bookmarkStart w:id="6810" w:name="_Toc510593752"/>
      <w:bookmarkStart w:id="6811" w:name="_Toc510594129"/>
      <w:bookmarkStart w:id="6812" w:name="_Toc510606748"/>
      <w:bookmarkStart w:id="6813" w:name="_Toc510607172"/>
      <w:bookmarkStart w:id="6814" w:name="_Toc510608481"/>
      <w:bookmarkStart w:id="6815" w:name="_Toc510609444"/>
      <w:bookmarkStart w:id="6816" w:name="_Toc510609834"/>
      <w:bookmarkStart w:id="6817" w:name="_Toc510610429"/>
      <w:bookmarkStart w:id="6818" w:name="_Toc510612916"/>
      <w:bookmarkStart w:id="6819" w:name="_Toc510615688"/>
      <w:bookmarkStart w:id="6820" w:name="_Toc510616870"/>
      <w:bookmarkStart w:id="6821" w:name="_Toc509069208"/>
      <w:bookmarkStart w:id="6822" w:name="_Toc509069209"/>
      <w:bookmarkStart w:id="6823" w:name="_Toc508287416"/>
      <w:bookmarkStart w:id="6824" w:name="_Toc508724923"/>
      <w:bookmarkStart w:id="6825" w:name="_Toc508733466"/>
      <w:bookmarkStart w:id="6826" w:name="_Toc508735099"/>
      <w:bookmarkStart w:id="6827" w:name="_Toc508809718"/>
      <w:bookmarkStart w:id="6828" w:name="_Toc509069210"/>
      <w:bookmarkStart w:id="6829" w:name="_Toc509313264"/>
      <w:bookmarkStart w:id="6830" w:name="_Toc509323835"/>
      <w:bookmarkStart w:id="6831" w:name="_Toc509327406"/>
      <w:bookmarkStart w:id="6832" w:name="_Toc509332948"/>
      <w:bookmarkStart w:id="6833" w:name="_Toc509334700"/>
      <w:bookmarkStart w:id="6834" w:name="_Toc509337916"/>
      <w:bookmarkStart w:id="6835" w:name="_Toc510517795"/>
      <w:bookmarkStart w:id="6836" w:name="_Toc510612917"/>
      <w:bookmarkStart w:id="6837" w:name="_Toc510683713"/>
      <w:bookmarkStart w:id="6838" w:name="_Ref514314124"/>
      <w:bookmarkStart w:id="6839" w:name="_Ref514314128"/>
      <w:bookmarkStart w:id="6840" w:name="_Ref514314134"/>
      <w:bookmarkStart w:id="6841" w:name="_Toc515348883"/>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r>
        <w:rPr>
          <w:noProof/>
          <w:szCs w:val="24"/>
        </w:rPr>
        <w:t>Programme structure and priorities</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pPr>
        <w:spacing w:after="120" w:line="264" w:lineRule="auto"/>
        <w:rPr>
          <w:rFonts w:cs="Times New Roman"/>
          <w:noProof/>
          <w:szCs w:val="24"/>
        </w:rPr>
      </w:pPr>
      <w:r>
        <w:rPr>
          <w:rFonts w:cs="Times New Roman"/>
          <w:noProof/>
          <w:szCs w:val="24"/>
        </w:rPr>
        <w:t xml:space="preserve">The current experience with the EU financial instruments and the EFSI budgetary guarantee demonstrated a need for simplification, streamlining and better coordination of EU’s investment support instruments during the next MFF. Experience with the EFSI also revealed significant benefits and efficiency gains inherent in using, where possible, a budgetary guarantee instead of traditional financial instruments. </w:t>
      </w:r>
    </w:p>
    <w:p>
      <w:pPr>
        <w:spacing w:after="120" w:line="264" w:lineRule="auto"/>
        <w:rPr>
          <w:rFonts w:cs="Times New Roman"/>
          <w:noProof/>
          <w:szCs w:val="24"/>
        </w:rPr>
      </w:pPr>
      <w:r>
        <w:rPr>
          <w:rFonts w:cs="Times New Roman"/>
          <w:noProof/>
          <w:szCs w:val="24"/>
        </w:rPr>
        <w:t>It is therefore proposed to set up a single investment support instrument, the InvestEU Fund, underpinned by a budgetary guarantee. It will be a centrally managed framework for financing EU investment priorities. It will integrate under a single framework all centrally managed investment support instruments and the EFSI and will allow to also cover new and emerging priorities.</w:t>
      </w:r>
    </w:p>
    <w:p>
      <w:pPr>
        <w:spacing w:after="120" w:line="264" w:lineRule="auto"/>
        <w:rPr>
          <w:rFonts w:cs="Times New Roman"/>
          <w:noProof/>
          <w:szCs w:val="24"/>
        </w:rPr>
      </w:pPr>
      <w:r>
        <w:rPr>
          <w:rFonts w:cs="Times New Roman"/>
          <w:noProof/>
          <w:szCs w:val="24"/>
        </w:rPr>
        <w:t xml:space="preserve">The budgetary guarantee underlying the InvestEU Fund will be allocated to four thematic policy windows as indicatively shown in the table below. The split is based on policy prioritisation, absorption capacity, and the size of the investment gasps. The InvestEU Fund will however foresee a possibility to reallocate a limited portion of resources among policy windows (see 2.4). </w:t>
      </w:r>
    </w:p>
    <w:p>
      <w:pPr>
        <w:spacing w:line="264" w:lineRule="auto"/>
        <w:rPr>
          <w:rFonts w:cs="Times New Roman"/>
          <w:noProof/>
          <w:szCs w:val="24"/>
        </w:rPr>
      </w:pPr>
      <w:r>
        <w:rPr>
          <w:rFonts w:cs="Times New Roman"/>
          <w:noProof/>
          <w:szCs w:val="24"/>
        </w:rPr>
        <w:t>The InvestEU Fund assumes a slight increase in the EU budget from EUR 14.5 billion during the current MFF (see Annex 5) to 15.2 billion allocated or an increase of almost 5%. The InvestEU Fund is however expected to increase the overall available budgetary guarantee much more. The available EU support would increase by 21% to EUR 38 billion and the total expected investment mobilised by 16.3% to EUR 650 billion (as illustrated in the table below). The increase of the available EU support is due to a shift from the current mix of FIs and the EFSI (EU) guarantee to the use of a single budgetary guarantee that is a much more efficient delivery mechanism.</w:t>
      </w:r>
    </w:p>
    <w:p>
      <w:pPr>
        <w:pStyle w:val="Caption"/>
        <w:keepNext/>
        <w:rPr>
          <w:noProof/>
        </w:rPr>
      </w:pPr>
      <w:bookmarkStart w:id="6842" w:name="_Toc515348922"/>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xml:space="preserve"> - Overview of budget allocations and estimated investments to be mobilised in the current MFF and under the InvestEU Fund</w:t>
      </w:r>
      <w:bookmarkEnd w:id="6842"/>
      <w:r>
        <w:rPr>
          <w:noProof/>
        </w:rPr>
        <w:t xml:space="preserve"> </w:t>
      </w:r>
    </w:p>
    <w:tbl>
      <w:tblPr>
        <w:tblW w:w="9448" w:type="dxa"/>
        <w:tblInd w:w="108" w:type="dxa"/>
        <w:tblLook w:val="04A0" w:firstRow="1" w:lastRow="0" w:firstColumn="1" w:lastColumn="0" w:noHBand="0" w:noVBand="1"/>
      </w:tblPr>
      <w:tblGrid>
        <w:gridCol w:w="2260"/>
        <w:gridCol w:w="1206"/>
        <w:gridCol w:w="1268"/>
        <w:gridCol w:w="1206"/>
        <w:gridCol w:w="1268"/>
        <w:gridCol w:w="1120"/>
        <w:gridCol w:w="1120"/>
      </w:tblGrid>
      <w:tr>
        <w:trPr>
          <w:trHeight w:val="390"/>
        </w:trPr>
        <w:tc>
          <w:tcPr>
            <w:tcW w:w="2260" w:type="dxa"/>
            <w:tcBorders>
              <w:top w:val="single" w:sz="4" w:space="0" w:color="auto"/>
              <w:left w:val="single" w:sz="4" w:space="0" w:color="auto"/>
              <w:bottom w:val="nil"/>
              <w:right w:val="nil"/>
            </w:tcBorders>
            <w:shd w:val="clear" w:color="000000" w:fill="538DD5"/>
            <w:noWrap/>
            <w:vAlign w:val="bottom"/>
            <w:hideMark/>
          </w:tcPr>
          <w:p>
            <w:pPr>
              <w:keepNext/>
              <w:keepLines/>
              <w:spacing w:after="0" w:line="264" w:lineRule="auto"/>
              <w:jc w:val="left"/>
              <w:rPr>
                <w:rFonts w:cs="Times New Roman"/>
                <w:noProof/>
                <w:color w:val="FFFFFF"/>
                <w:sz w:val="22"/>
                <w:lang w:eastAsia="en-GB"/>
              </w:rPr>
            </w:pPr>
            <w:r>
              <w:rPr>
                <w:rFonts w:cs="Times New Roman"/>
                <w:noProof/>
                <w:color w:val="FFFFFF"/>
                <w:sz w:val="22"/>
                <w:lang w:eastAsia="en-GB"/>
              </w:rPr>
              <w:t> </w:t>
            </w:r>
          </w:p>
        </w:tc>
        <w:tc>
          <w:tcPr>
            <w:tcW w:w="2474" w:type="dxa"/>
            <w:gridSpan w:val="2"/>
            <w:tcBorders>
              <w:top w:val="single" w:sz="4" w:space="0" w:color="auto"/>
              <w:left w:val="single" w:sz="4" w:space="0" w:color="auto"/>
              <w:bottom w:val="nil"/>
              <w:right w:val="single" w:sz="4" w:space="0" w:color="auto"/>
            </w:tcBorders>
            <w:shd w:val="clear" w:color="000000" w:fill="538DD5"/>
            <w:vAlign w:val="bottom"/>
            <w:hideMark/>
          </w:tcPr>
          <w:p>
            <w:pPr>
              <w:keepNext/>
              <w:keepLines/>
              <w:spacing w:after="0" w:line="264" w:lineRule="auto"/>
              <w:jc w:val="center"/>
              <w:rPr>
                <w:rFonts w:cs="Times New Roman"/>
                <w:b/>
                <w:bCs/>
                <w:noProof/>
                <w:color w:val="FFFFFF"/>
                <w:sz w:val="22"/>
                <w:lang w:eastAsia="en-GB"/>
              </w:rPr>
            </w:pPr>
            <w:r>
              <w:rPr>
                <w:rFonts w:cs="Times New Roman"/>
                <w:b/>
                <w:bCs/>
                <w:noProof/>
                <w:color w:val="FFFFFF"/>
                <w:sz w:val="22"/>
                <w:lang w:eastAsia="en-GB"/>
              </w:rPr>
              <w:t>2014-2020</w:t>
            </w:r>
          </w:p>
        </w:tc>
        <w:tc>
          <w:tcPr>
            <w:tcW w:w="2474" w:type="dxa"/>
            <w:gridSpan w:val="2"/>
            <w:tcBorders>
              <w:top w:val="single" w:sz="4" w:space="0" w:color="auto"/>
              <w:left w:val="single" w:sz="4" w:space="0" w:color="auto"/>
              <w:bottom w:val="nil"/>
              <w:right w:val="single" w:sz="4" w:space="0" w:color="auto"/>
            </w:tcBorders>
            <w:shd w:val="clear" w:color="000000" w:fill="538DD5"/>
            <w:vAlign w:val="bottom"/>
            <w:hideMark/>
          </w:tcPr>
          <w:p>
            <w:pPr>
              <w:keepNext/>
              <w:keepLines/>
              <w:spacing w:after="0" w:line="264" w:lineRule="auto"/>
              <w:jc w:val="center"/>
              <w:rPr>
                <w:rFonts w:cs="Times New Roman"/>
                <w:b/>
                <w:bCs/>
                <w:noProof/>
                <w:color w:val="FFFFFF"/>
                <w:sz w:val="22"/>
                <w:lang w:eastAsia="en-GB"/>
              </w:rPr>
            </w:pPr>
            <w:r>
              <w:rPr>
                <w:rFonts w:cs="Times New Roman"/>
                <w:b/>
                <w:bCs/>
                <w:noProof/>
                <w:color w:val="FFFFFF"/>
                <w:sz w:val="22"/>
                <w:lang w:eastAsia="en-GB"/>
              </w:rPr>
              <w:t xml:space="preserve">2021-2027 </w:t>
            </w:r>
          </w:p>
        </w:tc>
        <w:tc>
          <w:tcPr>
            <w:tcW w:w="2240" w:type="dxa"/>
            <w:gridSpan w:val="2"/>
            <w:vMerge w:val="restart"/>
            <w:tcBorders>
              <w:top w:val="single" w:sz="4" w:space="0" w:color="auto"/>
              <w:left w:val="single" w:sz="4" w:space="0" w:color="auto"/>
              <w:bottom w:val="nil"/>
              <w:right w:val="single" w:sz="4" w:space="0" w:color="auto"/>
            </w:tcBorders>
            <w:shd w:val="clear" w:color="000000" w:fill="538DD5"/>
            <w:vAlign w:val="center"/>
            <w:hideMark/>
          </w:tcPr>
          <w:p>
            <w:pPr>
              <w:keepNext/>
              <w:keepLines/>
              <w:spacing w:after="0" w:line="264" w:lineRule="auto"/>
              <w:jc w:val="center"/>
              <w:rPr>
                <w:rFonts w:cs="Times New Roman"/>
                <w:b/>
                <w:bCs/>
                <w:noProof/>
                <w:color w:val="FFFFFF"/>
                <w:sz w:val="22"/>
                <w:lang w:eastAsia="en-GB"/>
              </w:rPr>
            </w:pPr>
            <w:r>
              <w:rPr>
                <w:rFonts w:cs="Times New Roman"/>
                <w:b/>
                <w:bCs/>
                <w:noProof/>
                <w:color w:val="FFFFFF"/>
                <w:sz w:val="22"/>
                <w:lang w:eastAsia="en-GB"/>
              </w:rPr>
              <w:t xml:space="preserve">Weight of windows                                                                                                                                    </w:t>
            </w:r>
            <w:r>
              <w:rPr>
                <w:rFonts w:cs="Times New Roman"/>
                <w:noProof/>
                <w:color w:val="FFFFFF"/>
                <w:sz w:val="22"/>
                <w:lang w:eastAsia="en-GB"/>
              </w:rPr>
              <w:t>(based on the budgetary guarantee/FIs)</w:t>
            </w:r>
          </w:p>
        </w:tc>
      </w:tr>
      <w:tr>
        <w:trPr>
          <w:trHeight w:val="345"/>
        </w:trPr>
        <w:tc>
          <w:tcPr>
            <w:tcW w:w="2260" w:type="dxa"/>
            <w:tcBorders>
              <w:top w:val="nil"/>
              <w:left w:val="single" w:sz="4" w:space="0" w:color="auto"/>
              <w:bottom w:val="nil"/>
              <w:right w:val="single" w:sz="4" w:space="0" w:color="auto"/>
            </w:tcBorders>
            <w:shd w:val="clear" w:color="000000" w:fill="538DD5"/>
            <w:vAlign w:val="center"/>
            <w:hideMark/>
          </w:tcPr>
          <w:p>
            <w:pPr>
              <w:keepNext/>
              <w:keepLines/>
              <w:spacing w:after="0" w:line="264" w:lineRule="auto"/>
              <w:jc w:val="center"/>
              <w:rPr>
                <w:rFonts w:cs="Times New Roman"/>
                <w:b/>
                <w:bCs/>
                <w:noProof/>
                <w:color w:val="FFFFFF"/>
                <w:sz w:val="22"/>
                <w:lang w:eastAsia="en-GB"/>
              </w:rPr>
            </w:pPr>
            <w:r>
              <w:rPr>
                <w:rFonts w:cs="Times New Roman"/>
                <w:b/>
                <w:bCs/>
                <w:noProof/>
                <w:color w:val="FFFFFF"/>
                <w:sz w:val="22"/>
                <w:lang w:eastAsia="en-GB"/>
              </w:rPr>
              <w:t>(EUR m)</w:t>
            </w:r>
          </w:p>
        </w:tc>
        <w:tc>
          <w:tcPr>
            <w:tcW w:w="2474" w:type="dxa"/>
            <w:gridSpan w:val="2"/>
            <w:tcBorders>
              <w:top w:val="nil"/>
              <w:left w:val="nil"/>
              <w:bottom w:val="nil"/>
              <w:right w:val="single" w:sz="4" w:space="0" w:color="auto"/>
            </w:tcBorders>
            <w:shd w:val="clear" w:color="000000" w:fill="538DD5"/>
            <w:vAlign w:val="center"/>
            <w:hideMark/>
          </w:tcPr>
          <w:p>
            <w:pPr>
              <w:keepNext/>
              <w:keepLines/>
              <w:spacing w:after="0" w:line="264" w:lineRule="auto"/>
              <w:jc w:val="center"/>
              <w:rPr>
                <w:rFonts w:cs="Times New Roman"/>
                <w:noProof/>
                <w:color w:val="FFFFFF"/>
                <w:sz w:val="22"/>
                <w:lang w:eastAsia="en-GB"/>
              </w:rPr>
            </w:pPr>
            <w:r>
              <w:rPr>
                <w:rFonts w:cs="Times New Roman"/>
                <w:noProof/>
                <w:color w:val="FFFFFF"/>
                <w:sz w:val="22"/>
                <w:lang w:eastAsia="en-GB"/>
              </w:rPr>
              <w:t>(Baseline: EFSI + FIs)</w:t>
            </w:r>
          </w:p>
        </w:tc>
        <w:tc>
          <w:tcPr>
            <w:tcW w:w="2474" w:type="dxa"/>
            <w:gridSpan w:val="2"/>
            <w:tcBorders>
              <w:top w:val="nil"/>
              <w:left w:val="single" w:sz="4" w:space="0" w:color="auto"/>
              <w:right w:val="single" w:sz="4" w:space="0" w:color="auto"/>
            </w:tcBorders>
            <w:shd w:val="clear" w:color="000000" w:fill="538DD5"/>
            <w:vAlign w:val="center"/>
            <w:hideMark/>
          </w:tcPr>
          <w:p>
            <w:pPr>
              <w:keepNext/>
              <w:keepLines/>
              <w:spacing w:after="0" w:line="264" w:lineRule="auto"/>
              <w:jc w:val="center"/>
              <w:rPr>
                <w:rFonts w:cs="Times New Roman"/>
                <w:noProof/>
                <w:color w:val="FFFFFF"/>
                <w:sz w:val="22"/>
                <w:lang w:eastAsia="en-GB"/>
              </w:rPr>
            </w:pPr>
            <w:r>
              <w:rPr>
                <w:rFonts w:cs="Times New Roman"/>
                <w:noProof/>
                <w:color w:val="FFFFFF"/>
                <w:sz w:val="22"/>
                <w:lang w:eastAsia="en-GB"/>
              </w:rPr>
              <w:t>(InvestEU Fund)</w:t>
            </w:r>
          </w:p>
        </w:tc>
        <w:tc>
          <w:tcPr>
            <w:tcW w:w="2240" w:type="dxa"/>
            <w:gridSpan w:val="2"/>
            <w:vMerge/>
            <w:tcBorders>
              <w:top w:val="nil"/>
              <w:left w:val="single" w:sz="4" w:space="0" w:color="auto"/>
              <w:bottom w:val="nil"/>
              <w:right w:val="single" w:sz="4" w:space="0" w:color="auto"/>
            </w:tcBorders>
            <w:vAlign w:val="center"/>
            <w:hideMark/>
          </w:tcPr>
          <w:p>
            <w:pPr>
              <w:keepNext/>
              <w:keepLines/>
              <w:spacing w:after="0" w:line="264" w:lineRule="auto"/>
              <w:jc w:val="left"/>
              <w:rPr>
                <w:rFonts w:cs="Times New Roman"/>
                <w:b/>
                <w:bCs/>
                <w:noProof/>
                <w:color w:val="FFFFFF"/>
                <w:sz w:val="22"/>
                <w:lang w:eastAsia="en-GB"/>
              </w:rPr>
            </w:pPr>
          </w:p>
        </w:tc>
      </w:tr>
      <w:tr>
        <w:trPr>
          <w:trHeight w:val="540"/>
        </w:trPr>
        <w:tc>
          <w:tcPr>
            <w:tcW w:w="2260" w:type="dxa"/>
            <w:tcBorders>
              <w:top w:val="nil"/>
              <w:left w:val="single" w:sz="4" w:space="0" w:color="auto"/>
              <w:bottom w:val="nil"/>
              <w:right w:val="single" w:sz="4" w:space="0" w:color="auto"/>
            </w:tcBorders>
            <w:shd w:val="clear" w:color="auto" w:fill="auto"/>
            <w:vAlign w:val="center"/>
            <w:hideMark/>
          </w:tcPr>
          <w:p>
            <w:pPr>
              <w:keepNext/>
              <w:keepLines/>
              <w:spacing w:after="0" w:line="264" w:lineRule="auto"/>
              <w:jc w:val="left"/>
              <w:rPr>
                <w:rFonts w:cs="Times New Roman"/>
                <w:b/>
                <w:bCs/>
                <w:noProof/>
                <w:color w:val="000000"/>
                <w:sz w:val="22"/>
                <w:lang w:eastAsia="en-GB"/>
              </w:rPr>
            </w:pPr>
            <w:r>
              <w:rPr>
                <w:rFonts w:cs="Times New Roman"/>
                <w:b/>
                <w:bCs/>
                <w:noProof/>
                <w:color w:val="000000"/>
                <w:sz w:val="22"/>
                <w:lang w:eastAsia="en-GB"/>
              </w:rPr>
              <w:t>Thematic Policy Windows</w:t>
            </w:r>
          </w:p>
        </w:tc>
        <w:tc>
          <w:tcPr>
            <w:tcW w:w="1206" w:type="dxa"/>
            <w:tcBorders>
              <w:top w:val="nil"/>
              <w:left w:val="nil"/>
              <w:bottom w:val="nil"/>
              <w:right w:val="nil"/>
            </w:tcBorders>
            <w:shd w:val="clear" w:color="auto" w:fill="auto"/>
            <w:vAlign w:val="center"/>
            <w:hideMark/>
          </w:tcPr>
          <w:p>
            <w:pPr>
              <w:keepNext/>
              <w:keepLines/>
              <w:spacing w:after="0" w:line="264" w:lineRule="auto"/>
              <w:jc w:val="center"/>
              <w:rPr>
                <w:rFonts w:cs="Times New Roman"/>
                <w:b/>
                <w:bCs/>
                <w:noProof/>
                <w:color w:val="000000"/>
                <w:sz w:val="22"/>
                <w:lang w:eastAsia="en-GB"/>
              </w:rPr>
            </w:pPr>
            <w:r>
              <w:rPr>
                <w:rFonts w:cs="Times New Roman"/>
                <w:b/>
                <w:bCs/>
                <w:noProof/>
                <w:color w:val="000000"/>
                <w:sz w:val="22"/>
                <w:lang w:eastAsia="en-GB"/>
              </w:rPr>
              <w:t>Budgetary guarantee / FIs</w:t>
            </w:r>
          </w:p>
        </w:tc>
        <w:tc>
          <w:tcPr>
            <w:tcW w:w="1268" w:type="dxa"/>
            <w:tcBorders>
              <w:top w:val="nil"/>
              <w:left w:val="nil"/>
              <w:bottom w:val="nil"/>
              <w:right w:val="single" w:sz="4" w:space="0" w:color="auto"/>
            </w:tcBorders>
            <w:shd w:val="clear" w:color="auto" w:fill="auto"/>
            <w:vAlign w:val="center"/>
            <w:hideMark/>
          </w:tcPr>
          <w:p>
            <w:pPr>
              <w:keepNext/>
              <w:keepLines/>
              <w:spacing w:after="0" w:line="264" w:lineRule="auto"/>
              <w:jc w:val="center"/>
              <w:rPr>
                <w:rFonts w:cs="Times New Roman"/>
                <w:b/>
                <w:bCs/>
                <w:noProof/>
                <w:color w:val="000000"/>
                <w:sz w:val="22"/>
                <w:lang w:eastAsia="en-GB"/>
              </w:rPr>
            </w:pPr>
            <w:r>
              <w:rPr>
                <w:rFonts w:cs="Times New Roman"/>
                <w:b/>
                <w:bCs/>
                <w:noProof/>
                <w:color w:val="000000"/>
                <w:sz w:val="22"/>
                <w:lang w:eastAsia="en-GB"/>
              </w:rPr>
              <w:t>Investment mobilised</w:t>
            </w:r>
          </w:p>
        </w:tc>
        <w:tc>
          <w:tcPr>
            <w:tcW w:w="1206" w:type="dxa"/>
            <w:tcBorders>
              <w:top w:val="nil"/>
              <w:left w:val="nil"/>
              <w:bottom w:val="nil"/>
              <w:right w:val="nil"/>
            </w:tcBorders>
            <w:shd w:val="clear" w:color="auto" w:fill="auto"/>
            <w:vAlign w:val="center"/>
            <w:hideMark/>
          </w:tcPr>
          <w:p>
            <w:pPr>
              <w:keepNext/>
              <w:keepLines/>
              <w:spacing w:after="0" w:line="264" w:lineRule="auto"/>
              <w:jc w:val="center"/>
              <w:rPr>
                <w:rFonts w:cs="Times New Roman"/>
                <w:b/>
                <w:bCs/>
                <w:noProof/>
                <w:color w:val="000000"/>
                <w:sz w:val="22"/>
                <w:lang w:eastAsia="en-GB"/>
              </w:rPr>
            </w:pPr>
            <w:r>
              <w:rPr>
                <w:rFonts w:cs="Times New Roman"/>
                <w:b/>
                <w:bCs/>
                <w:noProof/>
                <w:color w:val="000000"/>
                <w:sz w:val="22"/>
                <w:lang w:eastAsia="en-GB"/>
              </w:rPr>
              <w:t>Budgetary guarantee</w:t>
            </w:r>
          </w:p>
        </w:tc>
        <w:tc>
          <w:tcPr>
            <w:tcW w:w="1268" w:type="dxa"/>
            <w:tcBorders>
              <w:top w:val="nil"/>
              <w:left w:val="nil"/>
              <w:bottom w:val="nil"/>
              <w:right w:val="single" w:sz="4" w:space="0" w:color="auto"/>
            </w:tcBorders>
            <w:shd w:val="clear" w:color="auto" w:fill="auto"/>
            <w:vAlign w:val="center"/>
            <w:hideMark/>
          </w:tcPr>
          <w:p>
            <w:pPr>
              <w:keepNext/>
              <w:keepLines/>
              <w:spacing w:after="0" w:line="264" w:lineRule="auto"/>
              <w:jc w:val="center"/>
              <w:rPr>
                <w:rFonts w:cs="Times New Roman"/>
                <w:b/>
                <w:bCs/>
                <w:noProof/>
                <w:color w:val="000000"/>
                <w:sz w:val="22"/>
                <w:lang w:eastAsia="en-GB"/>
              </w:rPr>
            </w:pPr>
            <w:r>
              <w:rPr>
                <w:rFonts w:cs="Times New Roman"/>
                <w:b/>
                <w:bCs/>
                <w:noProof/>
                <w:color w:val="000000"/>
                <w:sz w:val="22"/>
                <w:lang w:eastAsia="en-GB"/>
              </w:rPr>
              <w:t>Investment mobilised</w:t>
            </w:r>
          </w:p>
        </w:tc>
        <w:tc>
          <w:tcPr>
            <w:tcW w:w="1120" w:type="dxa"/>
            <w:tcBorders>
              <w:top w:val="nil"/>
              <w:left w:val="nil"/>
              <w:bottom w:val="nil"/>
              <w:right w:val="nil"/>
            </w:tcBorders>
            <w:shd w:val="clear" w:color="auto" w:fill="auto"/>
            <w:vAlign w:val="center"/>
            <w:hideMark/>
          </w:tcPr>
          <w:p>
            <w:pPr>
              <w:keepNext/>
              <w:keepLines/>
              <w:spacing w:after="0" w:line="264" w:lineRule="auto"/>
              <w:jc w:val="center"/>
              <w:rPr>
                <w:rFonts w:cs="Times New Roman"/>
                <w:noProof/>
                <w:color w:val="000000"/>
                <w:sz w:val="22"/>
                <w:lang w:eastAsia="en-GB"/>
              </w:rPr>
            </w:pPr>
            <w:r>
              <w:rPr>
                <w:rFonts w:cs="Times New Roman"/>
                <w:b/>
                <w:bCs/>
                <w:noProof/>
                <w:color w:val="000000"/>
                <w:sz w:val="22"/>
                <w:lang w:eastAsia="en-GB"/>
              </w:rPr>
              <w:t>2014-2020</w:t>
            </w:r>
          </w:p>
        </w:tc>
        <w:tc>
          <w:tcPr>
            <w:tcW w:w="1120" w:type="dxa"/>
            <w:tcBorders>
              <w:top w:val="nil"/>
              <w:left w:val="nil"/>
              <w:bottom w:val="nil"/>
              <w:right w:val="single" w:sz="4" w:space="0" w:color="auto"/>
            </w:tcBorders>
            <w:shd w:val="clear" w:color="auto" w:fill="auto"/>
            <w:vAlign w:val="center"/>
            <w:hideMark/>
          </w:tcPr>
          <w:p>
            <w:pPr>
              <w:keepNext/>
              <w:keepLines/>
              <w:spacing w:after="0" w:line="264" w:lineRule="auto"/>
              <w:jc w:val="center"/>
              <w:rPr>
                <w:rFonts w:cs="Times New Roman"/>
                <w:noProof/>
                <w:color w:val="000000"/>
                <w:sz w:val="22"/>
                <w:lang w:eastAsia="en-GB"/>
              </w:rPr>
            </w:pPr>
            <w:r>
              <w:rPr>
                <w:rFonts w:cs="Times New Roman"/>
                <w:b/>
                <w:bCs/>
                <w:noProof/>
                <w:color w:val="000000"/>
                <w:sz w:val="22"/>
                <w:lang w:eastAsia="en-GB"/>
              </w:rPr>
              <w:t>2021-2027</w:t>
            </w:r>
          </w:p>
        </w:tc>
      </w:tr>
      <w:tr>
        <w:trPr>
          <w:trHeight w:val="499"/>
        </w:trPr>
        <w:tc>
          <w:tcPr>
            <w:tcW w:w="2260" w:type="dxa"/>
            <w:tcBorders>
              <w:top w:val="nil"/>
              <w:left w:val="single" w:sz="4" w:space="0" w:color="auto"/>
              <w:bottom w:val="nil"/>
              <w:right w:val="single" w:sz="4" w:space="0" w:color="auto"/>
            </w:tcBorders>
            <w:shd w:val="clear" w:color="000000" w:fill="C5D9F1"/>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Sustainable Infrastructure</w:t>
            </w:r>
          </w:p>
        </w:tc>
        <w:tc>
          <w:tcPr>
            <w:tcW w:w="1206" w:type="dxa"/>
            <w:tcBorders>
              <w:top w:val="nil"/>
              <w:left w:val="nil"/>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12.215</w:t>
            </w:r>
          </w:p>
        </w:tc>
        <w:tc>
          <w:tcPr>
            <w:tcW w:w="1268"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216.370</w:t>
            </w:r>
          </w:p>
        </w:tc>
        <w:tc>
          <w:tcPr>
            <w:tcW w:w="1206" w:type="dxa"/>
            <w:tcBorders>
              <w:top w:val="nil"/>
              <w:left w:val="nil"/>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11.500</w:t>
            </w:r>
          </w:p>
        </w:tc>
        <w:tc>
          <w:tcPr>
            <w:tcW w:w="1268"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185.000</w:t>
            </w:r>
          </w:p>
        </w:tc>
        <w:tc>
          <w:tcPr>
            <w:tcW w:w="1120" w:type="dxa"/>
            <w:tcBorders>
              <w:top w:val="nil"/>
              <w:left w:val="nil"/>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39%</w:t>
            </w:r>
          </w:p>
        </w:tc>
        <w:tc>
          <w:tcPr>
            <w:tcW w:w="1120"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30%</w:t>
            </w:r>
          </w:p>
        </w:tc>
      </w:tr>
      <w:tr>
        <w:trPr>
          <w:trHeight w:val="499"/>
        </w:trPr>
        <w:tc>
          <w:tcPr>
            <w:tcW w:w="2260" w:type="dxa"/>
            <w:tcBorders>
              <w:top w:val="nil"/>
              <w:left w:val="single" w:sz="4" w:space="0" w:color="auto"/>
              <w:bottom w:val="nil"/>
              <w:right w:val="single" w:sz="4" w:space="0" w:color="auto"/>
            </w:tcBorders>
            <w:shd w:val="clear" w:color="auto" w:fill="auto"/>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Research, Innovation and Digitisation</w:t>
            </w:r>
          </w:p>
        </w:tc>
        <w:tc>
          <w:tcPr>
            <w:tcW w:w="1206" w:type="dxa"/>
            <w:tcBorders>
              <w:top w:val="nil"/>
              <w:left w:val="nil"/>
              <w:bottom w:val="nil"/>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7.560</w:t>
            </w:r>
          </w:p>
        </w:tc>
        <w:tc>
          <w:tcPr>
            <w:tcW w:w="1268" w:type="dxa"/>
            <w:tcBorders>
              <w:top w:val="nil"/>
              <w:left w:val="nil"/>
              <w:bottom w:val="nil"/>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148.250</w:t>
            </w:r>
          </w:p>
        </w:tc>
        <w:tc>
          <w:tcPr>
            <w:tcW w:w="1206" w:type="dxa"/>
            <w:tcBorders>
              <w:top w:val="nil"/>
              <w:left w:val="nil"/>
              <w:bottom w:val="nil"/>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11.250</w:t>
            </w:r>
          </w:p>
        </w:tc>
        <w:tc>
          <w:tcPr>
            <w:tcW w:w="1268" w:type="dxa"/>
            <w:tcBorders>
              <w:top w:val="nil"/>
              <w:left w:val="nil"/>
              <w:bottom w:val="nil"/>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200.000</w:t>
            </w:r>
          </w:p>
        </w:tc>
        <w:tc>
          <w:tcPr>
            <w:tcW w:w="1120" w:type="dxa"/>
            <w:tcBorders>
              <w:top w:val="nil"/>
              <w:left w:val="nil"/>
              <w:bottom w:val="nil"/>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24%</w:t>
            </w:r>
          </w:p>
        </w:tc>
        <w:tc>
          <w:tcPr>
            <w:tcW w:w="1120" w:type="dxa"/>
            <w:tcBorders>
              <w:top w:val="nil"/>
              <w:left w:val="nil"/>
              <w:bottom w:val="nil"/>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30%</w:t>
            </w:r>
          </w:p>
        </w:tc>
      </w:tr>
      <w:tr>
        <w:trPr>
          <w:trHeight w:val="499"/>
        </w:trPr>
        <w:tc>
          <w:tcPr>
            <w:tcW w:w="2260" w:type="dxa"/>
            <w:tcBorders>
              <w:top w:val="nil"/>
              <w:left w:val="single" w:sz="4" w:space="0" w:color="auto"/>
              <w:bottom w:val="nil"/>
              <w:right w:val="nil"/>
            </w:tcBorders>
            <w:shd w:val="clear" w:color="000000" w:fill="C5D9F1"/>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SMEs</w:t>
            </w:r>
          </w:p>
        </w:tc>
        <w:tc>
          <w:tcPr>
            <w:tcW w:w="1206" w:type="dxa"/>
            <w:tcBorders>
              <w:top w:val="nil"/>
              <w:left w:val="single" w:sz="4" w:space="0" w:color="auto"/>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9.413</w:t>
            </w:r>
          </w:p>
        </w:tc>
        <w:tc>
          <w:tcPr>
            <w:tcW w:w="1268"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171.848</w:t>
            </w:r>
          </w:p>
        </w:tc>
        <w:tc>
          <w:tcPr>
            <w:tcW w:w="1206" w:type="dxa"/>
            <w:tcBorders>
              <w:top w:val="nil"/>
              <w:left w:val="nil"/>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11.250</w:t>
            </w:r>
          </w:p>
        </w:tc>
        <w:tc>
          <w:tcPr>
            <w:tcW w:w="1268"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215.000</w:t>
            </w:r>
          </w:p>
        </w:tc>
        <w:tc>
          <w:tcPr>
            <w:tcW w:w="1120" w:type="dxa"/>
            <w:tcBorders>
              <w:top w:val="nil"/>
              <w:left w:val="nil"/>
              <w:bottom w:val="nil"/>
              <w:right w:val="nil"/>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30%</w:t>
            </w:r>
          </w:p>
        </w:tc>
        <w:tc>
          <w:tcPr>
            <w:tcW w:w="1120" w:type="dxa"/>
            <w:tcBorders>
              <w:top w:val="nil"/>
              <w:left w:val="nil"/>
              <w:bottom w:val="nil"/>
              <w:right w:val="single" w:sz="4" w:space="0" w:color="auto"/>
            </w:tcBorders>
            <w:shd w:val="clear" w:color="000000" w:fill="C5D9F1"/>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30%</w:t>
            </w:r>
          </w:p>
        </w:tc>
      </w:tr>
      <w:tr>
        <w:trPr>
          <w:trHeight w:val="499"/>
        </w:trPr>
        <w:tc>
          <w:tcPr>
            <w:tcW w:w="2260" w:type="dxa"/>
            <w:tcBorders>
              <w:top w:val="nil"/>
              <w:left w:val="single" w:sz="4" w:space="0" w:color="auto"/>
              <w:bottom w:val="single" w:sz="4" w:space="0" w:color="auto"/>
              <w:right w:val="nil"/>
            </w:tcBorders>
            <w:shd w:val="clear" w:color="auto" w:fill="auto"/>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Social, Investment and Skills</w:t>
            </w:r>
          </w:p>
        </w:tc>
        <w:tc>
          <w:tcPr>
            <w:tcW w:w="1206" w:type="dxa"/>
            <w:tcBorders>
              <w:top w:val="nil"/>
              <w:left w:val="single" w:sz="4" w:space="0" w:color="auto"/>
              <w:bottom w:val="single" w:sz="4" w:space="0" w:color="auto"/>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2.233</w:t>
            </w:r>
          </w:p>
        </w:tc>
        <w:tc>
          <w:tcPr>
            <w:tcW w:w="1268" w:type="dxa"/>
            <w:tcBorders>
              <w:top w:val="nil"/>
              <w:left w:val="nil"/>
              <w:bottom w:val="single" w:sz="4" w:space="0" w:color="auto"/>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26.520</w:t>
            </w:r>
          </w:p>
        </w:tc>
        <w:tc>
          <w:tcPr>
            <w:tcW w:w="1206" w:type="dxa"/>
            <w:tcBorders>
              <w:top w:val="nil"/>
              <w:left w:val="nil"/>
              <w:bottom w:val="single" w:sz="4" w:space="0" w:color="auto"/>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4.000</w:t>
            </w:r>
          </w:p>
        </w:tc>
        <w:tc>
          <w:tcPr>
            <w:tcW w:w="1268" w:type="dxa"/>
            <w:tcBorders>
              <w:top w:val="nil"/>
              <w:left w:val="nil"/>
              <w:bottom w:val="single" w:sz="4" w:space="0" w:color="auto"/>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50.000</w:t>
            </w:r>
          </w:p>
        </w:tc>
        <w:tc>
          <w:tcPr>
            <w:tcW w:w="1120" w:type="dxa"/>
            <w:tcBorders>
              <w:top w:val="nil"/>
              <w:left w:val="nil"/>
              <w:bottom w:val="single" w:sz="4" w:space="0" w:color="auto"/>
              <w:right w:val="nil"/>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7%</w:t>
            </w:r>
          </w:p>
        </w:tc>
        <w:tc>
          <w:tcPr>
            <w:tcW w:w="1120" w:type="dxa"/>
            <w:tcBorders>
              <w:top w:val="nil"/>
              <w:left w:val="nil"/>
              <w:bottom w:val="single" w:sz="4" w:space="0" w:color="auto"/>
              <w:right w:val="single" w:sz="4" w:space="0" w:color="auto"/>
            </w:tcBorders>
            <w:shd w:val="clear" w:color="auto" w:fill="auto"/>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10%</w:t>
            </w:r>
          </w:p>
        </w:tc>
      </w:tr>
      <w:tr>
        <w:trPr>
          <w:trHeight w:val="360"/>
        </w:trPr>
        <w:tc>
          <w:tcPr>
            <w:tcW w:w="2260" w:type="dxa"/>
            <w:tcBorders>
              <w:top w:val="single" w:sz="4" w:space="0" w:color="auto"/>
              <w:left w:val="single" w:sz="4" w:space="0" w:color="auto"/>
              <w:bottom w:val="single" w:sz="4" w:space="0" w:color="auto"/>
              <w:right w:val="nil"/>
            </w:tcBorders>
            <w:shd w:val="clear" w:color="000000" w:fill="538DD5"/>
            <w:vAlign w:val="center"/>
            <w:hideMark/>
          </w:tcPr>
          <w:p>
            <w:pPr>
              <w:keepNext/>
              <w:keepLines/>
              <w:spacing w:after="0" w:line="264" w:lineRule="auto"/>
              <w:jc w:val="left"/>
              <w:rPr>
                <w:rFonts w:cs="Times New Roman"/>
                <w:b/>
                <w:bCs/>
                <w:noProof/>
                <w:color w:val="FFFFFF"/>
                <w:sz w:val="22"/>
                <w:lang w:eastAsia="en-GB"/>
              </w:rPr>
            </w:pPr>
            <w:r>
              <w:rPr>
                <w:rFonts w:cs="Times New Roman"/>
                <w:b/>
                <w:bCs/>
                <w:noProof/>
                <w:color w:val="FFFFFF"/>
                <w:sz w:val="22"/>
                <w:lang w:eastAsia="en-GB"/>
              </w:rPr>
              <w:t>Total</w:t>
            </w:r>
          </w:p>
        </w:tc>
        <w:tc>
          <w:tcPr>
            <w:tcW w:w="1206" w:type="dxa"/>
            <w:tcBorders>
              <w:top w:val="single" w:sz="4" w:space="0" w:color="auto"/>
              <w:left w:val="single" w:sz="4" w:space="0" w:color="auto"/>
              <w:bottom w:val="single" w:sz="4" w:space="0" w:color="auto"/>
              <w:right w:val="nil"/>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31.421</w:t>
            </w:r>
          </w:p>
        </w:tc>
        <w:tc>
          <w:tcPr>
            <w:tcW w:w="1268" w:type="dxa"/>
            <w:tcBorders>
              <w:top w:val="single" w:sz="4" w:space="0" w:color="auto"/>
              <w:left w:val="nil"/>
              <w:bottom w:val="single" w:sz="4" w:space="0" w:color="auto"/>
              <w:right w:val="single" w:sz="4" w:space="0" w:color="auto"/>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562.988</w:t>
            </w:r>
          </w:p>
        </w:tc>
        <w:tc>
          <w:tcPr>
            <w:tcW w:w="1206" w:type="dxa"/>
            <w:tcBorders>
              <w:top w:val="single" w:sz="4" w:space="0" w:color="auto"/>
              <w:left w:val="nil"/>
              <w:bottom w:val="single" w:sz="4" w:space="0" w:color="auto"/>
              <w:right w:val="nil"/>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38.000</w:t>
            </w:r>
          </w:p>
        </w:tc>
        <w:tc>
          <w:tcPr>
            <w:tcW w:w="1268" w:type="dxa"/>
            <w:tcBorders>
              <w:top w:val="single" w:sz="4" w:space="0" w:color="auto"/>
              <w:left w:val="nil"/>
              <w:bottom w:val="single" w:sz="4" w:space="0" w:color="auto"/>
              <w:right w:val="single" w:sz="4" w:space="0" w:color="auto"/>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650.000</w:t>
            </w:r>
          </w:p>
        </w:tc>
        <w:tc>
          <w:tcPr>
            <w:tcW w:w="1120" w:type="dxa"/>
            <w:tcBorders>
              <w:top w:val="single" w:sz="4" w:space="0" w:color="auto"/>
              <w:left w:val="nil"/>
              <w:bottom w:val="single" w:sz="4" w:space="0" w:color="auto"/>
              <w:right w:val="nil"/>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100% </w:t>
            </w:r>
          </w:p>
        </w:tc>
        <w:tc>
          <w:tcPr>
            <w:tcW w:w="1120" w:type="dxa"/>
            <w:tcBorders>
              <w:top w:val="single" w:sz="4" w:space="0" w:color="auto"/>
              <w:left w:val="nil"/>
              <w:bottom w:val="single" w:sz="4" w:space="0" w:color="auto"/>
              <w:right w:val="single" w:sz="4" w:space="0" w:color="auto"/>
            </w:tcBorders>
            <w:shd w:val="clear" w:color="000000" w:fill="538DD5"/>
            <w:vAlign w:val="center"/>
            <w:hideMark/>
          </w:tcPr>
          <w:p>
            <w:pPr>
              <w:keepNext/>
              <w:keepLines/>
              <w:spacing w:after="0" w:line="264" w:lineRule="auto"/>
              <w:jc w:val="right"/>
              <w:rPr>
                <w:rFonts w:cs="Times New Roman"/>
                <w:b/>
                <w:bCs/>
                <w:noProof/>
                <w:color w:val="FFFFFF"/>
                <w:sz w:val="22"/>
                <w:lang w:eastAsia="en-GB"/>
              </w:rPr>
            </w:pPr>
            <w:r>
              <w:rPr>
                <w:rFonts w:cs="Times New Roman"/>
                <w:b/>
                <w:bCs/>
                <w:noProof/>
                <w:color w:val="FFFFFF"/>
                <w:sz w:val="22"/>
                <w:lang w:eastAsia="en-GB"/>
              </w:rPr>
              <w:t>100% </w:t>
            </w:r>
          </w:p>
        </w:tc>
      </w:tr>
      <w:tr>
        <w:trPr>
          <w:trHeight w:val="375"/>
        </w:trPr>
        <w:tc>
          <w:tcPr>
            <w:tcW w:w="2260" w:type="dxa"/>
            <w:tcBorders>
              <w:top w:val="single" w:sz="4" w:space="0" w:color="auto"/>
              <w:left w:val="single" w:sz="4" w:space="0" w:color="auto"/>
              <w:bottom w:val="single" w:sz="4" w:space="0" w:color="auto"/>
              <w:right w:val="nil"/>
            </w:tcBorders>
            <w:shd w:val="clear" w:color="000000" w:fill="C5D9F1"/>
            <w:noWrap/>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EU Budget</w:t>
            </w:r>
          </w:p>
        </w:tc>
        <w:tc>
          <w:tcPr>
            <w:tcW w:w="1206" w:type="dxa"/>
            <w:tcBorders>
              <w:top w:val="single" w:sz="4" w:space="0" w:color="auto"/>
              <w:left w:val="single" w:sz="4" w:space="0" w:color="auto"/>
              <w:bottom w:val="single" w:sz="4" w:space="0" w:color="auto"/>
              <w:right w:val="nil"/>
            </w:tcBorders>
            <w:shd w:val="clear" w:color="000000" w:fill="C5D9F1"/>
            <w:noWrap/>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 xml:space="preserve">14.521 </w:t>
            </w:r>
          </w:p>
        </w:tc>
        <w:tc>
          <w:tcPr>
            <w:tcW w:w="1268" w:type="dxa"/>
            <w:tcBorders>
              <w:top w:val="single" w:sz="4" w:space="0" w:color="auto"/>
              <w:left w:val="nil"/>
              <w:bottom w:val="single" w:sz="4" w:space="0" w:color="auto"/>
              <w:right w:val="single" w:sz="4" w:space="0" w:color="auto"/>
            </w:tcBorders>
            <w:shd w:val="clear" w:color="000000" w:fill="C5D9F1"/>
            <w:noWrap/>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 </w:t>
            </w:r>
          </w:p>
        </w:tc>
        <w:tc>
          <w:tcPr>
            <w:tcW w:w="1206" w:type="dxa"/>
            <w:tcBorders>
              <w:top w:val="single" w:sz="4" w:space="0" w:color="auto"/>
              <w:left w:val="nil"/>
              <w:bottom w:val="single" w:sz="4" w:space="0" w:color="auto"/>
              <w:right w:val="nil"/>
            </w:tcBorders>
            <w:shd w:val="clear" w:color="000000" w:fill="C5D9F1"/>
            <w:noWrap/>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 xml:space="preserve">15.200 </w:t>
            </w:r>
          </w:p>
        </w:tc>
        <w:tc>
          <w:tcPr>
            <w:tcW w:w="1268" w:type="dxa"/>
            <w:tcBorders>
              <w:top w:val="single" w:sz="4" w:space="0" w:color="auto"/>
              <w:left w:val="nil"/>
              <w:bottom w:val="single" w:sz="4" w:space="0" w:color="auto"/>
              <w:right w:val="single" w:sz="4" w:space="0" w:color="auto"/>
            </w:tcBorders>
            <w:shd w:val="clear" w:color="000000" w:fill="C5D9F1"/>
            <w:noWrap/>
            <w:vAlign w:val="center"/>
            <w:hideMark/>
          </w:tcPr>
          <w:p>
            <w:pPr>
              <w:keepNext/>
              <w:keepLines/>
              <w:spacing w:after="0" w:line="264" w:lineRule="auto"/>
              <w:jc w:val="left"/>
              <w:rPr>
                <w:rFonts w:cs="Times New Roman"/>
                <w:noProof/>
                <w:color w:val="000000"/>
                <w:sz w:val="22"/>
                <w:lang w:eastAsia="en-GB"/>
              </w:rPr>
            </w:pPr>
            <w:r>
              <w:rPr>
                <w:rFonts w:cs="Times New Roman"/>
                <w:noProof/>
                <w:color w:val="000000"/>
                <w:sz w:val="22"/>
                <w:lang w:eastAsia="en-GB"/>
              </w:rPr>
              <w:t> </w:t>
            </w:r>
          </w:p>
        </w:tc>
        <w:tc>
          <w:tcPr>
            <w:tcW w:w="1120" w:type="dxa"/>
            <w:tcBorders>
              <w:top w:val="single" w:sz="4" w:space="0" w:color="auto"/>
              <w:left w:val="nil"/>
              <w:bottom w:val="single" w:sz="4" w:space="0" w:color="auto"/>
              <w:right w:val="nil"/>
            </w:tcBorders>
            <w:shd w:val="clear" w:color="000000" w:fill="C5D9F1"/>
            <w:noWrap/>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 </w:t>
            </w:r>
          </w:p>
        </w:tc>
        <w:tc>
          <w:tcPr>
            <w:tcW w:w="1120" w:type="dxa"/>
            <w:tcBorders>
              <w:top w:val="single" w:sz="4" w:space="0" w:color="auto"/>
              <w:left w:val="nil"/>
              <w:bottom w:val="single" w:sz="4" w:space="0" w:color="auto"/>
              <w:right w:val="single" w:sz="4" w:space="0" w:color="auto"/>
            </w:tcBorders>
            <w:shd w:val="clear" w:color="000000" w:fill="C5D9F1"/>
            <w:noWrap/>
            <w:vAlign w:val="center"/>
            <w:hideMark/>
          </w:tcPr>
          <w:p>
            <w:pPr>
              <w:keepNext/>
              <w:keepLines/>
              <w:spacing w:after="0" w:line="264" w:lineRule="auto"/>
              <w:jc w:val="right"/>
              <w:rPr>
                <w:rFonts w:cs="Times New Roman"/>
                <w:noProof/>
                <w:color w:val="000000"/>
                <w:sz w:val="22"/>
                <w:lang w:eastAsia="en-GB"/>
              </w:rPr>
            </w:pPr>
            <w:r>
              <w:rPr>
                <w:rFonts w:cs="Times New Roman"/>
                <w:noProof/>
                <w:color w:val="000000"/>
                <w:sz w:val="22"/>
                <w:lang w:eastAsia="en-GB"/>
              </w:rPr>
              <w:t> </w:t>
            </w:r>
          </w:p>
        </w:tc>
      </w:tr>
    </w:tbl>
    <w:p>
      <w:pPr>
        <w:spacing w:line="264" w:lineRule="auto"/>
        <w:rPr>
          <w:rFonts w:cs="Times New Roman"/>
          <w:iCs/>
          <w:noProof/>
          <w:color w:val="000000" w:themeColor="text1"/>
          <w:sz w:val="22"/>
          <w:szCs w:val="20"/>
        </w:rPr>
      </w:pPr>
      <w:r>
        <w:rPr>
          <w:rFonts w:cs="Times New Roman"/>
          <w:b/>
          <w:iCs/>
          <w:noProof/>
          <w:color w:val="000000" w:themeColor="text1"/>
          <w:sz w:val="22"/>
          <w:szCs w:val="20"/>
        </w:rPr>
        <w:t>Source</w:t>
      </w:r>
      <w:r>
        <w:rPr>
          <w:rFonts w:cs="Times New Roman"/>
          <w:iCs/>
          <w:noProof/>
          <w:color w:val="000000" w:themeColor="text1"/>
          <w:sz w:val="22"/>
          <w:szCs w:val="20"/>
        </w:rPr>
        <w:t>: Commission services, 2018 (indicative split in current prices)</w:t>
      </w:r>
    </w:p>
    <w:p>
      <w:pPr>
        <w:spacing w:line="264" w:lineRule="auto"/>
        <w:rPr>
          <w:rFonts w:cs="Times New Roman"/>
          <w:iCs/>
          <w:noProof/>
          <w:color w:val="000000" w:themeColor="text1"/>
          <w:szCs w:val="24"/>
        </w:rPr>
      </w:pPr>
      <w:r>
        <w:rPr>
          <w:rFonts w:cs="Times New Roman"/>
          <w:iCs/>
          <w:noProof/>
          <w:color w:val="000000" w:themeColor="text1"/>
          <w:szCs w:val="24"/>
        </w:rPr>
        <w:t>The fact that the budgetary guarantee is set to increase more (21%) than the expected investment mobilised (16.3%) is explained by the following InvestEU Fund characteristics:</w:t>
      </w:r>
    </w:p>
    <w:p>
      <w:pPr>
        <w:pStyle w:val="ListParagraph"/>
        <w:numPr>
          <w:ilvl w:val="0"/>
          <w:numId w:val="56"/>
        </w:numPr>
        <w:spacing w:after="0" w:line="264" w:lineRule="auto"/>
        <w:ind w:left="426"/>
        <w:contextualSpacing w:val="0"/>
        <w:jc w:val="left"/>
        <w:rPr>
          <w:rFonts w:cs="Times New Roman"/>
          <w:iCs/>
          <w:noProof/>
          <w:color w:val="000000" w:themeColor="text1"/>
          <w:szCs w:val="24"/>
        </w:rPr>
      </w:pPr>
      <w:r>
        <w:rPr>
          <w:rFonts w:cs="Times New Roman"/>
          <w:iCs/>
          <w:noProof/>
          <w:color w:val="000000" w:themeColor="text1"/>
          <w:szCs w:val="24"/>
        </w:rPr>
        <w:t>Compared to the EFSI, it would include more targeted products oriented on delivering more additionality and having more policy value added;</w:t>
      </w:r>
    </w:p>
    <w:p>
      <w:pPr>
        <w:pStyle w:val="ListParagraph"/>
        <w:numPr>
          <w:ilvl w:val="0"/>
          <w:numId w:val="56"/>
        </w:numPr>
        <w:spacing w:after="0" w:line="264" w:lineRule="auto"/>
        <w:ind w:left="426"/>
        <w:contextualSpacing w:val="0"/>
        <w:jc w:val="left"/>
        <w:rPr>
          <w:rFonts w:cs="Times New Roman"/>
          <w:iCs/>
          <w:noProof/>
          <w:color w:val="000000" w:themeColor="text1"/>
          <w:szCs w:val="24"/>
        </w:rPr>
      </w:pPr>
      <w:r>
        <w:rPr>
          <w:rFonts w:cs="Times New Roman"/>
          <w:iCs/>
          <w:noProof/>
          <w:color w:val="000000" w:themeColor="text1"/>
          <w:szCs w:val="24"/>
        </w:rPr>
        <w:t>The InvestEU Fund assumes a much higher share for the thematic products that are more budget consuming and also display a lower multiplier; and</w:t>
      </w:r>
    </w:p>
    <w:p>
      <w:pPr>
        <w:pStyle w:val="ListParagraph"/>
        <w:numPr>
          <w:ilvl w:val="0"/>
          <w:numId w:val="56"/>
        </w:numPr>
        <w:spacing w:after="120" w:line="264" w:lineRule="auto"/>
        <w:ind w:left="426"/>
        <w:contextualSpacing w:val="0"/>
        <w:jc w:val="left"/>
        <w:rPr>
          <w:rFonts w:cs="Times New Roman"/>
          <w:iCs/>
          <w:noProof/>
          <w:color w:val="000000" w:themeColor="text1"/>
          <w:szCs w:val="24"/>
        </w:rPr>
      </w:pPr>
      <w:r>
        <w:rPr>
          <w:rFonts w:cs="Times New Roman"/>
          <w:iCs/>
          <w:noProof/>
          <w:color w:val="000000" w:themeColor="text1"/>
          <w:szCs w:val="24"/>
        </w:rPr>
        <w:t>The InvestEU Fund would also have more implementing partners and there is therefore a need for a more cautious estimate of the provisioning rate and the multiplier.</w:t>
      </w:r>
    </w:p>
    <w:p>
      <w:pPr>
        <w:pStyle w:val="Bulet"/>
        <w:numPr>
          <w:ilvl w:val="0"/>
          <w:numId w:val="0"/>
        </w:numPr>
        <w:spacing w:after="120" w:line="264" w:lineRule="auto"/>
        <w:rPr>
          <w:noProof/>
          <w:szCs w:val="24"/>
        </w:rPr>
      </w:pPr>
      <w:r>
        <w:rPr>
          <w:noProof/>
          <w:szCs w:val="24"/>
        </w:rPr>
        <w:t xml:space="preserve">The funding priorities for each policy window will be developed in investment guidelines. These investment guidelines will determine some basic principles of intervention, such as additionality criteria, alignment of interest, proportionality, good market practice, sustainability, support to new investment (no refinancing), sectoral and geographic balance, leverage and multiplier effect. </w:t>
      </w:r>
    </w:p>
    <w:p>
      <w:pPr>
        <w:pStyle w:val="Caption"/>
        <w:keepNext/>
        <w:keepLines/>
        <w:spacing w:line="264" w:lineRule="auto"/>
        <w:rPr>
          <w:rFonts w:cs="Times New Roman"/>
          <w:noProof/>
          <w:szCs w:val="24"/>
        </w:rPr>
      </w:pPr>
      <w:bookmarkStart w:id="6843" w:name="_Toc515348918"/>
      <w:r>
        <w:rPr>
          <w:rFonts w:cs="Times New Roman"/>
          <w:noProof/>
          <w:szCs w:val="24"/>
        </w:rPr>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7</w:t>
      </w:r>
      <w:r>
        <w:rPr>
          <w:rFonts w:cs="Times New Roman"/>
          <w:noProof/>
          <w:szCs w:val="24"/>
        </w:rPr>
        <w:fldChar w:fldCharType="end"/>
      </w:r>
      <w:r>
        <w:rPr>
          <w:rFonts w:cs="Times New Roman"/>
          <w:noProof/>
          <w:szCs w:val="24"/>
        </w:rPr>
        <w:t xml:space="preserve"> - Correspondence between existing instruments &amp; proposed InvestEU Windows</w:t>
      </w:r>
      <w:bookmarkEnd w:id="6843"/>
    </w:p>
    <w:p>
      <w:pPr>
        <w:keepNext/>
        <w:keepLines/>
        <w:spacing w:line="264" w:lineRule="auto"/>
        <w:jc w:val="left"/>
        <w:rPr>
          <w:rFonts w:cs="Times New Roman"/>
          <w:noProof/>
          <w:szCs w:val="24"/>
        </w:rPr>
      </w:pPr>
      <w:r>
        <w:rPr>
          <w:rFonts w:cs="Times New Roman"/>
          <w:noProof/>
          <w:szCs w:val="24"/>
          <w:lang w:val="en-US"/>
        </w:rPr>
        <w:drawing>
          <wp:inline distT="0" distB="0" distL="0" distR="0">
            <wp:extent cx="5178723" cy="3886200"/>
            <wp:effectExtent l="0" t="0" r="3175" b="0"/>
            <wp:docPr id="5" name="Picture 5" descr="\\NET1.cec.eu.int\homes\082\draviur\Desktop\InvestEU Fund 23 Feb 2018 IPE slides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homes\082\draviur\Desktop\InvestEU Fund 23 Feb 2018 IPE slides - F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5242" cy="3928613"/>
                    </a:xfrm>
                    <a:prstGeom prst="rect">
                      <a:avLst/>
                    </a:prstGeom>
                    <a:noFill/>
                    <a:ln>
                      <a:noFill/>
                    </a:ln>
                  </pic:spPr>
                </pic:pic>
              </a:graphicData>
            </a:graphic>
          </wp:inline>
        </w:drawing>
      </w:r>
    </w:p>
    <w:p>
      <w:pPr>
        <w:keepNext/>
        <w:keepLines/>
        <w:spacing w:after="120" w:line="264" w:lineRule="auto"/>
        <w:rPr>
          <w:rFonts w:cs="Times New Roman"/>
          <w:noProof/>
          <w:sz w:val="22"/>
          <w:szCs w:val="20"/>
        </w:rPr>
      </w:pPr>
      <w:r>
        <w:rPr>
          <w:rFonts w:cs="Times New Roman"/>
          <w:b/>
          <w:noProof/>
          <w:sz w:val="22"/>
          <w:szCs w:val="20"/>
        </w:rPr>
        <w:t>Source</w:t>
      </w:r>
      <w:r>
        <w:rPr>
          <w:rFonts w:cs="Times New Roman"/>
          <w:noProof/>
          <w:sz w:val="22"/>
          <w:szCs w:val="20"/>
        </w:rPr>
        <w:t xml:space="preserve">: Commission services </w:t>
      </w:r>
    </w:p>
    <w:p>
      <w:pPr>
        <w:pStyle w:val="Bulet"/>
        <w:numPr>
          <w:ilvl w:val="0"/>
          <w:numId w:val="0"/>
        </w:numPr>
        <w:spacing w:line="264" w:lineRule="auto"/>
        <w:rPr>
          <w:noProof/>
          <w:szCs w:val="24"/>
        </w:rPr>
      </w:pPr>
      <w:r>
        <w:rPr>
          <w:noProof/>
          <w:szCs w:val="24"/>
        </w:rPr>
        <w:t>For each policy window, the guidelines would furthermore specify:</w:t>
      </w:r>
    </w:p>
    <w:p>
      <w:pPr>
        <w:pStyle w:val="Bulet"/>
        <w:spacing w:line="264" w:lineRule="auto"/>
        <w:rPr>
          <w:noProof/>
          <w:szCs w:val="24"/>
        </w:rPr>
      </w:pPr>
      <w:r>
        <w:rPr>
          <w:noProof/>
          <w:szCs w:val="24"/>
        </w:rPr>
        <w:t xml:space="preserve">Policy areas for intervention – this would define in more detail the areas/sectors of intervention responding to the specific policy objectives and sectors identified under the InvestEU Programme regulation; </w:t>
      </w:r>
    </w:p>
    <w:p>
      <w:pPr>
        <w:pStyle w:val="Bulet"/>
        <w:spacing w:line="264" w:lineRule="auto"/>
        <w:rPr>
          <w:noProof/>
          <w:szCs w:val="24"/>
        </w:rPr>
      </w:pPr>
      <w:r>
        <w:rPr>
          <w:noProof/>
          <w:szCs w:val="24"/>
        </w:rPr>
        <w:t xml:space="preserve">Type of financial products envisaged to serve the different objectives identified in the regulation and the policy areas, including risk and revenue sharing arrangements; </w:t>
      </w:r>
    </w:p>
    <w:p>
      <w:pPr>
        <w:pStyle w:val="Bulet"/>
        <w:spacing w:line="264" w:lineRule="auto"/>
        <w:rPr>
          <w:noProof/>
          <w:szCs w:val="24"/>
        </w:rPr>
      </w:pPr>
      <w:r>
        <w:rPr>
          <w:noProof/>
          <w:szCs w:val="24"/>
        </w:rPr>
        <w:t>Blending needs with other EU programmes;</w:t>
      </w:r>
    </w:p>
    <w:p>
      <w:pPr>
        <w:pStyle w:val="Bulet"/>
        <w:spacing w:line="264" w:lineRule="auto"/>
        <w:rPr>
          <w:noProof/>
          <w:szCs w:val="24"/>
        </w:rPr>
      </w:pPr>
      <w:r>
        <w:rPr>
          <w:noProof/>
          <w:szCs w:val="24"/>
        </w:rPr>
        <w:t>Monitoring and performance framework to be put in place to measure the impact of the financial products envisaged.</w:t>
      </w:r>
    </w:p>
    <w:p>
      <w:pPr>
        <w:pStyle w:val="Bulet"/>
        <w:numPr>
          <w:ilvl w:val="0"/>
          <w:numId w:val="0"/>
        </w:numPr>
        <w:spacing w:line="264" w:lineRule="auto"/>
        <w:rPr>
          <w:noProof/>
          <w:szCs w:val="24"/>
        </w:rPr>
      </w:pPr>
      <w:r>
        <w:rPr>
          <w:noProof/>
          <w:szCs w:val="24"/>
        </w:rPr>
        <w:t>For each window, a Policy Board, composed of representatives of the lead policy Directorate-Generals and a number of other relevant Directorate-Generals, will define the strategy of the policy window, in line with the investment guidelines and design concrete financing products (see section 3.4 for more details on the governance of the InvestEU Fund).</w:t>
      </w:r>
    </w:p>
    <w:p>
      <w:pPr>
        <w:spacing w:after="120" w:line="264" w:lineRule="auto"/>
        <w:rPr>
          <w:rFonts w:cs="Times New Roman"/>
          <w:noProof/>
          <w:szCs w:val="24"/>
        </w:rPr>
      </w:pPr>
      <w:r>
        <w:rPr>
          <w:rFonts w:cs="Times New Roman"/>
          <w:noProof/>
          <w:szCs w:val="24"/>
        </w:rPr>
        <w:t xml:space="preserve">The InvestEU Fund will also allow for a voluntary contribution of shared management resources where this delivers on ESIF policies i.e. Member States would use InvestEU Fund as the delivery mechanism for part of their ESIF allocation. This would be used under the InvestEU Fund framework but would be earmarked for investment support in specific Member States. </w:t>
      </w:r>
    </w:p>
    <w:p>
      <w:pPr>
        <w:spacing w:after="120" w:line="264" w:lineRule="auto"/>
        <w:rPr>
          <w:rFonts w:cs="Times New Roman"/>
          <w:noProof/>
          <w:szCs w:val="24"/>
        </w:rPr>
      </w:pPr>
      <w:r>
        <w:rPr>
          <w:rFonts w:cs="Times New Roman"/>
          <w:noProof/>
          <w:szCs w:val="24"/>
        </w:rPr>
        <w:t>The InvestEU Fund would also be accompanied by the InvestEU Advisory providing technical assistance support building on existing TA initiatives (EIAH, ELENA, InnovFin Advisory) which aims at preparing, developing and implementing a robust investment project pipeline.</w:t>
      </w:r>
    </w:p>
    <w:p>
      <w:pPr>
        <w:spacing w:after="120" w:line="264" w:lineRule="auto"/>
        <w:rPr>
          <w:rFonts w:cs="Times New Roman"/>
          <w:noProof/>
          <w:szCs w:val="24"/>
        </w:rPr>
      </w:pPr>
      <w:r>
        <w:rPr>
          <w:rFonts w:cs="Times New Roman"/>
          <w:noProof/>
          <w:szCs w:val="24"/>
        </w:rPr>
        <w:t>Furthermore, the InvestEU Fund will enable additional contributions from other EU programmes, including those outside the EU budget, where relevant and appropriate (e.g. the EU ETS Innovation Fund</w:t>
      </w:r>
      <w:r>
        <w:rPr>
          <w:rStyle w:val="FootnoteReference"/>
          <w:rFonts w:cs="Times New Roman"/>
          <w:noProof/>
          <w:szCs w:val="24"/>
        </w:rPr>
        <w:footnoteReference w:id="64"/>
      </w:r>
      <w:r>
        <w:rPr>
          <w:rFonts w:cs="Times New Roman"/>
          <w:noProof/>
          <w:szCs w:val="24"/>
        </w:rPr>
        <w:t>).</w:t>
      </w:r>
    </w:p>
    <w:p>
      <w:pPr>
        <w:spacing w:after="120" w:line="264" w:lineRule="auto"/>
        <w:ind w:right="-29"/>
        <w:rPr>
          <w:rFonts w:cs="Times New Roman"/>
          <w:noProof/>
          <w:szCs w:val="24"/>
        </w:rPr>
      </w:pPr>
      <w:r>
        <w:rPr>
          <w:rFonts w:cs="Times New Roman"/>
          <w:noProof/>
          <w:szCs w:val="24"/>
        </w:rPr>
        <w:t>The InvestEU Fund main characteristics include:</w:t>
      </w:r>
    </w:p>
    <w:p>
      <w:pPr>
        <w:pStyle w:val="Bulet"/>
        <w:spacing w:after="120" w:line="264" w:lineRule="auto"/>
        <w:rPr>
          <w:noProof/>
          <w:szCs w:val="24"/>
        </w:rPr>
      </w:pPr>
      <w:r>
        <w:rPr>
          <w:noProof/>
          <w:szCs w:val="24"/>
        </w:rPr>
        <w:t>A single structure, directly communicated to financial intermediaries, project promoters and final beneficiaries in search of financing;</w:t>
      </w:r>
    </w:p>
    <w:p>
      <w:pPr>
        <w:pStyle w:val="Bulet"/>
        <w:spacing w:after="120" w:line="264" w:lineRule="auto"/>
        <w:rPr>
          <w:noProof/>
          <w:szCs w:val="24"/>
        </w:rPr>
      </w:pPr>
      <w:r>
        <w:rPr>
          <w:noProof/>
          <w:szCs w:val="24"/>
        </w:rPr>
        <w:t xml:space="preserve">Flexibility measures that will enable the InvestEU Fund to quickly react to market changes and policy priorities that evolve over time; </w:t>
      </w:r>
    </w:p>
    <w:p>
      <w:pPr>
        <w:pStyle w:val="Bulet"/>
        <w:spacing w:after="120" w:line="264" w:lineRule="auto"/>
        <w:rPr>
          <w:rStyle w:val="Aucun"/>
          <w:noProof/>
          <w:szCs w:val="24"/>
          <w:lang w:val="en-GB"/>
        </w:rPr>
      </w:pPr>
      <w:r>
        <w:rPr>
          <w:rStyle w:val="Aucun"/>
          <w:noProof/>
          <w:szCs w:val="24"/>
          <w:lang w:val="en-GB"/>
        </w:rPr>
        <w:t xml:space="preserve">The ability to deliver sector-specific instruments to support particular market failures e.g. Green Shipping, energy demonstration projects, natural capital; </w:t>
      </w:r>
    </w:p>
    <w:p>
      <w:pPr>
        <w:pStyle w:val="Bulet"/>
        <w:spacing w:after="120" w:line="264" w:lineRule="auto"/>
        <w:rPr>
          <w:rStyle w:val="Aucun"/>
          <w:noProof/>
          <w:szCs w:val="24"/>
          <w:lang w:val="en-GB"/>
        </w:rPr>
      </w:pPr>
      <w:r>
        <w:rPr>
          <w:rStyle w:val="Aucun"/>
          <w:noProof/>
          <w:szCs w:val="24"/>
          <w:lang w:val="en-GB"/>
        </w:rPr>
        <w:t xml:space="preserve">Increased leverage and more efficient use of budgetary resources through the use of a budgetary guarantee. Compared to financial instruments, budgetary guarantees freeze less budgetary resources due to limited provisioning compared to the level of financial engagement and the overall investment mobilised; </w:t>
      </w:r>
    </w:p>
    <w:p>
      <w:pPr>
        <w:pStyle w:val="Bulet"/>
        <w:spacing w:after="120" w:line="264" w:lineRule="auto"/>
        <w:rPr>
          <w:noProof/>
          <w:szCs w:val="24"/>
        </w:rPr>
      </w:pPr>
      <w:r>
        <w:rPr>
          <w:noProof/>
          <w:szCs w:val="24"/>
        </w:rPr>
        <w:t xml:space="preserve">Simplified and focused offer of investment support instruments targeting the main EU policy objectives. Such offer would also enable combining grants and finance from different EU programmes, or EIB conventional lending or private finance; </w:t>
      </w:r>
    </w:p>
    <w:p>
      <w:pPr>
        <w:pStyle w:val="Bulet"/>
        <w:spacing w:after="120" w:line="264" w:lineRule="auto"/>
        <w:rPr>
          <w:noProof/>
          <w:szCs w:val="24"/>
        </w:rPr>
      </w:pPr>
      <w:r>
        <w:rPr>
          <w:noProof/>
          <w:szCs w:val="24"/>
        </w:rPr>
        <w:t>An integrated governance and implementation structure that enhances internal coordination and strengthens the position of the Commission towards implementing partners. This would lead to management cost efficiencies, avoidance of duplications and overlap and increased visibility towards private investors;</w:t>
      </w:r>
    </w:p>
    <w:p>
      <w:pPr>
        <w:pStyle w:val="Bulet"/>
        <w:spacing w:after="120" w:line="264" w:lineRule="auto"/>
        <w:rPr>
          <w:rStyle w:val="Aucun"/>
          <w:noProof/>
          <w:szCs w:val="24"/>
          <w:lang w:val="en-GB"/>
        </w:rPr>
      </w:pPr>
      <w:r>
        <w:rPr>
          <w:rStyle w:val="Aucun"/>
          <w:noProof/>
          <w:szCs w:val="24"/>
          <w:lang w:val="en-GB"/>
        </w:rPr>
        <w:t xml:space="preserve">Simplified reporting, monitoring, and control requirements; due to the single framework, the InvestEU Fund will foresee integrated and simplified monitoring and reporting rules; </w:t>
      </w:r>
    </w:p>
    <w:p>
      <w:pPr>
        <w:pStyle w:val="Bulet"/>
        <w:spacing w:after="120" w:line="264" w:lineRule="auto"/>
        <w:rPr>
          <w:noProof/>
          <w:szCs w:val="24"/>
        </w:rPr>
      </w:pPr>
      <w:r>
        <w:rPr>
          <w:rFonts w:eastAsia="Arial Unicode MS"/>
          <w:noProof/>
          <w:szCs w:val="24"/>
        </w:rPr>
        <w:t xml:space="preserve">Better complementarity and ease of combination between programmes managed centrally and those under shared management; </w:t>
      </w:r>
    </w:p>
    <w:p>
      <w:pPr>
        <w:pStyle w:val="Bulet"/>
        <w:spacing w:after="120" w:line="264" w:lineRule="auto"/>
        <w:rPr>
          <w:noProof/>
          <w:szCs w:val="24"/>
        </w:rPr>
      </w:pPr>
      <w:bookmarkStart w:id="6844" w:name="_Toc508809719"/>
      <w:r>
        <w:rPr>
          <w:rFonts w:eastAsia="Arial Unicode MS"/>
          <w:noProof/>
          <w:szCs w:val="24"/>
        </w:rPr>
        <w:t xml:space="preserve">A possibility for Member States to channel shared management allocations through the InvestEU Fund (in the Member State compartment); </w:t>
      </w:r>
    </w:p>
    <w:p>
      <w:pPr>
        <w:pStyle w:val="Bulet"/>
        <w:spacing w:after="120" w:line="264" w:lineRule="auto"/>
        <w:rPr>
          <w:noProof/>
          <w:szCs w:val="24"/>
        </w:rPr>
      </w:pPr>
      <w:r>
        <w:rPr>
          <w:rFonts w:eastAsia="Arial Unicode MS"/>
          <w:noProof/>
          <w:szCs w:val="24"/>
        </w:rPr>
        <w:t>Possibility to contribute additional resources, if relevant and appropriate, from other EU programmes for specific policy objectives such as low-carbon innovation in energy, CCS (</w:t>
      </w:r>
      <w:r>
        <w:rPr>
          <w:rFonts w:eastAsiaTheme="minorHAnsi"/>
          <w:noProof/>
          <w:szCs w:val="24"/>
        </w:rPr>
        <w:t>Cultural and Creative Sectors</w:t>
      </w:r>
      <w:r>
        <w:rPr>
          <w:rFonts w:eastAsia="Arial Unicode MS"/>
          <w:noProof/>
          <w:szCs w:val="24"/>
        </w:rPr>
        <w:t>), and energy intensive industry supported under the EU ETS Innovation Fund; and</w:t>
      </w:r>
    </w:p>
    <w:p>
      <w:pPr>
        <w:pStyle w:val="Bulet"/>
        <w:spacing w:after="120" w:line="264" w:lineRule="auto"/>
        <w:rPr>
          <w:rStyle w:val="Aucun"/>
          <w:noProof/>
          <w:szCs w:val="24"/>
          <w:lang w:val="en-GB"/>
        </w:rPr>
      </w:pPr>
      <w:r>
        <w:rPr>
          <w:rStyle w:val="Aucun"/>
          <w:noProof/>
          <w:szCs w:val="24"/>
          <w:lang w:val="en-GB"/>
        </w:rPr>
        <w:t xml:space="preserve">Association of the InvestEU Advisory to the InvestEU Fund in order to support the development and implementation of a pipeline of bankable projects. </w:t>
      </w:r>
    </w:p>
    <w:p>
      <w:pPr>
        <w:pStyle w:val="Bulet"/>
        <w:numPr>
          <w:ilvl w:val="0"/>
          <w:numId w:val="0"/>
        </w:numPr>
        <w:spacing w:line="264" w:lineRule="auto"/>
        <w:rPr>
          <w:noProof/>
          <w:szCs w:val="24"/>
        </w:rPr>
      </w:pPr>
      <w:r>
        <w:rPr>
          <w:noProof/>
          <w:szCs w:val="24"/>
        </w:rPr>
        <w:t>Furthermore, the single integrated structure of the InvestEU Fund offers the opportunity to address the shortcomings identified in the lessons learnt section in the following way:</w:t>
      </w:r>
    </w:p>
    <w:p>
      <w:pPr>
        <w:pStyle w:val="Bulet"/>
        <w:spacing w:line="264" w:lineRule="auto"/>
        <w:rPr>
          <w:noProof/>
          <w:szCs w:val="24"/>
        </w:rPr>
      </w:pPr>
      <w:r>
        <w:rPr>
          <w:noProof/>
          <w:szCs w:val="24"/>
        </w:rPr>
        <w:t>Better coordination, single approach to implementing partners. Instead of a multitude of delegation agreements and different provisions in different delegation agreements (even when addressing the same issue), the InvestEU Fund will feature a single agreement per implementing partner. The governance structure, comprising all relevant DGs, will ensure effective coordination among instruments.</w:t>
      </w:r>
    </w:p>
    <w:p>
      <w:pPr>
        <w:pStyle w:val="Bulet"/>
        <w:spacing w:line="264" w:lineRule="auto"/>
        <w:rPr>
          <w:noProof/>
          <w:szCs w:val="24"/>
        </w:rPr>
      </w:pPr>
      <w:r>
        <w:rPr>
          <w:noProof/>
          <w:szCs w:val="24"/>
        </w:rPr>
        <w:t xml:space="preserve">Competition among implementing partners. Under the current MFF, most intervention under budgetary guarantees and financial instruments for internal policies is operated via the EIB Group. The InvestEU Fund opens up the possibility for other partners or consortia to enter in agreements directly with the EU, ultimately increasing the choice of policy implementation options for the EU. </w:t>
      </w:r>
    </w:p>
    <w:p>
      <w:pPr>
        <w:pStyle w:val="Bulet"/>
        <w:spacing w:line="264" w:lineRule="auto"/>
        <w:rPr>
          <w:noProof/>
          <w:szCs w:val="24"/>
        </w:rPr>
      </w:pPr>
      <w:r>
        <w:rPr>
          <w:noProof/>
          <w:szCs w:val="24"/>
        </w:rPr>
        <w:t>Additionality and EU added value. In response to recommendations from evaluations and audits of the EFSI and financial instruments, the InvestEU Fund will aim to strengthen requirements on additionality and EU added value of the intervention.</w:t>
      </w:r>
    </w:p>
    <w:p>
      <w:pPr>
        <w:pStyle w:val="Bulet"/>
        <w:spacing w:line="264" w:lineRule="auto"/>
        <w:rPr>
          <w:noProof/>
          <w:szCs w:val="24"/>
        </w:rPr>
      </w:pPr>
      <w:r>
        <w:rPr>
          <w:noProof/>
          <w:szCs w:val="24"/>
        </w:rPr>
        <w:t>Stronger verification of compliance with policy objectives, to balance the demand-driven approach at the level of individual operations. The scrutiny of the EU policy consistency of the financed projects will be intensified due to the work of the Commission staff in the Policy Boards and the Project Team.</w:t>
      </w:r>
    </w:p>
    <w:p>
      <w:pPr>
        <w:pStyle w:val="Bulet"/>
        <w:numPr>
          <w:ilvl w:val="0"/>
          <w:numId w:val="0"/>
        </w:numPr>
        <w:spacing w:after="120" w:line="264" w:lineRule="auto"/>
        <w:ind w:left="357" w:hanging="357"/>
        <w:rPr>
          <w:rStyle w:val="Aucun"/>
          <w:noProof/>
          <w:szCs w:val="24"/>
          <w:lang w:val="en-GB"/>
        </w:rPr>
      </w:pPr>
    </w:p>
    <w:p>
      <w:pPr>
        <w:pStyle w:val="Caption"/>
        <w:spacing w:line="264" w:lineRule="auto"/>
        <w:rPr>
          <w:rStyle w:val="Aucun"/>
          <w:rFonts w:cs="Times New Roman"/>
          <w:b w:val="0"/>
          <w:noProof/>
          <w:szCs w:val="24"/>
          <w:lang w:val="en-GB"/>
        </w:rPr>
      </w:pPr>
      <w:bookmarkStart w:id="6845" w:name="_Toc515348923"/>
      <w:r>
        <w:rPr>
          <w:rFonts w:cs="Times New Roman"/>
          <w:noProof/>
          <w:szCs w:val="24"/>
        </w:rPr>
        <w:t xml:space="preserve">Table </w:t>
      </w:r>
      <w:r>
        <w:rPr>
          <w:rFonts w:cs="Times New Roman"/>
          <w:noProof/>
          <w:szCs w:val="24"/>
        </w:rPr>
        <w:fldChar w:fldCharType="begin"/>
      </w:r>
      <w:r>
        <w:rPr>
          <w:rFonts w:cs="Times New Roman"/>
          <w:noProof/>
          <w:szCs w:val="24"/>
        </w:rPr>
        <w:instrText xml:space="preserve"> SEQ Table \* ARABIC </w:instrText>
      </w:r>
      <w:r>
        <w:rPr>
          <w:rFonts w:cs="Times New Roman"/>
          <w:noProof/>
          <w:szCs w:val="24"/>
        </w:rPr>
        <w:fldChar w:fldCharType="separate"/>
      </w:r>
      <w:r>
        <w:rPr>
          <w:rFonts w:cs="Times New Roman"/>
          <w:noProof/>
          <w:szCs w:val="24"/>
        </w:rPr>
        <w:t>3</w:t>
      </w:r>
      <w:r>
        <w:rPr>
          <w:rFonts w:cs="Times New Roman"/>
          <w:noProof/>
          <w:szCs w:val="24"/>
        </w:rPr>
        <w:fldChar w:fldCharType="end"/>
      </w:r>
      <w:r>
        <w:rPr>
          <w:rStyle w:val="Aucun"/>
          <w:rFonts w:cs="Times New Roman"/>
          <w:noProof/>
          <w:szCs w:val="24"/>
          <w:lang w:val="en-GB"/>
        </w:rPr>
        <w:t xml:space="preserve"> - From the EFSI and financial instruments (2014-2020) to the InvestEU Fund</w:t>
      </w:r>
      <w:bookmarkEnd w:id="6845"/>
    </w:p>
    <w:tbl>
      <w:tblPr>
        <w:tblStyle w:val="TableGrid"/>
        <w:tblW w:w="8868" w:type="dxa"/>
        <w:jc w:val="center"/>
        <w:tblLook w:val="04A0" w:firstRow="1" w:lastRow="0" w:firstColumn="1" w:lastColumn="0" w:noHBand="0" w:noVBand="1"/>
      </w:tblPr>
      <w:tblGrid>
        <w:gridCol w:w="3117"/>
        <w:gridCol w:w="5751"/>
      </w:tblGrid>
      <w:tr>
        <w:trPr>
          <w:trHeight w:val="567"/>
          <w:tblHeader/>
          <w:jc w:val="center"/>
        </w:trPr>
        <w:tc>
          <w:tcPr>
            <w:tcW w:w="3117" w:type="dxa"/>
            <w:shd w:val="clear" w:color="auto" w:fill="EEECE1" w:themeFill="background2"/>
            <w:vAlign w:val="center"/>
          </w:tcPr>
          <w:p>
            <w:pPr>
              <w:pStyle w:val="Bulet"/>
              <w:numPr>
                <w:ilvl w:val="0"/>
                <w:numId w:val="0"/>
              </w:numPr>
              <w:spacing w:line="264" w:lineRule="auto"/>
              <w:jc w:val="left"/>
              <w:rPr>
                <w:rFonts w:eastAsia="Arial Unicode MS"/>
                <w:b/>
                <w:noProof/>
                <w:sz w:val="22"/>
                <w:szCs w:val="24"/>
              </w:rPr>
            </w:pPr>
            <w:r>
              <w:rPr>
                <w:rFonts w:eastAsia="Arial Unicode MS"/>
                <w:b/>
                <w:noProof/>
                <w:sz w:val="22"/>
                <w:szCs w:val="24"/>
              </w:rPr>
              <w:t>InvestEU (Next MFF)</w:t>
            </w:r>
          </w:p>
        </w:tc>
        <w:tc>
          <w:tcPr>
            <w:tcW w:w="5751" w:type="dxa"/>
            <w:shd w:val="clear" w:color="auto" w:fill="EEECE1" w:themeFill="background2"/>
            <w:vAlign w:val="center"/>
          </w:tcPr>
          <w:p>
            <w:pPr>
              <w:pStyle w:val="Bulet"/>
              <w:numPr>
                <w:ilvl w:val="0"/>
                <w:numId w:val="0"/>
              </w:numPr>
              <w:spacing w:line="264" w:lineRule="auto"/>
              <w:jc w:val="left"/>
              <w:rPr>
                <w:rFonts w:eastAsia="Arial Unicode MS"/>
                <w:b/>
                <w:noProof/>
                <w:sz w:val="22"/>
                <w:szCs w:val="24"/>
              </w:rPr>
            </w:pPr>
            <w:r>
              <w:rPr>
                <w:rFonts w:eastAsia="Arial Unicode MS"/>
                <w:b/>
                <w:noProof/>
                <w:sz w:val="22"/>
                <w:szCs w:val="24"/>
              </w:rPr>
              <w:t>Improvement compared to the current MFF</w:t>
            </w:r>
          </w:p>
        </w:tc>
      </w:tr>
      <w:tr>
        <w:trPr>
          <w:trHeight w:val="907"/>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Shift towards budgetary guarantees by default</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Less budgetary resources to achieve the same objectives.</w:t>
            </w:r>
          </w:p>
        </w:tc>
      </w:tr>
      <w:tr>
        <w:trPr>
          <w:trHeight w:val="907"/>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A single budgetary guarantee</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More efficient due to economies of scale and diversification compared to several ring fenced budgetary guarantees: less provisioning needed for the same level of protection from the EU budget.</w:t>
            </w:r>
          </w:p>
        </w:tc>
      </w:tr>
      <w:tr>
        <w:trPr>
          <w:trHeight w:val="624"/>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A single fund: common rules, consistent products, single voice</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Overcomes fragmentation, overlaps and inconsistencies.</w:t>
            </w:r>
          </w:p>
        </w:tc>
      </w:tr>
      <w:tr>
        <w:trPr>
          <w:trHeight w:val="624"/>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Flexibility</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Higher capacity to redeploy resources and to develop new products according to the demand.</w:t>
            </w:r>
          </w:p>
        </w:tc>
      </w:tr>
      <w:tr>
        <w:trPr>
          <w:trHeight w:val="1134"/>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Efficiency gains </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For financial intermediaries and final beneficiaries: single set of rules and reporting requirements, cross-reliance on audits. </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For implementing partners: single contractual framework. </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For the EU Budget, risk remuneration and limited fees. </w:t>
            </w:r>
          </w:p>
        </w:tc>
      </w:tr>
      <w:tr>
        <w:trPr>
          <w:trHeight w:val="567"/>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Budgetary guarantees under ESIF</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Higher impact with fewer resources.</w:t>
            </w:r>
          </w:p>
        </w:tc>
      </w:tr>
      <w:tr>
        <w:trPr>
          <w:trHeight w:val="1871"/>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Upfront coordination between the EU centrally managed instruments and ESIF levels</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Better respect of the subsidiarity principle. </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More efficient allocation of budgetary resources.</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Qualitative upgrade of interventions.</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Synergies.</w:t>
            </w:r>
          </w:p>
          <w:p>
            <w:pPr>
              <w:pStyle w:val="Bulet"/>
              <w:numPr>
                <w:ilvl w:val="0"/>
                <w:numId w:val="0"/>
              </w:numPr>
              <w:spacing w:line="264" w:lineRule="auto"/>
              <w:jc w:val="left"/>
              <w:rPr>
                <w:rFonts w:eastAsia="Arial Unicode MS"/>
                <w:noProof/>
                <w:sz w:val="22"/>
                <w:szCs w:val="24"/>
              </w:rPr>
            </w:pPr>
            <w:r>
              <w:rPr>
                <w:rFonts w:eastAsia="Arial Unicode MS"/>
                <w:noProof/>
                <w:sz w:val="22"/>
                <w:szCs w:val="24"/>
              </w:rPr>
              <w:t>Lower need for combinations, but when needed: single set of rules.</w:t>
            </w:r>
          </w:p>
        </w:tc>
      </w:tr>
      <w:tr>
        <w:trPr>
          <w:trHeight w:val="624"/>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Non-exclusive access to the EU guarantee</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Diversification of pipelines and wider coverage of policy objectives. Enhanced coordination and negotiation capacity. </w:t>
            </w:r>
          </w:p>
        </w:tc>
      </w:tr>
      <w:tr>
        <w:trPr>
          <w:trHeight w:val="624"/>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A structured and streamlined framework for blending</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Simplification.</w:t>
            </w:r>
          </w:p>
        </w:tc>
      </w:tr>
      <w:tr>
        <w:trPr>
          <w:trHeight w:val="567"/>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Increased visibility, enhanced accountability</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Single brand. More effective democratic control.</w:t>
            </w:r>
          </w:p>
        </w:tc>
      </w:tr>
      <w:tr>
        <w:trPr>
          <w:trHeight w:val="567"/>
          <w:jc w:val="center"/>
        </w:trPr>
        <w:tc>
          <w:tcPr>
            <w:tcW w:w="3117"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Coherent framework for technical assistance</w:t>
            </w:r>
          </w:p>
        </w:tc>
        <w:tc>
          <w:tcPr>
            <w:tcW w:w="5751" w:type="dxa"/>
            <w:vAlign w:val="center"/>
          </w:tcPr>
          <w:p>
            <w:pPr>
              <w:pStyle w:val="Bulet"/>
              <w:numPr>
                <w:ilvl w:val="0"/>
                <w:numId w:val="0"/>
              </w:numPr>
              <w:spacing w:line="264" w:lineRule="auto"/>
              <w:jc w:val="left"/>
              <w:rPr>
                <w:rFonts w:eastAsia="Arial Unicode MS"/>
                <w:noProof/>
                <w:sz w:val="22"/>
                <w:szCs w:val="24"/>
              </w:rPr>
            </w:pPr>
            <w:r>
              <w:rPr>
                <w:rFonts w:eastAsia="Arial Unicode MS"/>
                <w:noProof/>
                <w:sz w:val="22"/>
                <w:szCs w:val="24"/>
              </w:rPr>
              <w:t xml:space="preserve">Technical assistance will be streamlined under a single framework </w:t>
            </w:r>
          </w:p>
        </w:tc>
      </w:tr>
    </w:tbl>
    <w:p>
      <w:pPr>
        <w:pStyle w:val="Heading2"/>
        <w:spacing w:line="264" w:lineRule="auto"/>
        <w:rPr>
          <w:noProof/>
          <w:szCs w:val="24"/>
        </w:rPr>
      </w:pPr>
      <w:bookmarkStart w:id="6846" w:name="_Toc510606750"/>
      <w:bookmarkStart w:id="6847" w:name="_Toc510607174"/>
      <w:bookmarkStart w:id="6848" w:name="_Toc510608483"/>
      <w:bookmarkStart w:id="6849" w:name="_Toc510609446"/>
      <w:bookmarkStart w:id="6850" w:name="_Toc510609836"/>
      <w:bookmarkStart w:id="6851" w:name="_Toc510610431"/>
      <w:bookmarkStart w:id="6852" w:name="_Toc510612918"/>
      <w:bookmarkStart w:id="6853" w:name="_Toc510615690"/>
      <w:bookmarkStart w:id="6854" w:name="_Toc510616872"/>
      <w:bookmarkStart w:id="6855" w:name="_Toc509069211"/>
      <w:bookmarkStart w:id="6856" w:name="_Toc509313265"/>
      <w:bookmarkStart w:id="6857" w:name="_Toc509323836"/>
      <w:bookmarkStart w:id="6858" w:name="_Toc509327407"/>
      <w:bookmarkStart w:id="6859" w:name="_Toc509332949"/>
      <w:bookmarkStart w:id="6860" w:name="_Toc509334701"/>
      <w:bookmarkStart w:id="6861" w:name="_Toc509337917"/>
      <w:bookmarkStart w:id="6862" w:name="_Toc510517796"/>
      <w:bookmarkStart w:id="6863" w:name="_Toc510612919"/>
      <w:bookmarkStart w:id="6864" w:name="_Toc510683714"/>
      <w:bookmarkStart w:id="6865" w:name="_Toc515348884"/>
      <w:bookmarkEnd w:id="6846"/>
      <w:bookmarkEnd w:id="6847"/>
      <w:bookmarkEnd w:id="6848"/>
      <w:bookmarkEnd w:id="6849"/>
      <w:bookmarkEnd w:id="6850"/>
      <w:bookmarkEnd w:id="6851"/>
      <w:bookmarkEnd w:id="6852"/>
      <w:bookmarkEnd w:id="6853"/>
      <w:bookmarkEnd w:id="6854"/>
      <w:r>
        <w:rPr>
          <w:noProof/>
          <w:szCs w:val="24"/>
        </w:rPr>
        <w:t>InvestEU Fund structure</w:t>
      </w:r>
      <w:bookmarkEnd w:id="6844"/>
      <w:bookmarkEnd w:id="6855"/>
      <w:bookmarkEnd w:id="6856"/>
      <w:bookmarkEnd w:id="6857"/>
      <w:bookmarkEnd w:id="6858"/>
      <w:bookmarkEnd w:id="6859"/>
      <w:bookmarkEnd w:id="6860"/>
      <w:bookmarkEnd w:id="6861"/>
      <w:bookmarkEnd w:id="6862"/>
      <w:bookmarkEnd w:id="6863"/>
      <w:bookmarkEnd w:id="6864"/>
      <w:bookmarkEnd w:id="6865"/>
    </w:p>
    <w:p>
      <w:pPr>
        <w:pStyle w:val="Text2"/>
        <w:spacing w:after="120" w:line="264" w:lineRule="auto"/>
        <w:ind w:left="0"/>
        <w:rPr>
          <w:noProof/>
          <w:szCs w:val="24"/>
        </w:rPr>
      </w:pPr>
      <w:r>
        <w:rPr>
          <w:noProof/>
          <w:szCs w:val="24"/>
        </w:rPr>
        <w:t xml:space="preserve">The InvestEU Fund aims at achieving a balance between a lean and flexible structure with simple rules and the need to cater for specific investment support needs in different policy areas and for different types of beneficiaries. While there are some trade-offs to be made, these two objectives are not mutually exclusive. </w:t>
      </w:r>
    </w:p>
    <w:p>
      <w:pPr>
        <w:pStyle w:val="Text2"/>
        <w:spacing w:after="120" w:line="264" w:lineRule="auto"/>
        <w:ind w:left="0"/>
        <w:rPr>
          <w:noProof/>
          <w:szCs w:val="24"/>
        </w:rPr>
      </w:pPr>
      <w:r>
        <w:rPr>
          <w:noProof/>
          <w:szCs w:val="24"/>
        </w:rPr>
        <w:t>Lessons learned from the EFSI’s structure and in particular the use of windows</w:t>
      </w:r>
      <w:r>
        <w:rPr>
          <w:rStyle w:val="FootnoteReference"/>
          <w:noProof/>
          <w:szCs w:val="24"/>
        </w:rPr>
        <w:footnoteReference w:id="65"/>
      </w:r>
      <w:r>
        <w:rPr>
          <w:noProof/>
          <w:szCs w:val="24"/>
        </w:rPr>
        <w:t>suggest that an organisation into policy windows achieves a good balance between simplicity, streamlining and ability to target specific policy needs.</w:t>
      </w:r>
    </w:p>
    <w:p>
      <w:pPr>
        <w:pStyle w:val="Text2"/>
        <w:spacing w:after="120" w:line="264" w:lineRule="auto"/>
        <w:ind w:left="0"/>
        <w:rPr>
          <w:noProof/>
          <w:szCs w:val="24"/>
        </w:rPr>
      </w:pPr>
      <w:r>
        <w:rPr>
          <w:iCs/>
          <w:noProof/>
          <w:szCs w:val="24"/>
        </w:rPr>
        <w:t xml:space="preserve">The windows will be used to deploy financing products (e.g. debt, equity) as well as thematic sub-instruments and pilot initiatives </w:t>
      </w:r>
      <w:r>
        <w:rPr>
          <w:noProof/>
          <w:szCs w:val="24"/>
        </w:rPr>
        <w:t>targeting high risk and first-of-a-kind projects, as currently done under certain financial instruments (e.g. InnovFin Energy Demo Projects, Natural Capital Financing Facility, SME guarantees) and provide for a more comprehensive guarantee coverage</w:t>
      </w:r>
      <w:r>
        <w:rPr>
          <w:iCs/>
          <w:noProof/>
          <w:szCs w:val="24"/>
        </w:rPr>
        <w:t>.</w:t>
      </w:r>
      <w:r>
        <w:rPr>
          <w:noProof/>
          <w:szCs w:val="24"/>
        </w:rPr>
        <w:t xml:space="preserve"> </w:t>
      </w:r>
    </w:p>
    <w:p>
      <w:pPr>
        <w:pStyle w:val="Text2"/>
        <w:spacing w:after="120" w:line="264" w:lineRule="auto"/>
        <w:ind w:left="0"/>
        <w:rPr>
          <w:noProof/>
          <w:szCs w:val="24"/>
        </w:rPr>
      </w:pPr>
      <w:r>
        <w:rPr>
          <w:noProof/>
          <w:szCs w:val="24"/>
        </w:rPr>
        <w:t>The number and scope of InvestEU Fund’s policy windows would need to achieve the following objectives:</w:t>
      </w:r>
    </w:p>
    <w:p>
      <w:pPr>
        <w:pStyle w:val="Bulet"/>
        <w:spacing w:line="264" w:lineRule="auto"/>
        <w:rPr>
          <w:noProof/>
          <w:szCs w:val="24"/>
        </w:rPr>
      </w:pPr>
      <w:r>
        <w:rPr>
          <w:noProof/>
          <w:szCs w:val="24"/>
        </w:rPr>
        <w:t xml:space="preserve">Simplicity – there should be only a handful of policy windows to avoid fragmentation and confusion among implementing partners and beneficiaries; </w:t>
      </w:r>
    </w:p>
    <w:p>
      <w:pPr>
        <w:pStyle w:val="Bulet"/>
        <w:spacing w:line="264" w:lineRule="auto"/>
        <w:rPr>
          <w:noProof/>
          <w:szCs w:val="24"/>
        </w:rPr>
      </w:pPr>
      <w:r>
        <w:rPr>
          <w:noProof/>
          <w:szCs w:val="24"/>
        </w:rPr>
        <w:t xml:space="preserve">Target specific EU policy priorities and respond to market needs that can be addressed with similar financial products; and </w:t>
      </w:r>
    </w:p>
    <w:p>
      <w:pPr>
        <w:pStyle w:val="Bulet"/>
        <w:spacing w:line="264" w:lineRule="auto"/>
        <w:rPr>
          <w:noProof/>
          <w:szCs w:val="24"/>
        </w:rPr>
      </w:pPr>
      <w:r>
        <w:rPr>
          <w:noProof/>
          <w:szCs w:val="24"/>
        </w:rPr>
        <w:t>The structure should minimise potential scope overlaps between windows through simple and pragmatic demarcation rules.</w:t>
      </w:r>
    </w:p>
    <w:p>
      <w:pPr>
        <w:pStyle w:val="Text1"/>
        <w:spacing w:after="120" w:line="264" w:lineRule="auto"/>
        <w:ind w:left="0"/>
        <w:rPr>
          <w:noProof/>
          <w:szCs w:val="24"/>
        </w:rPr>
      </w:pPr>
      <w:r>
        <w:rPr>
          <w:noProof/>
          <w:szCs w:val="24"/>
        </w:rPr>
        <w:t>Based on the main policy challenges and their nature (see section 1.2), it is proposed that the InvestEU Fund includes the following four windows: (i) sustainable infrastructure, (ii) research, innovation and digitalisation, (iii) SMEs, and (iv) social investment and skills and human capital.</w:t>
      </w:r>
    </w:p>
    <w:p>
      <w:pPr>
        <w:pStyle w:val="Text1"/>
        <w:spacing w:after="120" w:line="264" w:lineRule="auto"/>
        <w:ind w:left="0"/>
        <w:rPr>
          <w:noProof/>
          <w:szCs w:val="24"/>
        </w:rPr>
      </w:pPr>
      <w:r>
        <w:rPr>
          <w:noProof/>
          <w:szCs w:val="24"/>
        </w:rPr>
        <w:t xml:space="preserve">The InvestEU Fund budgetary resources will be distributed among the four windows. This allocation will be based on the size of the respective market gaps and experience with the current financial instruments and the EFSI. An additional argument to be taken into consideration is the absorption capacity by implementing partners, financial intermediaries and final beneficiaries. </w:t>
      </w:r>
    </w:p>
    <w:p>
      <w:pPr>
        <w:pStyle w:val="Text1"/>
        <w:spacing w:after="120" w:line="264" w:lineRule="auto"/>
        <w:ind w:left="0"/>
        <w:rPr>
          <w:noProof/>
          <w:szCs w:val="24"/>
        </w:rPr>
      </w:pPr>
      <w:r>
        <w:rPr>
          <w:noProof/>
          <w:szCs w:val="24"/>
        </w:rPr>
        <w:t xml:space="preserve">The InvestEU Advisory/TA support will be allocated among policy windows according to identified needs and market gaps. Moreover, limited resources would be kept outside the policy windows at the InvestEU Fund level to support initiatives like a single entry point and cross-policy advisory products and would ensure flexibility for emerging needs. </w:t>
      </w:r>
    </w:p>
    <w:p>
      <w:pPr>
        <w:pStyle w:val="Heading2"/>
        <w:spacing w:line="264" w:lineRule="auto"/>
        <w:rPr>
          <w:noProof/>
          <w:szCs w:val="24"/>
        </w:rPr>
      </w:pPr>
      <w:bookmarkStart w:id="6866" w:name="_Toc510207065"/>
      <w:bookmarkStart w:id="6867" w:name="_Toc510207858"/>
      <w:bookmarkStart w:id="6868" w:name="_Toc510517797"/>
      <w:bookmarkStart w:id="6869" w:name="_Toc510593755"/>
      <w:bookmarkStart w:id="6870" w:name="_Toc510594132"/>
      <w:bookmarkStart w:id="6871" w:name="_Toc510606752"/>
      <w:bookmarkStart w:id="6872" w:name="_Toc510607176"/>
      <w:bookmarkStart w:id="6873" w:name="_Toc510608485"/>
      <w:bookmarkStart w:id="6874" w:name="_Toc510609448"/>
      <w:bookmarkStart w:id="6875" w:name="_Toc510609838"/>
      <w:bookmarkStart w:id="6876" w:name="_Toc510610433"/>
      <w:bookmarkStart w:id="6877" w:name="_Toc510612920"/>
      <w:bookmarkStart w:id="6878" w:name="_Toc510615692"/>
      <w:bookmarkStart w:id="6879" w:name="_Toc510616874"/>
      <w:bookmarkStart w:id="6880" w:name="_Toc510207066"/>
      <w:bookmarkStart w:id="6881" w:name="_Toc510207859"/>
      <w:bookmarkStart w:id="6882" w:name="_Toc510517798"/>
      <w:bookmarkStart w:id="6883" w:name="_Toc510593756"/>
      <w:bookmarkStart w:id="6884" w:name="_Toc510594133"/>
      <w:bookmarkStart w:id="6885" w:name="_Toc510606753"/>
      <w:bookmarkStart w:id="6886" w:name="_Toc510607177"/>
      <w:bookmarkStart w:id="6887" w:name="_Toc510608486"/>
      <w:bookmarkStart w:id="6888" w:name="_Toc510609449"/>
      <w:bookmarkStart w:id="6889" w:name="_Toc510609839"/>
      <w:bookmarkStart w:id="6890" w:name="_Toc510610434"/>
      <w:bookmarkStart w:id="6891" w:name="_Toc510612921"/>
      <w:bookmarkStart w:id="6892" w:name="_Toc510615693"/>
      <w:bookmarkStart w:id="6893" w:name="_Toc510616875"/>
      <w:bookmarkStart w:id="6894" w:name="_Ref514438415"/>
      <w:bookmarkStart w:id="6895" w:name="_Toc515348885"/>
      <w:bookmarkStart w:id="6896" w:name="_Toc508809720"/>
      <w:bookmarkStart w:id="6897" w:name="_Toc509069214"/>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r>
        <w:rPr>
          <w:noProof/>
          <w:szCs w:val="24"/>
        </w:rPr>
        <w:t>Member State compartments</w:t>
      </w:r>
      <w:bookmarkEnd w:id="6894"/>
      <w:bookmarkEnd w:id="6895"/>
    </w:p>
    <w:p>
      <w:pPr>
        <w:pStyle w:val="Text1"/>
        <w:spacing w:after="120" w:line="264" w:lineRule="auto"/>
        <w:ind w:left="0"/>
        <w:rPr>
          <w:noProof/>
          <w:szCs w:val="24"/>
        </w:rPr>
      </w:pPr>
      <w:r>
        <w:rPr>
          <w:noProof/>
          <w:szCs w:val="24"/>
        </w:rPr>
        <w:t xml:space="preserve">The EU budget implemented through shared management with Member States also deploys financial instruments to address local market failures or sub-optimal investment situations. The policy objectives of the EU-level and investments support instruments under ESI Funds are not identical; the former focus on EU-wide and the latter on regional or national suboptimal investment situations. However, the experience has demonstrated the need to increase complementarity and ease of combination between the two types of support mechanisms. </w:t>
      </w:r>
    </w:p>
    <w:p>
      <w:pPr>
        <w:pStyle w:val="Text1"/>
        <w:spacing w:after="120" w:line="264" w:lineRule="auto"/>
        <w:ind w:left="0"/>
        <w:rPr>
          <w:noProof/>
          <w:szCs w:val="24"/>
        </w:rPr>
      </w:pPr>
      <w:r>
        <w:rPr>
          <w:noProof/>
          <w:szCs w:val="24"/>
        </w:rPr>
        <w:t xml:space="preserve">In the current programming period, not many Member States have channelled part of their ESIF allocations through EU level financial instruments. The InvestEU Fund will offer a compelling opportunity to increase effectiveness and impact of ESI Funds for investment support in a given Member State through the use of a budgetary guarantee. The same objective of budgetary efficiency that recommends the shift from financial instruments to budgetary guarantees at EU level (see section 5.2) applies to ESIF. </w:t>
      </w:r>
    </w:p>
    <w:p>
      <w:pPr>
        <w:pStyle w:val="Text1"/>
        <w:spacing w:after="120" w:line="264" w:lineRule="auto"/>
        <w:ind w:left="0"/>
        <w:rPr>
          <w:noProof/>
          <w:szCs w:val="24"/>
        </w:rPr>
      </w:pPr>
      <w:r>
        <w:rPr>
          <w:noProof/>
          <w:szCs w:val="24"/>
        </w:rPr>
        <w:t>Member States will have the possibility, on a voluntary basis, to channel part of their ESIF resources through the InvestEU Fund. For this purpose, the InvestEU Fund structure would include a Member State compartment under each window. However, the possibility for the Managing Authorities to implement their programmes partly through tailor-made financial instruments including in combination with InvestEU Fund would be kept in the post-2020 legal framework.</w:t>
      </w:r>
    </w:p>
    <w:p>
      <w:pPr>
        <w:spacing w:after="120" w:line="264" w:lineRule="auto"/>
        <w:ind w:right="-46"/>
        <w:rPr>
          <w:rFonts w:cs="Times New Roman"/>
          <w:noProof/>
          <w:szCs w:val="24"/>
        </w:rPr>
      </w:pPr>
      <w:r>
        <w:rPr>
          <w:rFonts w:cs="Times New Roman"/>
          <w:noProof/>
          <w:szCs w:val="24"/>
        </w:rPr>
        <w:t>The EU would be the guarantor (otherwise, in most convergence Member States the guarantee would be weaker and, thus, financially less effective) and the EU budget (ESIF) would provide the provisioning against expected losses, managed in the common provisioning fund established by Article 212 of the revised Financial Regulation (FR), and Member States would assume the contingent liability. No national co-financing would be required. The Commission would select the implementing partner, among those eligible for indirect management according to Article 154(4) FR and which have expressed an interest to become an implementing partner for the Member State compartment. The Commission would then sign a guarantee agreement providing the EU guarantee to the selected implementing partner.</w:t>
      </w:r>
    </w:p>
    <w:p>
      <w:pPr>
        <w:pStyle w:val="Text1"/>
        <w:spacing w:after="120" w:line="264" w:lineRule="auto"/>
        <w:ind w:left="0"/>
        <w:rPr>
          <w:noProof/>
          <w:szCs w:val="24"/>
        </w:rPr>
      </w:pPr>
      <w:r>
        <w:rPr>
          <w:noProof/>
          <w:szCs w:val="24"/>
        </w:rPr>
        <w:t>This proposal would bring the following benefits for Member States and for the EU budget:</w:t>
      </w:r>
    </w:p>
    <w:p>
      <w:pPr>
        <w:pStyle w:val="Bulet"/>
        <w:spacing w:line="264" w:lineRule="auto"/>
        <w:rPr>
          <w:noProof/>
          <w:szCs w:val="24"/>
        </w:rPr>
      </w:pPr>
      <w:r>
        <w:rPr>
          <w:noProof/>
          <w:szCs w:val="24"/>
        </w:rPr>
        <w:t>Wider impact of the EU budget on investment and economic and social welfare with fewer budgetary resources.</w:t>
      </w:r>
    </w:p>
    <w:p>
      <w:pPr>
        <w:pStyle w:val="Bulet"/>
        <w:spacing w:line="264" w:lineRule="auto"/>
        <w:rPr>
          <w:noProof/>
          <w:szCs w:val="24"/>
        </w:rPr>
      </w:pPr>
      <w:r>
        <w:rPr>
          <w:noProof/>
          <w:szCs w:val="24"/>
        </w:rPr>
        <w:t>No national co-financing required by the Member State and very low probability of any disbursement related to the contingent liability. Any provisioning left at the end of the budgetary guarantee comes back to the Member State.</w:t>
      </w:r>
    </w:p>
    <w:p>
      <w:pPr>
        <w:pStyle w:val="Bulet"/>
        <w:spacing w:line="264" w:lineRule="auto"/>
        <w:rPr>
          <w:noProof/>
          <w:szCs w:val="24"/>
        </w:rPr>
      </w:pPr>
      <w:r>
        <w:rPr>
          <w:noProof/>
          <w:szCs w:val="24"/>
        </w:rPr>
        <w:t xml:space="preserve">Predefined scheme and products provided by the InvestEU Fund, which simplify for Member States the design of effective market instruments (or provides them with a product they do not have the expertise to develop) and facilitate the switch from grants towards market instruments; it also reduces the scope of the ex-ante assessment to be carried out by Member States. Products designed for the entire window may need to be adjusted to address specific policy issues.   </w:t>
      </w:r>
    </w:p>
    <w:p>
      <w:pPr>
        <w:pStyle w:val="Bulet"/>
        <w:spacing w:line="264" w:lineRule="auto"/>
        <w:rPr>
          <w:noProof/>
          <w:szCs w:val="24"/>
        </w:rPr>
      </w:pPr>
      <w:r>
        <w:rPr>
          <w:noProof/>
          <w:szCs w:val="24"/>
        </w:rPr>
        <w:t>As the management model for the ESIF compartment is indirect management, not shared management, the choice by the Member States of the implementing partner does not need to follow public procurement rules.</w:t>
      </w:r>
    </w:p>
    <w:p>
      <w:pPr>
        <w:pStyle w:val="Bulet"/>
        <w:spacing w:line="264" w:lineRule="auto"/>
        <w:rPr>
          <w:noProof/>
          <w:szCs w:val="24"/>
        </w:rPr>
      </w:pPr>
      <w:r>
        <w:rPr>
          <w:noProof/>
          <w:szCs w:val="24"/>
        </w:rPr>
        <w:t>The management role of the Commission will alleviate the administrative burden for Member States and will ensure spread of good practices across the EU.</w:t>
      </w:r>
    </w:p>
    <w:p>
      <w:pPr>
        <w:pStyle w:val="Bulet"/>
        <w:spacing w:line="264" w:lineRule="auto"/>
        <w:rPr>
          <w:noProof/>
          <w:szCs w:val="24"/>
        </w:rPr>
      </w:pPr>
      <w:r>
        <w:rPr>
          <w:noProof/>
          <w:szCs w:val="24"/>
        </w:rPr>
        <w:t>A simplified State Aid compliance mechanism would be put in place.</w:t>
      </w:r>
    </w:p>
    <w:p>
      <w:pPr>
        <w:pStyle w:val="Bulet"/>
        <w:spacing w:line="264" w:lineRule="auto"/>
        <w:rPr>
          <w:noProof/>
          <w:szCs w:val="24"/>
        </w:rPr>
      </w:pPr>
      <w:r>
        <w:rPr>
          <w:noProof/>
          <w:szCs w:val="24"/>
        </w:rPr>
        <w:t>Member States will have the possibility to withdraw from InvestEU Fund their contributions under certain principles.</w:t>
      </w:r>
    </w:p>
    <w:p>
      <w:pPr>
        <w:pStyle w:val="Bulet"/>
        <w:spacing w:line="264" w:lineRule="auto"/>
        <w:rPr>
          <w:noProof/>
          <w:szCs w:val="24"/>
        </w:rPr>
      </w:pPr>
      <w:r>
        <w:rPr>
          <w:noProof/>
          <w:szCs w:val="24"/>
        </w:rPr>
        <w:t xml:space="preserve">The InvestEU Fund would provide central performed monitoring and evaluation activities, including centralised reporting. Reporting systems will ensure sufficient information flows to the Member States. </w:t>
      </w:r>
    </w:p>
    <w:p>
      <w:pPr>
        <w:pStyle w:val="Text1"/>
        <w:spacing w:after="120" w:line="264" w:lineRule="auto"/>
        <w:ind w:left="0"/>
        <w:rPr>
          <w:noProof/>
          <w:szCs w:val="24"/>
        </w:rPr>
      </w:pPr>
    </w:p>
    <w:p>
      <w:pPr>
        <w:spacing w:line="264" w:lineRule="auto"/>
        <w:rPr>
          <w:rFonts w:cs="Times New Roman"/>
          <w:i/>
          <w:noProof/>
          <w:szCs w:val="24"/>
        </w:rPr>
      </w:pPr>
      <w:r>
        <w:rPr>
          <w:rFonts w:cs="Times New Roman"/>
          <w:i/>
          <w:noProof/>
          <w:szCs w:val="24"/>
        </w:rPr>
        <w:t>Respective scopes of the EU level and the Member State compartments</w:t>
      </w:r>
    </w:p>
    <w:p>
      <w:pPr>
        <w:pStyle w:val="Bulet"/>
        <w:numPr>
          <w:ilvl w:val="0"/>
          <w:numId w:val="0"/>
        </w:numPr>
        <w:spacing w:after="120" w:line="264" w:lineRule="auto"/>
        <w:rPr>
          <w:noProof/>
          <w:szCs w:val="24"/>
        </w:rPr>
      </w:pPr>
      <w:r>
        <w:rPr>
          <w:noProof/>
          <w:szCs w:val="24"/>
        </w:rPr>
        <w:t xml:space="preserve">The proposed structure with two compartments in each window should allow a better complementarity and division of labour between the two levels and a more effective application of the principle of subsidiarity. In addition, the two compartments within each window will share the same InvestEU Fund rules, which would allow a clearer and simpler framework for combining different sources of EU funds. </w:t>
      </w:r>
    </w:p>
    <w:p>
      <w:pPr>
        <w:spacing w:line="264" w:lineRule="auto"/>
        <w:ind w:right="-46"/>
        <w:rPr>
          <w:rFonts w:cs="Times New Roman"/>
          <w:noProof/>
          <w:szCs w:val="24"/>
        </w:rPr>
      </w:pPr>
      <w:r>
        <w:rPr>
          <w:rFonts w:cs="Times New Roman"/>
          <w:noProof/>
          <w:szCs w:val="24"/>
        </w:rPr>
        <w:t>The scope of the EU level compartment would comprise:</w:t>
      </w:r>
    </w:p>
    <w:p>
      <w:pPr>
        <w:pStyle w:val="Bulet"/>
        <w:spacing w:line="264" w:lineRule="auto"/>
        <w:rPr>
          <w:noProof/>
          <w:szCs w:val="24"/>
        </w:rPr>
      </w:pPr>
      <w:r>
        <w:rPr>
          <w:noProof/>
          <w:szCs w:val="24"/>
        </w:rPr>
        <w:t>Investments supporting EU policy priorities addressed at EU level;</w:t>
      </w:r>
    </w:p>
    <w:p>
      <w:pPr>
        <w:pStyle w:val="Bulet"/>
        <w:spacing w:line="264" w:lineRule="auto"/>
        <w:rPr>
          <w:noProof/>
          <w:szCs w:val="24"/>
        </w:rPr>
      </w:pPr>
      <w:r>
        <w:rPr>
          <w:noProof/>
          <w:szCs w:val="24"/>
        </w:rPr>
        <w:t>EU wide market failures and investment gaps; and</w:t>
      </w:r>
    </w:p>
    <w:p>
      <w:pPr>
        <w:pStyle w:val="Bulet"/>
        <w:spacing w:line="264" w:lineRule="auto"/>
        <w:rPr>
          <w:noProof/>
          <w:szCs w:val="24"/>
        </w:rPr>
      </w:pPr>
      <w:r>
        <w:rPr>
          <w:noProof/>
          <w:szCs w:val="24"/>
        </w:rPr>
        <w:t>The design, development and EU wide market testing of innovative financial products, and the corresponding ecosystems to spread them, for new or complex market failures and investment gaps.</w:t>
      </w:r>
    </w:p>
    <w:p>
      <w:pPr>
        <w:spacing w:after="120" w:line="264" w:lineRule="auto"/>
        <w:ind w:right="-46"/>
        <w:rPr>
          <w:rFonts w:cs="Times New Roman"/>
          <w:noProof/>
          <w:szCs w:val="24"/>
        </w:rPr>
      </w:pPr>
      <w:r>
        <w:rPr>
          <w:rFonts w:cs="Times New Roman"/>
          <w:noProof/>
          <w:szCs w:val="24"/>
        </w:rPr>
        <w:t>The Member State compartment would address country specific market failures and investment gaps ensuring a critical mass and a more efficient geographical concentration of resources.</w:t>
      </w:r>
    </w:p>
    <w:p>
      <w:pPr>
        <w:spacing w:after="120" w:line="264" w:lineRule="auto"/>
        <w:rPr>
          <w:rFonts w:cs="Times New Roman"/>
          <w:noProof/>
          <w:szCs w:val="24"/>
        </w:rPr>
      </w:pPr>
      <w:r>
        <w:rPr>
          <w:rFonts w:cs="Times New Roman"/>
          <w:noProof/>
          <w:szCs w:val="24"/>
        </w:rPr>
        <w:t xml:space="preserve">Country specific market failures and investment gaps widespread among Member States would be addressed in a complementary manner, whereby the EU level compartment would ensure the possibility to address the market failure in all Member States, while the Member State compartment would allow a more effective geographical concentration of resources in accordance with the needs of each Member State. </w:t>
      </w:r>
    </w:p>
    <w:p>
      <w:pPr>
        <w:tabs>
          <w:tab w:val="left" w:pos="1275"/>
        </w:tabs>
        <w:spacing w:after="120" w:line="264" w:lineRule="auto"/>
        <w:rPr>
          <w:rFonts w:cs="Times New Roman"/>
          <w:noProof/>
          <w:szCs w:val="24"/>
        </w:rPr>
      </w:pPr>
      <w:r>
        <w:rPr>
          <w:rFonts w:cs="Times New Roman"/>
          <w:noProof/>
          <w:szCs w:val="24"/>
        </w:rPr>
        <w:t xml:space="preserve">During the InvestEU Fund mid-term review the Commission will assess whether certain instruments developed and tested at EU level, but that address market failures and investment gaps that have a local dimension, could better be deployed at Member State level in line with the principle of subsidiarity. </w:t>
      </w:r>
    </w:p>
    <w:p>
      <w:pPr>
        <w:pStyle w:val="Heading2"/>
        <w:spacing w:line="264" w:lineRule="auto"/>
        <w:rPr>
          <w:noProof/>
          <w:szCs w:val="24"/>
        </w:rPr>
      </w:pPr>
      <w:bookmarkStart w:id="6898" w:name="_Toc510517800"/>
      <w:bookmarkStart w:id="6899" w:name="_Toc510612923"/>
      <w:bookmarkStart w:id="6900" w:name="_Toc510683716"/>
      <w:bookmarkStart w:id="6901" w:name="_Toc515348886"/>
      <w:r>
        <w:rPr>
          <w:noProof/>
          <w:szCs w:val="24"/>
        </w:rPr>
        <w:t>EU added value</w:t>
      </w:r>
      <w:bookmarkEnd w:id="6898"/>
      <w:bookmarkEnd w:id="6899"/>
      <w:bookmarkEnd w:id="6900"/>
      <w:bookmarkEnd w:id="6901"/>
    </w:p>
    <w:p>
      <w:pPr>
        <w:pStyle w:val="NoSpacing"/>
        <w:spacing w:after="120" w:line="264" w:lineRule="auto"/>
        <w:rPr>
          <w:rStyle w:val="Aucun"/>
          <w:rFonts w:cs="Times New Roman"/>
          <w:noProof/>
          <w:lang w:val="en-GB"/>
        </w:rPr>
      </w:pPr>
      <w:r>
        <w:rPr>
          <w:rStyle w:val="Aucun"/>
          <w:rFonts w:cs="Times New Roman"/>
          <w:noProof/>
          <w:lang w:val="en-GB"/>
        </w:rPr>
        <w:t xml:space="preserve">The EU long-term goals regarding sustainability, competitiveness and inclusive growth require significant investments in different policy areas. This includes, </w:t>
      </w:r>
      <w:r>
        <w:rPr>
          <w:rStyle w:val="Aucun"/>
          <w:rFonts w:cs="Times New Roman"/>
          <w:i/>
          <w:noProof/>
          <w:lang w:val="en-GB"/>
        </w:rPr>
        <w:t>inter alia,</w:t>
      </w:r>
      <w:r>
        <w:rPr>
          <w:rStyle w:val="Aucun"/>
          <w:rFonts w:cs="Times New Roman"/>
          <w:noProof/>
          <w:lang w:val="en-GB"/>
        </w:rPr>
        <w:t xml:space="preserve"> new models related to mobility, renewable energies, energy efficiency, natural capital, innovation, digitalisation, skills, social infrastructure, circular economy, climate action, and small businesses growth and creation. </w:t>
      </w:r>
    </w:p>
    <w:p>
      <w:pPr>
        <w:pStyle w:val="NoSpacing"/>
        <w:spacing w:after="120" w:line="264" w:lineRule="auto"/>
        <w:rPr>
          <w:rStyle w:val="Aucun"/>
          <w:rFonts w:cs="Times New Roman"/>
          <w:noProof/>
          <w:lang w:val="en-GB"/>
        </w:rPr>
      </w:pPr>
      <w:r>
        <w:rPr>
          <w:rStyle w:val="Aucun"/>
          <w:rFonts w:cs="Times New Roman"/>
          <w:noProof/>
          <w:lang w:val="en-GB"/>
        </w:rPr>
        <w:t>Renewed efforts are needed to tackle persisting market fragmentation</w:t>
      </w:r>
      <w:r>
        <w:rPr>
          <w:rStyle w:val="FootnoteReference"/>
          <w:rFonts w:cs="Times New Roman"/>
          <w:noProof/>
          <w:lang w:val="en-GB"/>
        </w:rPr>
        <w:footnoteReference w:id="66"/>
      </w:r>
      <w:r>
        <w:rPr>
          <w:rStyle w:val="Aucun"/>
          <w:rFonts w:cs="Times New Roman"/>
          <w:noProof/>
          <w:lang w:val="en-GB"/>
        </w:rPr>
        <w:t xml:space="preserve"> and market failures caused by private investors' risk-averseness, the public sector's limited funding capacity and structural inefficiencies of the investment environment. Member States cannot sufficiently bridge those investment gaps alone.</w:t>
      </w:r>
    </w:p>
    <w:p>
      <w:pPr>
        <w:pStyle w:val="NoSpacing"/>
        <w:spacing w:after="120" w:line="264" w:lineRule="auto"/>
        <w:rPr>
          <w:rStyle w:val="Aucun"/>
          <w:rFonts w:cs="Times New Roman"/>
          <w:noProof/>
          <w:lang w:val="en-GB"/>
        </w:rPr>
      </w:pPr>
      <w:r>
        <w:rPr>
          <w:rStyle w:val="Aucun"/>
          <w:rFonts w:cs="Times New Roman"/>
          <w:noProof/>
          <w:lang w:val="en-GB"/>
        </w:rPr>
        <w:t>An intervention at EU level ensures that a critical mass of resources can be leveraged so as to maximise the impact of investment on the ground. Intervention at EU level can better attain the objectives pursued mainly because of the disparities in Member States' fiscal capacity to act. In addition, the EU level provides for economies of scale in the use of innovative financial products by catalysing private investment in the whole EU and making best use of the European institutions and their expertise for that purpose. The EU intervention also provides access to a diversified portfolio of European projects, thereby catalysing private investment, and allows for the development of innovative financing solutions which can be scaled up or replicated in all Member States.</w:t>
      </w:r>
    </w:p>
    <w:p>
      <w:pPr>
        <w:pStyle w:val="NoSpacing"/>
        <w:spacing w:after="120" w:line="264" w:lineRule="auto"/>
        <w:rPr>
          <w:rFonts w:cs="Times New Roman"/>
          <w:noProof/>
          <w:lang w:val="en-GB"/>
        </w:rPr>
      </w:pPr>
      <w:r>
        <w:rPr>
          <w:rFonts w:cs="Times New Roman"/>
          <w:noProof/>
          <w:lang w:val="en-GB"/>
        </w:rPr>
        <w:t xml:space="preserve">Added value could also be expected from channelling ESIF contributions to the InvestEU Fund where the budgetary guarantee could enhance the support to specific final recipients or products in the programme areas. </w:t>
      </w:r>
    </w:p>
    <w:p>
      <w:pPr>
        <w:pStyle w:val="NoSpacing"/>
        <w:spacing w:after="120" w:line="264" w:lineRule="auto"/>
        <w:rPr>
          <w:rStyle w:val="Aucun"/>
          <w:rFonts w:cs="Times New Roman"/>
          <w:noProof/>
          <w:lang w:val="en-GB"/>
        </w:rPr>
      </w:pPr>
      <w:r>
        <w:rPr>
          <w:rStyle w:val="Aucun"/>
          <w:rFonts w:cs="Times New Roman"/>
          <w:noProof/>
          <w:lang w:val="en-GB"/>
        </w:rPr>
        <w:t xml:space="preserve">In addition, an EU intervention is the only tool capable to effectively address investment needs linked to the EU-wide policy objectives. Tackling the problem only with structural reforms and improved regulatory environment would not be sufficient to address the remaining investment gaps in the post 2020 period. </w:t>
      </w:r>
    </w:p>
    <w:p>
      <w:pPr>
        <w:pStyle w:val="NoSpacing"/>
        <w:spacing w:after="120" w:line="264" w:lineRule="auto"/>
        <w:rPr>
          <w:rStyle w:val="Aucun"/>
          <w:rFonts w:cs="Times New Roman"/>
          <w:noProof/>
          <w:lang w:val="en-GB"/>
        </w:rPr>
      </w:pPr>
      <w:r>
        <w:rPr>
          <w:rStyle w:val="Aucun"/>
          <w:rFonts w:cs="Times New Roman"/>
          <w:noProof/>
          <w:lang w:val="en-GB"/>
        </w:rPr>
        <w:t>A more detailed analysis of the EU Added Value per policy window is available in the Annex 4 (Scoping Papers per policy Window).</w:t>
      </w:r>
    </w:p>
    <w:p>
      <w:pPr>
        <w:pStyle w:val="NoSpacing"/>
        <w:spacing w:after="120" w:line="264" w:lineRule="auto"/>
        <w:rPr>
          <w:rStyle w:val="Aucun"/>
          <w:rFonts w:cs="Times New Roman"/>
          <w:noProof/>
          <w:lang w:val="en-GB"/>
        </w:rPr>
      </w:pPr>
      <w:bookmarkStart w:id="6902" w:name="_Toc510517467"/>
      <w:bookmarkStart w:id="6903" w:name="_Toc510517997"/>
      <w:bookmarkStart w:id="6904" w:name="_Toc510606756"/>
      <w:bookmarkStart w:id="6905" w:name="_Toc510607180"/>
      <w:bookmarkStart w:id="6906" w:name="_Toc510608489"/>
      <w:bookmarkStart w:id="6907" w:name="_Toc510609452"/>
      <w:bookmarkStart w:id="6908" w:name="_Toc510609842"/>
      <w:bookmarkStart w:id="6909" w:name="_Toc510610437"/>
      <w:bookmarkStart w:id="6910" w:name="_Toc510612924"/>
      <w:bookmarkStart w:id="6911" w:name="_Toc510615696"/>
      <w:bookmarkStart w:id="6912" w:name="_Toc510616878"/>
      <w:bookmarkEnd w:id="6902"/>
      <w:bookmarkEnd w:id="6903"/>
      <w:bookmarkEnd w:id="6904"/>
      <w:bookmarkEnd w:id="6905"/>
      <w:bookmarkEnd w:id="6906"/>
      <w:bookmarkEnd w:id="6907"/>
      <w:bookmarkEnd w:id="6908"/>
      <w:bookmarkEnd w:id="6909"/>
      <w:bookmarkEnd w:id="6910"/>
      <w:bookmarkEnd w:id="6911"/>
      <w:bookmarkEnd w:id="6912"/>
      <w:r>
        <w:rPr>
          <w:rStyle w:val="Aucun"/>
          <w:rFonts w:cs="Times New Roman"/>
          <w:noProof/>
          <w:lang w:val="en-GB"/>
        </w:rPr>
        <w:t>Moreover, the InvestEU Fund will develop a set of principles and criteria to address additionality at project level. An initial reflection on the subject is included in Annex 10.</w:t>
      </w:r>
    </w:p>
    <w:p>
      <w:pPr>
        <w:pStyle w:val="Heading2"/>
        <w:spacing w:line="264" w:lineRule="auto"/>
        <w:rPr>
          <w:noProof/>
          <w:szCs w:val="24"/>
        </w:rPr>
      </w:pPr>
      <w:bookmarkStart w:id="6913" w:name="_Toc510606757"/>
      <w:bookmarkStart w:id="6914" w:name="_Toc510607181"/>
      <w:bookmarkStart w:id="6915" w:name="_Toc510608490"/>
      <w:bookmarkStart w:id="6916" w:name="_Toc510609453"/>
      <w:bookmarkStart w:id="6917" w:name="_Toc510609843"/>
      <w:bookmarkStart w:id="6918" w:name="_Toc510610438"/>
      <w:bookmarkStart w:id="6919" w:name="_Toc510612925"/>
      <w:bookmarkStart w:id="6920" w:name="_Toc510615697"/>
      <w:bookmarkStart w:id="6921" w:name="_Toc510616879"/>
      <w:bookmarkStart w:id="6922" w:name="_Toc510207070"/>
      <w:bookmarkStart w:id="6923" w:name="_Toc510207863"/>
      <w:bookmarkStart w:id="6924" w:name="_Toc510517309"/>
      <w:bookmarkStart w:id="6925" w:name="_Toc510517468"/>
      <w:bookmarkStart w:id="6926" w:name="_Toc510517801"/>
      <w:bookmarkStart w:id="6927" w:name="_Toc510517998"/>
      <w:bookmarkStart w:id="6928" w:name="_Toc510593759"/>
      <w:bookmarkStart w:id="6929" w:name="_Toc510594136"/>
      <w:bookmarkStart w:id="6930" w:name="_Toc510606758"/>
      <w:bookmarkStart w:id="6931" w:name="_Toc510607182"/>
      <w:bookmarkStart w:id="6932" w:name="_Toc510608491"/>
      <w:bookmarkStart w:id="6933" w:name="_Toc510609454"/>
      <w:bookmarkStart w:id="6934" w:name="_Toc510609844"/>
      <w:bookmarkStart w:id="6935" w:name="_Toc510610439"/>
      <w:bookmarkStart w:id="6936" w:name="_Toc510612926"/>
      <w:bookmarkStart w:id="6937" w:name="_Toc510615698"/>
      <w:bookmarkStart w:id="6938" w:name="_Toc510616880"/>
      <w:bookmarkStart w:id="6939" w:name="_Toc510517802"/>
      <w:bookmarkStart w:id="6940" w:name="_Toc510612927"/>
      <w:bookmarkStart w:id="6941" w:name="_Toc510683717"/>
      <w:bookmarkStart w:id="6942" w:name="_Ref514314230"/>
      <w:bookmarkStart w:id="6943" w:name="_Toc515348887"/>
      <w:bookmarkEnd w:id="6896"/>
      <w:bookmarkEnd w:id="6897"/>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r>
        <w:rPr>
          <w:noProof/>
          <w:szCs w:val="24"/>
        </w:rPr>
        <w:t>Governance</w:t>
      </w:r>
      <w:bookmarkEnd w:id="6939"/>
      <w:bookmarkEnd w:id="6940"/>
      <w:bookmarkEnd w:id="6941"/>
      <w:bookmarkEnd w:id="6942"/>
      <w:bookmarkEnd w:id="6943"/>
    </w:p>
    <w:p>
      <w:pPr>
        <w:pStyle w:val="Text2"/>
        <w:spacing w:after="120" w:line="264" w:lineRule="auto"/>
        <w:ind w:left="0"/>
        <w:rPr>
          <w:noProof/>
          <w:szCs w:val="24"/>
        </w:rPr>
      </w:pPr>
      <w:r>
        <w:rPr>
          <w:noProof/>
          <w:szCs w:val="24"/>
        </w:rPr>
        <w:t xml:space="preserve">There are several options on how the InvestEU Fund’s governance could be organised. These options relate to several possible layers: centralisation versus decentralisation, in-house governance at the Commission level versus independent governance structure outsourced to an implementing partner similar to the system for the EFSI. </w:t>
      </w:r>
    </w:p>
    <w:p>
      <w:pPr>
        <w:pStyle w:val="Text1"/>
        <w:spacing w:after="120" w:line="264" w:lineRule="auto"/>
        <w:ind w:left="0"/>
        <w:rPr>
          <w:noProof/>
          <w:szCs w:val="24"/>
        </w:rPr>
      </w:pPr>
      <w:r>
        <w:rPr>
          <w:noProof/>
          <w:szCs w:val="24"/>
        </w:rPr>
        <w:t xml:space="preserve">The governance structure currently used for the EFSI exhibits important drawbacks in the context of the InvestEU Fund ambitions. Compared to the EFSI, and also due to the need for flexibility to respond to changing market needs, the InvestEU Fund will be more focused on addressing specific policy objectives. This will require a stronger policy steer. Second, the need for simplification, flexibility, and the fact that InvestEU Fund foresees several implementing partners exclude the possibility for external governance organised at a specific implementing partner level. Under the InvestEU Fund, the Commission will be able to grant the EU Guarantee to any implementing partner that fulfils the relevant criteria.  </w:t>
      </w:r>
    </w:p>
    <w:p>
      <w:pPr>
        <w:pStyle w:val="Text1"/>
        <w:spacing w:after="120" w:line="264" w:lineRule="auto"/>
        <w:ind w:left="0"/>
        <w:rPr>
          <w:noProof/>
          <w:szCs w:val="24"/>
        </w:rPr>
      </w:pPr>
      <w:r>
        <w:rPr>
          <w:noProof/>
          <w:szCs w:val="24"/>
        </w:rPr>
        <w:t xml:space="preserve">Therefore, maintaining the governance at the Commission level will better fulfil the InvestEU Fund’s objectives and accountability, and in terms of structure will ensure an adequate and coherent policy steer. It will also facilitate a more in-depth overview of the supported projects and consequently facilitate risk management. Outsourcing the governance to several implementing partners would weaken the policy steer compared to an in-house Commission solution and potentially weaken the alignment of interests and coherence in decision-making.  </w:t>
      </w:r>
    </w:p>
    <w:p>
      <w:pPr>
        <w:pStyle w:val="Text1"/>
        <w:spacing w:after="120" w:line="264" w:lineRule="auto"/>
        <w:ind w:left="0"/>
        <w:rPr>
          <w:noProof/>
          <w:szCs w:val="24"/>
        </w:rPr>
      </w:pPr>
      <w:r>
        <w:rPr>
          <w:noProof/>
          <w:szCs w:val="24"/>
        </w:rPr>
        <w:t>Neither a completely decentralised nor a centralised system is desirable. The decentralised governance would just imitate the current fragmented governance for the existing instruments. A single governance for the whole InvestEU Fund would on the other hand be too general and would not cater for specific policy needs. Thus, the governance should be aligned with the proposed window-based structure of the InvestEU Fund. This would include an overall InvestEU Fund governance complemented by separate but interlinked governance arrangements at policy windows level.</w:t>
      </w:r>
    </w:p>
    <w:p>
      <w:pPr>
        <w:pStyle w:val="Text1"/>
        <w:spacing w:after="120" w:line="264" w:lineRule="auto"/>
        <w:ind w:left="0"/>
        <w:rPr>
          <w:noProof/>
          <w:szCs w:val="24"/>
        </w:rPr>
      </w:pPr>
      <w:r>
        <w:rPr>
          <w:noProof/>
          <w:szCs w:val="24"/>
        </w:rPr>
        <w:fldChar w:fldCharType="begin"/>
      </w:r>
      <w:r>
        <w:rPr>
          <w:noProof/>
          <w:szCs w:val="24"/>
        </w:rPr>
        <w:instrText xml:space="preserve"> REF _Ref515349194 \h </w:instrText>
      </w:r>
      <w:r>
        <w:rPr>
          <w:noProof/>
          <w:szCs w:val="24"/>
        </w:rPr>
      </w:r>
      <w:r>
        <w:rPr>
          <w:noProof/>
          <w:szCs w:val="24"/>
        </w:rPr>
        <w:fldChar w:fldCharType="separate"/>
      </w:r>
      <w:r>
        <w:rPr>
          <w:noProof/>
          <w:szCs w:val="24"/>
        </w:rPr>
        <w:t>Figure 8</w:t>
      </w:r>
      <w:r>
        <w:rPr>
          <w:noProof/>
          <w:szCs w:val="24"/>
        </w:rPr>
        <w:fldChar w:fldCharType="end"/>
      </w:r>
      <w:r>
        <w:rPr>
          <w:noProof/>
          <w:szCs w:val="24"/>
        </w:rPr>
        <w:t xml:space="preserve"> below presents a visual comparison of the governance arrangements for the EFSI and current centrally managed financial instruments compared to the proposal under the InvestEU Programme (full-sized graphs can be found in Annex 13).</w:t>
      </w:r>
    </w:p>
    <w:p>
      <w:pPr>
        <w:pStyle w:val="Text1"/>
        <w:spacing w:after="120" w:line="264" w:lineRule="auto"/>
        <w:ind w:left="0"/>
        <w:rPr>
          <w:noProof/>
          <w:szCs w:val="24"/>
        </w:rPr>
      </w:pPr>
      <w:r>
        <w:rPr>
          <w:noProof/>
          <w:szCs w:val="24"/>
        </w:rPr>
        <w:t>A key challenge of a governance structure organised at a Commission level is to ensure an appropriate level of banking and investment expertise. This can however be mitigated with active involvement of experts and implementing partners in the InvestEU Fund’s structure. Overall, the governance structure aims at looking at the InvestEU Fund as a whole while pursuing the different policy objectives and maintaining an acceptable level of risk. To this end, effective risk management with regard to the use of the EU budget guarantee is foreseen to be set-up and implemented with the aim to ensure that risks are identified, managed and communicated. In particular, a risk assessment function will be established for the purpose of monitoring the EU guarantee under the InvestEU Fund. Moreover, effective rules for managing conflicts of interest will be put in place to ensure segregation of duties, and proper verification at all governance levels will be consistently maintained.</w:t>
      </w:r>
    </w:p>
    <w:p>
      <w:pPr>
        <w:pStyle w:val="Text1"/>
        <w:spacing w:after="120" w:line="264" w:lineRule="auto"/>
        <w:ind w:left="0"/>
        <w:rPr>
          <w:noProof/>
          <w:szCs w:val="24"/>
        </w:rPr>
      </w:pPr>
    </w:p>
    <w:p>
      <w:pPr>
        <w:pStyle w:val="Text1"/>
        <w:spacing w:after="120" w:line="264" w:lineRule="auto"/>
        <w:ind w:left="0"/>
        <w:rPr>
          <w:noProof/>
          <w:szCs w:val="24"/>
        </w:rPr>
      </w:pPr>
    </w:p>
    <w:p>
      <w:pPr>
        <w:pStyle w:val="Caption"/>
        <w:keepNext/>
        <w:keepLines/>
        <w:spacing w:line="264" w:lineRule="auto"/>
        <w:rPr>
          <w:rFonts w:cs="Times New Roman"/>
          <w:noProof/>
          <w:szCs w:val="24"/>
        </w:rPr>
      </w:pPr>
      <w:bookmarkStart w:id="6944" w:name="_Ref515349194"/>
      <w:bookmarkStart w:id="6945" w:name="_Toc515348919"/>
      <w:r>
        <w:rPr>
          <w:rFonts w:cs="Times New Roman"/>
          <w:noProof/>
          <w:szCs w:val="24"/>
        </w:rPr>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8</w:t>
      </w:r>
      <w:r>
        <w:rPr>
          <w:rFonts w:cs="Times New Roman"/>
          <w:noProof/>
          <w:szCs w:val="24"/>
        </w:rPr>
        <w:fldChar w:fldCharType="end"/>
      </w:r>
      <w:bookmarkEnd w:id="6944"/>
      <w:r>
        <w:rPr>
          <w:rFonts w:cs="Times New Roman"/>
          <w:noProof/>
          <w:szCs w:val="24"/>
        </w:rPr>
        <w:t xml:space="preserve"> - Current governance for EFSI and FIs vs the proposed governance under InvestEU</w:t>
      </w:r>
      <w:bookmarkEnd w:id="6945"/>
      <w:r>
        <w:rPr>
          <w:rFonts w:cs="Times New Roman"/>
          <w:noProof/>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trPr>
          <w:cantSplit/>
        </w:trPr>
        <w:tc>
          <w:tcPr>
            <w:tcW w:w="9570" w:type="dxa"/>
          </w:tcPr>
          <w:p>
            <w:pPr>
              <w:pStyle w:val="Text1"/>
              <w:keepNext/>
              <w:keepLines/>
              <w:spacing w:after="120" w:line="264" w:lineRule="auto"/>
              <w:ind w:left="0"/>
              <w:jc w:val="center"/>
              <w:rPr>
                <w:noProof/>
                <w:szCs w:val="24"/>
              </w:rPr>
            </w:pPr>
            <w:r>
              <w:rPr>
                <w:noProof/>
                <w:szCs w:val="24"/>
                <w:lang w:val="en-US"/>
              </w:rPr>
              <w:drawing>
                <wp:inline distT="0" distB="0" distL="0" distR="0">
                  <wp:extent cx="4686300" cy="376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3763250"/>
                          </a:xfrm>
                          <a:prstGeom prst="rect">
                            <a:avLst/>
                          </a:prstGeom>
                          <a:noFill/>
                        </pic:spPr>
                      </pic:pic>
                    </a:graphicData>
                  </a:graphic>
                </wp:inline>
              </w:drawing>
            </w:r>
          </w:p>
          <w:p>
            <w:pPr>
              <w:pStyle w:val="Text1"/>
              <w:keepNext/>
              <w:keepLines/>
              <w:spacing w:after="120" w:line="264" w:lineRule="auto"/>
              <w:ind w:left="0"/>
              <w:jc w:val="center"/>
              <w:rPr>
                <w:b/>
                <w:noProof/>
                <w:szCs w:val="24"/>
              </w:rPr>
            </w:pPr>
            <w:r>
              <w:rPr>
                <w:b/>
                <w:noProof/>
                <w:szCs w:val="24"/>
              </w:rPr>
              <w:t>Proposed InvestEU Programme governance</w:t>
            </w:r>
          </w:p>
        </w:tc>
      </w:tr>
      <w:tr>
        <w:trPr>
          <w:cantSplit/>
        </w:trPr>
        <w:tc>
          <w:tcPr>
            <w:tcW w:w="9570" w:type="dxa"/>
          </w:tcPr>
          <w:p>
            <w:pPr>
              <w:pStyle w:val="Text1"/>
              <w:keepNext/>
              <w:keepLines/>
              <w:spacing w:after="120" w:line="264" w:lineRule="auto"/>
              <w:ind w:left="0"/>
              <w:jc w:val="center"/>
              <w:rPr>
                <w:noProof/>
                <w:szCs w:val="24"/>
              </w:rPr>
            </w:pPr>
            <w:r>
              <w:rPr>
                <w:noProof/>
                <w:szCs w:val="24"/>
                <w:lang w:val="en-US"/>
              </w:rPr>
              <w:drawing>
                <wp:inline distT="0" distB="0" distL="0" distR="0">
                  <wp:extent cx="4386049" cy="3106404"/>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5621" cy="3113183"/>
                          </a:xfrm>
                          <a:prstGeom prst="rect">
                            <a:avLst/>
                          </a:prstGeom>
                          <a:noFill/>
                        </pic:spPr>
                      </pic:pic>
                    </a:graphicData>
                  </a:graphic>
                </wp:inline>
              </w:drawing>
            </w:r>
          </w:p>
        </w:tc>
      </w:tr>
    </w:tbl>
    <w:p>
      <w:pPr>
        <w:pStyle w:val="Text1"/>
        <w:keepNext/>
        <w:keepLines/>
        <w:spacing w:after="120" w:line="264" w:lineRule="auto"/>
        <w:ind w:left="0"/>
        <w:rPr>
          <w:noProof/>
          <w:sz w:val="22"/>
        </w:rPr>
      </w:pPr>
      <w:r>
        <w:rPr>
          <w:b/>
          <w:noProof/>
          <w:sz w:val="22"/>
        </w:rPr>
        <w:t>Source</w:t>
      </w:r>
      <w:r>
        <w:rPr>
          <w:noProof/>
          <w:sz w:val="22"/>
        </w:rPr>
        <w:t>: Commission services</w:t>
      </w:r>
    </w:p>
    <w:p>
      <w:pPr>
        <w:spacing w:line="264" w:lineRule="auto"/>
        <w:rPr>
          <w:rFonts w:cs="Times New Roman"/>
          <w:noProof/>
          <w:szCs w:val="24"/>
        </w:rPr>
      </w:pPr>
      <w:r>
        <w:rPr>
          <w:rFonts w:cs="Times New Roman"/>
          <w:bCs/>
          <w:noProof/>
          <w:szCs w:val="24"/>
        </w:rPr>
        <w:t xml:space="preserve">Moreover, the governance structure of the InvestEU Programme reflects its reinforced policy orientation and strengthened steer by the Commission. </w:t>
      </w:r>
      <w:r>
        <w:rPr>
          <w:rFonts w:cs="Times New Roman"/>
          <w:noProof/>
          <w:szCs w:val="24"/>
        </w:rPr>
        <w:t xml:space="preserve">The InvestEU Programme planned governance is composed of both external elements to be foreseen in the draft legislation (Advisory Board, Investment Committee and, partially, Project Team) and Commission internal coordination (Steering Board, Policy Boards, Inter-Service Coordination Committee, Secretariat and, partially, Project Team): </w:t>
      </w:r>
    </w:p>
    <w:p>
      <w:pPr>
        <w:pStyle w:val="Bulet"/>
        <w:spacing w:line="264" w:lineRule="auto"/>
        <w:rPr>
          <w:b/>
          <w:noProof/>
          <w:szCs w:val="24"/>
        </w:rPr>
      </w:pPr>
      <w:r>
        <w:rPr>
          <w:b/>
          <w:noProof/>
          <w:szCs w:val="24"/>
        </w:rPr>
        <w:t xml:space="preserve">Advisory Board: </w:t>
      </w:r>
      <w:r>
        <w:rPr>
          <w:noProof/>
          <w:szCs w:val="24"/>
        </w:rPr>
        <w:t>An Advisory Board meeting in two compositions: (i) representatives of the implementing partners, and (ii) representatives of the Member States will be set up in order to allow the Steering Board and the Policy Boards (see below) to consult the implementing partners and the Member States when preparing and designing new financial products, following market developments and sharing information.</w:t>
      </w:r>
    </w:p>
    <w:p>
      <w:pPr>
        <w:pStyle w:val="Bulet"/>
        <w:spacing w:line="264" w:lineRule="auto"/>
        <w:rPr>
          <w:noProof/>
          <w:szCs w:val="24"/>
        </w:rPr>
      </w:pPr>
      <w:r>
        <w:rPr>
          <w:b/>
          <w:noProof/>
          <w:szCs w:val="24"/>
        </w:rPr>
        <w:t xml:space="preserve">Steering Board (Commission internal): </w:t>
      </w:r>
      <w:r>
        <w:rPr>
          <w:noProof/>
          <w:szCs w:val="24"/>
        </w:rPr>
        <w:t>A Steering Board to ensure horizontal coordination and steering of the InvestEU Fund will be set up. The Steering Board will prepare the various horizontal documents necessary for the functioning of the InvestEU Fund (investment guidelines, scoreboard, harmonised format for project submission by implementing partners etc.). Moreover, the Steering Board will monitor the overall risk profile of the InvestEU Fund and verify that the risk characteristics of the financial products proposed under the policy windows correspond to the general risk profile and general orientations of the InvestEU Fund.</w:t>
      </w:r>
      <w:r>
        <w:rPr>
          <w:rStyle w:val="FootnoteReference"/>
          <w:noProof/>
          <w:szCs w:val="24"/>
        </w:rPr>
        <w:footnoteReference w:id="67"/>
      </w:r>
    </w:p>
    <w:p>
      <w:pPr>
        <w:pStyle w:val="Bulet"/>
        <w:spacing w:line="264" w:lineRule="auto"/>
        <w:rPr>
          <w:noProof/>
          <w:szCs w:val="24"/>
        </w:rPr>
      </w:pPr>
      <w:r>
        <w:rPr>
          <w:b/>
          <w:noProof/>
          <w:szCs w:val="24"/>
        </w:rPr>
        <w:t>Policy Boards (Commission internal):</w:t>
      </w:r>
      <w:r>
        <w:rPr>
          <w:noProof/>
          <w:szCs w:val="24"/>
        </w:rPr>
        <w:t xml:space="preserve"> Investment support will be allocated under four policy windows clustering financial products by policy areas. Each window will have a Policy Board, composed and led by policy DGs. The Policy Board will be in charge of the design of financial products within a window (including the resources attached to them and the necessary risk provisioning within the parameters set by the Steering Board) and monitoring of the performance of the implementing partners within that window.</w:t>
      </w:r>
    </w:p>
    <w:p>
      <w:pPr>
        <w:pStyle w:val="Bulet"/>
        <w:spacing w:line="264" w:lineRule="auto"/>
        <w:rPr>
          <w:noProof/>
          <w:szCs w:val="24"/>
        </w:rPr>
      </w:pPr>
      <w:r>
        <w:rPr>
          <w:b/>
          <w:noProof/>
          <w:szCs w:val="24"/>
        </w:rPr>
        <w:t>Investment Committee:</w:t>
      </w:r>
      <w:r>
        <w:rPr>
          <w:noProof/>
          <w:szCs w:val="24"/>
        </w:rPr>
        <w:t xml:space="preserve"> The Investment Committee, which meets in four different configurations corresponding to the windows, approves the use of the EU guarantee according to the eligibility criteria set by the InvestEU Fund regulation to operations proposed by implementing partners. The Investment Committee will be composed of four independent experts who will be the same for all the four compositions to ensure horizontal consistency and of two independent experts per window specialised in the policy area of their respective window. It will make its assessment on the basis of the scoreboard.</w:t>
      </w:r>
    </w:p>
    <w:p>
      <w:pPr>
        <w:pStyle w:val="Bulet"/>
        <w:spacing w:line="264" w:lineRule="auto"/>
        <w:rPr>
          <w:noProof/>
        </w:rPr>
      </w:pPr>
      <w:r>
        <w:rPr>
          <w:b/>
          <w:noProof/>
        </w:rPr>
        <w:t xml:space="preserve">Project Team: </w:t>
      </w:r>
      <w:r>
        <w:rPr>
          <w:noProof/>
        </w:rPr>
        <w:t xml:space="preserve">The Project Team will comprise experts put at the disposal of the Commission by implementing partners. </w:t>
      </w:r>
      <w:r>
        <w:rPr>
          <w:noProof/>
          <w:szCs w:val="24"/>
        </w:rPr>
        <w:t>Subject to a positive confirmation by the Commission of consistency of the proposed operations with Union law and policies, the Project Team will perform a quality control of the due diligence of the proposed financing investment operations carried out by the implementing partners. Financing and investment operations are then submitted to the Investment Committee for approval of the coverage by the EU guarantee.</w:t>
      </w:r>
      <w:r>
        <w:rPr>
          <w:noProof/>
        </w:rPr>
        <w:t xml:space="preserve"> </w:t>
      </w:r>
      <w:r>
        <w:rPr>
          <w:noProof/>
          <w:szCs w:val="24"/>
        </w:rPr>
        <w:t xml:space="preserve">All implementing partners will be requested to second a number of banking and risk management experts to the Commission who will review the risk features/issues of the projects submitted for this purpose. These experts will not work on projects submitted by their institution of origin to prevent conflicts of interest.   </w:t>
      </w:r>
    </w:p>
    <w:p>
      <w:pPr>
        <w:pStyle w:val="Bulet"/>
        <w:spacing w:line="264" w:lineRule="auto"/>
        <w:rPr>
          <w:noProof/>
        </w:rPr>
      </w:pPr>
      <w:r>
        <w:rPr>
          <w:b/>
          <w:noProof/>
        </w:rPr>
        <w:t>Secretariat (Commission internal):</w:t>
      </w:r>
      <w:r>
        <w:rPr>
          <w:noProof/>
        </w:rPr>
        <w:t xml:space="preserve"> The implementing partners will send projects or facilities/programmes to the InvestEU Fund Secretariat, which will attribute them through the Project Team to the Investment Committee of the relevant Policy Window.</w:t>
      </w:r>
      <w:bookmarkStart w:id="6946" w:name="_Toc514577219"/>
      <w:bookmarkStart w:id="6947" w:name="_Toc514577333"/>
      <w:bookmarkStart w:id="6948" w:name="_Toc510606760"/>
      <w:bookmarkStart w:id="6949" w:name="_Toc510607184"/>
      <w:bookmarkStart w:id="6950" w:name="_Toc510609846"/>
      <w:bookmarkStart w:id="6951" w:name="_Toc510612928"/>
      <w:bookmarkStart w:id="6952" w:name="_Toc510615700"/>
      <w:bookmarkStart w:id="6953" w:name="_Toc510616882"/>
      <w:bookmarkStart w:id="6954" w:name="_Toc510593761"/>
      <w:bookmarkStart w:id="6955" w:name="_Toc510594138"/>
      <w:bookmarkStart w:id="6956" w:name="_Toc510606761"/>
      <w:bookmarkStart w:id="6957" w:name="_Toc510607185"/>
      <w:bookmarkStart w:id="6958" w:name="_Toc510609847"/>
      <w:bookmarkStart w:id="6959" w:name="_Toc510612929"/>
      <w:bookmarkStart w:id="6960" w:name="_Toc510615701"/>
      <w:bookmarkStart w:id="6961" w:name="_Toc510616883"/>
      <w:bookmarkStart w:id="6962" w:name="_Toc510207072"/>
      <w:bookmarkStart w:id="6963" w:name="_Toc510207865"/>
      <w:bookmarkStart w:id="6964" w:name="_Toc510517803"/>
      <w:bookmarkStart w:id="6965" w:name="_Toc510593762"/>
      <w:bookmarkStart w:id="6966" w:name="_Toc510594139"/>
      <w:bookmarkStart w:id="6967" w:name="_Toc510606762"/>
      <w:bookmarkStart w:id="6968" w:name="_Toc510607186"/>
      <w:bookmarkStart w:id="6969" w:name="_Toc510609848"/>
      <w:bookmarkStart w:id="6970" w:name="_Toc510612930"/>
      <w:bookmarkStart w:id="6971" w:name="_Toc510615702"/>
      <w:bookmarkStart w:id="6972" w:name="_Toc510616884"/>
      <w:bookmarkStart w:id="6973" w:name="_Toc509067274"/>
      <w:bookmarkStart w:id="6974" w:name="_Toc509068708"/>
      <w:bookmarkStart w:id="6975" w:name="_Toc509069215"/>
      <w:bookmarkStart w:id="6976" w:name="_Toc509069216"/>
      <w:bookmarkStart w:id="6977" w:name="_Toc509069217"/>
      <w:bookmarkStart w:id="6978" w:name="_Toc509069218"/>
      <w:bookmarkStart w:id="6979" w:name="_Toc510207074"/>
      <w:bookmarkStart w:id="6980" w:name="_Toc510207867"/>
      <w:bookmarkStart w:id="6981" w:name="_Toc510517805"/>
      <w:bookmarkStart w:id="6982" w:name="_Toc510593764"/>
      <w:bookmarkStart w:id="6983" w:name="_Toc510594141"/>
      <w:bookmarkStart w:id="6984" w:name="_Toc510606764"/>
      <w:bookmarkStart w:id="6985" w:name="_Toc510607188"/>
      <w:bookmarkStart w:id="6986" w:name="_Toc510609850"/>
      <w:bookmarkStart w:id="6987" w:name="_Toc510612932"/>
      <w:bookmarkStart w:id="6988" w:name="_Toc510615704"/>
      <w:bookmarkStart w:id="6989" w:name="_Toc510616886"/>
      <w:bookmarkStart w:id="6990" w:name="_Toc510207075"/>
      <w:bookmarkStart w:id="6991" w:name="_Toc510207868"/>
      <w:bookmarkStart w:id="6992" w:name="_Toc510517806"/>
      <w:bookmarkStart w:id="6993" w:name="_Toc510593765"/>
      <w:bookmarkStart w:id="6994" w:name="_Toc510594142"/>
      <w:bookmarkStart w:id="6995" w:name="_Toc510606765"/>
      <w:bookmarkStart w:id="6996" w:name="_Toc510607189"/>
      <w:bookmarkStart w:id="6997" w:name="_Toc510609851"/>
      <w:bookmarkStart w:id="6998" w:name="_Toc510612933"/>
      <w:bookmarkStart w:id="6999" w:name="_Toc510615705"/>
      <w:bookmarkStart w:id="7000" w:name="_Toc510616887"/>
      <w:bookmarkStart w:id="7001" w:name="_Toc510207076"/>
      <w:bookmarkStart w:id="7002" w:name="_Toc510207869"/>
      <w:bookmarkStart w:id="7003" w:name="_Toc510517807"/>
      <w:bookmarkStart w:id="7004" w:name="_Toc510593766"/>
      <w:bookmarkStart w:id="7005" w:name="_Toc510594143"/>
      <w:bookmarkStart w:id="7006" w:name="_Toc510606766"/>
      <w:bookmarkStart w:id="7007" w:name="_Toc510607190"/>
      <w:bookmarkStart w:id="7008" w:name="_Toc510609852"/>
      <w:bookmarkStart w:id="7009" w:name="_Toc510612934"/>
      <w:bookmarkStart w:id="7010" w:name="_Toc510615706"/>
      <w:bookmarkStart w:id="7011" w:name="_Toc510616888"/>
      <w:bookmarkStart w:id="7012" w:name="_Toc510207077"/>
      <w:bookmarkStart w:id="7013" w:name="_Toc510207870"/>
      <w:bookmarkStart w:id="7014" w:name="_Toc510517312"/>
      <w:bookmarkStart w:id="7015" w:name="_Toc510517471"/>
      <w:bookmarkStart w:id="7016" w:name="_Toc510517808"/>
      <w:bookmarkStart w:id="7017" w:name="_Toc510518001"/>
      <w:bookmarkStart w:id="7018" w:name="_Toc510593767"/>
      <w:bookmarkStart w:id="7019" w:name="_Toc510594144"/>
      <w:bookmarkStart w:id="7020" w:name="_Toc510606767"/>
      <w:bookmarkStart w:id="7021" w:name="_Toc510607191"/>
      <w:bookmarkStart w:id="7022" w:name="_Toc510608494"/>
      <w:bookmarkStart w:id="7023" w:name="_Toc510609457"/>
      <w:bookmarkStart w:id="7024" w:name="_Toc510609853"/>
      <w:bookmarkStart w:id="7025" w:name="_Toc510610442"/>
      <w:bookmarkStart w:id="7026" w:name="_Toc510612935"/>
      <w:bookmarkStart w:id="7027" w:name="_Toc510615707"/>
      <w:bookmarkStart w:id="7028" w:name="_Toc510616889"/>
      <w:bookmarkStart w:id="7029" w:name="_Toc510207078"/>
      <w:bookmarkStart w:id="7030" w:name="_Toc510207871"/>
      <w:bookmarkStart w:id="7031" w:name="_Toc510517809"/>
      <w:bookmarkStart w:id="7032" w:name="_Toc510593768"/>
      <w:bookmarkStart w:id="7033" w:name="_Toc510594145"/>
      <w:bookmarkStart w:id="7034" w:name="_Toc510606768"/>
      <w:bookmarkStart w:id="7035" w:name="_Toc510607192"/>
      <w:bookmarkStart w:id="7036" w:name="_Toc510609854"/>
      <w:bookmarkStart w:id="7037" w:name="_Toc510612936"/>
      <w:bookmarkStart w:id="7038" w:name="_Toc510615708"/>
      <w:bookmarkStart w:id="7039" w:name="_Toc510616890"/>
      <w:bookmarkStart w:id="7040" w:name="_Toc510207079"/>
      <w:bookmarkStart w:id="7041" w:name="_Toc510207872"/>
      <w:bookmarkStart w:id="7042" w:name="_Toc510517810"/>
      <w:bookmarkStart w:id="7043" w:name="_Toc510593769"/>
      <w:bookmarkStart w:id="7044" w:name="_Toc510594146"/>
      <w:bookmarkStart w:id="7045" w:name="_Toc510606769"/>
      <w:bookmarkStart w:id="7046" w:name="_Toc510607193"/>
      <w:bookmarkStart w:id="7047" w:name="_Toc510609855"/>
      <w:bookmarkStart w:id="7048" w:name="_Toc510612937"/>
      <w:bookmarkStart w:id="7049" w:name="_Toc510615709"/>
      <w:bookmarkStart w:id="7050" w:name="_Toc510616891"/>
      <w:bookmarkStart w:id="7051" w:name="_Toc510207081"/>
      <w:bookmarkStart w:id="7052" w:name="_Toc510207874"/>
      <w:bookmarkStart w:id="7053" w:name="_Toc510517812"/>
      <w:bookmarkStart w:id="7054" w:name="_Toc510593771"/>
      <w:bookmarkStart w:id="7055" w:name="_Toc510594148"/>
      <w:bookmarkStart w:id="7056" w:name="_Toc510606771"/>
      <w:bookmarkStart w:id="7057" w:name="_Toc510607195"/>
      <w:bookmarkStart w:id="7058" w:name="_Toc510609857"/>
      <w:bookmarkStart w:id="7059" w:name="_Toc510612939"/>
      <w:bookmarkStart w:id="7060" w:name="_Toc510615711"/>
      <w:bookmarkStart w:id="7061" w:name="_Toc510616893"/>
      <w:bookmarkStart w:id="7062" w:name="_Toc510207084"/>
      <w:bookmarkStart w:id="7063" w:name="_Toc510207877"/>
      <w:bookmarkStart w:id="7064" w:name="_Toc510517815"/>
      <w:bookmarkStart w:id="7065" w:name="_Toc510593774"/>
      <w:bookmarkStart w:id="7066" w:name="_Toc510594151"/>
      <w:bookmarkStart w:id="7067" w:name="_Toc510606774"/>
      <w:bookmarkStart w:id="7068" w:name="_Toc510607198"/>
      <w:bookmarkStart w:id="7069" w:name="_Toc510609860"/>
      <w:bookmarkStart w:id="7070" w:name="_Toc510612942"/>
      <w:bookmarkStart w:id="7071" w:name="_Toc510615714"/>
      <w:bookmarkStart w:id="7072" w:name="_Toc510616896"/>
      <w:bookmarkStart w:id="7073" w:name="_Toc510207088"/>
      <w:bookmarkStart w:id="7074" w:name="_Toc510207881"/>
      <w:bookmarkStart w:id="7075" w:name="_Toc510517819"/>
      <w:bookmarkStart w:id="7076" w:name="_Toc510593778"/>
      <w:bookmarkStart w:id="7077" w:name="_Toc510594155"/>
      <w:bookmarkStart w:id="7078" w:name="_Toc510606778"/>
      <w:bookmarkStart w:id="7079" w:name="_Toc510607202"/>
      <w:bookmarkStart w:id="7080" w:name="_Toc510609864"/>
      <w:bookmarkStart w:id="7081" w:name="_Toc510612946"/>
      <w:bookmarkStart w:id="7082" w:name="_Toc510615718"/>
      <w:bookmarkStart w:id="7083" w:name="_Toc510616900"/>
      <w:bookmarkStart w:id="7084" w:name="_Toc510207089"/>
      <w:bookmarkStart w:id="7085" w:name="_Toc510207882"/>
      <w:bookmarkStart w:id="7086" w:name="_Toc510517820"/>
      <w:bookmarkStart w:id="7087" w:name="_Toc510593779"/>
      <w:bookmarkStart w:id="7088" w:name="_Toc510594156"/>
      <w:bookmarkStart w:id="7089" w:name="_Toc510606779"/>
      <w:bookmarkStart w:id="7090" w:name="_Toc510607203"/>
      <w:bookmarkStart w:id="7091" w:name="_Toc510609865"/>
      <w:bookmarkStart w:id="7092" w:name="_Toc510612947"/>
      <w:bookmarkStart w:id="7093" w:name="_Toc510615719"/>
      <w:bookmarkStart w:id="7094" w:name="_Toc510616901"/>
      <w:bookmarkStart w:id="7095" w:name="_Toc509069222"/>
      <w:bookmarkStart w:id="7096" w:name="_Toc509313270"/>
      <w:bookmarkStart w:id="7097" w:name="_Toc509323842"/>
      <w:bookmarkStart w:id="7098" w:name="_Toc509327413"/>
      <w:bookmarkStart w:id="7099" w:name="_Toc509332955"/>
      <w:bookmarkStart w:id="7100" w:name="_Toc509334706"/>
      <w:bookmarkStart w:id="7101" w:name="_Toc509337923"/>
      <w:bookmarkStart w:id="7102" w:name="_Toc510517821"/>
      <w:bookmarkStart w:id="7103" w:name="_Toc510612948"/>
      <w:bookmarkStart w:id="7104" w:name="_Toc510683718"/>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r>
        <w:rPr>
          <w:noProof/>
          <w:szCs w:val="24"/>
        </w:rPr>
        <w:t xml:space="preserve">    </w:t>
      </w:r>
    </w:p>
    <w:p>
      <w:pPr>
        <w:pStyle w:val="Heading2"/>
        <w:spacing w:line="264" w:lineRule="auto"/>
        <w:rPr>
          <w:noProof/>
          <w:szCs w:val="24"/>
        </w:rPr>
      </w:pPr>
      <w:bookmarkStart w:id="7105" w:name="_Toc515348888"/>
      <w:r>
        <w:rPr>
          <w:noProof/>
          <w:szCs w:val="24"/>
        </w:rPr>
        <w:t>Avoiding overlap</w:t>
      </w:r>
      <w:bookmarkEnd w:id="7095"/>
      <w:r>
        <w:rPr>
          <w:noProof/>
          <w:szCs w:val="24"/>
        </w:rPr>
        <w:t>s among policy windows</w:t>
      </w:r>
      <w:bookmarkEnd w:id="7096"/>
      <w:bookmarkEnd w:id="7097"/>
      <w:bookmarkEnd w:id="7098"/>
      <w:bookmarkEnd w:id="7099"/>
      <w:bookmarkEnd w:id="7100"/>
      <w:bookmarkEnd w:id="7101"/>
      <w:bookmarkEnd w:id="7102"/>
      <w:bookmarkEnd w:id="7103"/>
      <w:bookmarkEnd w:id="7104"/>
      <w:bookmarkEnd w:id="7105"/>
    </w:p>
    <w:p>
      <w:pPr>
        <w:pStyle w:val="Text2"/>
        <w:spacing w:after="120" w:line="264" w:lineRule="auto"/>
        <w:ind w:left="0"/>
        <w:rPr>
          <w:noProof/>
          <w:szCs w:val="24"/>
        </w:rPr>
      </w:pPr>
      <w:r>
        <w:rPr>
          <w:noProof/>
          <w:szCs w:val="24"/>
        </w:rPr>
        <w:t xml:space="preserve">The 2014-2020 investment support instruments have generally proven effective in addressing market gaps. However, the fragmentation of the EU offer led to the emergence of several overlaps. Past EFSI evaluations found overlaps between EFSI and other centrally managed financial Instruments. While these have been addressed during implementation by re-focusing existing instruments towards new market segments, it is important to avoid such overlaps in the future. Moreover, several overlaps have been identified between the centrally managed financial instruments. Under the current MFF there have been at least 14 different instruments focusing on SMEs under internal, centrally managed EU FIs and the EFSI (see annex 12). In addition, there are overlaps between centrally managed instruments and investment support instruments under shared management. Avoiding overlaps and simplification is one of the main reasons for the creation of the InvestEU Fund. </w:t>
      </w:r>
    </w:p>
    <w:p>
      <w:pPr>
        <w:pStyle w:val="Text2"/>
        <w:spacing w:after="120" w:line="264" w:lineRule="auto"/>
        <w:ind w:left="0"/>
        <w:rPr>
          <w:noProof/>
          <w:szCs w:val="24"/>
        </w:rPr>
      </w:pPr>
      <w:r>
        <w:rPr>
          <w:noProof/>
          <w:szCs w:val="24"/>
        </w:rPr>
        <w:t xml:space="preserve">The InvestEU Fund structure is designed to group instruments into clear policy priorities. The InvestEU Fund with its centralised approach (i.e. a single fund, a single Steering Board, a single approval process of the operations by the Investment Committees, a single agreement with each implementing partner and participative involvement of all relevant policy DGs in the Policy Boards and the Inter-Service Coordination Committee) would ensure that EU financing is channelled in a coordinated and harmonised manner, without overlaps. The governance structure ensures coordination and provides for information exchange channels between the Commission services and key stakeholders. Furthermore, in its oversight capacity, the Steering Board will ensure avoidance of overlaps of eligibility between windows and products. </w:t>
      </w:r>
    </w:p>
    <w:p>
      <w:pPr>
        <w:pStyle w:val="Text2"/>
        <w:spacing w:after="120" w:line="264" w:lineRule="auto"/>
        <w:ind w:left="0"/>
        <w:rPr>
          <w:noProof/>
          <w:szCs w:val="24"/>
        </w:rPr>
      </w:pPr>
      <w:r>
        <w:rPr>
          <w:noProof/>
          <w:szCs w:val="24"/>
        </w:rPr>
        <w:t>Avoidance of potential overlaps between financial products offered within a policy window would be a competence of relevant Policy Boards. Nevertheless, there may still be borderline cases that will have to be addressed based on demarcation principles for allocation of proposals submitted by implementing partners between windows. An example for a possible set of principles could be the following:</w:t>
      </w:r>
    </w:p>
    <w:p>
      <w:pPr>
        <w:pStyle w:val="ListParagraph"/>
        <w:numPr>
          <w:ilvl w:val="0"/>
          <w:numId w:val="5"/>
        </w:numPr>
        <w:spacing w:after="120" w:line="264" w:lineRule="auto"/>
        <w:ind w:left="360"/>
        <w:jc w:val="left"/>
        <w:rPr>
          <w:rFonts w:cs="Times New Roman"/>
          <w:noProof/>
          <w:szCs w:val="24"/>
        </w:rPr>
      </w:pPr>
      <w:r>
        <w:rPr>
          <w:rFonts w:cs="Times New Roman"/>
          <w:noProof/>
          <w:szCs w:val="24"/>
        </w:rPr>
        <w:t xml:space="preserve">Does a product proposal support a social objective? </w:t>
      </w:r>
    </w:p>
    <w:p>
      <w:pPr>
        <w:pStyle w:val="ListParagraph"/>
        <w:spacing w:after="120" w:line="264" w:lineRule="auto"/>
        <w:ind w:left="360"/>
        <w:rPr>
          <w:rFonts w:cs="Times New Roman"/>
          <w:noProof/>
          <w:szCs w:val="24"/>
        </w:rPr>
      </w:pPr>
      <w:r>
        <w:rPr>
          <w:rFonts w:cs="Times New Roman"/>
          <w:noProof/>
          <w:szCs w:val="24"/>
        </w:rPr>
        <w:t xml:space="preserve">Proposals for support having a social objective, regardless of their nature – whether it relates to infrastructure, microfinancing or SMEs - will fall under the social investment and skills window. </w:t>
      </w:r>
    </w:p>
    <w:p>
      <w:pPr>
        <w:pStyle w:val="ListParagraph"/>
        <w:numPr>
          <w:ilvl w:val="0"/>
          <w:numId w:val="5"/>
        </w:numPr>
        <w:spacing w:after="120" w:line="264" w:lineRule="auto"/>
        <w:ind w:left="360"/>
        <w:jc w:val="left"/>
        <w:rPr>
          <w:rFonts w:cs="Times New Roman"/>
          <w:noProof/>
          <w:szCs w:val="24"/>
        </w:rPr>
      </w:pPr>
      <w:r>
        <w:rPr>
          <w:rFonts w:cs="Times New Roman"/>
          <w:noProof/>
          <w:szCs w:val="24"/>
        </w:rPr>
        <w:t xml:space="preserve">Does a product proposal support an SME via financial intermediary? </w:t>
      </w:r>
    </w:p>
    <w:p>
      <w:pPr>
        <w:pStyle w:val="ListParagraph"/>
        <w:spacing w:after="120" w:line="264" w:lineRule="auto"/>
        <w:ind w:left="360"/>
        <w:rPr>
          <w:rFonts w:cs="Times New Roman"/>
          <w:noProof/>
          <w:szCs w:val="24"/>
        </w:rPr>
      </w:pPr>
      <w:r>
        <w:rPr>
          <w:rFonts w:cs="Times New Roman"/>
          <w:noProof/>
          <w:szCs w:val="24"/>
        </w:rPr>
        <w:t xml:space="preserve">Proposals that support SMEs through an intermediated lending will fall under the SME window, except for those proposals for support that have a social objective. </w:t>
      </w:r>
    </w:p>
    <w:p>
      <w:pPr>
        <w:pStyle w:val="ListParagraph"/>
        <w:numPr>
          <w:ilvl w:val="0"/>
          <w:numId w:val="5"/>
        </w:numPr>
        <w:spacing w:after="120" w:line="264" w:lineRule="auto"/>
        <w:ind w:left="360"/>
        <w:jc w:val="left"/>
        <w:rPr>
          <w:rFonts w:cs="Times New Roman"/>
          <w:noProof/>
          <w:szCs w:val="24"/>
        </w:rPr>
      </w:pPr>
      <w:r>
        <w:rPr>
          <w:rFonts w:cs="Times New Roman"/>
          <w:noProof/>
          <w:szCs w:val="24"/>
        </w:rPr>
        <w:t xml:space="preserve">Does a proposal support research and innovation activities? </w:t>
      </w:r>
    </w:p>
    <w:p>
      <w:pPr>
        <w:pStyle w:val="ListParagraph"/>
        <w:spacing w:after="120" w:line="264" w:lineRule="auto"/>
        <w:ind w:left="360"/>
        <w:rPr>
          <w:rFonts w:cs="Times New Roman"/>
          <w:noProof/>
          <w:szCs w:val="24"/>
        </w:rPr>
      </w:pPr>
      <w:r>
        <w:rPr>
          <w:rFonts w:cs="Times New Roman"/>
          <w:noProof/>
          <w:szCs w:val="24"/>
        </w:rPr>
        <w:t xml:space="preserve">The research, innovation and digitalisation window will support projects/products, which fall within the definition of research and innovation activities other than innovative SMEs and small midcaps (financed under SME window). </w:t>
      </w:r>
    </w:p>
    <w:p>
      <w:pPr>
        <w:pStyle w:val="ListParagraph"/>
        <w:numPr>
          <w:ilvl w:val="0"/>
          <w:numId w:val="5"/>
        </w:numPr>
        <w:spacing w:after="120" w:line="264" w:lineRule="auto"/>
        <w:ind w:left="360"/>
        <w:jc w:val="left"/>
        <w:rPr>
          <w:rFonts w:cs="Times New Roman"/>
          <w:noProof/>
          <w:szCs w:val="24"/>
        </w:rPr>
      </w:pPr>
      <w:r>
        <w:rPr>
          <w:rFonts w:cs="Times New Roman"/>
          <w:noProof/>
          <w:szCs w:val="24"/>
        </w:rPr>
        <w:t xml:space="preserve">Does a proposal support an infrastructure? </w:t>
      </w:r>
    </w:p>
    <w:p>
      <w:pPr>
        <w:pStyle w:val="ListParagraph"/>
        <w:spacing w:after="120" w:line="264" w:lineRule="auto"/>
        <w:ind w:left="360"/>
        <w:rPr>
          <w:rFonts w:cs="Times New Roman"/>
          <w:noProof/>
          <w:szCs w:val="24"/>
        </w:rPr>
      </w:pPr>
      <w:r>
        <w:rPr>
          <w:rFonts w:cs="Times New Roman"/>
          <w:noProof/>
          <w:szCs w:val="24"/>
        </w:rPr>
        <w:t>Infrastructure projects/products that are not social infrastructure and not [primarily/fully] R&amp;D infrastructure will fall under the Sustainable Infrastructure Window.</w:t>
      </w:r>
    </w:p>
    <w:p>
      <w:pPr>
        <w:spacing w:after="120" w:line="264" w:lineRule="auto"/>
        <w:rPr>
          <w:rFonts w:cs="Times New Roman"/>
          <w:noProof/>
          <w:szCs w:val="24"/>
        </w:rPr>
      </w:pPr>
      <w:r>
        <w:rPr>
          <w:rFonts w:cs="Times New Roman"/>
          <w:noProof/>
          <w:szCs w:val="24"/>
        </w:rPr>
        <w:t xml:space="preserve">In practice, the implementing partner will indicate the relevant policy window in their submission of a specific operation and financial product to which the operation would be assigned. This will then be reviewed by the Commission. </w:t>
      </w:r>
    </w:p>
    <w:p>
      <w:pPr>
        <w:spacing w:after="120" w:line="264" w:lineRule="auto"/>
        <w:rPr>
          <w:rStyle w:val="Aucun"/>
          <w:rFonts w:cs="Times New Roman"/>
          <w:iCs/>
          <w:noProof/>
          <w:szCs w:val="24"/>
          <w:lang w:val="en-GB"/>
        </w:rPr>
      </w:pPr>
      <w:r>
        <w:rPr>
          <w:rFonts w:cs="Times New Roman"/>
          <w:noProof/>
          <w:szCs w:val="24"/>
        </w:rPr>
        <w:t xml:space="preserve">A similar solution is proposed for technical assistance, the InvestEU Advisory. </w:t>
      </w:r>
      <w:r>
        <w:rPr>
          <w:rStyle w:val="Aucun"/>
          <w:rFonts w:cs="Times New Roman"/>
          <w:iCs/>
          <w:noProof/>
          <w:szCs w:val="24"/>
          <w:lang w:val="en-GB"/>
        </w:rPr>
        <w:t>In order to avoid overlaps and to simplify the access to the services for end-beneficiaries, the InvestEU Advisory would provide for a single entry point and will also include technical assistance components at Policy Window level.</w:t>
      </w:r>
    </w:p>
    <w:p>
      <w:pPr>
        <w:pStyle w:val="Heading2"/>
        <w:spacing w:line="264" w:lineRule="auto"/>
        <w:rPr>
          <w:noProof/>
          <w:szCs w:val="24"/>
        </w:rPr>
      </w:pPr>
      <w:bookmarkStart w:id="7106" w:name="_Ref514671988"/>
      <w:bookmarkStart w:id="7107" w:name="_Ref514671990"/>
      <w:bookmarkStart w:id="7108" w:name="_Ref514672000"/>
      <w:bookmarkStart w:id="7109" w:name="_Toc515348889"/>
      <w:r>
        <w:rPr>
          <w:noProof/>
          <w:szCs w:val="24"/>
        </w:rPr>
        <w:t>Geographical distribution</w:t>
      </w:r>
      <w:bookmarkEnd w:id="7106"/>
      <w:bookmarkEnd w:id="7107"/>
      <w:bookmarkEnd w:id="7108"/>
      <w:bookmarkEnd w:id="7109"/>
    </w:p>
    <w:p>
      <w:pPr>
        <w:pStyle w:val="Text2"/>
        <w:spacing w:after="120" w:line="264" w:lineRule="auto"/>
        <w:ind w:left="0"/>
        <w:rPr>
          <w:iCs/>
          <w:noProof/>
          <w:szCs w:val="24"/>
        </w:rPr>
      </w:pPr>
      <w:r>
        <w:rPr>
          <w:noProof/>
          <w:szCs w:val="24"/>
        </w:rPr>
        <w:t xml:space="preserve">The InvestEU Programme support is available to all EU Member States. The InvestEU Programme could be also open to third countries that are members of the European Free Trade Association, acceding countries, candidate countries and potential candidate countries, countries covered by the Neighbourhood policy </w:t>
      </w:r>
      <w:r>
        <w:rPr>
          <w:noProof/>
        </w:rPr>
        <w:t>and other countries, in accordance with the conditions laid down between the Union and those countries.</w:t>
      </w:r>
      <w:r>
        <w:rPr>
          <w:noProof/>
          <w:szCs w:val="24"/>
        </w:rPr>
        <w:t xml:space="preserve"> The geographical scope of the current instruments is included in Annex 11.</w:t>
      </w:r>
    </w:p>
    <w:p>
      <w:pPr>
        <w:spacing w:after="120" w:line="264" w:lineRule="auto"/>
        <w:rPr>
          <w:rFonts w:cs="Times New Roman"/>
          <w:iCs/>
          <w:noProof/>
          <w:szCs w:val="24"/>
        </w:rPr>
      </w:pPr>
      <w:r>
        <w:rPr>
          <w:rFonts w:cs="Times New Roman"/>
          <w:iCs/>
          <w:noProof/>
          <w:szCs w:val="24"/>
        </w:rPr>
        <w:t>Based on the current experience and past EFSI evaluations recommendation to improve the geographical distribution in finance provisioning, the InvestEU Programme is designed in such a way to make sure it benefits all Member States, irrespective of their size and of the development of their financial market:</w:t>
      </w:r>
    </w:p>
    <w:p>
      <w:pPr>
        <w:numPr>
          <w:ilvl w:val="0"/>
          <w:numId w:val="57"/>
        </w:numPr>
        <w:spacing w:after="120" w:line="264" w:lineRule="auto"/>
        <w:rPr>
          <w:rFonts w:cs="Times New Roman"/>
          <w:iCs/>
          <w:noProof/>
          <w:szCs w:val="24"/>
        </w:rPr>
      </w:pPr>
      <w:r>
        <w:rPr>
          <w:rFonts w:cs="Times New Roman"/>
          <w:b/>
          <w:iCs/>
          <w:noProof/>
          <w:szCs w:val="24"/>
        </w:rPr>
        <w:t>Implementing partners</w:t>
      </w:r>
      <w:r>
        <w:rPr>
          <w:rFonts w:cs="Times New Roman"/>
          <w:iCs/>
          <w:noProof/>
          <w:szCs w:val="24"/>
        </w:rPr>
        <w:t xml:space="preserve"> (see section 5.3) - As the only financial institution active across the EU, the EIB will continue to deploy EU-wide financial products and therefore ensure equal access and coverage of financial products. In addition, the opening of the EU guarantee to NPBs aims at better targeting local financing needs. To avoid the EU guarantee benefitting mostly the countries with big, long-established NPBs, the InvestEU Fund is also open to consortia of NPBs that cover at least three countries. This will require NPBs to cooperate to develop joint products and will foster an exchange of best practices and expertise. Smaller and more recent NPBs will thus be able to benefit from this cooperation. Finally, multilateral development banks will also support a more balanced distribution of the EU financial support. The EBRD is active in 11 Member States</w:t>
      </w:r>
      <w:r>
        <w:rPr>
          <w:rStyle w:val="FootnoteReference"/>
          <w:rFonts w:cs="Times New Roman"/>
          <w:iCs/>
          <w:noProof/>
          <w:szCs w:val="24"/>
        </w:rPr>
        <w:footnoteReference w:id="68"/>
      </w:r>
      <w:r>
        <w:rPr>
          <w:rFonts w:cs="Times New Roman"/>
          <w:iCs/>
          <w:noProof/>
          <w:szCs w:val="24"/>
        </w:rPr>
        <w:t xml:space="preserve"> and will be able to increase its operations in these countries – especially in the crucial fields of energy transition and capital market development - thanks to the EU guarantee. The same applies to the Council of Europe Bank that has a specific focus on social investment.</w:t>
      </w:r>
    </w:p>
    <w:p>
      <w:pPr>
        <w:numPr>
          <w:ilvl w:val="0"/>
          <w:numId w:val="57"/>
        </w:numPr>
        <w:spacing w:after="120" w:line="264" w:lineRule="auto"/>
        <w:rPr>
          <w:rFonts w:cs="Times New Roman"/>
          <w:iCs/>
          <w:noProof/>
          <w:szCs w:val="24"/>
        </w:rPr>
      </w:pPr>
      <w:r>
        <w:rPr>
          <w:rFonts w:cs="Times New Roman"/>
          <w:b/>
          <w:iCs/>
          <w:noProof/>
          <w:szCs w:val="24"/>
        </w:rPr>
        <w:t>Member State compartment</w:t>
      </w:r>
      <w:r>
        <w:rPr>
          <w:rFonts w:cs="Times New Roman"/>
          <w:iCs/>
          <w:noProof/>
          <w:szCs w:val="24"/>
        </w:rPr>
        <w:t xml:space="preserve"> - This feature of the InvestEU Fund, which is described in Section 3.2, is designed to mainly benefit cohesion countries, which will benefit from an increased volume of EU supported finance.</w:t>
      </w:r>
    </w:p>
    <w:p>
      <w:pPr>
        <w:numPr>
          <w:ilvl w:val="0"/>
          <w:numId w:val="57"/>
        </w:numPr>
        <w:spacing w:after="120" w:line="264" w:lineRule="auto"/>
        <w:rPr>
          <w:rFonts w:cs="Times New Roman"/>
          <w:iCs/>
          <w:noProof/>
          <w:szCs w:val="24"/>
        </w:rPr>
      </w:pPr>
      <w:r>
        <w:rPr>
          <w:rFonts w:cs="Times New Roman"/>
          <w:b/>
          <w:iCs/>
          <w:noProof/>
          <w:szCs w:val="24"/>
        </w:rPr>
        <w:t>Blending</w:t>
      </w:r>
      <w:r>
        <w:rPr>
          <w:rFonts w:cs="Times New Roman"/>
          <w:iCs/>
          <w:noProof/>
          <w:szCs w:val="24"/>
        </w:rPr>
        <w:t xml:space="preserve"> - Synergies between EU instruments will be further facilitated by easier rules for a smooth and efficient blending of grants in with the InvestEU Fund guarantee. The addition of a grant element sometimes enables a project to become bankable and thus eligible for support under the EU guarantee. </w:t>
      </w:r>
    </w:p>
    <w:p>
      <w:pPr>
        <w:numPr>
          <w:ilvl w:val="0"/>
          <w:numId w:val="57"/>
        </w:numPr>
        <w:spacing w:after="120" w:line="264" w:lineRule="auto"/>
        <w:rPr>
          <w:rFonts w:cs="Times New Roman"/>
          <w:iCs/>
          <w:noProof/>
          <w:szCs w:val="24"/>
        </w:rPr>
      </w:pPr>
      <w:r>
        <w:rPr>
          <w:rFonts w:cs="Times New Roman"/>
          <w:b/>
          <w:iCs/>
          <w:noProof/>
          <w:szCs w:val="24"/>
        </w:rPr>
        <w:t>InvestEU Advisory</w:t>
      </w:r>
      <w:r>
        <w:rPr>
          <w:rFonts w:cs="Times New Roman"/>
          <w:iCs/>
          <w:noProof/>
          <w:szCs w:val="24"/>
        </w:rPr>
        <w:t xml:space="preserve"> – The InvestEU Fund will be accompanied by a comprehensive technical assistance scheme, the InvestEU Advisory. It will, </w:t>
      </w:r>
      <w:r>
        <w:rPr>
          <w:rFonts w:cs="Times New Roman"/>
          <w:i/>
          <w:iCs/>
          <w:noProof/>
          <w:szCs w:val="24"/>
        </w:rPr>
        <w:t>inter alia</w:t>
      </w:r>
      <w:r>
        <w:rPr>
          <w:rFonts w:cs="Times New Roman"/>
          <w:iCs/>
          <w:noProof/>
          <w:szCs w:val="24"/>
        </w:rPr>
        <w:t>, provide project development and capacity building support to develop organisational capacities and market making activities needed to originate quality projects.  The aim is to create the conditions for expanding the potential number of eligible recipients in nascent market segments, in particular where the small size of individual projects raises considerably the transaction cost at the project level. Project promoters in cohesion countries are expected to be natural candidates for this technical assistance support.</w:t>
      </w:r>
    </w:p>
    <w:p>
      <w:pPr>
        <w:pStyle w:val="Heading1"/>
        <w:spacing w:line="264" w:lineRule="auto"/>
        <w:rPr>
          <w:noProof/>
          <w:szCs w:val="24"/>
        </w:rPr>
      </w:pPr>
      <w:bookmarkStart w:id="7110" w:name="_Toc514577222"/>
      <w:bookmarkStart w:id="7111" w:name="_Toc514577336"/>
      <w:bookmarkStart w:id="7112" w:name="_Toc514577223"/>
      <w:bookmarkStart w:id="7113" w:name="_Toc514577337"/>
      <w:bookmarkStart w:id="7114" w:name="_Toc510207091"/>
      <w:bookmarkStart w:id="7115" w:name="_Toc510207884"/>
      <w:bookmarkStart w:id="7116" w:name="_Toc510517822"/>
      <w:bookmarkStart w:id="7117" w:name="_Toc510593781"/>
      <w:bookmarkStart w:id="7118" w:name="_Toc510594158"/>
      <w:bookmarkStart w:id="7119" w:name="_Toc510606781"/>
      <w:bookmarkStart w:id="7120" w:name="_Toc510607205"/>
      <w:bookmarkStart w:id="7121" w:name="_Toc510609867"/>
      <w:bookmarkStart w:id="7122" w:name="_Toc510612949"/>
      <w:bookmarkStart w:id="7123" w:name="_Toc510615721"/>
      <w:bookmarkStart w:id="7124" w:name="_Toc510616903"/>
      <w:bookmarkStart w:id="7125" w:name="_Toc510207092"/>
      <w:bookmarkStart w:id="7126" w:name="_Toc510207885"/>
      <w:bookmarkStart w:id="7127" w:name="_Toc510517823"/>
      <w:bookmarkStart w:id="7128" w:name="_Toc510593782"/>
      <w:bookmarkStart w:id="7129" w:name="_Toc510594159"/>
      <w:bookmarkStart w:id="7130" w:name="_Toc510606782"/>
      <w:bookmarkStart w:id="7131" w:name="_Toc510607206"/>
      <w:bookmarkStart w:id="7132" w:name="_Toc510609868"/>
      <w:bookmarkStart w:id="7133" w:name="_Toc510612950"/>
      <w:bookmarkStart w:id="7134" w:name="_Toc510615722"/>
      <w:bookmarkStart w:id="7135" w:name="_Toc510616904"/>
      <w:bookmarkStart w:id="7136" w:name="_Toc510207094"/>
      <w:bookmarkStart w:id="7137" w:name="_Toc510207887"/>
      <w:bookmarkStart w:id="7138" w:name="_Toc510517825"/>
      <w:bookmarkStart w:id="7139" w:name="_Toc510593784"/>
      <w:bookmarkStart w:id="7140" w:name="_Toc510594161"/>
      <w:bookmarkStart w:id="7141" w:name="_Toc510606784"/>
      <w:bookmarkStart w:id="7142" w:name="_Toc510607208"/>
      <w:bookmarkStart w:id="7143" w:name="_Toc510609870"/>
      <w:bookmarkStart w:id="7144" w:name="_Toc510612952"/>
      <w:bookmarkStart w:id="7145" w:name="_Toc510615724"/>
      <w:bookmarkStart w:id="7146" w:name="_Toc510616906"/>
      <w:bookmarkStart w:id="7147" w:name="_Toc510207095"/>
      <w:bookmarkStart w:id="7148" w:name="_Toc510207888"/>
      <w:bookmarkStart w:id="7149" w:name="_Toc510517826"/>
      <w:bookmarkStart w:id="7150" w:name="_Toc510593785"/>
      <w:bookmarkStart w:id="7151" w:name="_Toc510594162"/>
      <w:bookmarkStart w:id="7152" w:name="_Toc510606785"/>
      <w:bookmarkStart w:id="7153" w:name="_Toc510607209"/>
      <w:bookmarkStart w:id="7154" w:name="_Toc510609871"/>
      <w:bookmarkStart w:id="7155" w:name="_Toc510612953"/>
      <w:bookmarkStart w:id="7156" w:name="_Toc510615725"/>
      <w:bookmarkStart w:id="7157" w:name="_Toc510616907"/>
      <w:bookmarkStart w:id="7158" w:name="_Toc510207096"/>
      <w:bookmarkStart w:id="7159" w:name="_Toc510207889"/>
      <w:bookmarkStart w:id="7160" w:name="_Toc510517827"/>
      <w:bookmarkStart w:id="7161" w:name="_Toc510593786"/>
      <w:bookmarkStart w:id="7162" w:name="_Toc510594163"/>
      <w:bookmarkStart w:id="7163" w:name="_Toc510606786"/>
      <w:bookmarkStart w:id="7164" w:name="_Toc510607210"/>
      <w:bookmarkStart w:id="7165" w:name="_Toc510609872"/>
      <w:bookmarkStart w:id="7166" w:name="_Toc510612954"/>
      <w:bookmarkStart w:id="7167" w:name="_Toc510615726"/>
      <w:bookmarkStart w:id="7168" w:name="_Toc510616908"/>
      <w:bookmarkStart w:id="7169" w:name="_Toc510207097"/>
      <w:bookmarkStart w:id="7170" w:name="_Toc510207890"/>
      <w:bookmarkStart w:id="7171" w:name="_Toc510517828"/>
      <w:bookmarkStart w:id="7172" w:name="_Toc510593787"/>
      <w:bookmarkStart w:id="7173" w:name="_Toc510594164"/>
      <w:bookmarkStart w:id="7174" w:name="_Toc510606787"/>
      <w:bookmarkStart w:id="7175" w:name="_Toc510607211"/>
      <w:bookmarkStart w:id="7176" w:name="_Toc510609873"/>
      <w:bookmarkStart w:id="7177" w:name="_Toc510612955"/>
      <w:bookmarkStart w:id="7178" w:name="_Toc510615727"/>
      <w:bookmarkStart w:id="7179" w:name="_Toc510616909"/>
      <w:bookmarkStart w:id="7180" w:name="_Toc510207098"/>
      <w:bookmarkStart w:id="7181" w:name="_Toc510207891"/>
      <w:bookmarkStart w:id="7182" w:name="_Toc510517829"/>
      <w:bookmarkStart w:id="7183" w:name="_Toc510593788"/>
      <w:bookmarkStart w:id="7184" w:name="_Toc510594165"/>
      <w:bookmarkStart w:id="7185" w:name="_Toc510606788"/>
      <w:bookmarkStart w:id="7186" w:name="_Toc510607212"/>
      <w:bookmarkStart w:id="7187" w:name="_Toc510609874"/>
      <w:bookmarkStart w:id="7188" w:name="_Toc510612956"/>
      <w:bookmarkStart w:id="7189" w:name="_Toc510615728"/>
      <w:bookmarkStart w:id="7190" w:name="_Toc510616910"/>
      <w:bookmarkStart w:id="7191" w:name="_Toc510207099"/>
      <w:bookmarkStart w:id="7192" w:name="_Toc510207892"/>
      <w:bookmarkStart w:id="7193" w:name="_Toc510517830"/>
      <w:bookmarkStart w:id="7194" w:name="_Toc510593789"/>
      <w:bookmarkStart w:id="7195" w:name="_Toc510594166"/>
      <w:bookmarkStart w:id="7196" w:name="_Toc510606789"/>
      <w:bookmarkStart w:id="7197" w:name="_Toc510607213"/>
      <w:bookmarkStart w:id="7198" w:name="_Toc510609875"/>
      <w:bookmarkStart w:id="7199" w:name="_Toc510612957"/>
      <w:bookmarkStart w:id="7200" w:name="_Toc510615729"/>
      <w:bookmarkStart w:id="7201" w:name="_Toc510616911"/>
      <w:bookmarkStart w:id="7202" w:name="_Toc510207100"/>
      <w:bookmarkStart w:id="7203" w:name="_Toc510207893"/>
      <w:bookmarkStart w:id="7204" w:name="_Toc510517831"/>
      <w:bookmarkStart w:id="7205" w:name="_Toc510593790"/>
      <w:bookmarkStart w:id="7206" w:name="_Toc510594167"/>
      <w:bookmarkStart w:id="7207" w:name="_Toc510606790"/>
      <w:bookmarkStart w:id="7208" w:name="_Toc510607214"/>
      <w:bookmarkStart w:id="7209" w:name="_Toc510609876"/>
      <w:bookmarkStart w:id="7210" w:name="_Toc510612958"/>
      <w:bookmarkStart w:id="7211" w:name="_Toc510615730"/>
      <w:bookmarkStart w:id="7212" w:name="_Toc510616912"/>
      <w:bookmarkStart w:id="7213" w:name="_Toc510207101"/>
      <w:bookmarkStart w:id="7214" w:name="_Toc510207894"/>
      <w:bookmarkStart w:id="7215" w:name="_Toc510517832"/>
      <w:bookmarkStart w:id="7216" w:name="_Toc510593791"/>
      <w:bookmarkStart w:id="7217" w:name="_Toc510594168"/>
      <w:bookmarkStart w:id="7218" w:name="_Toc510606791"/>
      <w:bookmarkStart w:id="7219" w:name="_Toc510607215"/>
      <w:bookmarkStart w:id="7220" w:name="_Toc510609877"/>
      <w:bookmarkStart w:id="7221" w:name="_Toc510612959"/>
      <w:bookmarkStart w:id="7222" w:name="_Toc510615731"/>
      <w:bookmarkStart w:id="7223" w:name="_Toc510616913"/>
      <w:bookmarkStart w:id="7224" w:name="_Toc510207102"/>
      <w:bookmarkStart w:id="7225" w:name="_Toc510207895"/>
      <w:bookmarkStart w:id="7226" w:name="_Toc510517833"/>
      <w:bookmarkStart w:id="7227" w:name="_Toc510593792"/>
      <w:bookmarkStart w:id="7228" w:name="_Toc510594169"/>
      <w:bookmarkStart w:id="7229" w:name="_Toc510606792"/>
      <w:bookmarkStart w:id="7230" w:name="_Toc510607216"/>
      <w:bookmarkStart w:id="7231" w:name="_Toc510609878"/>
      <w:bookmarkStart w:id="7232" w:name="_Toc510612960"/>
      <w:bookmarkStart w:id="7233" w:name="_Toc510615732"/>
      <w:bookmarkStart w:id="7234" w:name="_Toc510616914"/>
      <w:bookmarkStart w:id="7235" w:name="_Toc509404782"/>
      <w:bookmarkStart w:id="7236" w:name="_Toc509404787"/>
      <w:bookmarkStart w:id="7237" w:name="_Toc509404790"/>
      <w:bookmarkStart w:id="7238" w:name="_Toc509404791"/>
      <w:bookmarkStart w:id="7239" w:name="_Toc509404792"/>
      <w:bookmarkStart w:id="7240" w:name="_Toc509404793"/>
      <w:bookmarkStart w:id="7241" w:name="_Toc509404794"/>
      <w:bookmarkStart w:id="7242" w:name="_Toc509404795"/>
      <w:bookmarkStart w:id="7243" w:name="_Toc509404796"/>
      <w:bookmarkStart w:id="7244" w:name="_Toc509404797"/>
      <w:bookmarkStart w:id="7245" w:name="_Toc509404798"/>
      <w:bookmarkStart w:id="7246" w:name="_Toc509404799"/>
      <w:bookmarkStart w:id="7247" w:name="_Toc509404800"/>
      <w:bookmarkStart w:id="7248" w:name="_Toc509404801"/>
      <w:bookmarkStart w:id="7249" w:name="_Toc509404802"/>
      <w:bookmarkStart w:id="7250" w:name="_Toc509420378"/>
      <w:bookmarkStart w:id="7251" w:name="_Toc510517834"/>
      <w:bookmarkStart w:id="7252" w:name="_Toc510612961"/>
      <w:bookmarkStart w:id="7253" w:name="_Toc510683719"/>
      <w:bookmarkStart w:id="7254" w:name="_Toc515348890"/>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r>
        <w:rPr>
          <w:noProof/>
          <w:szCs w:val="24"/>
        </w:rPr>
        <w:t>Target actions, financing products and beneficiaries</w:t>
      </w:r>
      <w:bookmarkEnd w:id="7250"/>
      <w:bookmarkEnd w:id="7251"/>
      <w:bookmarkEnd w:id="7252"/>
      <w:bookmarkEnd w:id="7253"/>
      <w:bookmarkEnd w:id="7254"/>
    </w:p>
    <w:p>
      <w:pPr>
        <w:pStyle w:val="Text2"/>
        <w:spacing w:after="120" w:line="264" w:lineRule="auto"/>
        <w:ind w:left="0"/>
        <w:rPr>
          <w:rFonts w:eastAsia="Calibri"/>
          <w:noProof/>
          <w:szCs w:val="24"/>
        </w:rPr>
      </w:pPr>
      <w:bookmarkStart w:id="7255" w:name="_Toc508809722"/>
      <w:bookmarkStart w:id="7256" w:name="_Toc509067284"/>
      <w:bookmarkStart w:id="7257" w:name="_Toc509068718"/>
      <w:bookmarkStart w:id="7258" w:name="_Toc509069225"/>
      <w:bookmarkStart w:id="7259" w:name="_Toc509131709"/>
      <w:bookmarkStart w:id="7260" w:name="_Toc509310816"/>
      <w:bookmarkStart w:id="7261" w:name="_Toc509311211"/>
      <w:bookmarkStart w:id="7262" w:name="_Toc509311612"/>
      <w:bookmarkStart w:id="7263" w:name="_Toc509312050"/>
      <w:bookmarkStart w:id="7264" w:name="_Toc509312476"/>
      <w:bookmarkStart w:id="7265" w:name="_Toc509312815"/>
      <w:bookmarkStart w:id="7266" w:name="_Toc509313156"/>
      <w:bookmarkStart w:id="7267" w:name="_Toc509313558"/>
      <w:bookmarkStart w:id="7268" w:name="_Toc509316997"/>
      <w:bookmarkStart w:id="7269" w:name="_Toc509317310"/>
      <w:bookmarkStart w:id="7270" w:name="_Toc509317602"/>
      <w:bookmarkStart w:id="7271" w:name="_Toc509317915"/>
      <w:bookmarkStart w:id="7272" w:name="_Toc509318228"/>
      <w:bookmarkStart w:id="7273" w:name="_Toc509319214"/>
      <w:bookmarkStart w:id="7274" w:name="_Toc509319576"/>
      <w:bookmarkStart w:id="7275" w:name="_Toc509320350"/>
      <w:bookmarkStart w:id="7276" w:name="_Toc509322322"/>
      <w:bookmarkStart w:id="7277" w:name="_Toc509322646"/>
      <w:bookmarkStart w:id="7278" w:name="_Toc509323148"/>
      <w:bookmarkStart w:id="7279" w:name="_Toc509323521"/>
      <w:bookmarkStart w:id="7280" w:name="_Toc509323845"/>
      <w:bookmarkStart w:id="7281" w:name="_Toc509324169"/>
      <w:bookmarkStart w:id="7282" w:name="_Toc509324493"/>
      <w:bookmarkStart w:id="7283" w:name="_Toc509324862"/>
      <w:bookmarkStart w:id="7284" w:name="_Toc509325231"/>
      <w:bookmarkStart w:id="7285" w:name="_Toc509325600"/>
      <w:bookmarkStart w:id="7286" w:name="_Toc509325975"/>
      <w:bookmarkStart w:id="7287" w:name="_Toc509326350"/>
      <w:bookmarkStart w:id="7288" w:name="_Toc509326725"/>
      <w:bookmarkStart w:id="7289" w:name="_Toc509327100"/>
      <w:bookmarkStart w:id="7290" w:name="_Toc509327416"/>
      <w:bookmarkStart w:id="7291" w:name="_Toc509327791"/>
      <w:bookmarkStart w:id="7292" w:name="_Toc509328166"/>
      <w:bookmarkStart w:id="7293" w:name="_Toc509332958"/>
      <w:bookmarkStart w:id="7294" w:name="_Toc509333371"/>
      <w:bookmarkStart w:id="7295" w:name="_Toc509333784"/>
      <w:bookmarkStart w:id="7296" w:name="_Toc509335187"/>
      <w:bookmarkStart w:id="7297" w:name="_Toc509335697"/>
      <w:bookmarkStart w:id="7298" w:name="_Toc509336640"/>
      <w:bookmarkStart w:id="7299" w:name="_Toc509337072"/>
      <w:bookmarkStart w:id="7300" w:name="_Toc509337499"/>
      <w:bookmarkStart w:id="7301" w:name="_Toc509337926"/>
      <w:bookmarkStart w:id="7302" w:name="_Toc509338256"/>
      <w:bookmarkStart w:id="7303" w:name="_Toc509382800"/>
      <w:bookmarkStart w:id="7304" w:name="_Toc509383232"/>
      <w:bookmarkStart w:id="7305" w:name="_Toc509384111"/>
      <w:bookmarkStart w:id="7306" w:name="_Toc509404804"/>
      <w:bookmarkStart w:id="7307" w:name="_Toc508287417"/>
      <w:bookmarkStart w:id="7308" w:name="_Toc508724924"/>
      <w:bookmarkStart w:id="7309" w:name="_Toc508733467"/>
      <w:bookmarkStart w:id="7310" w:name="_Toc508735100"/>
      <w:bookmarkStart w:id="7311" w:name="_Toc508809723"/>
      <w:bookmarkStart w:id="7312" w:name="_Toc509069226"/>
      <w:bookmarkStart w:id="7313" w:name="_Toc509313273"/>
      <w:bookmarkStart w:id="7314" w:name="_Toc509323846"/>
      <w:bookmarkStart w:id="7315" w:name="_Toc509327417"/>
      <w:bookmarkStart w:id="7316" w:name="_Toc509332959"/>
      <w:bookmarkStart w:id="7317" w:name="_Toc509334709"/>
      <w:bookmarkStart w:id="7318" w:name="_Toc509337927"/>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r>
        <w:rPr>
          <w:noProof/>
          <w:szCs w:val="24"/>
        </w:rPr>
        <w:t>The InvestEU Fund support will be delivered in the form of a budgetary guarantee, which will be able to support all types of financial products, such as debt, e</w:t>
      </w:r>
      <w:r>
        <w:rPr>
          <w:rFonts w:eastAsia="Calibri"/>
          <w:noProof/>
          <w:szCs w:val="24"/>
        </w:rPr>
        <w:t xml:space="preserve">quity and quasi equity. </w:t>
      </w:r>
    </w:p>
    <w:p>
      <w:pPr>
        <w:pStyle w:val="Text2"/>
        <w:spacing w:after="120" w:line="264" w:lineRule="auto"/>
        <w:ind w:left="0"/>
        <w:rPr>
          <w:bCs/>
          <w:noProof/>
          <w:color w:val="000000"/>
          <w:szCs w:val="24"/>
          <w:shd w:val="clear" w:color="auto" w:fill="FFFFFF"/>
        </w:rPr>
      </w:pPr>
      <w:r>
        <w:rPr>
          <w:rFonts w:eastAsia="Calibri"/>
          <w:noProof/>
          <w:szCs w:val="24"/>
        </w:rPr>
        <w:t xml:space="preserve">The InvestEU Fund will also foresee a limited envelope for </w:t>
      </w:r>
      <w:r>
        <w:rPr>
          <w:bCs/>
          <w:noProof/>
          <w:color w:val="000000"/>
          <w:szCs w:val="24"/>
          <w:shd w:val="clear" w:color="auto" w:fill="FFFFFF"/>
        </w:rPr>
        <w:t xml:space="preserve">thematic products under </w:t>
      </w:r>
      <w:r>
        <w:rPr>
          <w:rFonts w:eastAsia="Calibri"/>
          <w:noProof/>
          <w:szCs w:val="24"/>
        </w:rPr>
        <w:t xml:space="preserve">each policy window for pilot initiatives </w:t>
      </w:r>
      <w:r>
        <w:rPr>
          <w:bCs/>
          <w:noProof/>
          <w:color w:val="000000"/>
          <w:szCs w:val="24"/>
          <w:shd w:val="clear" w:color="auto" w:fill="FFFFFF"/>
        </w:rPr>
        <w:t xml:space="preserve">which feature high volatility of revenues and/or are deployed in uncertain markets and that cannot be covered by horizontal/standard products available in the windows. These products could target very high risk and first-of-a-kind projects, as currently done under financial instruments such as </w:t>
      </w:r>
      <w:r>
        <w:rPr>
          <w:noProof/>
          <w:szCs w:val="24"/>
        </w:rPr>
        <w:t xml:space="preserve">InnovFin Energy Demo Projects, Natural Capital Financing Facility, SME guarantees, </w:t>
      </w:r>
      <w:r>
        <w:rPr>
          <w:bCs/>
          <w:noProof/>
          <w:color w:val="000000"/>
          <w:szCs w:val="24"/>
          <w:shd w:val="clear" w:color="auto" w:fill="FFFFFF"/>
        </w:rPr>
        <w:t xml:space="preserve">and hence require higher guarantee coverage. New innovative instruments could be deployed in line with new developments to test market interest. </w:t>
      </w:r>
    </w:p>
    <w:p>
      <w:pPr>
        <w:pStyle w:val="Text2"/>
        <w:spacing w:after="120" w:line="264" w:lineRule="auto"/>
        <w:ind w:left="0"/>
        <w:rPr>
          <w:noProof/>
          <w:szCs w:val="24"/>
        </w:rPr>
      </w:pPr>
      <w:r>
        <w:rPr>
          <w:noProof/>
          <w:szCs w:val="24"/>
        </w:rPr>
        <w:t>In certain circumstances, the combination of the EU level and the Member State compartment would be possible for example to co-invest in certain operations/products or to support investment platforms bundling small and medium-size projects.</w:t>
      </w:r>
    </w:p>
    <w:p>
      <w:pPr>
        <w:spacing w:line="264" w:lineRule="auto"/>
        <w:rPr>
          <w:rFonts w:cs="Times New Roman"/>
          <w:noProof/>
          <w:szCs w:val="24"/>
        </w:rPr>
      </w:pPr>
      <w:r>
        <w:rPr>
          <w:rFonts w:cs="Times New Roman"/>
          <w:noProof/>
          <w:szCs w:val="24"/>
        </w:rPr>
        <w:t>The InvestEU Fund would be open to all Member States including for cross-border projects with certain third countries (e.g. similar to the EFSI).</w:t>
      </w:r>
    </w:p>
    <w:p>
      <w:pPr>
        <w:pStyle w:val="Heading3"/>
        <w:spacing w:before="0" w:after="120" w:line="264" w:lineRule="auto"/>
        <w:rPr>
          <w:noProof/>
          <w:szCs w:val="24"/>
        </w:rPr>
      </w:pPr>
      <w:bookmarkStart w:id="7319" w:name="_Toc514577225"/>
      <w:bookmarkEnd w:id="7319"/>
      <w:r>
        <w:rPr>
          <w:noProof/>
          <w:szCs w:val="24"/>
        </w:rPr>
        <w:t>Sustainable Infrastructure Window</w:t>
      </w:r>
      <w:bookmarkEnd w:id="7307"/>
      <w:bookmarkEnd w:id="7308"/>
      <w:bookmarkEnd w:id="7309"/>
      <w:bookmarkEnd w:id="7310"/>
      <w:bookmarkEnd w:id="7311"/>
      <w:bookmarkEnd w:id="7312"/>
      <w:bookmarkEnd w:id="7313"/>
      <w:bookmarkEnd w:id="7314"/>
      <w:bookmarkEnd w:id="7315"/>
      <w:bookmarkEnd w:id="7316"/>
      <w:bookmarkEnd w:id="7317"/>
      <w:bookmarkEnd w:id="7318"/>
    </w:p>
    <w:p>
      <w:pPr>
        <w:spacing w:after="120" w:line="264" w:lineRule="auto"/>
        <w:rPr>
          <w:rFonts w:cs="Times New Roman"/>
          <w:noProof/>
          <w:szCs w:val="24"/>
        </w:rPr>
      </w:pPr>
      <w:r>
        <w:rPr>
          <w:rFonts w:cs="Times New Roman"/>
          <w:noProof/>
          <w:szCs w:val="24"/>
        </w:rPr>
        <w:t>The type of actions covered under the sustainable infrastructure window should be closely related to the type of investments, the beneficiaries, their risks and financial structuring fundamentals.</w:t>
      </w:r>
    </w:p>
    <w:p>
      <w:pPr>
        <w:spacing w:after="120" w:line="264" w:lineRule="auto"/>
        <w:rPr>
          <w:rFonts w:cs="Times New Roman"/>
          <w:noProof/>
          <w:szCs w:val="24"/>
        </w:rPr>
      </w:pPr>
      <w:r>
        <w:rPr>
          <w:rFonts w:cs="Times New Roman"/>
          <w:noProof/>
          <w:szCs w:val="24"/>
        </w:rPr>
        <w:t xml:space="preserve">For investments that can be consolidated on the balance sheets of promoters (core business type of investments, strong promoters), standard type of instruments/ products (such as loans, guarantees, credit enhancement) could be </w:t>
      </w:r>
      <w:r>
        <w:rPr>
          <w:rFonts w:cs="Times New Roman"/>
          <w:noProof/>
          <w:szCs w:val="24"/>
          <w:lang w:eastAsia="ja-JP"/>
        </w:rPr>
        <w:t>provided</w:t>
      </w:r>
      <w:r>
        <w:rPr>
          <w:rFonts w:cs="Times New Roman"/>
          <w:noProof/>
          <w:szCs w:val="24"/>
        </w:rPr>
        <w:t xml:space="preserve">. Same applies also for well capitalised </w:t>
      </w:r>
      <w:r>
        <w:rPr>
          <w:rFonts w:cs="Times New Roman"/>
          <w:noProof/>
          <w:color w:val="000000" w:themeColor="text1"/>
          <w:szCs w:val="24"/>
        </w:rPr>
        <w:t>special purpose vehicles (</w:t>
      </w:r>
      <w:r>
        <w:rPr>
          <w:rFonts w:cs="Times New Roman"/>
          <w:noProof/>
          <w:szCs w:val="24"/>
        </w:rPr>
        <w:t xml:space="preserve">SPVs) backed-up by strong promoters. This type of products could be feasible e.g. for certain transport or energy infrastructure (inter-connectors for large-scale renewable power) projects. On the other hand, there may be investment situations and projects that would require less standardised instruments, with higher risk coverage and potentially a variety of financing products. </w:t>
      </w:r>
    </w:p>
    <w:p>
      <w:pPr>
        <w:spacing w:after="120" w:line="264" w:lineRule="auto"/>
        <w:rPr>
          <w:rFonts w:cs="Times New Roman"/>
          <w:noProof/>
          <w:szCs w:val="24"/>
          <w:lang w:eastAsia="ja-JP"/>
        </w:rPr>
      </w:pPr>
      <w:r>
        <w:rPr>
          <w:rFonts w:cs="Times New Roman"/>
          <w:noProof/>
          <w:szCs w:val="24"/>
        </w:rPr>
        <w:t>Compared to actions currently offered under various instruments, such as t</w:t>
      </w:r>
      <w:r>
        <w:rPr>
          <w:rFonts w:cs="Times New Roman"/>
          <w:noProof/>
          <w:szCs w:val="24"/>
          <w:lang w:eastAsia="ja-JP"/>
        </w:rPr>
        <w:t xml:space="preserve">he </w:t>
      </w:r>
      <w:r>
        <w:rPr>
          <w:rFonts w:cs="Times New Roman"/>
          <w:noProof/>
          <w:szCs w:val="24"/>
        </w:rPr>
        <w:t xml:space="preserve">CEF Debt Instrument, </w:t>
      </w:r>
      <w:r>
        <w:rPr>
          <w:rFonts w:cs="Times New Roman"/>
          <w:noProof/>
          <w:szCs w:val="24"/>
          <w:lang w:eastAsia="ja-JP"/>
        </w:rPr>
        <w:t xml:space="preserve">i.e. senior debt/project bond credit enhancement, funded senior loan, hybrid securities, guarantees, </w:t>
      </w:r>
      <w:r>
        <w:rPr>
          <w:rFonts w:cs="Times New Roman"/>
          <w:noProof/>
          <w:szCs w:val="24"/>
        </w:rPr>
        <w:t xml:space="preserve">or development of new products specifically focusing on low carbon infrastructure (e.g. smart grids at intersection with energy storage/mobility), the future actions should expand the perimeter of the infrastructure window towards business models of the future, essentially laying the ground for their "standardisation" after reaching the critical mass. </w:t>
      </w:r>
    </w:p>
    <w:p>
      <w:pPr>
        <w:spacing w:after="120" w:line="264" w:lineRule="auto"/>
        <w:rPr>
          <w:rFonts w:cs="Times New Roman"/>
          <w:noProof/>
          <w:szCs w:val="24"/>
        </w:rPr>
      </w:pPr>
      <w:r>
        <w:rPr>
          <w:rFonts w:cs="Times New Roman"/>
          <w:noProof/>
          <w:color w:val="000000" w:themeColor="text1"/>
          <w:szCs w:val="24"/>
        </w:rPr>
        <w:t>For highly innovative and high-risk projects, blending with a grant component coming from other instruments should be possible. A</w:t>
      </w:r>
      <w:r>
        <w:rPr>
          <w:rFonts w:cs="Times New Roman"/>
          <w:noProof/>
          <w:szCs w:val="24"/>
        </w:rPr>
        <w:t xml:space="preserve"> technical assistance layer addressing the preparatory phase of projects until their financial close would certainly help speed up the pipeline evolution and reducing the risks of projects related to financial, legal, technical and procedural elements. </w:t>
      </w:r>
    </w:p>
    <w:p>
      <w:pPr>
        <w:spacing w:after="120" w:line="264" w:lineRule="auto"/>
        <w:rPr>
          <w:rFonts w:cs="Times New Roman"/>
          <w:noProof/>
          <w:szCs w:val="24"/>
        </w:rPr>
      </w:pPr>
      <w:r>
        <w:rPr>
          <w:rFonts w:cs="Times New Roman"/>
          <w:noProof/>
          <w:szCs w:val="24"/>
        </w:rPr>
        <w:t>With regard to the envisaged financing mechanisms,</w:t>
      </w:r>
      <w:r>
        <w:rPr>
          <w:rFonts w:cs="Times New Roman"/>
          <w:b/>
          <w:noProof/>
          <w:szCs w:val="24"/>
        </w:rPr>
        <w:t xml:space="preserve"> </w:t>
      </w:r>
      <w:r>
        <w:rPr>
          <w:rFonts w:cs="Times New Roman"/>
          <w:noProof/>
          <w:szCs w:val="24"/>
        </w:rPr>
        <w:t>a key aspect is flexibly determining the most effective capital structure and mix of private and public funding through the life cycle of the project from greenfield into the brownfield phase. No refinancing would be possible under the InvestEU Fund.</w:t>
      </w:r>
    </w:p>
    <w:p>
      <w:pPr>
        <w:spacing w:after="120" w:line="264" w:lineRule="auto"/>
        <w:rPr>
          <w:rFonts w:cs="Times New Roman"/>
          <w:noProof/>
          <w:szCs w:val="24"/>
        </w:rPr>
      </w:pPr>
      <w:r>
        <w:rPr>
          <w:rFonts w:cs="Times New Roman"/>
          <w:noProof/>
          <w:szCs w:val="24"/>
        </w:rPr>
        <w:t>In this context, the EU budget provisioning of debt financing that facilitates access to finance in suboptimal investment situations where projects will have difficulties to receive adequate bank or capital market financing should be continued. Given the different needs emerging in infrastructure, such financing will support senior debt operations (loans and guarantees), and subordinated ones (funded and unfunded, including project bonds, loans and guarantees).</w:t>
      </w:r>
    </w:p>
    <w:p>
      <w:pPr>
        <w:spacing w:after="120" w:line="264" w:lineRule="auto"/>
        <w:rPr>
          <w:rFonts w:cs="Times New Roman"/>
          <w:noProof/>
          <w:szCs w:val="24"/>
        </w:rPr>
      </w:pPr>
      <w:r>
        <w:rPr>
          <w:rFonts w:cs="Times New Roman"/>
          <w:noProof/>
          <w:szCs w:val="24"/>
        </w:rPr>
        <w:t>Given the continued need for infrastructure renewal and development and the ambitious decarbonisation targets set at European level, the need for equity remains high, particularly during project construction.</w:t>
      </w:r>
      <w:r>
        <w:rPr>
          <w:rFonts w:cs="Times New Roman"/>
          <w:b/>
          <w:noProof/>
          <w:szCs w:val="24"/>
        </w:rPr>
        <w:t xml:space="preserve"> </w:t>
      </w:r>
      <w:r>
        <w:rPr>
          <w:rFonts w:cs="Times New Roman"/>
          <w:noProof/>
          <w:szCs w:val="24"/>
        </w:rPr>
        <w:t>Complex undertakings such as land remediation projects and assets with yet untested technology and revenue models such as battery storage still find it difficult to raise equity capital for their construction phase.</w:t>
      </w:r>
      <w:r>
        <w:rPr>
          <w:rFonts w:cs="Times New Roman"/>
          <w:b/>
          <w:noProof/>
          <w:szCs w:val="24"/>
        </w:rPr>
        <w:t xml:space="preserve"> </w:t>
      </w:r>
      <w:r>
        <w:rPr>
          <w:rFonts w:cs="Times New Roman"/>
          <w:noProof/>
          <w:szCs w:val="24"/>
        </w:rPr>
        <w:t>Projects that have a greater degree of revenue risks, operating risks, or construction risks that limit the capacity to borrow may face financing gap where equity can be used to provide the necessary additional financial backing.</w:t>
      </w:r>
    </w:p>
    <w:p>
      <w:pPr>
        <w:spacing w:after="120" w:line="264" w:lineRule="auto"/>
        <w:rPr>
          <w:rFonts w:cs="Times New Roman"/>
          <w:noProof/>
          <w:szCs w:val="24"/>
        </w:rPr>
      </w:pPr>
      <w:r>
        <w:rPr>
          <w:rFonts w:cs="Times New Roman"/>
          <w:noProof/>
          <w:szCs w:val="24"/>
        </w:rPr>
        <w:t xml:space="preserve">Technical assistance supporting the preparation of infrastructure investment shall also support the sustainability proofing of investment projects (notably related to climate), partly by ensuring due consideration of low-carbon and environmentally friendly options and solutions, partly by ensuring infrastructure's resilience to the current and future climate throughout its lifespan. The objective of these aspects of technical assistance lies in better identification and reduction of project risks during construction, maintenance, operation and decommissioning of the infrastructure at stake. </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In the utility sectors, notably in the energy sector, project promoters would mostly come from a mix of public (cities, municipalities), semi-public and private sector, such as transmission and distribution system network operators, electricity suppliers and retailers, energy, water and waste service companies, generation companies, energy communities, large property owners etc. These entities may be public sector by tradition operating on commercial or non-commercial basis, privatised with or without public service objective, or recently created public entities in nascent markets (e.g. for energy services). The </w:t>
      </w:r>
      <w:r>
        <w:rPr>
          <w:rFonts w:cs="Times New Roman"/>
          <w:bCs/>
          <w:noProof/>
          <w:szCs w:val="24"/>
        </w:rPr>
        <w:t xml:space="preserve">InvestEU Fund is well placed to realise cross-sectoral synergies, e.g. between energy, transport and digital connectivity. </w:t>
      </w:r>
      <w:r>
        <w:rPr>
          <w:rFonts w:eastAsia="Times New Roman" w:cs="Times New Roman"/>
          <w:bCs/>
          <w:noProof/>
          <w:color w:val="000000"/>
          <w:szCs w:val="24"/>
        </w:rPr>
        <w:t xml:space="preserve">Large and medium private or public entities or SPVs also operate under concession or PPP such as in ports, airports and motorways projects, and as well to deliver water and wastewater services. </w:t>
      </w:r>
    </w:p>
    <w:p>
      <w:pPr>
        <w:pStyle w:val="ListParagraph"/>
        <w:spacing w:after="120" w:line="264" w:lineRule="auto"/>
        <w:ind w:left="0"/>
        <w:contextualSpacing w:val="0"/>
        <w:rPr>
          <w:rFonts w:cs="Times New Roman"/>
          <w:noProof/>
          <w:szCs w:val="24"/>
        </w:rPr>
      </w:pPr>
      <w:r>
        <w:rPr>
          <w:rFonts w:cs="Times New Roman"/>
          <w:noProof/>
          <w:szCs w:val="24"/>
        </w:rPr>
        <w:t>In the sector of telecommunications, project promoters can be private and public and vary significantly in size. It is of particular importance that smaller promoters have adequate access to such instruments. On the other hand, strict eligibility criteria should be imposed in relation to the projects deployed (e.g. contribution to EU's connectivity targets/increasing coverage, state of the art technology, innovative business model).</w:t>
      </w:r>
    </w:p>
    <w:p>
      <w:pPr>
        <w:pStyle w:val="ListParagraph"/>
        <w:spacing w:after="120" w:line="264" w:lineRule="auto"/>
        <w:ind w:left="0"/>
        <w:contextualSpacing w:val="0"/>
        <w:rPr>
          <w:rFonts w:cs="Times New Roman"/>
          <w:noProof/>
          <w:szCs w:val="24"/>
        </w:rPr>
      </w:pPr>
      <w:r>
        <w:rPr>
          <w:rFonts w:cs="Times New Roman"/>
          <w:noProof/>
          <w:szCs w:val="24"/>
        </w:rPr>
        <w:t>In the blue economy, project promotors cover the whole value chain, ranging from public, to semi-public and private entities varying from multinational, medium size maritime businesses to SMEs.</w:t>
      </w:r>
    </w:p>
    <w:p>
      <w:pPr>
        <w:pStyle w:val="Heading3"/>
        <w:spacing w:line="264" w:lineRule="auto"/>
        <w:rPr>
          <w:noProof/>
          <w:szCs w:val="24"/>
        </w:rPr>
      </w:pPr>
      <w:bookmarkStart w:id="7320" w:name="_Toc514577227"/>
      <w:bookmarkStart w:id="7321" w:name="_Toc508287418"/>
      <w:bookmarkStart w:id="7322" w:name="_Toc508724925"/>
      <w:bookmarkStart w:id="7323" w:name="_Toc508733468"/>
      <w:bookmarkStart w:id="7324" w:name="_Toc508735101"/>
      <w:bookmarkStart w:id="7325" w:name="_Toc508809724"/>
      <w:bookmarkStart w:id="7326" w:name="_Toc509069227"/>
      <w:bookmarkStart w:id="7327" w:name="_Toc509313274"/>
      <w:bookmarkStart w:id="7328" w:name="_Toc509323847"/>
      <w:bookmarkStart w:id="7329" w:name="_Toc509327418"/>
      <w:bookmarkStart w:id="7330" w:name="_Toc509332960"/>
      <w:bookmarkStart w:id="7331" w:name="_Toc509334710"/>
      <w:bookmarkStart w:id="7332" w:name="_Toc509337928"/>
      <w:bookmarkEnd w:id="7320"/>
      <w:r>
        <w:rPr>
          <w:noProof/>
          <w:szCs w:val="24"/>
        </w:rPr>
        <w:t xml:space="preserve">Research, Innovation and Digitalisation Window </w:t>
      </w:r>
    </w:p>
    <w:p>
      <w:pPr>
        <w:spacing w:after="120" w:line="264" w:lineRule="auto"/>
        <w:rPr>
          <w:rFonts w:cs="Times New Roman"/>
          <w:noProof/>
          <w:szCs w:val="24"/>
        </w:rPr>
      </w:pPr>
      <w:r>
        <w:rPr>
          <w:rFonts w:cs="Times New Roman"/>
          <w:noProof/>
          <w:color w:val="000000" w:themeColor="text1"/>
          <w:szCs w:val="24"/>
        </w:rPr>
        <w:t xml:space="preserve">An adequate mix of debt, </w:t>
      </w:r>
      <w:r>
        <w:rPr>
          <w:rFonts w:cs="Times New Roman"/>
          <w:noProof/>
          <w:szCs w:val="24"/>
        </w:rPr>
        <w:t>equity and risk-sharing products will be developed to tailor to the needs of innovators depending on the nature, development stage and risk of R&amp;I projects. This will take into account the variety of potential R&amp;I beneficiaries such as European Innovation Council (EIC) beneficiaries, European Research Council (ERC) grantees, Marie Skłodowska-Curie actions, middle market companies, large companies, stand-alone projects, SPVs, Universities, Research Centres, Innovation Agencies, R&amp;I infrastructures, and other R&amp;I driven institutions such as research funding foundations and European Institute of Innovation and Technology (EIT) Knowledge and Innovation Communities.</w:t>
      </w:r>
    </w:p>
    <w:p>
      <w:pPr>
        <w:spacing w:after="120" w:line="264" w:lineRule="auto"/>
        <w:rPr>
          <w:rFonts w:eastAsia="Calibri" w:cs="Times New Roman"/>
          <w:b/>
          <w:noProof/>
          <w:szCs w:val="24"/>
        </w:rPr>
      </w:pPr>
      <w:r>
        <w:rPr>
          <w:rFonts w:eastAsia="Calibri" w:cs="Times New Roman"/>
          <w:noProof/>
          <w:szCs w:val="24"/>
        </w:rPr>
        <w:t>The focus of the actions of the research, innovation and digitalisation window would be on:</w:t>
      </w:r>
    </w:p>
    <w:p>
      <w:pPr>
        <w:pStyle w:val="Bulet"/>
        <w:spacing w:line="264" w:lineRule="auto"/>
        <w:rPr>
          <w:rFonts w:eastAsia="Calibri"/>
          <w:noProof/>
          <w:szCs w:val="24"/>
        </w:rPr>
      </w:pPr>
      <w:r>
        <w:rPr>
          <w:rFonts w:eastAsia="Calibri"/>
          <w:noProof/>
          <w:szCs w:val="24"/>
        </w:rPr>
        <w:t xml:space="preserve">Creating critical mass of financing to support high-risk investments in R&amp;I, digital market and new technologies. This will include large-scale first-of-a-kind demonstrations for which market investor interest may be low and which could deliver a step change in support of specific EU policy objectives, such as the low-carbon innovation in energy and industrial sectors; Innovation, in particular disruptive, will increasingly rely on complex combinations of various technologies, digital transformation and intangible assets. This new wave of much deeper and transformative innovations will merge digital with physical and will go more and more into 'deep tech'. This will foster emergence of new business models and changes in traditional business models that will require substantial financial resources. </w:t>
      </w:r>
    </w:p>
    <w:p>
      <w:pPr>
        <w:pStyle w:val="Bulet"/>
        <w:spacing w:line="264" w:lineRule="auto"/>
        <w:rPr>
          <w:rFonts w:eastAsia="Calibri"/>
          <w:noProof/>
          <w:szCs w:val="24"/>
        </w:rPr>
      </w:pPr>
      <w:r>
        <w:rPr>
          <w:rFonts w:eastAsia="Calibri"/>
          <w:noProof/>
          <w:szCs w:val="24"/>
        </w:rPr>
        <w:t>De-risking investments in innovative technologies, and transfer established solutions to new markets. Financial products of the InvestEU Fund would reduce time to market at potentially lower costs. Finance providers remain rather averse towards providing financial support for R&amp;I activities, which results in low credit scores and high interest charges or sub-optimal repayment terms to compensate for the perceived risks embedded in the innovative technologies or ventures. In many instances, private sector financiers and investors do not finance uncollateralised projects with unsecure return prospects due to the early stage of their development, the capital intensiveness and the long time to market. This is particularly relevant in the case of R&amp;I activities with medium and long-term innovation cycles such us deep tech, health, new advanced materials or low-carbon technologies in the energy sector, CCS and industry.</w:t>
      </w:r>
    </w:p>
    <w:p>
      <w:pPr>
        <w:pStyle w:val="Bulet"/>
        <w:spacing w:line="264" w:lineRule="auto"/>
        <w:rPr>
          <w:rFonts w:eastAsia="Calibri"/>
          <w:noProof/>
          <w:szCs w:val="24"/>
        </w:rPr>
      </w:pPr>
      <w:r>
        <w:rPr>
          <w:rFonts w:eastAsia="Calibri"/>
          <w:noProof/>
          <w:szCs w:val="24"/>
        </w:rPr>
        <w:t xml:space="preserve">Stimulating innovation diffusion and uptake of technologies </w:t>
      </w:r>
      <w:r>
        <w:rPr>
          <w:noProof/>
          <w:szCs w:val="24"/>
        </w:rPr>
        <w:t>from radical to incremental. It will help deploy innovative solutions, translate research results to market and support innovation diffusion. This window will help address societal challenges linked to health, energy, security, climate change mitigation and adaptation, decarbonisation of the economy, low-carbon mobility and transport, water and food crisis, environmental disasters, migration, digitalisation, oceans, and biodiversity loss.</w:t>
      </w:r>
    </w:p>
    <w:p>
      <w:pPr>
        <w:pStyle w:val="Bulet"/>
        <w:spacing w:line="264" w:lineRule="auto"/>
        <w:rPr>
          <w:rFonts w:eastAsia="Calibri"/>
          <w:noProof/>
          <w:szCs w:val="24"/>
        </w:rPr>
      </w:pPr>
      <w:r>
        <w:rPr>
          <w:rFonts w:eastAsia="Calibri"/>
          <w:noProof/>
          <w:szCs w:val="24"/>
        </w:rPr>
        <w:t xml:space="preserve">Foster the transfer of best practices between financial intermediaries with a view to encourage the emergence of a broad product offering supporting R&amp;I activities and R&amp;I-intensive entities. </w:t>
      </w:r>
    </w:p>
    <w:p>
      <w:pPr>
        <w:pStyle w:val="Bulet"/>
        <w:spacing w:line="264" w:lineRule="auto"/>
        <w:rPr>
          <w:noProof/>
          <w:szCs w:val="24"/>
        </w:rPr>
      </w:pPr>
      <w:r>
        <w:rPr>
          <w:rFonts w:eastAsia="Calibri"/>
          <w:noProof/>
          <w:szCs w:val="24"/>
        </w:rPr>
        <w:t>Technical assistance will be provided to promoters to structure their projects in order to improve their investment readiness and bankability. In addition, horizontal advice can be supported to improve investment conditions in sectors and markets with suboptimal investment. This includes measures such as: developing a business case for new financing mechanisms, preparing studies on increasing the effectiveness of financial instruments in addressing specific R&amp;I and digital needs and</w:t>
      </w:r>
      <w:r>
        <w:rPr>
          <w:noProof/>
          <w:szCs w:val="24"/>
        </w:rPr>
        <w:t xml:space="preserve"> should also cover the project development documents and advise related to speeding-up the project development, Front End Engineering Design studies, documentation and processes towards the financial close and legal contracting issues (e.g. Intellectual Property Rights) counterparty liabilities settlement). </w:t>
      </w:r>
    </w:p>
    <w:p>
      <w:pPr>
        <w:spacing w:after="120" w:line="264" w:lineRule="auto"/>
        <w:rPr>
          <w:rFonts w:eastAsia="Calibri" w:cs="Times New Roman"/>
          <w:noProof/>
          <w:szCs w:val="24"/>
        </w:rPr>
      </w:pPr>
      <w:r>
        <w:rPr>
          <w:rFonts w:cs="Times New Roman"/>
          <w:noProof/>
          <w:szCs w:val="24"/>
        </w:rPr>
        <w:t xml:space="preserve">Debt products will directly lend to final beneficiaries for investment in R&amp;I activities: (i) indirectly via (counter-) guarantees to financial intermediaries providing debt finance to final beneficiaries, (ii) may set up investment platforms with public-private co-investment arrangements structures with a view to catalysing investments in a portfolio of projects through a combination of direct loans and indirect finance (counter-) guarantees with a thematic or geographic focus and (iii) guarantees and/or counter-guarantees for national or regional debt-financing schemes. </w:t>
      </w:r>
    </w:p>
    <w:p>
      <w:pPr>
        <w:spacing w:after="120" w:line="264" w:lineRule="auto"/>
        <w:rPr>
          <w:rFonts w:cs="Times New Roman"/>
          <w:bCs/>
          <w:noProof/>
          <w:color w:val="000000"/>
          <w:szCs w:val="24"/>
          <w:shd w:val="clear" w:color="auto" w:fill="FFFFFF"/>
        </w:rPr>
      </w:pPr>
      <w:r>
        <w:rPr>
          <w:rFonts w:eastAsia="Calibri" w:cs="Times New Roman"/>
          <w:noProof/>
          <w:szCs w:val="24"/>
        </w:rPr>
        <w:t xml:space="preserve">The equity and quasi equity products would focus on innovative mid-caps either through direct quasi equity investments or through risk sharing arrangements or co-investments with financial intermediaries and national public and semi-public financial institutions. </w:t>
      </w:r>
    </w:p>
    <w:p>
      <w:pPr>
        <w:pStyle w:val="Heading3"/>
        <w:spacing w:line="264" w:lineRule="auto"/>
        <w:rPr>
          <w:noProof/>
          <w:szCs w:val="24"/>
        </w:rPr>
      </w:pPr>
      <w:r>
        <w:rPr>
          <w:noProof/>
          <w:szCs w:val="24"/>
        </w:rPr>
        <w:t xml:space="preserve"> SME Window</w:t>
      </w:r>
      <w:bookmarkEnd w:id="7321"/>
      <w:bookmarkEnd w:id="7322"/>
      <w:bookmarkEnd w:id="7323"/>
      <w:bookmarkEnd w:id="7324"/>
      <w:bookmarkEnd w:id="7325"/>
      <w:bookmarkEnd w:id="7326"/>
      <w:bookmarkEnd w:id="7327"/>
      <w:bookmarkEnd w:id="7328"/>
      <w:bookmarkEnd w:id="7329"/>
      <w:bookmarkEnd w:id="7330"/>
      <w:bookmarkEnd w:id="7331"/>
      <w:bookmarkEnd w:id="7332"/>
      <w:r>
        <w:rPr>
          <w:noProof/>
          <w:szCs w:val="24"/>
        </w:rPr>
        <w:t xml:space="preserve"> </w:t>
      </w:r>
    </w:p>
    <w:p>
      <w:pPr>
        <w:spacing w:after="120" w:line="264" w:lineRule="auto"/>
        <w:rPr>
          <w:rFonts w:cs="Times New Roman"/>
          <w:noProof/>
          <w:szCs w:val="24"/>
        </w:rPr>
      </w:pPr>
      <w:r>
        <w:rPr>
          <w:rFonts w:cs="Times New Roman"/>
          <w:noProof/>
          <w:szCs w:val="24"/>
        </w:rPr>
        <w:t>Under the SME window all priority actions will be geared towards facilitating access to finance to SMEs and small mid-caps.</w:t>
      </w:r>
    </w:p>
    <w:p>
      <w:pPr>
        <w:spacing w:after="120" w:line="264" w:lineRule="auto"/>
        <w:rPr>
          <w:rFonts w:cs="Times New Roman"/>
          <w:noProof/>
          <w:szCs w:val="24"/>
        </w:rPr>
      </w:pPr>
      <w:r>
        <w:rPr>
          <w:rFonts w:cs="Times New Roman"/>
          <w:noProof/>
          <w:szCs w:val="24"/>
        </w:rPr>
        <w:t xml:space="preserve">The EU-level debt instruments could focus on SMEs according to the applicable EU definition, more specifically those which would not receive support from the market due to the perceived higher risk or the lack of collateral. Where justified, more dedicated support may be provided for SMEs or organisations, or to small mid-caps, for a specific sector or a specific policy orientation. </w:t>
      </w:r>
    </w:p>
    <w:p>
      <w:pPr>
        <w:spacing w:after="120" w:line="264" w:lineRule="auto"/>
        <w:rPr>
          <w:rFonts w:cs="Times New Roman"/>
          <w:noProof/>
          <w:color w:val="000000" w:themeColor="text1"/>
          <w:szCs w:val="24"/>
        </w:rPr>
      </w:pPr>
      <w:r>
        <w:rPr>
          <w:rFonts w:cs="Times New Roman"/>
          <w:noProof/>
          <w:szCs w:val="24"/>
        </w:rPr>
        <w:t xml:space="preserve">On the debt side, the SME window could also encompass </w:t>
      </w:r>
      <w:r>
        <w:rPr>
          <w:rFonts w:cs="Times New Roman"/>
          <w:noProof/>
          <w:color w:val="000000" w:themeColor="text1"/>
          <w:szCs w:val="24"/>
        </w:rPr>
        <w:t xml:space="preserve">SME guarantee schemes which shall provide guarantees on a broad range of different financing transactions (including investment loans, guarantees, working capital facilities, leasing transactions, subordinated loans, bank guarantees). This is essential to achieve the appropriate coverage and to respond to the financing needs/business needs of SMEs. </w:t>
      </w:r>
    </w:p>
    <w:p>
      <w:pPr>
        <w:spacing w:after="120" w:line="264" w:lineRule="auto"/>
        <w:rPr>
          <w:rFonts w:cs="Times New Roman"/>
          <w:noProof/>
          <w:szCs w:val="24"/>
        </w:rPr>
      </w:pPr>
      <w:r>
        <w:rPr>
          <w:rFonts w:cs="Times New Roman"/>
          <w:noProof/>
          <w:szCs w:val="24"/>
        </w:rPr>
        <w:t xml:space="preserve">The equity instruments could focus on investments in SMEs according to applicable EU definitions, and more specifically those which activities would help achieve the EU policy priorities. Where duly justified, investments may also be made into small midcaps. Targeting could be done on a sectoral basis (linked to the fields in which the policy priorities will be implemented) and a company life-cycle basis (on the basis of funding gap analyses). </w:t>
      </w:r>
    </w:p>
    <w:p>
      <w:pPr>
        <w:spacing w:after="120" w:line="264" w:lineRule="auto"/>
        <w:rPr>
          <w:rFonts w:cs="Times New Roman"/>
          <w:noProof/>
          <w:szCs w:val="24"/>
        </w:rPr>
      </w:pPr>
      <w:r>
        <w:rPr>
          <w:rFonts w:cs="Times New Roman"/>
          <w:noProof/>
          <w:color w:val="000000" w:themeColor="text1"/>
          <w:szCs w:val="24"/>
        </w:rPr>
        <w:t>As regards equity, the p</w:t>
      </w:r>
      <w:r>
        <w:rPr>
          <w:rFonts w:cs="Times New Roman"/>
          <w:noProof/>
          <w:szCs w:val="24"/>
        </w:rPr>
        <w:t>roducts to be included in the SME Window could support technology transfer, equity crowdfunding, business angel investments, venture capital (VC) investments (including investments into VC funds-of-funds), and initial public offerings.</w:t>
      </w:r>
      <w:r>
        <w:rPr>
          <w:rFonts w:cs="Times New Roman"/>
          <w:noProof/>
          <w:color w:val="000000" w:themeColor="text1"/>
          <w:szCs w:val="24"/>
        </w:rPr>
        <w:t xml:space="preserve"> </w:t>
      </w:r>
      <w:r>
        <w:rPr>
          <w:rFonts w:cs="Times New Roman"/>
          <w:noProof/>
          <w:szCs w:val="24"/>
        </w:rPr>
        <w:t xml:space="preserve">In addition, the SME window could support cornerstone and catalytic investments in </w:t>
      </w:r>
      <w:r>
        <w:rPr>
          <w:rFonts w:cs="Times New Roman"/>
          <w:bCs/>
          <w:noProof/>
          <w:szCs w:val="24"/>
        </w:rPr>
        <w:t>established financial intermediaries, or entities to be incorporated, that make equity, quasi-equity, hybrid debt-equity and other forms of mezzanine finance investments in projects, start-ups and established SMEs and small midcaps.</w:t>
      </w:r>
    </w:p>
    <w:p>
      <w:pPr>
        <w:spacing w:after="120" w:line="264" w:lineRule="auto"/>
        <w:rPr>
          <w:rFonts w:cs="Times New Roman"/>
          <w:noProof/>
          <w:szCs w:val="24"/>
        </w:rPr>
      </w:pPr>
      <w:r>
        <w:rPr>
          <w:rFonts w:cs="Times New Roman"/>
          <w:noProof/>
          <w:szCs w:val="24"/>
        </w:rPr>
        <w:t>Equity investments may be combined (blended) with debt finance and grant funding under EU central programmes or those established under cohesion policy (shared management) or under national programmes.</w:t>
      </w:r>
    </w:p>
    <w:p>
      <w:pPr>
        <w:spacing w:after="120" w:line="264" w:lineRule="auto"/>
        <w:rPr>
          <w:rFonts w:cs="Times New Roman"/>
          <w:bCs/>
          <w:noProof/>
          <w:szCs w:val="24"/>
        </w:rPr>
      </w:pPr>
      <w:r>
        <w:rPr>
          <w:rFonts w:cs="Times New Roman"/>
          <w:bCs/>
          <w:noProof/>
          <w:szCs w:val="24"/>
        </w:rPr>
        <w:t xml:space="preserve">Technical assistance or capacity-building support where such activities are crucial to achieve a smooth implementation of the financial instruments, such as best-practice exchanges between financial intermediaries of a particular type, matchmaking between investors and investees (database, events) and investment-readiness training, coaching in raising finance, and mentoring for founders and CEOs. </w:t>
      </w:r>
    </w:p>
    <w:p>
      <w:pPr>
        <w:pStyle w:val="Heading3"/>
        <w:spacing w:line="264" w:lineRule="auto"/>
        <w:rPr>
          <w:noProof/>
          <w:szCs w:val="24"/>
        </w:rPr>
      </w:pPr>
      <w:bookmarkStart w:id="7333" w:name="_Toc509067291"/>
      <w:bookmarkStart w:id="7334" w:name="_Toc509068725"/>
      <w:bookmarkStart w:id="7335" w:name="_Toc509067296"/>
      <w:bookmarkStart w:id="7336" w:name="_Toc509068730"/>
      <w:bookmarkStart w:id="7337" w:name="_Toc509067306"/>
      <w:bookmarkStart w:id="7338" w:name="_Toc509068740"/>
      <w:bookmarkStart w:id="7339" w:name="_Toc509069232"/>
      <w:bookmarkStart w:id="7340" w:name="_Toc509069237"/>
      <w:bookmarkStart w:id="7341" w:name="_Toc509069239"/>
      <w:bookmarkStart w:id="7342" w:name="_Toc509069241"/>
      <w:bookmarkStart w:id="7343" w:name="_Toc509069242"/>
      <w:bookmarkStart w:id="7344" w:name="_Toc509069243"/>
      <w:bookmarkStart w:id="7345" w:name="_Toc509069244"/>
      <w:bookmarkStart w:id="7346" w:name="_Toc509069245"/>
      <w:bookmarkStart w:id="7347" w:name="_Toc509069246"/>
      <w:bookmarkStart w:id="7348" w:name="_Toc509069247"/>
      <w:bookmarkStart w:id="7349" w:name="_Toc509069248"/>
      <w:bookmarkStart w:id="7350" w:name="_Toc509069250"/>
      <w:bookmarkStart w:id="7351" w:name="_Toc509069252"/>
      <w:bookmarkStart w:id="7352" w:name="_Toc509310821"/>
      <w:bookmarkStart w:id="7353" w:name="_Toc509311216"/>
      <w:bookmarkStart w:id="7354" w:name="_Toc509311617"/>
      <w:bookmarkStart w:id="7355" w:name="_Toc509312055"/>
      <w:bookmarkStart w:id="7356" w:name="_Toc509312481"/>
      <w:bookmarkStart w:id="7357" w:name="_Toc509312820"/>
      <w:bookmarkStart w:id="7358" w:name="_Toc509313161"/>
      <w:bookmarkStart w:id="7359" w:name="_Toc509313563"/>
      <w:bookmarkStart w:id="7360" w:name="_Toc509317002"/>
      <w:bookmarkStart w:id="7361" w:name="_Toc509317315"/>
      <w:bookmarkStart w:id="7362" w:name="_Toc509317607"/>
      <w:bookmarkStart w:id="7363" w:name="_Toc509317920"/>
      <w:bookmarkStart w:id="7364" w:name="_Toc509318233"/>
      <w:bookmarkStart w:id="7365" w:name="_Toc509319219"/>
      <w:bookmarkStart w:id="7366" w:name="_Toc509319581"/>
      <w:bookmarkStart w:id="7367" w:name="_Toc509320355"/>
      <w:bookmarkStart w:id="7368" w:name="_Toc509322327"/>
      <w:bookmarkStart w:id="7369" w:name="_Toc509322651"/>
      <w:bookmarkStart w:id="7370" w:name="_Toc509323153"/>
      <w:bookmarkStart w:id="7371" w:name="_Toc509323526"/>
      <w:bookmarkStart w:id="7372" w:name="_Toc509323850"/>
      <w:bookmarkStart w:id="7373" w:name="_Toc509324174"/>
      <w:bookmarkStart w:id="7374" w:name="_Toc509324498"/>
      <w:bookmarkStart w:id="7375" w:name="_Toc509324867"/>
      <w:bookmarkStart w:id="7376" w:name="_Toc509325236"/>
      <w:bookmarkStart w:id="7377" w:name="_Toc509325605"/>
      <w:bookmarkStart w:id="7378" w:name="_Toc509325980"/>
      <w:bookmarkStart w:id="7379" w:name="_Toc509326355"/>
      <w:bookmarkStart w:id="7380" w:name="_Toc509326730"/>
      <w:bookmarkStart w:id="7381" w:name="_Toc509327105"/>
      <w:bookmarkStart w:id="7382" w:name="_Toc509327421"/>
      <w:bookmarkStart w:id="7383" w:name="_Toc509327796"/>
      <w:bookmarkStart w:id="7384" w:name="_Toc509328171"/>
      <w:bookmarkStart w:id="7385" w:name="_Toc509332963"/>
      <w:bookmarkStart w:id="7386" w:name="_Toc509333376"/>
      <w:bookmarkStart w:id="7387" w:name="_Toc509333789"/>
      <w:bookmarkStart w:id="7388" w:name="_Toc509335192"/>
      <w:bookmarkStart w:id="7389" w:name="_Toc509335702"/>
      <w:bookmarkStart w:id="7390" w:name="_Toc509336645"/>
      <w:bookmarkStart w:id="7391" w:name="_Toc509337077"/>
      <w:bookmarkStart w:id="7392" w:name="_Toc509337504"/>
      <w:bookmarkStart w:id="7393" w:name="_Toc509337931"/>
      <w:bookmarkStart w:id="7394" w:name="_Toc509338261"/>
      <w:bookmarkStart w:id="7395" w:name="_Toc509382805"/>
      <w:bookmarkStart w:id="7396" w:name="_Toc509383237"/>
      <w:bookmarkStart w:id="7397" w:name="_Toc509384116"/>
      <w:bookmarkStart w:id="7398" w:name="_Toc509404809"/>
      <w:bookmarkStart w:id="7399" w:name="_Toc509310822"/>
      <w:bookmarkStart w:id="7400" w:name="_Toc509311217"/>
      <w:bookmarkStart w:id="7401" w:name="_Toc509311618"/>
      <w:bookmarkStart w:id="7402" w:name="_Toc509312056"/>
      <w:bookmarkStart w:id="7403" w:name="_Toc509312482"/>
      <w:bookmarkStart w:id="7404" w:name="_Toc509312821"/>
      <w:bookmarkStart w:id="7405" w:name="_Toc509313162"/>
      <w:bookmarkStart w:id="7406" w:name="_Toc509313564"/>
      <w:bookmarkStart w:id="7407" w:name="_Toc509317003"/>
      <w:bookmarkStart w:id="7408" w:name="_Toc509317316"/>
      <w:bookmarkStart w:id="7409" w:name="_Toc509317608"/>
      <w:bookmarkStart w:id="7410" w:name="_Toc509317921"/>
      <w:bookmarkStart w:id="7411" w:name="_Toc509318234"/>
      <w:bookmarkStart w:id="7412" w:name="_Toc509319220"/>
      <w:bookmarkStart w:id="7413" w:name="_Toc509319582"/>
      <w:bookmarkStart w:id="7414" w:name="_Toc509320356"/>
      <w:bookmarkStart w:id="7415" w:name="_Toc509322328"/>
      <w:bookmarkStart w:id="7416" w:name="_Toc509322652"/>
      <w:bookmarkStart w:id="7417" w:name="_Toc509323154"/>
      <w:bookmarkStart w:id="7418" w:name="_Toc509323527"/>
      <w:bookmarkStart w:id="7419" w:name="_Toc509323851"/>
      <w:bookmarkStart w:id="7420" w:name="_Toc509324175"/>
      <w:bookmarkStart w:id="7421" w:name="_Toc509324499"/>
      <w:bookmarkStart w:id="7422" w:name="_Toc509324868"/>
      <w:bookmarkStart w:id="7423" w:name="_Toc509325237"/>
      <w:bookmarkStart w:id="7424" w:name="_Toc509325606"/>
      <w:bookmarkStart w:id="7425" w:name="_Toc509325981"/>
      <w:bookmarkStart w:id="7426" w:name="_Toc509326356"/>
      <w:bookmarkStart w:id="7427" w:name="_Toc509326731"/>
      <w:bookmarkStart w:id="7428" w:name="_Toc509327106"/>
      <w:bookmarkStart w:id="7429" w:name="_Toc509327422"/>
      <w:bookmarkStart w:id="7430" w:name="_Toc509327797"/>
      <w:bookmarkStart w:id="7431" w:name="_Toc509328172"/>
      <w:bookmarkStart w:id="7432" w:name="_Toc509332964"/>
      <w:bookmarkStart w:id="7433" w:name="_Toc509333377"/>
      <w:bookmarkStart w:id="7434" w:name="_Toc509333790"/>
      <w:bookmarkStart w:id="7435" w:name="_Toc509335193"/>
      <w:bookmarkStart w:id="7436" w:name="_Toc509335703"/>
      <w:bookmarkStart w:id="7437" w:name="_Toc509336646"/>
      <w:bookmarkStart w:id="7438" w:name="_Toc509337078"/>
      <w:bookmarkStart w:id="7439" w:name="_Toc509337505"/>
      <w:bookmarkStart w:id="7440" w:name="_Toc509337932"/>
      <w:bookmarkStart w:id="7441" w:name="_Toc509338262"/>
      <w:bookmarkStart w:id="7442" w:name="_Toc509382806"/>
      <w:bookmarkStart w:id="7443" w:name="_Toc509383238"/>
      <w:bookmarkStart w:id="7444" w:name="_Toc509384117"/>
      <w:bookmarkStart w:id="7445" w:name="_Toc509404810"/>
      <w:bookmarkStart w:id="7446" w:name="_Toc509310823"/>
      <w:bookmarkStart w:id="7447" w:name="_Toc509311218"/>
      <w:bookmarkStart w:id="7448" w:name="_Toc509311619"/>
      <w:bookmarkStart w:id="7449" w:name="_Toc509312057"/>
      <w:bookmarkStart w:id="7450" w:name="_Toc509312483"/>
      <w:bookmarkStart w:id="7451" w:name="_Toc509312822"/>
      <w:bookmarkStart w:id="7452" w:name="_Toc509313163"/>
      <w:bookmarkStart w:id="7453" w:name="_Toc509313565"/>
      <w:bookmarkStart w:id="7454" w:name="_Toc509317004"/>
      <w:bookmarkStart w:id="7455" w:name="_Toc509317317"/>
      <w:bookmarkStart w:id="7456" w:name="_Toc509317609"/>
      <w:bookmarkStart w:id="7457" w:name="_Toc509317922"/>
      <w:bookmarkStart w:id="7458" w:name="_Toc509318235"/>
      <w:bookmarkStart w:id="7459" w:name="_Toc509319221"/>
      <w:bookmarkStart w:id="7460" w:name="_Toc509319583"/>
      <w:bookmarkStart w:id="7461" w:name="_Toc509320357"/>
      <w:bookmarkStart w:id="7462" w:name="_Toc509322329"/>
      <w:bookmarkStart w:id="7463" w:name="_Toc509322653"/>
      <w:bookmarkStart w:id="7464" w:name="_Toc509323155"/>
      <w:bookmarkStart w:id="7465" w:name="_Toc509323528"/>
      <w:bookmarkStart w:id="7466" w:name="_Toc509323852"/>
      <w:bookmarkStart w:id="7467" w:name="_Toc509324176"/>
      <w:bookmarkStart w:id="7468" w:name="_Toc509324500"/>
      <w:bookmarkStart w:id="7469" w:name="_Toc509324869"/>
      <w:bookmarkStart w:id="7470" w:name="_Toc509325238"/>
      <w:bookmarkStart w:id="7471" w:name="_Toc509325607"/>
      <w:bookmarkStart w:id="7472" w:name="_Toc509325982"/>
      <w:bookmarkStart w:id="7473" w:name="_Toc509326357"/>
      <w:bookmarkStart w:id="7474" w:name="_Toc509326732"/>
      <w:bookmarkStart w:id="7475" w:name="_Toc509327107"/>
      <w:bookmarkStart w:id="7476" w:name="_Toc509327423"/>
      <w:bookmarkStart w:id="7477" w:name="_Toc509327798"/>
      <w:bookmarkStart w:id="7478" w:name="_Toc509328173"/>
      <w:bookmarkStart w:id="7479" w:name="_Toc509332965"/>
      <w:bookmarkStart w:id="7480" w:name="_Toc509333378"/>
      <w:bookmarkStart w:id="7481" w:name="_Toc509333791"/>
      <w:bookmarkStart w:id="7482" w:name="_Toc509335194"/>
      <w:bookmarkStart w:id="7483" w:name="_Toc509335704"/>
      <w:bookmarkStart w:id="7484" w:name="_Toc509336647"/>
      <w:bookmarkStart w:id="7485" w:name="_Toc509337079"/>
      <w:bookmarkStart w:id="7486" w:name="_Toc509337506"/>
      <w:bookmarkStart w:id="7487" w:name="_Toc509337933"/>
      <w:bookmarkStart w:id="7488" w:name="_Toc509338263"/>
      <w:bookmarkStart w:id="7489" w:name="_Toc509382807"/>
      <w:bookmarkStart w:id="7490" w:name="_Toc509383239"/>
      <w:bookmarkStart w:id="7491" w:name="_Toc509384118"/>
      <w:bookmarkStart w:id="7492" w:name="_Toc509404811"/>
      <w:bookmarkStart w:id="7493" w:name="_Toc509310825"/>
      <w:bookmarkStart w:id="7494" w:name="_Toc509311220"/>
      <w:bookmarkStart w:id="7495" w:name="_Toc509311621"/>
      <w:bookmarkStart w:id="7496" w:name="_Toc509312059"/>
      <w:bookmarkStart w:id="7497" w:name="_Toc509312485"/>
      <w:bookmarkStart w:id="7498" w:name="_Toc509312824"/>
      <w:bookmarkStart w:id="7499" w:name="_Toc509313165"/>
      <w:bookmarkStart w:id="7500" w:name="_Toc509313567"/>
      <w:bookmarkStart w:id="7501" w:name="_Toc509317006"/>
      <w:bookmarkStart w:id="7502" w:name="_Toc509317319"/>
      <w:bookmarkStart w:id="7503" w:name="_Toc509317611"/>
      <w:bookmarkStart w:id="7504" w:name="_Toc509317924"/>
      <w:bookmarkStart w:id="7505" w:name="_Toc509318237"/>
      <w:bookmarkStart w:id="7506" w:name="_Toc509319223"/>
      <w:bookmarkStart w:id="7507" w:name="_Toc509319585"/>
      <w:bookmarkStart w:id="7508" w:name="_Toc509320359"/>
      <w:bookmarkStart w:id="7509" w:name="_Toc509322331"/>
      <w:bookmarkStart w:id="7510" w:name="_Toc509322655"/>
      <w:bookmarkStart w:id="7511" w:name="_Toc509323157"/>
      <w:bookmarkStart w:id="7512" w:name="_Toc509323530"/>
      <w:bookmarkStart w:id="7513" w:name="_Toc509323854"/>
      <w:bookmarkStart w:id="7514" w:name="_Toc509324178"/>
      <w:bookmarkStart w:id="7515" w:name="_Toc509324502"/>
      <w:bookmarkStart w:id="7516" w:name="_Toc509324871"/>
      <w:bookmarkStart w:id="7517" w:name="_Toc509325240"/>
      <w:bookmarkStart w:id="7518" w:name="_Toc509325609"/>
      <w:bookmarkStart w:id="7519" w:name="_Toc509325984"/>
      <w:bookmarkStart w:id="7520" w:name="_Toc509326359"/>
      <w:bookmarkStart w:id="7521" w:name="_Toc509326734"/>
      <w:bookmarkStart w:id="7522" w:name="_Toc509327109"/>
      <w:bookmarkStart w:id="7523" w:name="_Toc509327425"/>
      <w:bookmarkStart w:id="7524" w:name="_Toc509327800"/>
      <w:bookmarkStart w:id="7525" w:name="_Toc509328175"/>
      <w:bookmarkStart w:id="7526" w:name="_Toc509332967"/>
      <w:bookmarkStart w:id="7527" w:name="_Toc509333380"/>
      <w:bookmarkStart w:id="7528" w:name="_Toc509333793"/>
      <w:bookmarkStart w:id="7529" w:name="_Toc509335196"/>
      <w:bookmarkStart w:id="7530" w:name="_Toc509335706"/>
      <w:bookmarkStart w:id="7531" w:name="_Toc509336649"/>
      <w:bookmarkStart w:id="7532" w:name="_Toc509337081"/>
      <w:bookmarkStart w:id="7533" w:name="_Toc509337508"/>
      <w:bookmarkStart w:id="7534" w:name="_Toc509337935"/>
      <w:bookmarkStart w:id="7535" w:name="_Toc509338265"/>
      <w:bookmarkStart w:id="7536" w:name="_Toc509382809"/>
      <w:bookmarkStart w:id="7537" w:name="_Toc509383241"/>
      <w:bookmarkStart w:id="7538" w:name="_Toc509384120"/>
      <w:bookmarkStart w:id="7539" w:name="_Toc509404813"/>
      <w:bookmarkStart w:id="7540" w:name="_Toc509310826"/>
      <w:bookmarkStart w:id="7541" w:name="_Toc509311221"/>
      <w:bookmarkStart w:id="7542" w:name="_Toc509311622"/>
      <w:bookmarkStart w:id="7543" w:name="_Toc509312060"/>
      <w:bookmarkStart w:id="7544" w:name="_Toc509312486"/>
      <w:bookmarkStart w:id="7545" w:name="_Toc509312825"/>
      <w:bookmarkStart w:id="7546" w:name="_Toc509313166"/>
      <w:bookmarkStart w:id="7547" w:name="_Toc509313568"/>
      <w:bookmarkStart w:id="7548" w:name="_Toc509317007"/>
      <w:bookmarkStart w:id="7549" w:name="_Toc509317320"/>
      <w:bookmarkStart w:id="7550" w:name="_Toc509317612"/>
      <w:bookmarkStart w:id="7551" w:name="_Toc509317925"/>
      <w:bookmarkStart w:id="7552" w:name="_Toc509318238"/>
      <w:bookmarkStart w:id="7553" w:name="_Toc509319224"/>
      <w:bookmarkStart w:id="7554" w:name="_Toc509319586"/>
      <w:bookmarkStart w:id="7555" w:name="_Toc509320360"/>
      <w:bookmarkStart w:id="7556" w:name="_Toc509322332"/>
      <w:bookmarkStart w:id="7557" w:name="_Toc509322656"/>
      <w:bookmarkStart w:id="7558" w:name="_Toc509323158"/>
      <w:bookmarkStart w:id="7559" w:name="_Toc509323531"/>
      <w:bookmarkStart w:id="7560" w:name="_Toc509323855"/>
      <w:bookmarkStart w:id="7561" w:name="_Toc509324179"/>
      <w:bookmarkStart w:id="7562" w:name="_Toc509324503"/>
      <w:bookmarkStart w:id="7563" w:name="_Toc509324872"/>
      <w:bookmarkStart w:id="7564" w:name="_Toc509325241"/>
      <w:bookmarkStart w:id="7565" w:name="_Toc509325610"/>
      <w:bookmarkStart w:id="7566" w:name="_Toc509325985"/>
      <w:bookmarkStart w:id="7567" w:name="_Toc509326360"/>
      <w:bookmarkStart w:id="7568" w:name="_Toc509326735"/>
      <w:bookmarkStart w:id="7569" w:name="_Toc509327110"/>
      <w:bookmarkStart w:id="7570" w:name="_Toc509327426"/>
      <w:bookmarkStart w:id="7571" w:name="_Toc509327801"/>
      <w:bookmarkStart w:id="7572" w:name="_Toc509328176"/>
      <w:bookmarkStart w:id="7573" w:name="_Toc509332968"/>
      <w:bookmarkStart w:id="7574" w:name="_Toc509333381"/>
      <w:bookmarkStart w:id="7575" w:name="_Toc509333794"/>
      <w:bookmarkStart w:id="7576" w:name="_Toc509335197"/>
      <w:bookmarkStart w:id="7577" w:name="_Toc509335707"/>
      <w:bookmarkStart w:id="7578" w:name="_Toc509336650"/>
      <w:bookmarkStart w:id="7579" w:name="_Toc509337082"/>
      <w:bookmarkStart w:id="7580" w:name="_Toc509337509"/>
      <w:bookmarkStart w:id="7581" w:name="_Toc509337936"/>
      <w:bookmarkStart w:id="7582" w:name="_Toc509338266"/>
      <w:bookmarkStart w:id="7583" w:name="_Toc509382810"/>
      <w:bookmarkStart w:id="7584" w:name="_Toc509383242"/>
      <w:bookmarkStart w:id="7585" w:name="_Toc509384121"/>
      <w:bookmarkStart w:id="7586" w:name="_Toc509404814"/>
      <w:bookmarkStart w:id="7587" w:name="_Toc509310827"/>
      <w:bookmarkStart w:id="7588" w:name="_Toc509311222"/>
      <w:bookmarkStart w:id="7589" w:name="_Toc509311623"/>
      <w:bookmarkStart w:id="7590" w:name="_Toc509312061"/>
      <w:bookmarkStart w:id="7591" w:name="_Toc509312487"/>
      <w:bookmarkStart w:id="7592" w:name="_Toc509312826"/>
      <w:bookmarkStart w:id="7593" w:name="_Toc509313167"/>
      <w:bookmarkStart w:id="7594" w:name="_Toc509313569"/>
      <w:bookmarkStart w:id="7595" w:name="_Toc509317008"/>
      <w:bookmarkStart w:id="7596" w:name="_Toc509317321"/>
      <w:bookmarkStart w:id="7597" w:name="_Toc509317613"/>
      <w:bookmarkStart w:id="7598" w:name="_Toc509317926"/>
      <w:bookmarkStart w:id="7599" w:name="_Toc509318239"/>
      <w:bookmarkStart w:id="7600" w:name="_Toc509319225"/>
      <w:bookmarkStart w:id="7601" w:name="_Toc509319587"/>
      <w:bookmarkStart w:id="7602" w:name="_Toc509320361"/>
      <w:bookmarkStart w:id="7603" w:name="_Toc509322333"/>
      <w:bookmarkStart w:id="7604" w:name="_Toc509322657"/>
      <w:bookmarkStart w:id="7605" w:name="_Toc509323159"/>
      <w:bookmarkStart w:id="7606" w:name="_Toc509323532"/>
      <w:bookmarkStart w:id="7607" w:name="_Toc509323856"/>
      <w:bookmarkStart w:id="7608" w:name="_Toc509324180"/>
      <w:bookmarkStart w:id="7609" w:name="_Toc509324504"/>
      <w:bookmarkStart w:id="7610" w:name="_Toc509324873"/>
      <w:bookmarkStart w:id="7611" w:name="_Toc509325242"/>
      <w:bookmarkStart w:id="7612" w:name="_Toc509325611"/>
      <w:bookmarkStart w:id="7613" w:name="_Toc509325986"/>
      <w:bookmarkStart w:id="7614" w:name="_Toc509326361"/>
      <w:bookmarkStart w:id="7615" w:name="_Toc509326736"/>
      <w:bookmarkStart w:id="7616" w:name="_Toc509327111"/>
      <w:bookmarkStart w:id="7617" w:name="_Toc509327427"/>
      <w:bookmarkStart w:id="7618" w:name="_Toc509327802"/>
      <w:bookmarkStart w:id="7619" w:name="_Toc509328177"/>
      <w:bookmarkStart w:id="7620" w:name="_Toc509332969"/>
      <w:bookmarkStart w:id="7621" w:name="_Toc509333382"/>
      <w:bookmarkStart w:id="7622" w:name="_Toc509333795"/>
      <w:bookmarkStart w:id="7623" w:name="_Toc509335198"/>
      <w:bookmarkStart w:id="7624" w:name="_Toc509335708"/>
      <w:bookmarkStart w:id="7625" w:name="_Toc509336651"/>
      <w:bookmarkStart w:id="7626" w:name="_Toc509337083"/>
      <w:bookmarkStart w:id="7627" w:name="_Toc509337510"/>
      <w:bookmarkStart w:id="7628" w:name="_Toc509337937"/>
      <w:bookmarkStart w:id="7629" w:name="_Toc509338267"/>
      <w:bookmarkStart w:id="7630" w:name="_Toc509382811"/>
      <w:bookmarkStart w:id="7631" w:name="_Toc509383243"/>
      <w:bookmarkStart w:id="7632" w:name="_Toc509384122"/>
      <w:bookmarkStart w:id="7633" w:name="_Toc509404815"/>
      <w:bookmarkStart w:id="7634" w:name="_Toc509310828"/>
      <w:bookmarkStart w:id="7635" w:name="_Toc509311223"/>
      <w:bookmarkStart w:id="7636" w:name="_Toc509311624"/>
      <w:bookmarkStart w:id="7637" w:name="_Toc509312062"/>
      <w:bookmarkStart w:id="7638" w:name="_Toc509312488"/>
      <w:bookmarkStart w:id="7639" w:name="_Toc509312827"/>
      <w:bookmarkStart w:id="7640" w:name="_Toc509313168"/>
      <w:bookmarkStart w:id="7641" w:name="_Toc509313570"/>
      <w:bookmarkStart w:id="7642" w:name="_Toc509317009"/>
      <w:bookmarkStart w:id="7643" w:name="_Toc509317322"/>
      <w:bookmarkStart w:id="7644" w:name="_Toc509317614"/>
      <w:bookmarkStart w:id="7645" w:name="_Toc509317927"/>
      <w:bookmarkStart w:id="7646" w:name="_Toc509318240"/>
      <w:bookmarkStart w:id="7647" w:name="_Toc509319226"/>
      <w:bookmarkStart w:id="7648" w:name="_Toc509319588"/>
      <w:bookmarkStart w:id="7649" w:name="_Toc509320362"/>
      <w:bookmarkStart w:id="7650" w:name="_Toc509322334"/>
      <w:bookmarkStart w:id="7651" w:name="_Toc509322658"/>
      <w:bookmarkStart w:id="7652" w:name="_Toc509323160"/>
      <w:bookmarkStart w:id="7653" w:name="_Toc509323533"/>
      <w:bookmarkStart w:id="7654" w:name="_Toc509323857"/>
      <w:bookmarkStart w:id="7655" w:name="_Toc509324181"/>
      <w:bookmarkStart w:id="7656" w:name="_Toc509324505"/>
      <w:bookmarkStart w:id="7657" w:name="_Toc509324874"/>
      <w:bookmarkStart w:id="7658" w:name="_Toc509325243"/>
      <w:bookmarkStart w:id="7659" w:name="_Toc509325612"/>
      <w:bookmarkStart w:id="7660" w:name="_Toc509325987"/>
      <w:bookmarkStart w:id="7661" w:name="_Toc509326362"/>
      <w:bookmarkStart w:id="7662" w:name="_Toc509326737"/>
      <w:bookmarkStart w:id="7663" w:name="_Toc509327112"/>
      <w:bookmarkStart w:id="7664" w:name="_Toc509327428"/>
      <w:bookmarkStart w:id="7665" w:name="_Toc509327803"/>
      <w:bookmarkStart w:id="7666" w:name="_Toc509328178"/>
      <w:bookmarkStart w:id="7667" w:name="_Toc509332970"/>
      <w:bookmarkStart w:id="7668" w:name="_Toc509333383"/>
      <w:bookmarkStart w:id="7669" w:name="_Toc509333796"/>
      <w:bookmarkStart w:id="7670" w:name="_Toc509335199"/>
      <w:bookmarkStart w:id="7671" w:name="_Toc509335709"/>
      <w:bookmarkStart w:id="7672" w:name="_Toc509336652"/>
      <w:bookmarkStart w:id="7673" w:name="_Toc509337084"/>
      <w:bookmarkStart w:id="7674" w:name="_Toc509337511"/>
      <w:bookmarkStart w:id="7675" w:name="_Toc509337938"/>
      <w:bookmarkStart w:id="7676" w:name="_Toc509338268"/>
      <w:bookmarkStart w:id="7677" w:name="_Toc509382812"/>
      <w:bookmarkStart w:id="7678" w:name="_Toc509383244"/>
      <w:bookmarkStart w:id="7679" w:name="_Toc509384123"/>
      <w:bookmarkStart w:id="7680" w:name="_Toc509404816"/>
      <w:bookmarkStart w:id="7681" w:name="_Toc509310831"/>
      <w:bookmarkStart w:id="7682" w:name="_Toc509311226"/>
      <w:bookmarkStart w:id="7683" w:name="_Toc509311627"/>
      <w:bookmarkStart w:id="7684" w:name="_Toc509312065"/>
      <w:bookmarkStart w:id="7685" w:name="_Toc509312491"/>
      <w:bookmarkStart w:id="7686" w:name="_Toc509312830"/>
      <w:bookmarkStart w:id="7687" w:name="_Toc509313171"/>
      <w:bookmarkStart w:id="7688" w:name="_Toc509313573"/>
      <w:bookmarkStart w:id="7689" w:name="_Toc509317012"/>
      <w:bookmarkStart w:id="7690" w:name="_Toc509317325"/>
      <w:bookmarkStart w:id="7691" w:name="_Toc509317617"/>
      <w:bookmarkStart w:id="7692" w:name="_Toc509317930"/>
      <w:bookmarkStart w:id="7693" w:name="_Toc509318243"/>
      <w:bookmarkStart w:id="7694" w:name="_Toc509319229"/>
      <w:bookmarkStart w:id="7695" w:name="_Toc509319591"/>
      <w:bookmarkStart w:id="7696" w:name="_Toc509320365"/>
      <w:bookmarkStart w:id="7697" w:name="_Toc509322337"/>
      <w:bookmarkStart w:id="7698" w:name="_Toc509322661"/>
      <w:bookmarkStart w:id="7699" w:name="_Toc509323163"/>
      <w:bookmarkStart w:id="7700" w:name="_Toc509323536"/>
      <w:bookmarkStart w:id="7701" w:name="_Toc509323860"/>
      <w:bookmarkStart w:id="7702" w:name="_Toc509324184"/>
      <w:bookmarkStart w:id="7703" w:name="_Toc509324508"/>
      <w:bookmarkStart w:id="7704" w:name="_Toc509324877"/>
      <w:bookmarkStart w:id="7705" w:name="_Toc509325246"/>
      <w:bookmarkStart w:id="7706" w:name="_Toc509325615"/>
      <w:bookmarkStart w:id="7707" w:name="_Toc509325990"/>
      <w:bookmarkStart w:id="7708" w:name="_Toc509326365"/>
      <w:bookmarkStart w:id="7709" w:name="_Toc509326740"/>
      <w:bookmarkStart w:id="7710" w:name="_Toc509327115"/>
      <w:bookmarkStart w:id="7711" w:name="_Toc509327431"/>
      <w:bookmarkStart w:id="7712" w:name="_Toc509327806"/>
      <w:bookmarkStart w:id="7713" w:name="_Toc509328181"/>
      <w:bookmarkStart w:id="7714" w:name="_Toc509332973"/>
      <w:bookmarkStart w:id="7715" w:name="_Toc509333386"/>
      <w:bookmarkStart w:id="7716" w:name="_Toc509333799"/>
      <w:bookmarkStart w:id="7717" w:name="_Toc509335202"/>
      <w:bookmarkStart w:id="7718" w:name="_Toc509335712"/>
      <w:bookmarkStart w:id="7719" w:name="_Toc509336655"/>
      <w:bookmarkStart w:id="7720" w:name="_Toc509337087"/>
      <w:bookmarkStart w:id="7721" w:name="_Toc509337514"/>
      <w:bookmarkStart w:id="7722" w:name="_Toc509337941"/>
      <w:bookmarkStart w:id="7723" w:name="_Toc509338271"/>
      <w:bookmarkStart w:id="7724" w:name="_Toc509382815"/>
      <w:bookmarkStart w:id="7725" w:name="_Toc509383247"/>
      <w:bookmarkStart w:id="7726" w:name="_Toc509384126"/>
      <w:bookmarkStart w:id="7727" w:name="_Toc509404819"/>
      <w:bookmarkStart w:id="7728" w:name="_Toc509310833"/>
      <w:bookmarkStart w:id="7729" w:name="_Toc509311228"/>
      <w:bookmarkStart w:id="7730" w:name="_Toc509311629"/>
      <w:bookmarkStart w:id="7731" w:name="_Toc509312067"/>
      <w:bookmarkStart w:id="7732" w:name="_Toc509312493"/>
      <w:bookmarkStart w:id="7733" w:name="_Toc509312832"/>
      <w:bookmarkStart w:id="7734" w:name="_Toc509313173"/>
      <w:bookmarkStart w:id="7735" w:name="_Toc509313575"/>
      <w:bookmarkStart w:id="7736" w:name="_Toc509317014"/>
      <w:bookmarkStart w:id="7737" w:name="_Toc509317327"/>
      <w:bookmarkStart w:id="7738" w:name="_Toc509317619"/>
      <w:bookmarkStart w:id="7739" w:name="_Toc509317932"/>
      <w:bookmarkStart w:id="7740" w:name="_Toc509318245"/>
      <w:bookmarkStart w:id="7741" w:name="_Toc509319231"/>
      <w:bookmarkStart w:id="7742" w:name="_Toc509319593"/>
      <w:bookmarkStart w:id="7743" w:name="_Toc509320367"/>
      <w:bookmarkStart w:id="7744" w:name="_Toc509322339"/>
      <w:bookmarkStart w:id="7745" w:name="_Toc509322663"/>
      <w:bookmarkStart w:id="7746" w:name="_Toc509323165"/>
      <w:bookmarkStart w:id="7747" w:name="_Toc509323538"/>
      <w:bookmarkStart w:id="7748" w:name="_Toc509323862"/>
      <w:bookmarkStart w:id="7749" w:name="_Toc509324186"/>
      <w:bookmarkStart w:id="7750" w:name="_Toc509324510"/>
      <w:bookmarkStart w:id="7751" w:name="_Toc509324879"/>
      <w:bookmarkStart w:id="7752" w:name="_Toc509325248"/>
      <w:bookmarkStart w:id="7753" w:name="_Toc509325617"/>
      <w:bookmarkStart w:id="7754" w:name="_Toc509325992"/>
      <w:bookmarkStart w:id="7755" w:name="_Toc509326367"/>
      <w:bookmarkStart w:id="7756" w:name="_Toc509326742"/>
      <w:bookmarkStart w:id="7757" w:name="_Toc509327117"/>
      <w:bookmarkStart w:id="7758" w:name="_Toc509327433"/>
      <w:bookmarkStart w:id="7759" w:name="_Toc509327808"/>
      <w:bookmarkStart w:id="7760" w:name="_Toc509328183"/>
      <w:bookmarkStart w:id="7761" w:name="_Toc509332975"/>
      <w:bookmarkStart w:id="7762" w:name="_Toc509333388"/>
      <w:bookmarkStart w:id="7763" w:name="_Toc509333801"/>
      <w:bookmarkStart w:id="7764" w:name="_Toc509335204"/>
      <w:bookmarkStart w:id="7765" w:name="_Toc509335714"/>
      <w:bookmarkStart w:id="7766" w:name="_Toc509336657"/>
      <w:bookmarkStart w:id="7767" w:name="_Toc509337089"/>
      <w:bookmarkStart w:id="7768" w:name="_Toc509337516"/>
      <w:bookmarkStart w:id="7769" w:name="_Toc509337943"/>
      <w:bookmarkStart w:id="7770" w:name="_Toc509338273"/>
      <w:bookmarkStart w:id="7771" w:name="_Toc509382817"/>
      <w:bookmarkStart w:id="7772" w:name="_Toc509383249"/>
      <w:bookmarkStart w:id="7773" w:name="_Toc509384128"/>
      <w:bookmarkStart w:id="7774" w:name="_Toc509404821"/>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r>
        <w:rPr>
          <w:noProof/>
          <w:szCs w:val="24"/>
        </w:rPr>
        <w:t>Social Investment and Skills Window</w:t>
      </w:r>
    </w:p>
    <w:p>
      <w:pPr>
        <w:spacing w:after="120" w:line="264" w:lineRule="auto"/>
        <w:rPr>
          <w:rFonts w:cs="Times New Roman"/>
          <w:noProof/>
          <w:szCs w:val="24"/>
        </w:rPr>
      </w:pPr>
      <w:bookmarkStart w:id="7775" w:name="_Toc509131714"/>
      <w:bookmarkStart w:id="7776" w:name="_Toc509310835"/>
      <w:bookmarkStart w:id="7777" w:name="_Toc509311230"/>
      <w:bookmarkStart w:id="7778" w:name="_Toc509311631"/>
      <w:bookmarkStart w:id="7779" w:name="_Toc509312069"/>
      <w:bookmarkStart w:id="7780" w:name="_Toc509312495"/>
      <w:bookmarkStart w:id="7781" w:name="_Toc509312834"/>
      <w:bookmarkStart w:id="7782" w:name="_Toc509313175"/>
      <w:bookmarkStart w:id="7783" w:name="_Toc509313577"/>
      <w:bookmarkStart w:id="7784" w:name="_Toc509317016"/>
      <w:bookmarkStart w:id="7785" w:name="_Toc509317329"/>
      <w:bookmarkStart w:id="7786" w:name="_Toc509317621"/>
      <w:bookmarkStart w:id="7787" w:name="_Toc509317934"/>
      <w:bookmarkStart w:id="7788" w:name="_Toc509318247"/>
      <w:bookmarkStart w:id="7789" w:name="_Toc509319233"/>
      <w:bookmarkStart w:id="7790" w:name="_Toc509319595"/>
      <w:bookmarkStart w:id="7791" w:name="_Toc509320369"/>
      <w:bookmarkStart w:id="7792" w:name="_Toc509322341"/>
      <w:bookmarkStart w:id="7793" w:name="_Toc509322665"/>
      <w:bookmarkStart w:id="7794" w:name="_Toc509323167"/>
      <w:bookmarkStart w:id="7795" w:name="_Toc509323540"/>
      <w:bookmarkStart w:id="7796" w:name="_Toc509323864"/>
      <w:bookmarkStart w:id="7797" w:name="_Toc509324188"/>
      <w:bookmarkStart w:id="7798" w:name="_Toc509324512"/>
      <w:bookmarkStart w:id="7799" w:name="_Toc509324881"/>
      <w:bookmarkStart w:id="7800" w:name="_Toc509325250"/>
      <w:bookmarkStart w:id="7801" w:name="_Toc509325619"/>
      <w:bookmarkStart w:id="7802" w:name="_Toc509325994"/>
      <w:bookmarkStart w:id="7803" w:name="_Toc509326369"/>
      <w:bookmarkStart w:id="7804" w:name="_Toc509326744"/>
      <w:bookmarkStart w:id="7805" w:name="_Toc509327119"/>
      <w:bookmarkStart w:id="7806" w:name="_Toc509327435"/>
      <w:bookmarkStart w:id="7807" w:name="_Toc509327810"/>
      <w:bookmarkStart w:id="7808" w:name="_Toc509328185"/>
      <w:bookmarkStart w:id="7809" w:name="_Toc509332977"/>
      <w:bookmarkStart w:id="7810" w:name="_Toc509333390"/>
      <w:bookmarkStart w:id="7811" w:name="_Toc509333803"/>
      <w:bookmarkStart w:id="7812" w:name="_Toc509335206"/>
      <w:bookmarkStart w:id="7813" w:name="_Toc509335716"/>
      <w:bookmarkStart w:id="7814" w:name="_Toc509336659"/>
      <w:bookmarkStart w:id="7815" w:name="_Toc509337091"/>
      <w:bookmarkStart w:id="7816" w:name="_Toc509337518"/>
      <w:bookmarkStart w:id="7817" w:name="_Toc509337945"/>
      <w:bookmarkStart w:id="7818" w:name="_Toc509338275"/>
      <w:bookmarkStart w:id="7819" w:name="_Toc509382819"/>
      <w:bookmarkStart w:id="7820" w:name="_Toc509383251"/>
      <w:bookmarkStart w:id="7821" w:name="_Toc509384130"/>
      <w:bookmarkStart w:id="7822" w:name="_Toc509404823"/>
      <w:bookmarkStart w:id="7823" w:name="_Toc509131715"/>
      <w:bookmarkStart w:id="7824" w:name="_Toc509310836"/>
      <w:bookmarkStart w:id="7825" w:name="_Toc509311231"/>
      <w:bookmarkStart w:id="7826" w:name="_Toc509311632"/>
      <w:bookmarkStart w:id="7827" w:name="_Toc509312070"/>
      <w:bookmarkStart w:id="7828" w:name="_Toc509312496"/>
      <w:bookmarkStart w:id="7829" w:name="_Toc509312835"/>
      <w:bookmarkStart w:id="7830" w:name="_Toc509313176"/>
      <w:bookmarkStart w:id="7831" w:name="_Toc509313578"/>
      <w:bookmarkStart w:id="7832" w:name="_Toc509317017"/>
      <w:bookmarkStart w:id="7833" w:name="_Toc509317330"/>
      <w:bookmarkStart w:id="7834" w:name="_Toc509317622"/>
      <w:bookmarkStart w:id="7835" w:name="_Toc509317935"/>
      <w:bookmarkStart w:id="7836" w:name="_Toc509318248"/>
      <w:bookmarkStart w:id="7837" w:name="_Toc509319234"/>
      <w:bookmarkStart w:id="7838" w:name="_Toc509319596"/>
      <w:bookmarkStart w:id="7839" w:name="_Toc509320370"/>
      <w:bookmarkStart w:id="7840" w:name="_Toc509322342"/>
      <w:bookmarkStart w:id="7841" w:name="_Toc509322666"/>
      <w:bookmarkStart w:id="7842" w:name="_Toc509323168"/>
      <w:bookmarkStart w:id="7843" w:name="_Toc509323541"/>
      <w:bookmarkStart w:id="7844" w:name="_Toc509323865"/>
      <w:bookmarkStart w:id="7845" w:name="_Toc509324189"/>
      <w:bookmarkStart w:id="7846" w:name="_Toc509324513"/>
      <w:bookmarkStart w:id="7847" w:name="_Toc509324882"/>
      <w:bookmarkStart w:id="7848" w:name="_Toc509325251"/>
      <w:bookmarkStart w:id="7849" w:name="_Toc509325620"/>
      <w:bookmarkStart w:id="7850" w:name="_Toc509325995"/>
      <w:bookmarkStart w:id="7851" w:name="_Toc509326370"/>
      <w:bookmarkStart w:id="7852" w:name="_Toc509326745"/>
      <w:bookmarkStart w:id="7853" w:name="_Toc509327120"/>
      <w:bookmarkStart w:id="7854" w:name="_Toc509327436"/>
      <w:bookmarkStart w:id="7855" w:name="_Toc509327811"/>
      <w:bookmarkStart w:id="7856" w:name="_Toc509328186"/>
      <w:bookmarkStart w:id="7857" w:name="_Toc509332978"/>
      <w:bookmarkStart w:id="7858" w:name="_Toc509333391"/>
      <w:bookmarkStart w:id="7859" w:name="_Toc509333804"/>
      <w:bookmarkStart w:id="7860" w:name="_Toc509335207"/>
      <w:bookmarkStart w:id="7861" w:name="_Toc509335717"/>
      <w:bookmarkStart w:id="7862" w:name="_Toc509336660"/>
      <w:bookmarkStart w:id="7863" w:name="_Toc509337092"/>
      <w:bookmarkStart w:id="7864" w:name="_Toc509337519"/>
      <w:bookmarkStart w:id="7865" w:name="_Toc509337946"/>
      <w:bookmarkStart w:id="7866" w:name="_Toc509338276"/>
      <w:bookmarkStart w:id="7867" w:name="_Toc509382820"/>
      <w:bookmarkStart w:id="7868" w:name="_Toc509383252"/>
      <w:bookmarkStart w:id="7869" w:name="_Toc509384131"/>
      <w:bookmarkStart w:id="7870" w:name="_Toc509404824"/>
      <w:bookmarkStart w:id="7871" w:name="_Toc508724928"/>
      <w:bookmarkStart w:id="7872" w:name="_Toc508733471"/>
      <w:bookmarkStart w:id="7873" w:name="_Toc508735104"/>
      <w:bookmarkStart w:id="7874" w:name="_Toc508809727"/>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r>
        <w:rPr>
          <w:rFonts w:cs="Times New Roman"/>
          <w:noProof/>
          <w:szCs w:val="24"/>
        </w:rPr>
        <w:t>The InvestEU Fund support can be used in multiple sectors under the scope of this window. While all the projects will have to be ultimately economically viable and generate revenues for the investors, the financial products in use, their investment guidelines, pricing and return conditions will change according to the specific policy sector, the market gap to be addressed and the specific project structure. The following areas have been identified as the focus of intervention for the InvestEU Fund support under this window:</w:t>
      </w:r>
    </w:p>
    <w:p>
      <w:pPr>
        <w:pStyle w:val="ListParagraph"/>
        <w:numPr>
          <w:ilvl w:val="1"/>
          <w:numId w:val="6"/>
        </w:numPr>
        <w:spacing w:after="120" w:line="264" w:lineRule="auto"/>
        <w:ind w:left="357" w:hanging="357"/>
        <w:rPr>
          <w:rFonts w:cs="Times New Roman"/>
          <w:noProof/>
          <w:szCs w:val="24"/>
        </w:rPr>
      </w:pPr>
      <w:r>
        <w:rPr>
          <w:rFonts w:cs="Times New Roman"/>
          <w:noProof/>
          <w:szCs w:val="24"/>
        </w:rPr>
        <w:t>Supporting social economy and social enterprises and microfinance recipients: support to promote inclusive entrepreneurship, improve access to employment (including self-employment), job creation, labour market integration, social inclusion. This will be achieved by increasing the availability of and access to micro-finance, and access to finance including patient capital to social economy organisations and social enterprises. It also includes support for the upscale or development of new business models focusing on social return on investment.</w:t>
      </w:r>
    </w:p>
    <w:p>
      <w:pPr>
        <w:pStyle w:val="ListParagraph"/>
        <w:numPr>
          <w:ilvl w:val="1"/>
          <w:numId w:val="6"/>
        </w:numPr>
        <w:spacing w:after="120" w:line="264" w:lineRule="auto"/>
        <w:ind w:left="360" w:right="1"/>
        <w:rPr>
          <w:rFonts w:cs="Times New Roman"/>
          <w:noProof/>
          <w:szCs w:val="24"/>
        </w:rPr>
      </w:pPr>
      <w:r>
        <w:rPr>
          <w:rFonts w:cs="Times New Roman"/>
          <w:noProof/>
          <w:szCs w:val="24"/>
        </w:rPr>
        <w:t xml:space="preserve">Skills, education, and integration: for building a knowledge-based society, investment is necessary in all levels of education and training (early childhood education and care, secondary schools, higher education), as well as support to increase vocational training and lifelong learning, including non-formal learning investment in human capital (inter alia focused on improving the integration of young people in society, of refugees and asylum seekers who are undertaking upskilling actions or qualifying training). Supporting investment projects in this field will result in more vibrant education and training systems and markets, enabling easier professional transitions for people and being responsive to the lifelong need for upskilling and reskilling. For knowledge-intensive institutions (such as universities, research &amp; innovation centres) the combined support under several of the InvestEU Fund windows may provide a welcome boost towards a knowledge-intensive society. </w:t>
      </w:r>
    </w:p>
    <w:p>
      <w:pPr>
        <w:pStyle w:val="ListParagraph"/>
        <w:numPr>
          <w:ilvl w:val="1"/>
          <w:numId w:val="6"/>
        </w:numPr>
        <w:spacing w:after="120" w:line="264" w:lineRule="auto"/>
        <w:ind w:left="360" w:right="1"/>
        <w:rPr>
          <w:rFonts w:cs="Times New Roman"/>
          <w:noProof/>
          <w:szCs w:val="24"/>
        </w:rPr>
      </w:pPr>
      <w:r>
        <w:rPr>
          <w:rFonts w:cs="Times New Roman"/>
          <w:noProof/>
          <w:szCs w:val="24"/>
        </w:rPr>
        <w:t>The InvestEU Fund will facilitate the mobilisation of investments in the health sector</w:t>
      </w:r>
      <w:r>
        <w:rPr>
          <w:rFonts w:cs="Times New Roman"/>
          <w:b/>
          <w:noProof/>
          <w:szCs w:val="24"/>
        </w:rPr>
        <w:t>,</w:t>
      </w:r>
      <w:r>
        <w:rPr>
          <w:rFonts w:cs="Times New Roman"/>
          <w:noProof/>
          <w:szCs w:val="24"/>
        </w:rPr>
        <w:t xml:space="preserve"> for the transition to new care models in order to adapt to an increasing demand for healthcare due to population ageing and the rising burden of chronic conditions. Investments in reformed care models are complex and of high risk as they concern a range of elements in infrastructure, technologies and services, and the return is expected in the medium to long term. Up-front investments are required to set-up the new care models, followed by sustained investments over a period of time to facilitate the complete implementation of the reforms</w:t>
      </w:r>
      <w:r>
        <w:rPr>
          <w:rStyle w:val="FootnoteReference"/>
          <w:rFonts w:cs="Times New Roman"/>
          <w:iCs/>
          <w:noProof/>
          <w:szCs w:val="24"/>
        </w:rPr>
        <w:footnoteReference w:id="69"/>
      </w:r>
      <w:r>
        <w:rPr>
          <w:rFonts w:cs="Times New Roman"/>
          <w:noProof/>
          <w:szCs w:val="24"/>
        </w:rPr>
        <w:t>. Return on investment may only come in the medium-long</w:t>
      </w:r>
      <w:r>
        <w:rPr>
          <w:rFonts w:eastAsiaTheme="minorHAnsi" w:cs="Times New Roman"/>
          <w:noProof/>
          <w:szCs w:val="24"/>
        </w:rPr>
        <w:t xml:space="preserve"> term and, consequently, investments in reformed care models are of high risk.</w:t>
      </w:r>
    </w:p>
    <w:p>
      <w:pPr>
        <w:pStyle w:val="ListParagraph"/>
        <w:numPr>
          <w:ilvl w:val="1"/>
          <w:numId w:val="6"/>
        </w:numPr>
        <w:spacing w:after="120" w:line="264" w:lineRule="auto"/>
        <w:ind w:left="360" w:hanging="357"/>
        <w:rPr>
          <w:rFonts w:cs="Times New Roman"/>
          <w:noProof/>
          <w:szCs w:val="24"/>
        </w:rPr>
      </w:pPr>
      <w:r>
        <w:rPr>
          <w:rFonts w:cs="Times New Roman"/>
          <w:noProof/>
          <w:szCs w:val="24"/>
        </w:rPr>
        <w:t xml:space="preserve">Social infrastructure and services: investments in the construction, expansion or refurbishment of buildings and in the provision of related services for: </w:t>
      </w:r>
    </w:p>
    <w:p>
      <w:pPr>
        <w:numPr>
          <w:ilvl w:val="2"/>
          <w:numId w:val="59"/>
        </w:numPr>
        <w:spacing w:after="120" w:line="264" w:lineRule="auto"/>
        <w:contextualSpacing/>
        <w:rPr>
          <w:rFonts w:cs="Times New Roman"/>
          <w:noProof/>
          <w:szCs w:val="24"/>
        </w:rPr>
      </w:pPr>
      <w:r>
        <w:rPr>
          <w:rFonts w:cs="Times New Roman"/>
          <w:noProof/>
          <w:szCs w:val="24"/>
        </w:rPr>
        <w:t>Education and training (educational facilities courses development, and digital equipment)</w:t>
      </w:r>
    </w:p>
    <w:p>
      <w:pPr>
        <w:numPr>
          <w:ilvl w:val="2"/>
          <w:numId w:val="59"/>
        </w:numPr>
        <w:spacing w:after="120" w:line="264" w:lineRule="auto"/>
        <w:contextualSpacing/>
        <w:rPr>
          <w:rFonts w:cs="Times New Roman"/>
          <w:noProof/>
          <w:szCs w:val="24"/>
        </w:rPr>
      </w:pPr>
      <w:r>
        <w:rPr>
          <w:rFonts w:cs="Times New Roman"/>
          <w:noProof/>
          <w:szCs w:val="24"/>
        </w:rPr>
        <w:t>Childcare (e.g. nurseries and kindergartens)</w:t>
      </w:r>
    </w:p>
    <w:p>
      <w:pPr>
        <w:numPr>
          <w:ilvl w:val="2"/>
          <w:numId w:val="59"/>
        </w:numPr>
        <w:spacing w:after="120" w:line="264" w:lineRule="auto"/>
        <w:contextualSpacing/>
        <w:rPr>
          <w:rFonts w:cs="Times New Roman"/>
          <w:noProof/>
          <w:szCs w:val="24"/>
        </w:rPr>
      </w:pPr>
      <w:r>
        <w:rPr>
          <w:rFonts w:cs="Times New Roman"/>
          <w:noProof/>
          <w:szCs w:val="24"/>
        </w:rPr>
        <w:t>Social housing (including energy efficient social housing)</w:t>
      </w:r>
    </w:p>
    <w:p>
      <w:pPr>
        <w:numPr>
          <w:ilvl w:val="2"/>
          <w:numId w:val="59"/>
        </w:numPr>
        <w:spacing w:after="120" w:line="264" w:lineRule="auto"/>
        <w:contextualSpacing/>
        <w:rPr>
          <w:rFonts w:cs="Times New Roman"/>
          <w:noProof/>
          <w:szCs w:val="24"/>
        </w:rPr>
      </w:pPr>
      <w:r>
        <w:rPr>
          <w:rFonts w:cs="Times New Roman"/>
          <w:noProof/>
          <w:szCs w:val="24"/>
        </w:rPr>
        <w:t>Healthcare (e.g. clinics, hospitals, primary care centres, health promotion programmes, integrated care services) and</w:t>
      </w:r>
    </w:p>
    <w:p>
      <w:pPr>
        <w:numPr>
          <w:ilvl w:val="2"/>
          <w:numId w:val="59"/>
        </w:numPr>
        <w:spacing w:after="120" w:line="264" w:lineRule="auto"/>
        <w:contextualSpacing/>
        <w:rPr>
          <w:rFonts w:cs="Times New Roman"/>
          <w:noProof/>
          <w:szCs w:val="24"/>
        </w:rPr>
      </w:pPr>
      <w:r>
        <w:rPr>
          <w:rFonts w:cs="Times New Roman"/>
          <w:noProof/>
          <w:szCs w:val="24"/>
        </w:rPr>
        <w:t>Long-term care (e.g. home-care and community-based services).</w:t>
      </w:r>
    </w:p>
    <w:p>
      <w:pPr>
        <w:pStyle w:val="ListParagraph"/>
        <w:numPr>
          <w:ilvl w:val="1"/>
          <w:numId w:val="6"/>
        </w:numPr>
        <w:spacing w:after="120" w:line="264" w:lineRule="auto"/>
        <w:ind w:left="360" w:hanging="357"/>
        <w:rPr>
          <w:rFonts w:cs="Times New Roman"/>
          <w:noProof/>
          <w:szCs w:val="24"/>
        </w:rPr>
      </w:pPr>
      <w:r>
        <w:rPr>
          <w:rFonts w:cs="Times New Roman"/>
          <w:noProof/>
          <w:szCs w:val="24"/>
        </w:rPr>
        <w:t xml:space="preserve">Support to physical infrastructure developments could be complemented with funding for social economy and social service provision, including through outcomes-based projects, in an integrated way. </w:t>
      </w:r>
    </w:p>
    <w:p>
      <w:pPr>
        <w:spacing w:after="120" w:line="264" w:lineRule="auto"/>
        <w:rPr>
          <w:rFonts w:cs="Times New Roman"/>
          <w:noProof/>
          <w:szCs w:val="24"/>
        </w:rPr>
      </w:pPr>
      <w:r>
        <w:rPr>
          <w:rFonts w:cs="Times New Roman"/>
          <w:noProof/>
          <w:szCs w:val="24"/>
        </w:rPr>
        <w:t>For several of the areas mentioned above the financial support by the window will be complemented by the offer of the InvestEU Advisory including capacity building to “grow” the respective market players, including social innovators, social entrepreneurs, social impact investors, and philanthropists and create a pan-European network of social impact and social innovation relay and coaching centres. The capacity-building programme will need to take into account the different needs of financial intermediaries and procuring authorities in accordance with their investment portfolio and the long-term needs of market development as well as the geographical coverage of financial intermediaries throughout the EU.</w:t>
      </w:r>
    </w:p>
    <w:p>
      <w:pPr>
        <w:spacing w:after="120" w:line="264" w:lineRule="auto"/>
        <w:rPr>
          <w:rFonts w:cs="Times New Roman"/>
          <w:noProof/>
          <w:szCs w:val="24"/>
        </w:rPr>
      </w:pPr>
      <w:r>
        <w:rPr>
          <w:rFonts w:cs="Times New Roman"/>
          <w:noProof/>
          <w:szCs w:val="24"/>
        </w:rPr>
        <w:t>As regards social innovation, creation of markets for social outcomes, expertise and capacity building, tools may be developed: (i) to help national, regional or local authorities develop skills for configuring investment strategies, blending financing, and bundling projects such as the development of social clusters; (ii) to grow social innovators, social entrepreneurs, social impact investors and philanthropists; and (iii) to facilitate agreement on operational definitions. Capacity building also include promoting innovation by and for the European society, in particular, targeting new products, services and organisational models that meet social needs, foster new social relationships or collaborations, and empower citizens.</w:t>
      </w:r>
    </w:p>
    <w:p>
      <w:pPr>
        <w:pStyle w:val="Bulet"/>
        <w:numPr>
          <w:ilvl w:val="0"/>
          <w:numId w:val="0"/>
        </w:numPr>
        <w:spacing w:after="120" w:line="264" w:lineRule="auto"/>
        <w:rPr>
          <w:noProof/>
          <w:szCs w:val="24"/>
        </w:rPr>
      </w:pPr>
      <w:r>
        <w:rPr>
          <w:rFonts w:eastAsia="MS Mincho"/>
          <w:noProof/>
          <w:szCs w:val="24"/>
          <w:lang w:eastAsia="ja-JP"/>
        </w:rPr>
        <w:t>D</w:t>
      </w:r>
      <w:r>
        <w:rPr>
          <w:noProof/>
          <w:szCs w:val="24"/>
        </w:rPr>
        <w:t xml:space="preserve">ebt </w:t>
      </w:r>
      <w:r>
        <w:rPr>
          <w:rFonts w:eastAsia="MS Mincho"/>
          <w:noProof/>
          <w:szCs w:val="24"/>
          <w:lang w:eastAsia="ja-JP"/>
        </w:rPr>
        <w:t>products</w:t>
      </w:r>
      <w:r>
        <w:rPr>
          <w:noProof/>
          <w:szCs w:val="24"/>
        </w:rPr>
        <w:t xml:space="preserve"> offered under this window may include direct lending to project promoters and portfolio guarantees. Funded instruments are complementary to guarantees as they provide senior and subordinated loans to intermediaries that are in turn on-lent to vulnerable groups and social enterprises. It will target predominantly non-bank intermediaries given that these entities have difficulties obtaining debt finance in view of the early stage of their development. Subordinated loans are more relevant for bank intermediaries, as they often provide capital relief. </w:t>
      </w:r>
    </w:p>
    <w:p>
      <w:pPr>
        <w:pStyle w:val="Bulet"/>
        <w:numPr>
          <w:ilvl w:val="0"/>
          <w:numId w:val="0"/>
        </w:numPr>
        <w:spacing w:after="120" w:line="264" w:lineRule="auto"/>
        <w:rPr>
          <w:rFonts w:eastAsia="MS Mincho"/>
          <w:noProof/>
          <w:szCs w:val="24"/>
          <w:lang w:eastAsia="ja-JP"/>
        </w:rPr>
      </w:pPr>
      <w:r>
        <w:rPr>
          <w:noProof/>
          <w:szCs w:val="24"/>
        </w:rPr>
        <w:t xml:space="preserve">Equity support may be channelled to social enterprises which can benefit from risk financing structured in the form of equity/quasi-equity investment participations and hybrid funding. This spectrum of patient capital, used in the pre-bankable stages of business start-ups in all sectors, allows social enterprises (including micro-enterprises) to move gradually away from a charity-based funding approach and enhance their innovation and growth potential. </w:t>
      </w:r>
    </w:p>
    <w:p>
      <w:pPr>
        <w:pStyle w:val="Bulet"/>
        <w:numPr>
          <w:ilvl w:val="0"/>
          <w:numId w:val="0"/>
        </w:numPr>
        <w:spacing w:after="120" w:line="264" w:lineRule="auto"/>
        <w:rPr>
          <w:noProof/>
          <w:szCs w:val="24"/>
        </w:rPr>
      </w:pPr>
      <w:r>
        <w:rPr>
          <w:rFonts w:eastAsia="MS Mincho"/>
          <w:noProof/>
          <w:szCs w:val="24"/>
          <w:lang w:eastAsia="ja-JP"/>
        </w:rPr>
        <w:t xml:space="preserve">Thematic products: </w:t>
      </w:r>
      <w:r>
        <w:rPr>
          <w:noProof/>
          <w:szCs w:val="24"/>
        </w:rPr>
        <w:t>another specific delivery mechanism akin to equity-type investments is Payment-by-Results (PbR) which is a financing mechanism and tool for impact investing in which public procuring bodies purchase social impact based on pre-defined social outcomes</w:t>
      </w:r>
      <w:r>
        <w:rPr>
          <w:i/>
          <w:noProof/>
          <w:szCs w:val="24"/>
        </w:rPr>
        <w:t xml:space="preserve"> </w:t>
      </w:r>
      <w:r>
        <w:rPr>
          <w:noProof/>
          <w:szCs w:val="24"/>
        </w:rPr>
        <w:t>delivered by social service providers with proven intervention models in a number of areas (including access to education, housing, health, and employment services). Social impact bonds are PbR schemes that facilitate risk-sharing between private and public investors to help local, regional and national governments improve efficiency in spending and increase the value for money in social service delivery.</w:t>
      </w:r>
    </w:p>
    <w:p>
      <w:pPr>
        <w:pStyle w:val="Heading2"/>
        <w:spacing w:before="0" w:after="120" w:line="264" w:lineRule="auto"/>
        <w:rPr>
          <w:noProof/>
          <w:szCs w:val="24"/>
        </w:rPr>
      </w:pPr>
      <w:bookmarkStart w:id="7875" w:name="_Toc510606794"/>
      <w:bookmarkStart w:id="7876" w:name="_Toc510607218"/>
      <w:bookmarkStart w:id="7877" w:name="_Toc510609880"/>
      <w:bookmarkStart w:id="7878" w:name="_Toc510612962"/>
      <w:bookmarkStart w:id="7879" w:name="_Toc510615734"/>
      <w:bookmarkStart w:id="7880" w:name="_Toc510616916"/>
      <w:bookmarkStart w:id="7881" w:name="_Toc510606795"/>
      <w:bookmarkStart w:id="7882" w:name="_Toc510607219"/>
      <w:bookmarkStart w:id="7883" w:name="_Toc510609881"/>
      <w:bookmarkStart w:id="7884" w:name="_Toc510612963"/>
      <w:bookmarkStart w:id="7885" w:name="_Toc510615735"/>
      <w:bookmarkStart w:id="7886" w:name="_Toc510616917"/>
      <w:bookmarkStart w:id="7887" w:name="_Toc510606799"/>
      <w:bookmarkStart w:id="7888" w:name="_Toc510607223"/>
      <w:bookmarkStart w:id="7889" w:name="_Toc510609885"/>
      <w:bookmarkStart w:id="7890" w:name="_Toc510612967"/>
      <w:bookmarkStart w:id="7891" w:name="_Toc510615739"/>
      <w:bookmarkStart w:id="7892" w:name="_Toc510616921"/>
      <w:bookmarkStart w:id="7893" w:name="_Toc510606800"/>
      <w:bookmarkStart w:id="7894" w:name="_Toc510607224"/>
      <w:bookmarkStart w:id="7895" w:name="_Toc510609886"/>
      <w:bookmarkStart w:id="7896" w:name="_Toc510612968"/>
      <w:bookmarkStart w:id="7897" w:name="_Toc510615740"/>
      <w:bookmarkStart w:id="7898" w:name="_Toc510616922"/>
      <w:bookmarkStart w:id="7899" w:name="_Toc510606801"/>
      <w:bookmarkStart w:id="7900" w:name="_Toc510607225"/>
      <w:bookmarkStart w:id="7901" w:name="_Toc510609887"/>
      <w:bookmarkStart w:id="7902" w:name="_Toc510612969"/>
      <w:bookmarkStart w:id="7903" w:name="_Toc510615741"/>
      <w:bookmarkStart w:id="7904" w:name="_Toc510616923"/>
      <w:bookmarkStart w:id="7905" w:name="_Toc510606806"/>
      <w:bookmarkStart w:id="7906" w:name="_Toc510607230"/>
      <w:bookmarkStart w:id="7907" w:name="_Toc510609892"/>
      <w:bookmarkStart w:id="7908" w:name="_Toc510612974"/>
      <w:bookmarkStart w:id="7909" w:name="_Toc510615746"/>
      <w:bookmarkStart w:id="7910" w:name="_Toc510616928"/>
      <w:bookmarkStart w:id="7911" w:name="_Toc510606807"/>
      <w:bookmarkStart w:id="7912" w:name="_Toc510607231"/>
      <w:bookmarkStart w:id="7913" w:name="_Toc510609893"/>
      <w:bookmarkStart w:id="7914" w:name="_Toc510612975"/>
      <w:bookmarkStart w:id="7915" w:name="_Toc510615747"/>
      <w:bookmarkStart w:id="7916" w:name="_Toc510616929"/>
      <w:bookmarkStart w:id="7917" w:name="_Toc510517835"/>
      <w:bookmarkStart w:id="7918" w:name="_Toc510612976"/>
      <w:bookmarkStart w:id="7919" w:name="_Toc510683720"/>
      <w:bookmarkStart w:id="7920" w:name="_Toc515348891"/>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r>
        <w:rPr>
          <w:noProof/>
          <w:szCs w:val="24"/>
        </w:rPr>
        <w:t>Related programmes under preparation</w:t>
      </w:r>
      <w:bookmarkEnd w:id="7917"/>
      <w:bookmarkEnd w:id="7918"/>
      <w:bookmarkEnd w:id="7919"/>
      <w:bookmarkEnd w:id="7920"/>
    </w:p>
    <w:p>
      <w:pPr>
        <w:spacing w:after="120" w:line="264" w:lineRule="auto"/>
        <w:rPr>
          <w:rFonts w:cs="Times New Roman"/>
          <w:noProof/>
          <w:szCs w:val="24"/>
        </w:rPr>
      </w:pPr>
      <w:r>
        <w:rPr>
          <w:rFonts w:cs="Times New Roman"/>
          <w:noProof/>
          <w:szCs w:val="24"/>
        </w:rPr>
        <w:t xml:space="preserve">Several programmes of relevance to the scope of the investment mechanism proposed herein are under preparation. The InvestEU Fund will broadly support policy objectives set by these programmes and will target areas where financing needs can be covered through the InvestEU Fund financial products (and not only by grants). </w:t>
      </w:r>
    </w:p>
    <w:p>
      <w:pPr>
        <w:pStyle w:val="Bulet"/>
        <w:numPr>
          <w:ilvl w:val="0"/>
          <w:numId w:val="0"/>
        </w:numPr>
        <w:spacing w:line="264" w:lineRule="auto"/>
        <w:rPr>
          <w:noProof/>
          <w:szCs w:val="24"/>
        </w:rPr>
      </w:pPr>
      <w:r>
        <w:rPr>
          <w:noProof/>
          <w:szCs w:val="24"/>
        </w:rPr>
        <w:t>Examples of the priority issues tackled in these programmes under preparation are listed below:</w:t>
      </w:r>
    </w:p>
    <w:p>
      <w:pPr>
        <w:pStyle w:val="Bulet"/>
        <w:spacing w:line="264" w:lineRule="auto"/>
        <w:rPr>
          <w:noProof/>
          <w:szCs w:val="24"/>
        </w:rPr>
      </w:pPr>
      <w:r>
        <w:rPr>
          <w:noProof/>
          <w:szCs w:val="24"/>
        </w:rPr>
        <w:t xml:space="preserve">The CEF 2.0 programme targets transport, energy, and ICT projects; </w:t>
      </w:r>
    </w:p>
    <w:p>
      <w:pPr>
        <w:pStyle w:val="Bulet"/>
        <w:spacing w:line="264" w:lineRule="auto"/>
        <w:rPr>
          <w:noProof/>
          <w:szCs w:val="24"/>
        </w:rPr>
      </w:pPr>
      <w:r>
        <w:rPr>
          <w:noProof/>
          <w:szCs w:val="24"/>
        </w:rPr>
        <w:t xml:space="preserve">COSME+ in the framework of the Single Market Programme that will be predominantly dedicated to the support of SMEs; </w:t>
      </w:r>
    </w:p>
    <w:p>
      <w:pPr>
        <w:pStyle w:val="Bulet"/>
        <w:spacing w:line="264" w:lineRule="auto"/>
        <w:rPr>
          <w:noProof/>
          <w:szCs w:val="24"/>
        </w:rPr>
      </w:pPr>
      <w:r>
        <w:rPr>
          <w:noProof/>
          <w:szCs w:val="24"/>
        </w:rPr>
        <w:t xml:space="preserve">The European Social Fund including in particular a programme for upskilling, employment and social innovation; </w:t>
      </w:r>
    </w:p>
    <w:p>
      <w:pPr>
        <w:pStyle w:val="Bulet"/>
        <w:spacing w:line="264" w:lineRule="auto"/>
        <w:rPr>
          <w:noProof/>
          <w:szCs w:val="24"/>
        </w:rPr>
      </w:pPr>
      <w:r>
        <w:rPr>
          <w:noProof/>
          <w:szCs w:val="24"/>
        </w:rPr>
        <w:t>Erasmus + for education, training, youth and sport;</w:t>
      </w:r>
    </w:p>
    <w:p>
      <w:pPr>
        <w:pStyle w:val="Bulet"/>
        <w:spacing w:line="264" w:lineRule="auto"/>
        <w:rPr>
          <w:noProof/>
          <w:szCs w:val="24"/>
        </w:rPr>
      </w:pPr>
      <w:r>
        <w:rPr>
          <w:noProof/>
          <w:szCs w:val="24"/>
        </w:rPr>
        <w:t xml:space="preserve">The Framework Programme for Research and Innovation; </w:t>
      </w:r>
    </w:p>
    <w:p>
      <w:pPr>
        <w:pStyle w:val="Bulet"/>
        <w:spacing w:line="264" w:lineRule="auto"/>
        <w:rPr>
          <w:noProof/>
          <w:szCs w:val="24"/>
        </w:rPr>
      </w:pPr>
      <w:r>
        <w:rPr>
          <w:noProof/>
          <w:szCs w:val="24"/>
        </w:rPr>
        <w:t>The Programme for environment and Climate Action, including Natural Capital</w:t>
      </w:r>
      <w:r>
        <w:rPr>
          <w:rStyle w:val="FootnoteReference"/>
          <w:noProof/>
          <w:szCs w:val="24"/>
        </w:rPr>
        <w:footnoteReference w:id="70"/>
      </w:r>
      <w:r>
        <w:rPr>
          <w:noProof/>
          <w:szCs w:val="24"/>
        </w:rPr>
        <w:t xml:space="preserve">, Energy Efficiency, and the circular economy; </w:t>
      </w:r>
    </w:p>
    <w:p>
      <w:pPr>
        <w:pStyle w:val="Bulet"/>
        <w:spacing w:line="264" w:lineRule="auto"/>
        <w:rPr>
          <w:noProof/>
          <w:szCs w:val="24"/>
        </w:rPr>
      </w:pPr>
      <w:r>
        <w:rPr>
          <w:noProof/>
          <w:szCs w:val="24"/>
        </w:rPr>
        <w:t>The European Culture, Rights and Values programme for the cultural and creative sectors;</w:t>
      </w:r>
    </w:p>
    <w:p>
      <w:pPr>
        <w:pStyle w:val="Bulet"/>
        <w:spacing w:line="264" w:lineRule="auto"/>
        <w:rPr>
          <w:noProof/>
          <w:szCs w:val="24"/>
        </w:rPr>
      </w:pPr>
      <w:r>
        <w:rPr>
          <w:noProof/>
          <w:szCs w:val="24"/>
        </w:rPr>
        <w:t>The Digital Europe Programme supporting the digital transformation of the European industry through advanced technologies, including Artificial Intelligence; and</w:t>
      </w:r>
    </w:p>
    <w:p>
      <w:pPr>
        <w:pStyle w:val="Bulet"/>
        <w:spacing w:line="264" w:lineRule="auto"/>
        <w:rPr>
          <w:noProof/>
          <w:szCs w:val="24"/>
        </w:rPr>
      </w:pPr>
      <w:r>
        <w:rPr>
          <w:noProof/>
          <w:szCs w:val="24"/>
        </w:rPr>
        <w:t>The European Defence Fund.</w:t>
      </w:r>
    </w:p>
    <w:p>
      <w:pPr>
        <w:spacing w:after="120" w:line="264" w:lineRule="auto"/>
        <w:rPr>
          <w:rFonts w:cs="Times New Roman"/>
          <w:strike/>
          <w:noProof/>
          <w:szCs w:val="24"/>
        </w:rPr>
      </w:pPr>
      <w:r>
        <w:rPr>
          <w:rFonts w:cs="Times New Roman"/>
          <w:noProof/>
          <w:szCs w:val="24"/>
        </w:rPr>
        <w:t xml:space="preserve">The above mentioned programmes under preparation will focus on the use of grants and blending. </w:t>
      </w:r>
    </w:p>
    <w:p>
      <w:pPr>
        <w:pStyle w:val="Heading2"/>
        <w:spacing w:line="264" w:lineRule="auto"/>
        <w:rPr>
          <w:noProof/>
          <w:szCs w:val="24"/>
        </w:rPr>
      </w:pPr>
      <w:bookmarkStart w:id="7921" w:name="_Toc510517836"/>
      <w:bookmarkStart w:id="7922" w:name="_Toc510612977"/>
      <w:bookmarkStart w:id="7923" w:name="_Toc510683721"/>
      <w:bookmarkStart w:id="7924" w:name="_Toc515348892"/>
      <w:r>
        <w:rPr>
          <w:noProof/>
          <w:szCs w:val="24"/>
        </w:rPr>
        <w:t>Blending and combinations</w:t>
      </w:r>
      <w:bookmarkEnd w:id="7921"/>
      <w:bookmarkEnd w:id="7922"/>
      <w:bookmarkEnd w:id="7923"/>
      <w:bookmarkEnd w:id="7924"/>
    </w:p>
    <w:p>
      <w:pPr>
        <w:spacing w:line="264" w:lineRule="auto"/>
        <w:rPr>
          <w:rFonts w:cs="Times New Roman"/>
          <w:noProof/>
          <w:szCs w:val="24"/>
        </w:rPr>
      </w:pPr>
      <w:r>
        <w:rPr>
          <w:rFonts w:cs="Times New Roman"/>
          <w:noProof/>
          <w:szCs w:val="24"/>
        </w:rPr>
        <w:t xml:space="preserve">The InvestEU Fund will include a possibility for easier and more efficient blending or combination of its support with EU grants and EU Emissions Trading Scheme Innovation Fund. </w:t>
      </w:r>
    </w:p>
    <w:p>
      <w:pPr>
        <w:spacing w:line="264" w:lineRule="auto"/>
        <w:rPr>
          <w:rFonts w:cs="Times New Roman"/>
          <w:iCs/>
          <w:noProof/>
          <w:szCs w:val="24"/>
        </w:rPr>
      </w:pPr>
      <w:r>
        <w:rPr>
          <w:rFonts w:cs="Times New Roman"/>
          <w:iCs/>
          <w:noProof/>
          <w:szCs w:val="24"/>
        </w:rPr>
        <w:t>Blending grants could be used for investments with high socio-economic and policy benefits that can be effectively realised, but where investment costs are higher than potential revenues. In other words, such projects would not be able to be rolled out and financed without non-repayable support. This would broaden the scope and would increase the impact of the investment support.</w:t>
      </w:r>
    </w:p>
    <w:p>
      <w:pPr>
        <w:spacing w:line="264" w:lineRule="auto"/>
        <w:rPr>
          <w:rFonts w:cs="Times New Roman"/>
          <w:iCs/>
          <w:noProof/>
          <w:szCs w:val="24"/>
        </w:rPr>
      </w:pPr>
      <w:r>
        <w:rPr>
          <w:rFonts w:cs="Times New Roman"/>
          <w:iCs/>
          <w:noProof/>
          <w:szCs w:val="24"/>
        </w:rPr>
        <w:t xml:space="preserve">There are two options on how to organise easier blending and combinations. The first would be to include the grant budget under the specific policy windows. The grant and the investment support decision would both be taken under the framework of the InvestEU Fund. This would however require a capacity to plan, implement, and monitor two different types of EU support schemes with different objectives characteristics. Apart from investment support expertise, the InvestEU Fund would thus need to integrate a broad spectrum of policy know-how. It would also require a substantial administrative capacity for implementation. </w:t>
      </w:r>
    </w:p>
    <w:p>
      <w:pPr>
        <w:spacing w:line="264" w:lineRule="auto"/>
        <w:rPr>
          <w:rFonts w:cs="Times New Roman"/>
          <w:iCs/>
          <w:noProof/>
          <w:szCs w:val="24"/>
        </w:rPr>
      </w:pPr>
      <w:r>
        <w:rPr>
          <w:rFonts w:cs="Times New Roman"/>
          <w:iCs/>
          <w:noProof/>
          <w:szCs w:val="24"/>
        </w:rPr>
        <w:t xml:space="preserve">It is thus proposed to use a second option where the decision on the use of grants and FIs under sectoral programmes is made by the relevant sectoral DGs in line with the sectoral programme policy objectives. The implementation of blending operations would be done in accordance with the InvestEU Programme Regulation and the Title X of the Financial Regulation. </w:t>
      </w:r>
    </w:p>
    <w:p>
      <w:pPr>
        <w:spacing w:line="264" w:lineRule="auto"/>
        <w:rPr>
          <w:rFonts w:cs="Times New Roman"/>
          <w:iCs/>
          <w:noProof/>
          <w:szCs w:val="24"/>
        </w:rPr>
      </w:pPr>
      <w:r>
        <w:rPr>
          <w:rFonts w:cs="Times New Roman"/>
          <w:iCs/>
          <w:noProof/>
          <w:szCs w:val="24"/>
        </w:rPr>
        <w:t>The blending would thus result in simplified administrative procedure for project applications, monitoring, and reporting. The simplification measures would include:</w:t>
      </w:r>
    </w:p>
    <w:p>
      <w:pPr>
        <w:pStyle w:val="Bulet"/>
        <w:spacing w:line="264" w:lineRule="auto"/>
        <w:rPr>
          <w:noProof/>
          <w:szCs w:val="24"/>
        </w:rPr>
      </w:pPr>
      <w:r>
        <w:rPr>
          <w:noProof/>
          <w:szCs w:val="24"/>
        </w:rPr>
        <w:t xml:space="preserve">Single application: the project promoter will be able to ask for a combined support with one single application; </w:t>
      </w:r>
    </w:p>
    <w:p>
      <w:pPr>
        <w:pStyle w:val="Bulet"/>
        <w:spacing w:line="264" w:lineRule="auto"/>
        <w:rPr>
          <w:noProof/>
          <w:szCs w:val="24"/>
        </w:rPr>
      </w:pPr>
      <w:r>
        <w:rPr>
          <w:noProof/>
          <w:szCs w:val="24"/>
        </w:rPr>
        <w:t xml:space="preserve">Simple, clear and transparent rules: the criteria for a combined support will be clearly and transparently communicated to potential beneficiaries and implementing partners; </w:t>
      </w:r>
    </w:p>
    <w:p>
      <w:pPr>
        <w:pStyle w:val="Bulet"/>
        <w:spacing w:line="264" w:lineRule="auto"/>
        <w:rPr>
          <w:noProof/>
          <w:szCs w:val="24"/>
        </w:rPr>
      </w:pPr>
      <w:r>
        <w:rPr>
          <w:noProof/>
          <w:szCs w:val="24"/>
        </w:rPr>
        <w:t xml:space="preserve">Single reporting: beneficiaries will provide single reporting including information on the EU grant and the InvestEU Fund support; and </w:t>
      </w:r>
    </w:p>
    <w:p>
      <w:pPr>
        <w:pStyle w:val="Bulet"/>
        <w:spacing w:line="264" w:lineRule="auto"/>
        <w:rPr>
          <w:rFonts w:eastAsia="MS Mincho"/>
          <w:noProof/>
          <w:szCs w:val="24"/>
        </w:rPr>
      </w:pPr>
      <w:r>
        <w:rPr>
          <w:noProof/>
          <w:szCs w:val="24"/>
        </w:rPr>
        <w:t xml:space="preserve">Single monitoring, control and audit procedures for final beneficiaries. </w:t>
      </w:r>
    </w:p>
    <w:p>
      <w:pPr>
        <w:pStyle w:val="Heading1"/>
        <w:spacing w:line="264" w:lineRule="auto"/>
        <w:rPr>
          <w:noProof/>
          <w:szCs w:val="24"/>
        </w:rPr>
      </w:pPr>
      <w:bookmarkStart w:id="7925" w:name="_Toc510207899"/>
      <w:bookmarkStart w:id="7926" w:name="_Toc510517837"/>
      <w:bookmarkStart w:id="7927" w:name="_Toc510593796"/>
      <w:bookmarkStart w:id="7928" w:name="_Toc510594173"/>
      <w:bookmarkStart w:id="7929" w:name="_Toc510606810"/>
      <w:bookmarkStart w:id="7930" w:name="_Toc510607234"/>
      <w:bookmarkStart w:id="7931" w:name="_Toc510609896"/>
      <w:bookmarkStart w:id="7932" w:name="_Toc510612978"/>
      <w:bookmarkStart w:id="7933" w:name="_Toc510615750"/>
      <w:bookmarkStart w:id="7934" w:name="_Toc510616932"/>
      <w:bookmarkStart w:id="7935" w:name="_Toc510207107"/>
      <w:bookmarkStart w:id="7936" w:name="_Toc510207901"/>
      <w:bookmarkStart w:id="7937" w:name="_Toc510517320"/>
      <w:bookmarkStart w:id="7938" w:name="_Toc510517479"/>
      <w:bookmarkStart w:id="7939" w:name="_Toc510517839"/>
      <w:bookmarkStart w:id="7940" w:name="_Toc510518009"/>
      <w:bookmarkStart w:id="7941" w:name="_Toc510593798"/>
      <w:bookmarkStart w:id="7942" w:name="_Toc510594175"/>
      <w:bookmarkStart w:id="7943" w:name="_Toc510606812"/>
      <w:bookmarkStart w:id="7944" w:name="_Toc510607236"/>
      <w:bookmarkStart w:id="7945" w:name="_Toc510608503"/>
      <w:bookmarkStart w:id="7946" w:name="_Toc510609466"/>
      <w:bookmarkStart w:id="7947" w:name="_Toc510609898"/>
      <w:bookmarkStart w:id="7948" w:name="_Toc510610451"/>
      <w:bookmarkStart w:id="7949" w:name="_Toc510612980"/>
      <w:bookmarkStart w:id="7950" w:name="_Toc510615752"/>
      <w:bookmarkStart w:id="7951" w:name="_Toc510616934"/>
      <w:bookmarkStart w:id="7952" w:name="_Toc509067316"/>
      <w:bookmarkStart w:id="7953" w:name="_Toc509068750"/>
      <w:bookmarkStart w:id="7954" w:name="_Toc509069257"/>
      <w:bookmarkStart w:id="7955" w:name="_Toc509131718"/>
      <w:bookmarkStart w:id="7956" w:name="_Toc509310839"/>
      <w:bookmarkStart w:id="7957" w:name="_Toc509311234"/>
      <w:bookmarkStart w:id="7958" w:name="_Toc509311635"/>
      <w:bookmarkStart w:id="7959" w:name="_Toc509312073"/>
      <w:bookmarkStart w:id="7960" w:name="_Toc509312499"/>
      <w:bookmarkStart w:id="7961" w:name="_Toc509312838"/>
      <w:bookmarkStart w:id="7962" w:name="_Toc509313179"/>
      <w:bookmarkStart w:id="7963" w:name="_Toc509313581"/>
      <w:bookmarkStart w:id="7964" w:name="_Toc509317020"/>
      <w:bookmarkStart w:id="7965" w:name="_Toc509317333"/>
      <w:bookmarkStart w:id="7966" w:name="_Toc509317625"/>
      <w:bookmarkStart w:id="7967" w:name="_Toc509317938"/>
      <w:bookmarkStart w:id="7968" w:name="_Toc509318251"/>
      <w:bookmarkStart w:id="7969" w:name="_Toc509319237"/>
      <w:bookmarkStart w:id="7970" w:name="_Toc509319599"/>
      <w:bookmarkStart w:id="7971" w:name="_Toc509320373"/>
      <w:bookmarkStart w:id="7972" w:name="_Toc509322345"/>
      <w:bookmarkStart w:id="7973" w:name="_Toc509322669"/>
      <w:bookmarkStart w:id="7974" w:name="_Toc509323171"/>
      <w:bookmarkStart w:id="7975" w:name="_Toc509323544"/>
      <w:bookmarkStart w:id="7976" w:name="_Toc509323868"/>
      <w:bookmarkStart w:id="7977" w:name="_Toc509324192"/>
      <w:bookmarkStart w:id="7978" w:name="_Toc509324516"/>
      <w:bookmarkStart w:id="7979" w:name="_Toc509324885"/>
      <w:bookmarkStart w:id="7980" w:name="_Toc509325254"/>
      <w:bookmarkStart w:id="7981" w:name="_Toc509325623"/>
      <w:bookmarkStart w:id="7982" w:name="_Toc509325998"/>
      <w:bookmarkStart w:id="7983" w:name="_Toc509326373"/>
      <w:bookmarkStart w:id="7984" w:name="_Toc509326748"/>
      <w:bookmarkStart w:id="7985" w:name="_Toc509327123"/>
      <w:bookmarkStart w:id="7986" w:name="_Toc509327439"/>
      <w:bookmarkStart w:id="7987" w:name="_Toc509327814"/>
      <w:bookmarkStart w:id="7988" w:name="_Toc509328189"/>
      <w:bookmarkStart w:id="7989" w:name="_Toc509332981"/>
      <w:bookmarkStart w:id="7990" w:name="_Toc509333394"/>
      <w:bookmarkStart w:id="7991" w:name="_Toc509333807"/>
      <w:bookmarkStart w:id="7992" w:name="_Toc509335210"/>
      <w:bookmarkStart w:id="7993" w:name="_Toc509335720"/>
      <w:bookmarkStart w:id="7994" w:name="_Toc509336663"/>
      <w:bookmarkStart w:id="7995" w:name="_Toc509337095"/>
      <w:bookmarkStart w:id="7996" w:name="_Toc509337522"/>
      <w:bookmarkStart w:id="7997" w:name="_Toc509337949"/>
      <w:bookmarkStart w:id="7998" w:name="_Toc509338279"/>
      <w:bookmarkStart w:id="7999" w:name="_Toc509382823"/>
      <w:bookmarkStart w:id="8000" w:name="_Toc509383255"/>
      <w:bookmarkStart w:id="8001" w:name="_Toc509384134"/>
      <w:bookmarkStart w:id="8002" w:name="_Toc509404827"/>
      <w:bookmarkStart w:id="8003" w:name="_Toc508287421"/>
      <w:bookmarkStart w:id="8004" w:name="_Toc508724930"/>
      <w:bookmarkStart w:id="8005" w:name="_Toc508733473"/>
      <w:bookmarkStart w:id="8006" w:name="_Toc508735106"/>
      <w:bookmarkStart w:id="8007" w:name="_Toc508809729"/>
      <w:bookmarkStart w:id="8008" w:name="_Toc509069263"/>
      <w:bookmarkStart w:id="8009" w:name="_Toc509313280"/>
      <w:bookmarkStart w:id="8010" w:name="_Toc509323874"/>
      <w:bookmarkStart w:id="8011" w:name="_Toc509327445"/>
      <w:bookmarkStart w:id="8012" w:name="_Toc509332987"/>
      <w:bookmarkStart w:id="8013" w:name="_Toc509334716"/>
      <w:bookmarkStart w:id="8014" w:name="_Toc509337955"/>
      <w:bookmarkStart w:id="8015" w:name="_Ref509418093"/>
      <w:bookmarkStart w:id="8016" w:name="_Toc510517840"/>
      <w:bookmarkStart w:id="8017" w:name="_Toc510612981"/>
      <w:bookmarkStart w:id="8018" w:name="_Toc510683722"/>
      <w:bookmarkStart w:id="8019" w:name="_Toc515348893"/>
      <w:bookmarkEnd w:id="7871"/>
      <w:bookmarkEnd w:id="7872"/>
      <w:bookmarkEnd w:id="7873"/>
      <w:bookmarkEnd w:id="787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r>
        <w:rPr>
          <w:noProof/>
          <w:szCs w:val="24"/>
        </w:rPr>
        <w:t>Delivery mechanisms of the intended funding</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p>
    <w:p>
      <w:pPr>
        <w:pStyle w:val="Heading2"/>
        <w:spacing w:line="264" w:lineRule="auto"/>
        <w:rPr>
          <w:noProof/>
          <w:szCs w:val="24"/>
        </w:rPr>
      </w:pPr>
      <w:bookmarkStart w:id="8020" w:name="_Toc510517841"/>
      <w:bookmarkStart w:id="8021" w:name="_Toc510612982"/>
      <w:bookmarkStart w:id="8022" w:name="_Toc510683723"/>
      <w:bookmarkStart w:id="8023" w:name="_Toc515348894"/>
      <w:r>
        <w:rPr>
          <w:noProof/>
          <w:szCs w:val="24"/>
        </w:rPr>
        <w:t>Single fund</w:t>
      </w:r>
      <w:bookmarkEnd w:id="8020"/>
      <w:bookmarkEnd w:id="8021"/>
      <w:bookmarkEnd w:id="8022"/>
      <w:bookmarkEnd w:id="8023"/>
    </w:p>
    <w:p>
      <w:pPr>
        <w:spacing w:after="120" w:line="264" w:lineRule="auto"/>
        <w:rPr>
          <w:rFonts w:cs="Times New Roman"/>
          <w:noProof/>
          <w:szCs w:val="24"/>
        </w:rPr>
      </w:pPr>
      <w:r>
        <w:rPr>
          <w:rStyle w:val="Aucun"/>
          <w:rFonts w:cs="Times New Roman"/>
          <w:noProof/>
          <w:szCs w:val="24"/>
          <w:lang w:val="en-GB"/>
        </w:rPr>
        <w:t xml:space="preserve">Setting up a single fund would primarily improve the impact of the EU intervention through a more efficient use of budgetary resources. Compared to financial instruments, budgetary guarantees freeze less budgetary resources due to limited provisioning compared to the level of financial engagement and the overall investment mobilised. Moreover, the risk is remunerated and fees would be limited. </w:t>
      </w:r>
    </w:p>
    <w:p>
      <w:pPr>
        <w:spacing w:after="120" w:line="264" w:lineRule="auto"/>
        <w:rPr>
          <w:rFonts w:cs="Times New Roman"/>
          <w:noProof/>
          <w:szCs w:val="24"/>
        </w:rPr>
      </w:pPr>
      <w:r>
        <w:rPr>
          <w:rStyle w:val="Aucun"/>
          <w:rFonts w:cs="Times New Roman"/>
          <w:noProof/>
          <w:szCs w:val="24"/>
          <w:lang w:val="en-GB"/>
        </w:rPr>
        <w:t>A single fund would also achieve better integration and simplification of the different financial instruments and the EFSI budgetary guarantee currently available. It would also solve the increasing issue of possible overlaps and duplications between the different programmes</w:t>
      </w:r>
      <w:r>
        <w:rPr>
          <w:rFonts w:cs="Times New Roman"/>
          <w:noProof/>
          <w:szCs w:val="24"/>
        </w:rPr>
        <w:t>, through better coordination, a single set of rules and clearer demarcation of interventions.</w:t>
      </w:r>
    </w:p>
    <w:p>
      <w:pPr>
        <w:spacing w:after="120" w:line="264" w:lineRule="auto"/>
        <w:rPr>
          <w:rFonts w:cs="Times New Roman"/>
          <w:noProof/>
          <w:szCs w:val="24"/>
        </w:rPr>
      </w:pPr>
      <w:r>
        <w:rPr>
          <w:rFonts w:cs="Times New Roman"/>
          <w:noProof/>
          <w:szCs w:val="24"/>
        </w:rPr>
        <w:t xml:space="preserve">To complement these integration and simplification efforts and to focus on the final beneficiaries needs, the InvestEU Advisory accompanying the InvestEU Fund would also aim at better channelling the technical assistance needs to the policy areas covered by the InvestEU Fund. </w:t>
      </w:r>
    </w:p>
    <w:p>
      <w:pPr>
        <w:pStyle w:val="Heading2"/>
        <w:spacing w:line="264" w:lineRule="auto"/>
        <w:rPr>
          <w:noProof/>
          <w:szCs w:val="24"/>
        </w:rPr>
      </w:pPr>
      <w:bookmarkStart w:id="8024" w:name="_Toc510517842"/>
      <w:bookmarkStart w:id="8025" w:name="_Toc510612983"/>
      <w:bookmarkStart w:id="8026" w:name="_Ref510615795"/>
      <w:bookmarkStart w:id="8027" w:name="_Toc510683724"/>
      <w:bookmarkStart w:id="8028" w:name="_Toc515348895"/>
      <w:r>
        <w:rPr>
          <w:noProof/>
          <w:szCs w:val="24"/>
        </w:rPr>
        <w:t>Single budgetary guarantee</w:t>
      </w:r>
      <w:bookmarkEnd w:id="8024"/>
      <w:bookmarkEnd w:id="8025"/>
      <w:bookmarkEnd w:id="8026"/>
      <w:bookmarkEnd w:id="8027"/>
      <w:bookmarkEnd w:id="8028"/>
    </w:p>
    <w:p>
      <w:pPr>
        <w:pStyle w:val="ListParagraph"/>
        <w:spacing w:after="120" w:line="264" w:lineRule="auto"/>
        <w:ind w:left="0"/>
        <w:contextualSpacing w:val="0"/>
        <w:rPr>
          <w:rStyle w:val="Aucun"/>
          <w:rFonts w:cs="Times New Roman"/>
          <w:noProof/>
          <w:szCs w:val="24"/>
          <w:lang w:val="en-GB"/>
        </w:rPr>
      </w:pPr>
      <w:r>
        <w:rPr>
          <w:rStyle w:val="Aucun"/>
          <w:rFonts w:cs="Times New Roman"/>
          <w:noProof/>
          <w:szCs w:val="24"/>
          <w:lang w:val="en-GB"/>
        </w:rPr>
        <w:t xml:space="preserve">It is proposed that support from the InvestEU Fund will be underpinned by a single budgetary guarantee and will be provided through financial products that address a diversified portfolio of risks. This presents efficiency gains when compared to the option of having several ring-fenced budgetary guarantees addressing a limited range of risks, in that it requires a lower provisioning rate while providing an equivalent level of protection. </w:t>
      </w:r>
    </w:p>
    <w:p>
      <w:pPr>
        <w:pStyle w:val="ListParagraph"/>
        <w:spacing w:after="120" w:line="264" w:lineRule="auto"/>
        <w:ind w:left="0"/>
        <w:contextualSpacing w:val="0"/>
        <w:rPr>
          <w:rFonts w:cs="Times New Roman"/>
          <w:noProof/>
          <w:szCs w:val="24"/>
        </w:rPr>
      </w:pPr>
      <w:r>
        <w:rPr>
          <w:rFonts w:cs="Times New Roman"/>
          <w:noProof/>
          <w:szCs w:val="24"/>
        </w:rPr>
        <w:t>The experience in managing budgetary guarantees as demonstrated in the successful implementation of the External Lending Mandate (ELM, since 1970s) and the EFSI (since 2015) - where the financial risk exposure is not fully provisioned (provisioning rate: 35%) - as well as the inclusion of budgetary guarantees under the scope of the revised Financial Regulation (Title X), including a robust framework for the management of contingent liabilities, have paved the ground for a better alignment of provisioning rates with risk. The recourse to a budgetary guarantee presents thus significant efficiency gains compared to financial instruments, which require 100% funding.</w:t>
      </w:r>
    </w:p>
    <w:p>
      <w:pPr>
        <w:pStyle w:val="ListParagraph"/>
        <w:spacing w:after="120" w:line="264" w:lineRule="auto"/>
        <w:ind w:left="0"/>
        <w:contextualSpacing w:val="0"/>
        <w:rPr>
          <w:rFonts w:cs="Times New Roman"/>
          <w:noProof/>
          <w:szCs w:val="24"/>
        </w:rPr>
      </w:pPr>
      <w:r>
        <w:rPr>
          <w:rFonts w:cs="Times New Roman"/>
          <w:noProof/>
          <w:szCs w:val="24"/>
        </w:rPr>
        <w:t xml:space="preserve">The range of interventions envisaged under the InvestEU Fund will be implemented through different products targeting different risks that would inherently require high, medium or low provisioning rates, depending on the type of operations guaranteed. The Commission will provide guidance and monitor the usage and the risks incurred under different products, so as to ensure that the overall portfolio of interventions is compatible with the general provisioning rate referenced in the InvestEU Fund regulation. </w:t>
      </w:r>
    </w:p>
    <w:p>
      <w:pPr>
        <w:pStyle w:val="ListParagraph"/>
        <w:spacing w:after="120" w:line="264" w:lineRule="auto"/>
        <w:ind w:left="0"/>
        <w:contextualSpacing w:val="0"/>
        <w:rPr>
          <w:rFonts w:cs="Times New Roman"/>
          <w:noProof/>
          <w:szCs w:val="24"/>
        </w:rPr>
      </w:pPr>
      <w:r>
        <w:rPr>
          <w:rFonts w:cs="Times New Roman"/>
          <w:noProof/>
          <w:szCs w:val="24"/>
        </w:rPr>
        <w:t>For this reason, it is proposed to underpin such financial support within the EU by one single budgetary guarantee. A theoretical provisioning rate would be assigned to each financial product under the different policy windows, which would depend on the nature of the product (debt or equity), the granularity, the revenue generating potential and the risk sharing arrangements with implementing partners.</w:t>
      </w:r>
    </w:p>
    <w:p>
      <w:pPr>
        <w:pStyle w:val="ListParagraph"/>
        <w:spacing w:after="120" w:line="264" w:lineRule="auto"/>
        <w:ind w:left="0"/>
        <w:contextualSpacing w:val="0"/>
        <w:rPr>
          <w:rFonts w:cs="Times New Roman"/>
          <w:noProof/>
          <w:szCs w:val="24"/>
        </w:rPr>
      </w:pPr>
      <w:r>
        <w:rPr>
          <w:rFonts w:cs="Times New Roman"/>
          <w:noProof/>
          <w:szCs w:val="24"/>
        </w:rPr>
        <w:t>For example, one can assume that support from the social investment and skills window may be provided more in the form of highly provisioned products, whereas lower provisioning needs may be foreseen for the support offered through the sustainable infrastructure window, as infrastructure projects present a higher likelihood to generate revenues which would remunerate the EU guarantee. In the same vein, the support from the SME window would be in the form of a mix of highly provisioned products (i.e. SME guarantees) and of medium provisioned ones, such as venture capital</w:t>
      </w:r>
      <w:r>
        <w:rPr>
          <w:rStyle w:val="FootnoteReference"/>
          <w:rFonts w:cs="Times New Roman"/>
          <w:noProof/>
          <w:szCs w:val="24"/>
        </w:rPr>
        <w:footnoteReference w:id="71"/>
      </w:r>
      <w:r>
        <w:rPr>
          <w:rFonts w:cs="Times New Roman"/>
          <w:noProof/>
          <w:szCs w:val="24"/>
        </w:rPr>
        <w:t>. The general provisioning rate of the single budgetary guarantee would represent the weighted average of the specific rates.</w:t>
      </w:r>
    </w:p>
    <w:p>
      <w:pPr>
        <w:pStyle w:val="ListParagraph"/>
        <w:spacing w:after="120" w:line="264" w:lineRule="auto"/>
        <w:ind w:left="0"/>
        <w:contextualSpacing w:val="0"/>
        <w:rPr>
          <w:rFonts w:cs="Times New Roman"/>
          <w:noProof/>
          <w:szCs w:val="24"/>
        </w:rPr>
      </w:pPr>
      <w:r>
        <w:rPr>
          <w:rFonts w:cs="Times New Roman"/>
          <w:noProof/>
          <w:szCs w:val="24"/>
        </w:rPr>
        <w:t xml:space="preserve">Specific interventions that would require a grant component to ensure the economic viability of a project could be carried out by blending or combining the support from the budgetary guarantee with complementary EU funds in the form of a grant. In such case, the grant would be managed under sectoral programmes and appropriate synergies would be built with the intervention under the InvestEU Fund. In the cases where blending support is expected to be provided in the form the financial instruments, e.g. for high-risk targeted portfolios, such support would be provided under the InvestEU Fund. </w:t>
      </w:r>
    </w:p>
    <w:p>
      <w:pPr>
        <w:pStyle w:val="Heading2"/>
        <w:spacing w:line="264" w:lineRule="auto"/>
        <w:rPr>
          <w:noProof/>
          <w:szCs w:val="24"/>
        </w:rPr>
      </w:pPr>
      <w:bookmarkStart w:id="8029" w:name="_Toc510207905"/>
      <w:bookmarkStart w:id="8030" w:name="_Toc510517843"/>
      <w:bookmarkStart w:id="8031" w:name="_Toc510593802"/>
      <w:bookmarkStart w:id="8032" w:name="_Toc510594179"/>
      <w:bookmarkStart w:id="8033" w:name="_Toc510606816"/>
      <w:bookmarkStart w:id="8034" w:name="_Toc510607240"/>
      <w:bookmarkStart w:id="8035" w:name="_Toc510608507"/>
      <w:bookmarkStart w:id="8036" w:name="_Toc510609470"/>
      <w:bookmarkStart w:id="8037" w:name="_Toc510609902"/>
      <w:bookmarkStart w:id="8038" w:name="_Toc510610455"/>
      <w:bookmarkStart w:id="8039" w:name="_Toc510612984"/>
      <w:bookmarkStart w:id="8040" w:name="_Toc510615756"/>
      <w:bookmarkStart w:id="8041" w:name="_Toc510616938"/>
      <w:bookmarkStart w:id="8042" w:name="_Ref510095234"/>
      <w:bookmarkStart w:id="8043" w:name="_Toc510517844"/>
      <w:bookmarkStart w:id="8044" w:name="_Toc510612985"/>
      <w:bookmarkStart w:id="8045" w:name="_Toc510683725"/>
      <w:bookmarkStart w:id="8046" w:name="_Toc515348896"/>
      <w:bookmarkEnd w:id="8029"/>
      <w:bookmarkEnd w:id="8030"/>
      <w:bookmarkEnd w:id="8031"/>
      <w:bookmarkEnd w:id="8032"/>
      <w:bookmarkEnd w:id="8033"/>
      <w:bookmarkEnd w:id="8034"/>
      <w:bookmarkEnd w:id="8035"/>
      <w:bookmarkEnd w:id="8036"/>
      <w:bookmarkEnd w:id="8037"/>
      <w:bookmarkEnd w:id="8038"/>
      <w:bookmarkEnd w:id="8039"/>
      <w:bookmarkEnd w:id="8040"/>
      <w:bookmarkEnd w:id="8041"/>
      <w:r>
        <w:rPr>
          <w:noProof/>
          <w:szCs w:val="24"/>
        </w:rPr>
        <w:t>Implementing partners</w:t>
      </w:r>
      <w:bookmarkEnd w:id="8042"/>
      <w:bookmarkEnd w:id="8043"/>
      <w:bookmarkEnd w:id="8044"/>
      <w:bookmarkEnd w:id="8045"/>
      <w:bookmarkEnd w:id="8046"/>
    </w:p>
    <w:p>
      <w:pPr>
        <w:pStyle w:val="ListParagraph"/>
        <w:spacing w:after="120" w:line="264" w:lineRule="auto"/>
        <w:ind w:left="0"/>
        <w:contextualSpacing w:val="0"/>
        <w:rPr>
          <w:rStyle w:val="Aucun"/>
          <w:rFonts w:cs="Times New Roman"/>
          <w:noProof/>
          <w:szCs w:val="24"/>
          <w:lang w:val="en-GB"/>
        </w:rPr>
      </w:pPr>
      <w:r>
        <w:rPr>
          <w:rStyle w:val="Aucun"/>
          <w:rFonts w:cs="Times New Roman"/>
          <w:noProof/>
          <w:szCs w:val="24"/>
          <w:lang w:val="en-GB"/>
        </w:rPr>
        <w:t xml:space="preserve">The investment support has to be delivered to eligible beneficiaries in the most effective and cost-efficient manner. The implementing partner should possess banking and investment expertise, should have adequate financial capacity, as well as an in-depth understanding of the specific market needs and beneficiaries. Moreover, its interests should be closely aligned with the InvestEU Fund policy objectives. </w:t>
      </w:r>
    </w:p>
    <w:p>
      <w:pPr>
        <w:pStyle w:val="ListParagraph"/>
        <w:spacing w:after="120" w:line="264" w:lineRule="auto"/>
        <w:ind w:left="0"/>
        <w:contextualSpacing w:val="0"/>
        <w:rPr>
          <w:rStyle w:val="Aucun"/>
          <w:rFonts w:cs="Times New Roman"/>
          <w:noProof/>
          <w:szCs w:val="24"/>
          <w:lang w:val="en-GB"/>
        </w:rPr>
      </w:pPr>
      <w:r>
        <w:rPr>
          <w:rStyle w:val="Aucun"/>
          <w:rFonts w:cs="Times New Roman"/>
          <w:noProof/>
          <w:szCs w:val="24"/>
          <w:lang w:val="en-GB"/>
        </w:rPr>
        <w:t>The EIB Group is currently the biggest implementing partner for EU financial instruments and budgetary guarantees. However, under the Financial Regulation, these can also be implemented through financial intermediaries such as multilateral developments banks (MDBs), bilateral financial institutions, or national promotional banks and institutions (NPBs) (together defined as "implementing partners"). This is currently the case for financial programmes in the external action sphere.</w:t>
      </w:r>
    </w:p>
    <w:p>
      <w:pPr>
        <w:pStyle w:val="ListParagraph"/>
        <w:spacing w:after="120" w:line="264" w:lineRule="auto"/>
        <w:ind w:left="0"/>
        <w:contextualSpacing w:val="0"/>
        <w:rPr>
          <w:rStyle w:val="Aucun"/>
          <w:rFonts w:cs="Times New Roman"/>
          <w:noProof/>
          <w:szCs w:val="24"/>
          <w:lang w:val="en-GB"/>
        </w:rPr>
      </w:pPr>
      <w:r>
        <w:rPr>
          <w:rStyle w:val="Aucun"/>
          <w:rFonts w:cs="Times New Roman"/>
          <w:noProof/>
          <w:szCs w:val="24"/>
          <w:lang w:val="en-GB"/>
        </w:rPr>
        <w:t xml:space="preserve">The main options for the InvestEU Fund are whether to keep the EIB Group as the exclusive implementing partner or open the possibility to deploy the support through other NPBs and MDBs. </w:t>
      </w:r>
    </w:p>
    <w:p>
      <w:pPr>
        <w:pStyle w:val="ListParagraph"/>
        <w:spacing w:after="120" w:line="264" w:lineRule="auto"/>
        <w:ind w:left="0"/>
        <w:contextualSpacing w:val="0"/>
        <w:rPr>
          <w:rStyle w:val="Aucun"/>
          <w:rFonts w:cs="Times New Roman"/>
          <w:noProof/>
          <w:szCs w:val="24"/>
          <w:lang w:val="en-GB"/>
        </w:rPr>
      </w:pPr>
      <w:r>
        <w:rPr>
          <w:rStyle w:val="Aucun"/>
          <w:rFonts w:cs="Times New Roman"/>
          <w:noProof/>
          <w:szCs w:val="24"/>
          <w:lang w:val="en-GB"/>
        </w:rPr>
        <w:t>The EIB Group will remain the strategic implementing partner for EU investment support instruments. This is because the EIB Group:</w:t>
      </w:r>
    </w:p>
    <w:p>
      <w:pPr>
        <w:pStyle w:val="Bulet"/>
        <w:spacing w:line="264" w:lineRule="auto"/>
        <w:rPr>
          <w:noProof/>
          <w:szCs w:val="24"/>
        </w:rPr>
      </w:pPr>
      <w:r>
        <w:rPr>
          <w:noProof/>
          <w:szCs w:val="24"/>
        </w:rPr>
        <w:t>Is the European Union's non-profit lending institution created by the Treaty to implement EU policy;</w:t>
      </w:r>
    </w:p>
    <w:p>
      <w:pPr>
        <w:pStyle w:val="Bulet"/>
        <w:spacing w:line="264" w:lineRule="auto"/>
        <w:rPr>
          <w:rStyle w:val="Aucun"/>
          <w:noProof/>
          <w:szCs w:val="24"/>
          <w:lang w:val="en-GB"/>
        </w:rPr>
      </w:pPr>
      <w:r>
        <w:rPr>
          <w:noProof/>
          <w:color w:val="000000"/>
          <w:szCs w:val="24"/>
          <w:u w:color="000000"/>
        </w:rPr>
        <w:t>The Treaty foresees that "</w:t>
      </w:r>
      <w:r>
        <w:rPr>
          <w:i/>
          <w:noProof/>
          <w:color w:val="000000"/>
          <w:szCs w:val="24"/>
          <w:u w:color="000000"/>
        </w:rPr>
        <w:t>the bank shall facilitate the financing of investment programmes in conjunction with assistance from the structural funds and other Union Financial Instruments</w:t>
      </w:r>
      <w:r>
        <w:rPr>
          <w:noProof/>
          <w:color w:val="000000"/>
          <w:szCs w:val="24"/>
          <w:u w:color="000000"/>
        </w:rPr>
        <w:t>" (art. 309 TFEU).</w:t>
      </w:r>
    </w:p>
    <w:p>
      <w:pPr>
        <w:pStyle w:val="Bulet"/>
        <w:spacing w:line="264" w:lineRule="auto"/>
        <w:rPr>
          <w:rStyle w:val="Aucun"/>
          <w:noProof/>
          <w:szCs w:val="24"/>
          <w:lang w:val="en-GB"/>
        </w:rPr>
      </w:pPr>
      <w:r>
        <w:rPr>
          <w:rStyle w:val="Aucun"/>
          <w:noProof/>
          <w:szCs w:val="24"/>
          <w:lang w:val="en-GB"/>
        </w:rPr>
        <w:t>Covers a broad spectrum of policy areas and is the only such institution with an outreach across all EU Member States;</w:t>
      </w:r>
    </w:p>
    <w:p>
      <w:pPr>
        <w:pStyle w:val="Bulet"/>
        <w:spacing w:line="264" w:lineRule="auto"/>
        <w:rPr>
          <w:rStyle w:val="Aucun"/>
          <w:noProof/>
          <w:szCs w:val="24"/>
          <w:lang w:val="en-GB"/>
        </w:rPr>
      </w:pPr>
      <w:r>
        <w:rPr>
          <w:rStyle w:val="Aucun"/>
          <w:noProof/>
          <w:szCs w:val="24"/>
          <w:lang w:val="en-GB"/>
        </w:rPr>
        <w:t>Has a longstanding experience and track record in supporting investment and implementing EU financial instruments and budgetary guarantees; and</w:t>
      </w:r>
    </w:p>
    <w:p>
      <w:pPr>
        <w:pStyle w:val="Bulet"/>
        <w:spacing w:line="264" w:lineRule="auto"/>
        <w:rPr>
          <w:rStyle w:val="Aucun"/>
          <w:noProof/>
          <w:szCs w:val="24"/>
          <w:lang w:val="en-GB"/>
        </w:rPr>
      </w:pPr>
      <w:r>
        <w:rPr>
          <w:rStyle w:val="Aucun"/>
          <w:noProof/>
          <w:szCs w:val="24"/>
          <w:lang w:val="en-GB"/>
        </w:rPr>
        <w:t xml:space="preserve">Has the organisational and financial capacity necessary to deliver a broad spectrum of investment support instruments. </w:t>
      </w:r>
    </w:p>
    <w:p>
      <w:pPr>
        <w:spacing w:after="120" w:line="264" w:lineRule="auto"/>
        <w:rPr>
          <w:rStyle w:val="Aucun"/>
          <w:rFonts w:cs="Times New Roman"/>
          <w:noProof/>
          <w:szCs w:val="24"/>
          <w:lang w:val="en-GB"/>
        </w:rPr>
      </w:pPr>
      <w:r>
        <w:rPr>
          <w:rStyle w:val="Aucun"/>
          <w:rFonts w:cs="Times New Roman"/>
          <w:noProof/>
          <w:szCs w:val="24"/>
          <w:lang w:val="en-GB"/>
        </w:rPr>
        <w:t xml:space="preserve">Having a single implementing partner on the other hand limits the Commission’s flexibility to target specific suboptimal investment situations. Deployment of EU investment support through other implementing partners would in particular be useful for programmes, sectors, and regions where such institutions contribute to EU policy objectives in a more targeted manner. This would also be relevant in cases where other implementing partners can offer specific expertise and added value by extending the outreach of the InvestEU Fund. </w:t>
      </w:r>
    </w:p>
    <w:p>
      <w:pPr>
        <w:spacing w:after="120" w:line="264" w:lineRule="auto"/>
        <w:rPr>
          <w:rStyle w:val="Aucun"/>
          <w:rFonts w:cs="Times New Roman"/>
          <w:noProof/>
          <w:szCs w:val="24"/>
          <w:lang w:val="en-GB"/>
        </w:rPr>
      </w:pPr>
      <w:r>
        <w:rPr>
          <w:rStyle w:val="Aucun"/>
          <w:rFonts w:cs="Times New Roman"/>
          <w:noProof/>
          <w:szCs w:val="24"/>
          <w:lang w:val="en-GB"/>
        </w:rPr>
        <w:t>Therefore, it is considered that the InvestEU Fund should not work exclusively with one implementing partner. The Commission should have the possibility to choose one or several partners that will most effectively achieve the given policy objective while maintaining an EU multi-country dimension. All implementing partners will however have to respect the relevant criteria in the Financial Regulation, in particular in Article 154 on indirect management.</w:t>
      </w:r>
    </w:p>
    <w:p>
      <w:pPr>
        <w:spacing w:after="120" w:line="264" w:lineRule="auto"/>
        <w:rPr>
          <w:rFonts w:cs="Times New Roman"/>
          <w:noProof/>
          <w:szCs w:val="24"/>
        </w:rPr>
      </w:pPr>
      <w:r>
        <w:rPr>
          <w:rFonts w:cs="Times New Roman"/>
          <w:noProof/>
          <w:szCs w:val="24"/>
        </w:rPr>
        <w:t xml:space="preserve">The EU level compartment could thus be mainly implemented by the EIB Group as well as by other multilateral development banks (e.g. EBRD, Nordic Investment Bank, Council of Europe Bank), or consortia of national promotional banks and institutions that would cover at least three Member States, ensuring a diversification of pipelines and a wider coverage of the policy objectives. NPBs are likely to be the main implementing partner of the Member State compartment, although the EIB Group and other multilateral development banks will also be eligible. </w:t>
      </w:r>
    </w:p>
    <w:p>
      <w:pPr>
        <w:spacing w:after="120" w:line="264" w:lineRule="auto"/>
        <w:rPr>
          <w:rFonts w:cs="Times New Roman"/>
          <w:noProof/>
          <w:szCs w:val="24"/>
        </w:rPr>
      </w:pPr>
      <w:r>
        <w:rPr>
          <w:rFonts w:cs="Times New Roman"/>
          <w:noProof/>
          <w:szCs w:val="24"/>
        </w:rPr>
        <w:t>The foreseen collaboration between implementing partners for the quality check of proposals and the integrated risk assessment under the Project Team could have several benefits, e.g. a closer relationship among European public financial institutions, enhanced capacity building of national and regional development banks and institutions.</w:t>
      </w:r>
    </w:p>
    <w:p>
      <w:pPr>
        <w:pStyle w:val="Text2"/>
        <w:spacing w:after="120" w:line="264" w:lineRule="auto"/>
        <w:ind w:left="0"/>
        <w:rPr>
          <w:noProof/>
          <w:szCs w:val="24"/>
        </w:rPr>
      </w:pPr>
      <w:r>
        <w:rPr>
          <w:noProof/>
          <w:szCs w:val="24"/>
        </w:rPr>
        <w:t>The financing support provided under the InvestEU Fund will be implemented in an indirect management mode by implementing partners. In turn, the implementing partners could either finance projects directly or sign agreements with financial intermediaries in order to reach out to the targeted eligible final beneficiaries.</w:t>
      </w:r>
    </w:p>
    <w:p>
      <w:pPr>
        <w:pStyle w:val="Text2"/>
        <w:spacing w:after="120" w:line="264" w:lineRule="auto"/>
        <w:ind w:left="0"/>
        <w:rPr>
          <w:noProof/>
          <w:szCs w:val="24"/>
        </w:rPr>
      </w:pPr>
      <w:r>
        <w:rPr>
          <w:noProof/>
          <w:szCs w:val="24"/>
        </w:rPr>
        <w:t xml:space="preserve">The advantage that the InvestEU Fund will bring will be the possibility to sign one agreement per implementing partner which relates to all instruments/initiatives across windows that will be implemented by the same partner. This will allow for improved efficiencies and economies of scale. This will also improve the Commission’s coordination and negotiation capacity. </w:t>
      </w:r>
    </w:p>
    <w:p>
      <w:pPr>
        <w:pStyle w:val="Text2"/>
        <w:spacing w:after="120" w:line="264" w:lineRule="auto"/>
        <w:ind w:left="0"/>
        <w:rPr>
          <w:noProof/>
          <w:szCs w:val="24"/>
        </w:rPr>
      </w:pPr>
      <w:r>
        <w:rPr>
          <w:noProof/>
          <w:szCs w:val="24"/>
        </w:rPr>
        <w:t xml:space="preserve">In the field of intermediated debt finance, participating intermediaries will benefit from a guarantee or a counter-guarantee from the EU in order to originate portfolios of higher risk financing whereas at the same time sharing the portfolio risk with the EU for the sake of alignment of interest. The additionality stems from the fact that the EU guarantee will enable the intermediaries to reach out to beneficiaries that otherwise would not be financed or will allow them to increase significantly their lending volumes to eligible beneficiaries at better terms (lower pricing, reduced collateral requirements, longer maturities). </w:t>
      </w:r>
    </w:p>
    <w:p>
      <w:pPr>
        <w:pStyle w:val="Text2"/>
        <w:spacing w:after="120" w:line="264" w:lineRule="auto"/>
        <w:ind w:left="0"/>
        <w:rPr>
          <w:noProof/>
          <w:szCs w:val="24"/>
        </w:rPr>
      </w:pPr>
      <w:r>
        <w:rPr>
          <w:noProof/>
          <w:szCs w:val="24"/>
        </w:rPr>
        <w:t>The intermediated equity instruments will be delivered through national promotional institutions, funds-of-funds, private equity funds (infrastructure, SMEs), venture capital funds, business angel funds, technology transfer funds, crowd-equity platforms, social intermediaries or social sector intermediaries, special-purpose vehicles, and co-investment funds or schemes. The participation of the EU will have a catalytic role to attract other private investors.</w:t>
      </w:r>
    </w:p>
    <w:p>
      <w:pPr>
        <w:pStyle w:val="ListParagraph"/>
        <w:spacing w:after="120" w:line="264" w:lineRule="auto"/>
        <w:ind w:left="0"/>
        <w:contextualSpacing w:val="0"/>
        <w:rPr>
          <w:rStyle w:val="Aucun"/>
          <w:rFonts w:cs="Times New Roman"/>
          <w:bCs/>
          <w:noProof/>
          <w:szCs w:val="24"/>
          <w:lang w:val="en-GB"/>
        </w:rPr>
      </w:pPr>
      <w:r>
        <w:rPr>
          <w:rStyle w:val="Aucun"/>
          <w:rFonts w:cs="Times New Roman"/>
          <w:noProof/>
          <w:szCs w:val="24"/>
          <w:lang w:val="en-GB"/>
        </w:rPr>
        <w:t>The a</w:t>
      </w:r>
      <w:r>
        <w:rPr>
          <w:rStyle w:val="Aucun"/>
          <w:rFonts w:cs="Times New Roman"/>
          <w:bCs/>
          <w:noProof/>
          <w:szCs w:val="24"/>
          <w:lang w:val="en-GB"/>
        </w:rPr>
        <w:t>llocation of the InvestEU Fund guarantee should be based on the implementing entities' abilities to address and contribute to EU policy objectives covered by the InvestEU Fund. In accordance with Article 154(1) of the Financial Regulation, the selection of implementing partners "</w:t>
      </w:r>
      <w:r>
        <w:rPr>
          <w:rFonts w:cs="Times New Roman"/>
          <w:i/>
          <w:noProof/>
          <w:szCs w:val="24"/>
        </w:rPr>
        <w:t>shall be transparent, justified by the nature of the action and shall not give rise to a conflict of interests</w:t>
      </w:r>
      <w:r>
        <w:rPr>
          <w:rStyle w:val="Aucun"/>
          <w:rFonts w:cs="Times New Roman"/>
          <w:bCs/>
          <w:noProof/>
          <w:szCs w:val="24"/>
          <w:lang w:val="en-GB"/>
        </w:rPr>
        <w:t>". In the EU level compartment, the following criteria would determine the allocation of the guarantee to the investment programmes proposed by eligible implementing partners:</w:t>
      </w:r>
    </w:p>
    <w:p>
      <w:pPr>
        <w:pStyle w:val="Bulet"/>
        <w:spacing w:line="264" w:lineRule="auto"/>
        <w:rPr>
          <w:rStyle w:val="Aucun"/>
          <w:bCs/>
          <w:noProof/>
          <w:szCs w:val="24"/>
          <w:lang w:val="en-GB"/>
        </w:rPr>
      </w:pPr>
      <w:r>
        <w:rPr>
          <w:rStyle w:val="Aucun"/>
          <w:bCs/>
          <w:noProof/>
          <w:szCs w:val="24"/>
          <w:lang w:val="en-GB"/>
        </w:rPr>
        <w:t>Coverage of InvestEU Fund policy objectives,</w:t>
      </w:r>
    </w:p>
    <w:p>
      <w:pPr>
        <w:pStyle w:val="Bulet"/>
        <w:spacing w:line="264" w:lineRule="auto"/>
        <w:rPr>
          <w:rStyle w:val="Aucun"/>
          <w:bCs/>
          <w:noProof/>
          <w:szCs w:val="24"/>
          <w:lang w:val="en-GB"/>
        </w:rPr>
      </w:pPr>
      <w:r>
        <w:rPr>
          <w:rStyle w:val="Aucun"/>
          <w:bCs/>
          <w:noProof/>
          <w:szCs w:val="24"/>
          <w:lang w:val="en-GB"/>
        </w:rPr>
        <w:t>Geographical reach out,</w:t>
      </w:r>
    </w:p>
    <w:p>
      <w:pPr>
        <w:pStyle w:val="Bulet"/>
        <w:spacing w:line="264" w:lineRule="auto"/>
        <w:rPr>
          <w:rStyle w:val="Aucun"/>
          <w:bCs/>
          <w:noProof/>
          <w:szCs w:val="24"/>
          <w:lang w:val="en-GB"/>
        </w:rPr>
      </w:pPr>
      <w:r>
        <w:rPr>
          <w:rStyle w:val="Aucun"/>
          <w:bCs/>
          <w:noProof/>
          <w:szCs w:val="24"/>
          <w:lang w:val="en-GB"/>
        </w:rPr>
        <w:t>Own resources pledged by the implementing partner,</w:t>
      </w:r>
    </w:p>
    <w:p>
      <w:pPr>
        <w:pStyle w:val="Bulet"/>
        <w:spacing w:line="264" w:lineRule="auto"/>
        <w:rPr>
          <w:rStyle w:val="Aucun"/>
          <w:bCs/>
          <w:noProof/>
          <w:szCs w:val="24"/>
          <w:lang w:val="en-GB"/>
        </w:rPr>
      </w:pPr>
      <w:r>
        <w:rPr>
          <w:rStyle w:val="Aucun"/>
          <w:bCs/>
          <w:noProof/>
          <w:szCs w:val="24"/>
          <w:lang w:val="en-GB"/>
        </w:rPr>
        <w:t>Range of effective financing products and innovative risk solutions,</w:t>
      </w:r>
    </w:p>
    <w:p>
      <w:pPr>
        <w:pStyle w:val="Bulet"/>
        <w:spacing w:line="264" w:lineRule="auto"/>
        <w:rPr>
          <w:rStyle w:val="Aucun"/>
          <w:bCs/>
          <w:noProof/>
          <w:szCs w:val="24"/>
          <w:lang w:val="en-GB"/>
        </w:rPr>
      </w:pPr>
      <w:r>
        <w:rPr>
          <w:rStyle w:val="Aucun"/>
          <w:bCs/>
          <w:noProof/>
          <w:szCs w:val="24"/>
          <w:lang w:val="en-GB"/>
        </w:rPr>
        <w:t>Costs and pricing structures, and</w:t>
      </w:r>
    </w:p>
    <w:p>
      <w:pPr>
        <w:pStyle w:val="Bulet"/>
        <w:spacing w:line="264" w:lineRule="auto"/>
        <w:rPr>
          <w:rStyle w:val="Aucun"/>
          <w:bCs/>
          <w:noProof/>
          <w:szCs w:val="24"/>
          <w:lang w:val="en-GB"/>
        </w:rPr>
      </w:pPr>
      <w:r>
        <w:rPr>
          <w:rStyle w:val="Aucun"/>
          <w:bCs/>
          <w:noProof/>
          <w:szCs w:val="24"/>
          <w:lang w:val="en-GB"/>
        </w:rPr>
        <w:t>For entities other than the EIB Group, their operational and financial capacity.</w:t>
      </w:r>
    </w:p>
    <w:p>
      <w:pPr>
        <w:pStyle w:val="ListParagraph"/>
        <w:spacing w:after="120" w:line="264" w:lineRule="auto"/>
        <w:ind w:left="0"/>
        <w:contextualSpacing w:val="0"/>
        <w:rPr>
          <w:rStyle w:val="Aucun"/>
          <w:rFonts w:cs="Times New Roman"/>
          <w:bCs/>
          <w:noProof/>
          <w:szCs w:val="24"/>
          <w:lang w:val="en-GB"/>
        </w:rPr>
      </w:pPr>
      <w:r>
        <w:rPr>
          <w:rStyle w:val="Aucun"/>
          <w:rFonts w:cs="Times New Roman"/>
          <w:bCs/>
          <w:noProof/>
          <w:szCs w:val="24"/>
          <w:lang w:val="en-GB"/>
        </w:rPr>
        <w:t>A significant proportion, of the EU Guarantee should be reserved for implementing partners capable to address suboptimal investment situations in all EU Member States. The rest of the guarantee could be granted to implementing partners able to operate and address market gaps in at least three Member States. Groups of NPBs would also be able to form a consortium in order to address cross border investment needs and benefit from the EU Guarantee. This would allow for flexibility, favour cooperation between NPBs, and focus the use of the EU Guarantee on EU policy objectives.</w:t>
      </w:r>
    </w:p>
    <w:p>
      <w:pPr>
        <w:pStyle w:val="Heading2"/>
        <w:spacing w:line="264" w:lineRule="auto"/>
        <w:rPr>
          <w:noProof/>
          <w:szCs w:val="24"/>
        </w:rPr>
      </w:pPr>
      <w:bookmarkStart w:id="8047" w:name="_Toc510517326"/>
      <w:bookmarkStart w:id="8048" w:name="_Toc510517485"/>
      <w:bookmarkStart w:id="8049" w:name="_Toc510518015"/>
      <w:bookmarkStart w:id="8050" w:name="_Toc510608509"/>
      <w:bookmarkStart w:id="8051" w:name="_Toc510609472"/>
      <w:bookmarkStart w:id="8052" w:name="_Toc510610457"/>
      <w:bookmarkStart w:id="8053" w:name="_Toc510207113"/>
      <w:bookmarkStart w:id="8054" w:name="_Toc510207908"/>
      <w:bookmarkStart w:id="8055" w:name="_Toc510517846"/>
      <w:bookmarkStart w:id="8056" w:name="_Toc510593804"/>
      <w:bookmarkStart w:id="8057" w:name="_Toc510594181"/>
      <w:bookmarkStart w:id="8058" w:name="_Toc510606818"/>
      <w:bookmarkStart w:id="8059" w:name="_Toc510607242"/>
      <w:bookmarkStart w:id="8060" w:name="_Toc510609904"/>
      <w:bookmarkStart w:id="8061" w:name="_Toc510612986"/>
      <w:bookmarkStart w:id="8062" w:name="_Toc510615758"/>
      <w:bookmarkStart w:id="8063" w:name="_Toc510616940"/>
      <w:bookmarkStart w:id="8064" w:name="_Toc510207124"/>
      <w:bookmarkStart w:id="8065" w:name="_Toc510207919"/>
      <w:bookmarkStart w:id="8066" w:name="_Toc510517857"/>
      <w:bookmarkStart w:id="8067" w:name="_Toc510593815"/>
      <w:bookmarkStart w:id="8068" w:name="_Toc510594192"/>
      <w:bookmarkStart w:id="8069" w:name="_Toc510606829"/>
      <w:bookmarkStart w:id="8070" w:name="_Toc510607253"/>
      <w:bookmarkStart w:id="8071" w:name="_Toc510609915"/>
      <w:bookmarkStart w:id="8072" w:name="_Toc510612997"/>
      <w:bookmarkStart w:id="8073" w:name="_Toc510615769"/>
      <w:bookmarkStart w:id="8074" w:name="_Toc510616951"/>
      <w:bookmarkStart w:id="8075" w:name="_Toc510207125"/>
      <w:bookmarkStart w:id="8076" w:name="_Toc510207920"/>
      <w:bookmarkStart w:id="8077" w:name="_Toc510517858"/>
      <w:bookmarkStart w:id="8078" w:name="_Toc510593816"/>
      <w:bookmarkStart w:id="8079" w:name="_Toc510594193"/>
      <w:bookmarkStart w:id="8080" w:name="_Toc510606830"/>
      <w:bookmarkStart w:id="8081" w:name="_Toc510607254"/>
      <w:bookmarkStart w:id="8082" w:name="_Toc510609916"/>
      <w:bookmarkStart w:id="8083" w:name="_Toc510612998"/>
      <w:bookmarkStart w:id="8084" w:name="_Toc510615770"/>
      <w:bookmarkStart w:id="8085" w:name="_Toc510616952"/>
      <w:bookmarkStart w:id="8086" w:name="_Toc509319246"/>
      <w:bookmarkStart w:id="8087" w:name="_Toc509319608"/>
      <w:bookmarkStart w:id="8088" w:name="_Toc509320382"/>
      <w:bookmarkStart w:id="8089" w:name="_Toc509322354"/>
      <w:bookmarkStart w:id="8090" w:name="_Toc509322678"/>
      <w:bookmarkStart w:id="8091" w:name="_Toc509323180"/>
      <w:bookmarkStart w:id="8092" w:name="_Toc509323553"/>
      <w:bookmarkStart w:id="8093" w:name="_Toc509323877"/>
      <w:bookmarkStart w:id="8094" w:name="_Toc509324201"/>
      <w:bookmarkStart w:id="8095" w:name="_Toc509324525"/>
      <w:bookmarkStart w:id="8096" w:name="_Toc509324894"/>
      <w:bookmarkStart w:id="8097" w:name="_Toc509325263"/>
      <w:bookmarkStart w:id="8098" w:name="_Toc509325632"/>
      <w:bookmarkStart w:id="8099" w:name="_Toc509326007"/>
      <w:bookmarkStart w:id="8100" w:name="_Toc509326382"/>
      <w:bookmarkStart w:id="8101" w:name="_Toc509326757"/>
      <w:bookmarkStart w:id="8102" w:name="_Toc509327132"/>
      <w:bookmarkStart w:id="8103" w:name="_Toc509327448"/>
      <w:bookmarkStart w:id="8104" w:name="_Toc509327823"/>
      <w:bookmarkStart w:id="8105" w:name="_Toc509328198"/>
      <w:bookmarkStart w:id="8106" w:name="_Toc509332990"/>
      <w:bookmarkStart w:id="8107" w:name="_Toc509333403"/>
      <w:bookmarkStart w:id="8108" w:name="_Toc509333816"/>
      <w:bookmarkStart w:id="8109" w:name="_Toc509335219"/>
      <w:bookmarkStart w:id="8110" w:name="_Toc509335729"/>
      <w:bookmarkStart w:id="8111" w:name="_Toc509336672"/>
      <w:bookmarkStart w:id="8112" w:name="_Toc509337104"/>
      <w:bookmarkStart w:id="8113" w:name="_Toc509337531"/>
      <w:bookmarkStart w:id="8114" w:name="_Toc509337958"/>
      <w:bookmarkStart w:id="8115" w:name="_Toc509338288"/>
      <w:bookmarkStart w:id="8116" w:name="_Toc509382832"/>
      <w:bookmarkStart w:id="8117" w:name="_Toc509383264"/>
      <w:bookmarkStart w:id="8118" w:name="_Toc509384143"/>
      <w:bookmarkStart w:id="8119" w:name="_Toc510207126"/>
      <w:bookmarkStart w:id="8120" w:name="_Toc510207921"/>
      <w:bookmarkStart w:id="8121" w:name="_Toc510517859"/>
      <w:bookmarkStart w:id="8122" w:name="_Toc510593817"/>
      <w:bookmarkStart w:id="8123" w:name="_Toc510594194"/>
      <w:bookmarkStart w:id="8124" w:name="_Toc510606831"/>
      <w:bookmarkStart w:id="8125" w:name="_Toc510607255"/>
      <w:bookmarkStart w:id="8126" w:name="_Toc510609917"/>
      <w:bookmarkStart w:id="8127" w:name="_Toc510612999"/>
      <w:bookmarkStart w:id="8128" w:name="_Toc510615771"/>
      <w:bookmarkStart w:id="8129" w:name="_Toc510616953"/>
      <w:bookmarkStart w:id="8130" w:name="_Toc509312082"/>
      <w:bookmarkStart w:id="8131" w:name="_Toc509312198"/>
      <w:bookmarkStart w:id="8132" w:name="_Toc509312508"/>
      <w:bookmarkStart w:id="8133" w:name="_Toc509312847"/>
      <w:bookmarkStart w:id="8134" w:name="_Toc509312560"/>
      <w:bookmarkStart w:id="8135" w:name="_Toc509313188"/>
      <w:bookmarkStart w:id="8136" w:name="_Toc509313283"/>
      <w:bookmarkStart w:id="8137" w:name="_Toc509313590"/>
      <w:bookmarkStart w:id="8138" w:name="_Toc509317029"/>
      <w:bookmarkStart w:id="8139" w:name="_Toc509317342"/>
      <w:bookmarkStart w:id="8140" w:name="_Toc509317634"/>
      <w:bookmarkStart w:id="8141" w:name="_Toc509317947"/>
      <w:bookmarkStart w:id="8142" w:name="_Toc509318260"/>
      <w:bookmarkStart w:id="8143" w:name="_Toc509319247"/>
      <w:bookmarkStart w:id="8144" w:name="_Toc509319609"/>
      <w:bookmarkStart w:id="8145" w:name="_Toc509320383"/>
      <w:bookmarkStart w:id="8146" w:name="_Toc509320483"/>
      <w:bookmarkStart w:id="8147" w:name="_Toc509320571"/>
      <w:bookmarkStart w:id="8148" w:name="_Toc509320897"/>
      <w:bookmarkStart w:id="8149" w:name="_Toc509321279"/>
      <w:bookmarkStart w:id="8150" w:name="_Toc509321531"/>
      <w:bookmarkStart w:id="8151" w:name="_Toc509321992"/>
      <w:bookmarkStart w:id="8152" w:name="_Toc509322080"/>
      <w:bookmarkStart w:id="8153" w:name="_Toc509322355"/>
      <w:bookmarkStart w:id="8154" w:name="_Toc509322679"/>
      <w:bookmarkStart w:id="8155" w:name="_Toc509322779"/>
      <w:bookmarkStart w:id="8156" w:name="_Toc509323181"/>
      <w:bookmarkStart w:id="8157" w:name="_Toc509323554"/>
      <w:bookmarkStart w:id="8158" w:name="_Toc509323878"/>
      <w:bookmarkStart w:id="8159" w:name="_Toc509324202"/>
      <w:bookmarkStart w:id="8160" w:name="_Toc509324526"/>
      <w:bookmarkStart w:id="8161" w:name="_Toc509324895"/>
      <w:bookmarkStart w:id="8162" w:name="_Toc509325264"/>
      <w:bookmarkStart w:id="8163" w:name="_Toc509325633"/>
      <w:bookmarkStart w:id="8164" w:name="_Toc509326008"/>
      <w:bookmarkStart w:id="8165" w:name="_Toc509326383"/>
      <w:bookmarkStart w:id="8166" w:name="_Toc509326758"/>
      <w:bookmarkStart w:id="8167" w:name="_Toc509327133"/>
      <w:bookmarkStart w:id="8168" w:name="_Toc509327449"/>
      <w:bookmarkStart w:id="8169" w:name="_Toc509327824"/>
      <w:bookmarkStart w:id="8170" w:name="_Toc509328199"/>
      <w:bookmarkStart w:id="8171" w:name="_Toc509332991"/>
      <w:bookmarkStart w:id="8172" w:name="_Toc509333404"/>
      <w:bookmarkStart w:id="8173" w:name="_Toc509333817"/>
      <w:bookmarkStart w:id="8174" w:name="_Toc509334000"/>
      <w:bookmarkStart w:id="8175" w:name="_Toc509334719"/>
      <w:bookmarkStart w:id="8176" w:name="_Toc509335220"/>
      <w:bookmarkStart w:id="8177" w:name="_Toc509335730"/>
      <w:bookmarkStart w:id="8178" w:name="_Toc509336673"/>
      <w:bookmarkStart w:id="8179" w:name="_Toc509337105"/>
      <w:bookmarkStart w:id="8180" w:name="_Toc509337532"/>
      <w:bookmarkStart w:id="8181" w:name="_Toc509337959"/>
      <w:bookmarkStart w:id="8182" w:name="_Toc509338289"/>
      <w:bookmarkStart w:id="8183" w:name="_Toc509382833"/>
      <w:bookmarkStart w:id="8184" w:name="_Toc509383265"/>
      <w:bookmarkStart w:id="8185" w:name="_Toc509384144"/>
      <w:bookmarkStart w:id="8186" w:name="_Toc509404837"/>
      <w:bookmarkStart w:id="8187" w:name="_Toc509313284"/>
      <w:bookmarkStart w:id="8188" w:name="_Toc509323879"/>
      <w:bookmarkStart w:id="8189" w:name="_Toc509327450"/>
      <w:bookmarkStart w:id="8190" w:name="_Toc509332992"/>
      <w:bookmarkStart w:id="8191" w:name="_Toc509334720"/>
      <w:bookmarkStart w:id="8192" w:name="_Toc509337960"/>
      <w:bookmarkStart w:id="8193" w:name="_Toc510517860"/>
      <w:bookmarkStart w:id="8194" w:name="_Toc510613000"/>
      <w:bookmarkStart w:id="8195" w:name="_Toc510683726"/>
      <w:bookmarkStart w:id="8196" w:name="_Toc515348897"/>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r>
        <w:rPr>
          <w:noProof/>
          <w:szCs w:val="24"/>
        </w:rPr>
        <w:t xml:space="preserve">Technical </w:t>
      </w:r>
      <w:bookmarkEnd w:id="8187"/>
      <w:bookmarkEnd w:id="8188"/>
      <w:bookmarkEnd w:id="8189"/>
      <w:bookmarkEnd w:id="8190"/>
      <w:bookmarkEnd w:id="8191"/>
      <w:bookmarkEnd w:id="8192"/>
      <w:r>
        <w:rPr>
          <w:noProof/>
          <w:szCs w:val="24"/>
        </w:rPr>
        <w:t>assistance</w:t>
      </w:r>
      <w:bookmarkEnd w:id="8193"/>
      <w:bookmarkEnd w:id="8194"/>
      <w:bookmarkEnd w:id="8195"/>
      <w:r>
        <w:rPr>
          <w:noProof/>
          <w:szCs w:val="24"/>
        </w:rPr>
        <w:t xml:space="preserve"> (InvestEU Advisory)</w:t>
      </w:r>
      <w:bookmarkEnd w:id="8196"/>
    </w:p>
    <w:p>
      <w:pPr>
        <w:tabs>
          <w:tab w:val="left" w:pos="426"/>
        </w:tabs>
        <w:spacing w:after="120" w:line="264" w:lineRule="auto"/>
        <w:rPr>
          <w:rFonts w:cs="Times New Roman"/>
          <w:noProof/>
          <w:szCs w:val="24"/>
        </w:rPr>
      </w:pPr>
      <w:r>
        <w:rPr>
          <w:rFonts w:eastAsia="Times New Roman" w:cs="Times New Roman"/>
          <w:noProof/>
          <w:color w:val="000000"/>
          <w:szCs w:val="24"/>
        </w:rPr>
        <w:t>Technical assistance capacity</w:t>
      </w:r>
      <w:r>
        <w:rPr>
          <w:rFonts w:cs="Times New Roman"/>
          <w:noProof/>
          <w:szCs w:val="24"/>
        </w:rPr>
        <w:t xml:space="preserve"> has been highlighted as a key challenge to investment in many of the policy areas expected to be covered by the InvestEU Fund, including in the recently adopted sustainable finance action plan. Many private funds are ready and willing to invest but are unable to identify attractive investment opportunities, not least because of poor enabling environments. In this sense, support is needed to transfer lessons from one member state to another, as well as to advise Member States, local authorities and private project promoters on how best to develop projects in this space. </w:t>
      </w:r>
    </w:p>
    <w:p>
      <w:pPr>
        <w:tabs>
          <w:tab w:val="left" w:pos="426"/>
        </w:tabs>
        <w:spacing w:after="120" w:line="264" w:lineRule="auto"/>
        <w:rPr>
          <w:rFonts w:cs="Times New Roman"/>
          <w:noProof/>
          <w:szCs w:val="24"/>
        </w:rPr>
      </w:pPr>
      <w:r>
        <w:rPr>
          <w:rFonts w:cs="Times New Roman"/>
          <w:noProof/>
          <w:szCs w:val="24"/>
        </w:rPr>
        <w:t>Effective technical assistance services are one way to address this challenge. These could take the form of centrally-managed advisory support provided at EU level to develop investment projects, platforms and programmes.</w:t>
      </w:r>
    </w:p>
    <w:p>
      <w:pPr>
        <w:autoSpaceDE w:val="0"/>
        <w:autoSpaceDN w:val="0"/>
        <w:adjustRightInd w:val="0"/>
        <w:spacing w:after="120" w:line="264" w:lineRule="auto"/>
        <w:rPr>
          <w:rFonts w:cs="Times New Roman"/>
          <w:noProof/>
          <w:szCs w:val="24"/>
        </w:rPr>
      </w:pPr>
      <w:r>
        <w:rPr>
          <w:rFonts w:cs="Times New Roman"/>
          <w:noProof/>
          <w:szCs w:val="24"/>
        </w:rPr>
        <w:t xml:space="preserve">The advisory support is particularly relevant for: </w:t>
      </w:r>
    </w:p>
    <w:p>
      <w:pPr>
        <w:pStyle w:val="Bulet"/>
        <w:spacing w:line="264" w:lineRule="auto"/>
        <w:rPr>
          <w:noProof/>
          <w:szCs w:val="24"/>
        </w:rPr>
      </w:pPr>
      <w:r>
        <w:rPr>
          <w:noProof/>
          <w:szCs w:val="24"/>
        </w:rPr>
        <w:t xml:space="preserve">Project promoters to develop and implement investment projects and covering specific steps of the project development or the entire life-cycle of a project. This also includes access to finance and grants, </w:t>
      </w:r>
    </w:p>
    <w:p>
      <w:pPr>
        <w:pStyle w:val="Bulet"/>
        <w:spacing w:line="264" w:lineRule="auto"/>
        <w:rPr>
          <w:noProof/>
          <w:szCs w:val="24"/>
        </w:rPr>
      </w:pPr>
      <w:r>
        <w:rPr>
          <w:noProof/>
          <w:szCs w:val="24"/>
        </w:rPr>
        <w:t>Financial and other intermediaries to develop investment project pipelines and investment platforms;</w:t>
      </w:r>
    </w:p>
    <w:p>
      <w:pPr>
        <w:pStyle w:val="Bulet"/>
        <w:spacing w:line="264" w:lineRule="auto"/>
        <w:rPr>
          <w:noProof/>
          <w:szCs w:val="24"/>
        </w:rPr>
      </w:pPr>
      <w:r>
        <w:rPr>
          <w:noProof/>
          <w:szCs w:val="24"/>
        </w:rPr>
        <w:t xml:space="preserve">Local authorities to develop investable projects and programmes (avoiding overlaps with the TA under operational programs). </w:t>
      </w:r>
    </w:p>
    <w:p>
      <w:pPr>
        <w:pStyle w:val="Bulet"/>
        <w:numPr>
          <w:ilvl w:val="0"/>
          <w:numId w:val="0"/>
        </w:numPr>
        <w:spacing w:line="264" w:lineRule="auto"/>
        <w:rPr>
          <w:noProof/>
          <w:szCs w:val="24"/>
        </w:rPr>
      </w:pPr>
      <w:r>
        <w:rPr>
          <w:noProof/>
          <w:szCs w:val="24"/>
        </w:rPr>
        <w:t xml:space="preserve">Depending on the facilities, TA can be provided directly in the form of advisory services, or through a grant which the beneficiary uses to cover its internal costs (e.g. staff) and the required external expertise (specialist consultants to be procured). </w:t>
      </w:r>
    </w:p>
    <w:p>
      <w:pPr>
        <w:spacing w:after="120" w:line="264" w:lineRule="auto"/>
        <w:rPr>
          <w:rFonts w:cs="Times New Roman"/>
          <w:noProof/>
          <w:szCs w:val="24"/>
        </w:rPr>
      </w:pPr>
      <w:r>
        <w:rPr>
          <w:rFonts w:cs="Times New Roman"/>
          <w:noProof/>
          <w:szCs w:val="24"/>
        </w:rPr>
        <w:t xml:space="preserve">Better coordination amongst the existing EU initiatives is key to avoid duplication and not to reinvent the wheel each time a new need is identified and a TA facility is launched. Moreover, the large number of separate agreements, with different delivery modes, contractual forms, pricing etc. for often similar types of services, call for simplification and streamlining. The centrally managed TA initiatives available during the current MFF are totalling around EUR 500 million with additional more than EUR 200 million for supporting development of projects under shared management with JASPERS (see Annex 6). </w:t>
      </w:r>
    </w:p>
    <w:p>
      <w:pPr>
        <w:spacing w:after="120" w:line="264" w:lineRule="auto"/>
        <w:rPr>
          <w:rFonts w:cs="Times New Roman"/>
          <w:noProof/>
          <w:szCs w:val="24"/>
        </w:rPr>
      </w:pPr>
      <w:r>
        <w:rPr>
          <w:rFonts w:cs="Times New Roman"/>
          <w:noProof/>
          <w:szCs w:val="24"/>
        </w:rPr>
        <w:t>The TA component under the InvestEU would contribute to the preparation and the development of an investment project pipeline in the policy areas covered by the InvestEU Fund. Given that TA is offered upfront, not all projects supported by it would be receiving financing support through the InvestEU Fund. The TA will also aim at building capacity of promoters and intermediaries to develop and implement projects in the policy areas covered by the InvestEU Fund. TA could also be used to facilitate blending opportunities with grants schemes. Each policy window under the InvestEU Fund through the Policy Board would be in charge of developing its TA offer based on specific needs identified.</w:t>
      </w:r>
    </w:p>
    <w:p>
      <w:pPr>
        <w:spacing w:after="120" w:line="264" w:lineRule="auto"/>
        <w:rPr>
          <w:rFonts w:cs="Times New Roman"/>
          <w:noProof/>
          <w:szCs w:val="24"/>
        </w:rPr>
      </w:pPr>
      <w:r>
        <w:rPr>
          <w:rFonts w:cs="Times New Roman"/>
          <w:noProof/>
          <w:szCs w:val="24"/>
        </w:rPr>
        <w:t>A cross sectoral TA component would also be set up in order to address common/cross sectoral TA needs, emerging/strategic areas where additional priority should be given. In order to simplify the access to TA for the final beneficiaries, this cross-sectoral TA component would also provide for a single entry point for TA support request.</w:t>
      </w:r>
    </w:p>
    <w:p>
      <w:pPr>
        <w:pStyle w:val="Caption"/>
        <w:keepNext/>
        <w:keepLines/>
        <w:spacing w:line="264" w:lineRule="auto"/>
        <w:rPr>
          <w:rFonts w:cs="Times New Roman"/>
          <w:noProof/>
          <w:szCs w:val="24"/>
        </w:rPr>
      </w:pPr>
      <w:bookmarkStart w:id="8197" w:name="_Toc515348920"/>
      <w:r>
        <w:rPr>
          <w:rFonts w:cs="Times New Roman"/>
          <w:noProof/>
          <w:szCs w:val="24"/>
        </w:rPr>
        <w:t xml:space="preserve">Figure </w:t>
      </w:r>
      <w:r>
        <w:rPr>
          <w:rFonts w:cs="Times New Roman"/>
          <w:noProof/>
          <w:szCs w:val="24"/>
        </w:rPr>
        <w:fldChar w:fldCharType="begin"/>
      </w:r>
      <w:r>
        <w:rPr>
          <w:rFonts w:cs="Times New Roman"/>
          <w:noProof/>
          <w:szCs w:val="24"/>
        </w:rPr>
        <w:instrText xml:space="preserve"> SEQ Figure \* ARABIC </w:instrText>
      </w:r>
      <w:r>
        <w:rPr>
          <w:rFonts w:cs="Times New Roman"/>
          <w:noProof/>
          <w:szCs w:val="24"/>
        </w:rPr>
        <w:fldChar w:fldCharType="separate"/>
      </w:r>
      <w:r>
        <w:rPr>
          <w:rFonts w:cs="Times New Roman"/>
          <w:noProof/>
          <w:szCs w:val="24"/>
        </w:rPr>
        <w:t>9</w:t>
      </w:r>
      <w:r>
        <w:rPr>
          <w:rFonts w:cs="Times New Roman"/>
          <w:noProof/>
          <w:szCs w:val="24"/>
        </w:rPr>
        <w:fldChar w:fldCharType="end"/>
      </w:r>
      <w:r>
        <w:rPr>
          <w:rFonts w:cs="Times New Roman"/>
          <w:noProof/>
          <w:szCs w:val="24"/>
        </w:rPr>
        <w:t xml:space="preserve"> - TA component (InvestEU Advisory) under InvestEU</w:t>
      </w:r>
      <w:bookmarkEnd w:id="8197"/>
      <w:r>
        <w:rPr>
          <w:rFonts w:cs="Times New Roman"/>
          <w:noProof/>
          <w:szCs w:val="24"/>
        </w:rPr>
        <w:t xml:space="preserve"> </w:t>
      </w:r>
    </w:p>
    <w:p>
      <w:pPr>
        <w:pStyle w:val="Text1"/>
        <w:keepNext/>
        <w:keepLines/>
        <w:spacing w:after="120" w:line="264" w:lineRule="auto"/>
        <w:ind w:left="0"/>
        <w:jc w:val="left"/>
        <w:rPr>
          <w:noProof/>
          <w:szCs w:val="24"/>
        </w:rPr>
      </w:pPr>
      <w:r>
        <w:rPr>
          <w:noProof/>
          <w:lang w:val="en-US"/>
        </w:rPr>
        <w:drawing>
          <wp:inline distT="0" distB="0" distL="0" distR="0">
            <wp:extent cx="4986737" cy="42922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89269" cy="4294400"/>
                    </a:xfrm>
                    <a:prstGeom prst="rect">
                      <a:avLst/>
                    </a:prstGeom>
                  </pic:spPr>
                </pic:pic>
              </a:graphicData>
            </a:graphic>
          </wp:inline>
        </w:drawing>
      </w:r>
    </w:p>
    <w:p>
      <w:pPr>
        <w:keepNext/>
        <w:keepLines/>
        <w:spacing w:after="120" w:line="264" w:lineRule="auto"/>
        <w:rPr>
          <w:rFonts w:eastAsia="Times New Roman" w:cs="Times New Roman"/>
          <w:b/>
          <w:noProof/>
          <w:sz w:val="22"/>
          <w:szCs w:val="20"/>
        </w:rPr>
      </w:pPr>
      <w:r>
        <w:rPr>
          <w:rFonts w:eastAsia="Times New Roman" w:cs="Times New Roman"/>
          <w:b/>
          <w:noProof/>
          <w:sz w:val="22"/>
          <w:szCs w:val="20"/>
        </w:rPr>
        <w:t xml:space="preserve">Source: </w:t>
      </w:r>
      <w:r>
        <w:rPr>
          <w:rFonts w:eastAsia="Times New Roman" w:cs="Times New Roman"/>
          <w:noProof/>
          <w:sz w:val="22"/>
          <w:szCs w:val="20"/>
        </w:rPr>
        <w:t>Commission services, 2018</w:t>
      </w:r>
    </w:p>
    <w:p>
      <w:pPr>
        <w:spacing w:after="120" w:line="264" w:lineRule="auto"/>
        <w:rPr>
          <w:rFonts w:cs="Times New Roman"/>
          <w:noProof/>
          <w:szCs w:val="24"/>
        </w:rPr>
      </w:pPr>
      <w:r>
        <w:rPr>
          <w:rFonts w:cs="Times New Roman"/>
          <w:noProof/>
          <w:szCs w:val="24"/>
        </w:rPr>
        <w:t xml:space="preserve">Mirroring the flexibility introduced by the InvestEU Fund regarding implementing entities, the InvestEU Assistance offer would be ruled by common provisions and implemented by relevant implementing entities (i.e. geographical, sectoral type of technical support specialisations). Moreover, synergies with other TA initiatives under grant programmes would be created through the use of common provisions in the respective legal bases. </w:t>
      </w:r>
    </w:p>
    <w:p>
      <w:pPr>
        <w:pStyle w:val="Heading1"/>
        <w:spacing w:line="264" w:lineRule="auto"/>
        <w:rPr>
          <w:noProof/>
          <w:szCs w:val="24"/>
        </w:rPr>
      </w:pPr>
      <w:bookmarkStart w:id="8198" w:name="_Toc510517861"/>
      <w:bookmarkStart w:id="8199" w:name="_Toc510606833"/>
      <w:bookmarkStart w:id="8200" w:name="_Toc510607257"/>
      <w:bookmarkStart w:id="8201" w:name="_Toc510608513"/>
      <w:bookmarkStart w:id="8202" w:name="_Toc510609476"/>
      <w:bookmarkStart w:id="8203" w:name="_Toc510609919"/>
      <w:bookmarkStart w:id="8204" w:name="_Toc510610461"/>
      <w:bookmarkStart w:id="8205" w:name="_Toc510613001"/>
      <w:bookmarkStart w:id="8206" w:name="_Toc510615773"/>
      <w:bookmarkStart w:id="8207" w:name="_Toc510616955"/>
      <w:bookmarkStart w:id="8208" w:name="_Toc510606834"/>
      <w:bookmarkStart w:id="8209" w:name="_Toc510607258"/>
      <w:bookmarkStart w:id="8210" w:name="_Toc510609920"/>
      <w:bookmarkStart w:id="8211" w:name="_Toc510613002"/>
      <w:bookmarkStart w:id="8212" w:name="_Toc510615774"/>
      <w:bookmarkStart w:id="8213" w:name="_Toc510616956"/>
      <w:bookmarkStart w:id="8214" w:name="_Toc510606835"/>
      <w:bookmarkStart w:id="8215" w:name="_Toc510607259"/>
      <w:bookmarkStart w:id="8216" w:name="_Toc510609921"/>
      <w:bookmarkStart w:id="8217" w:name="_Toc510613003"/>
      <w:bookmarkStart w:id="8218" w:name="_Toc510615775"/>
      <w:bookmarkStart w:id="8219" w:name="_Toc510616957"/>
      <w:bookmarkStart w:id="8220" w:name="_Toc510606841"/>
      <w:bookmarkStart w:id="8221" w:name="_Toc510607265"/>
      <w:bookmarkStart w:id="8222" w:name="_Toc510609927"/>
      <w:bookmarkStart w:id="8223" w:name="_Toc510613009"/>
      <w:bookmarkStart w:id="8224" w:name="_Toc510615781"/>
      <w:bookmarkStart w:id="8225" w:name="_Toc510616963"/>
      <w:bookmarkStart w:id="8226" w:name="_Toc510606842"/>
      <w:bookmarkStart w:id="8227" w:name="_Toc510607266"/>
      <w:bookmarkStart w:id="8228" w:name="_Toc510608522"/>
      <w:bookmarkStart w:id="8229" w:name="_Toc510609485"/>
      <w:bookmarkStart w:id="8230" w:name="_Toc510609928"/>
      <w:bookmarkStart w:id="8231" w:name="_Toc510610470"/>
      <w:bookmarkStart w:id="8232" w:name="_Toc510613010"/>
      <w:bookmarkStart w:id="8233" w:name="_Toc510615782"/>
      <w:bookmarkStart w:id="8234" w:name="_Toc510616964"/>
      <w:bookmarkStart w:id="8235" w:name="_Toc509311646"/>
      <w:bookmarkStart w:id="8236" w:name="_Toc509312085"/>
      <w:bookmarkStart w:id="8237" w:name="_Toc509312511"/>
      <w:bookmarkStart w:id="8238" w:name="_Toc509324529"/>
      <w:bookmarkStart w:id="8239" w:name="_Toc509324898"/>
      <w:bookmarkStart w:id="8240" w:name="_Toc509325267"/>
      <w:bookmarkStart w:id="8241" w:name="_Toc509325636"/>
      <w:bookmarkStart w:id="8242" w:name="_Toc509326011"/>
      <w:bookmarkStart w:id="8243" w:name="_Toc509326386"/>
      <w:bookmarkStart w:id="8244" w:name="_Toc509326761"/>
      <w:bookmarkStart w:id="8245" w:name="_Toc509327136"/>
      <w:bookmarkStart w:id="8246" w:name="_Toc509327452"/>
      <w:bookmarkStart w:id="8247" w:name="_Toc509327827"/>
      <w:bookmarkStart w:id="8248" w:name="_Toc509328202"/>
      <w:bookmarkStart w:id="8249" w:name="_Toc509332994"/>
      <w:bookmarkStart w:id="8250" w:name="_Toc509333407"/>
      <w:bookmarkStart w:id="8251" w:name="_Toc509333820"/>
      <w:bookmarkStart w:id="8252" w:name="_Toc509335223"/>
      <w:bookmarkStart w:id="8253" w:name="_Toc509335733"/>
      <w:bookmarkStart w:id="8254" w:name="_Toc509336676"/>
      <w:bookmarkStart w:id="8255" w:name="_Toc509337108"/>
      <w:bookmarkStart w:id="8256" w:name="_Toc509337535"/>
      <w:bookmarkStart w:id="8257" w:name="_Toc509337962"/>
      <w:bookmarkStart w:id="8258" w:name="_Toc509338292"/>
      <w:bookmarkStart w:id="8259" w:name="_Toc509382836"/>
      <w:bookmarkStart w:id="8260" w:name="_Toc509383268"/>
      <w:bookmarkStart w:id="8261" w:name="_Toc509384147"/>
      <w:bookmarkStart w:id="8262" w:name="_Toc509404840"/>
      <w:bookmarkStart w:id="8263" w:name="_Toc509311647"/>
      <w:bookmarkStart w:id="8264" w:name="_Toc509312086"/>
      <w:bookmarkStart w:id="8265" w:name="_Toc509312512"/>
      <w:bookmarkStart w:id="8266" w:name="_Toc509324530"/>
      <w:bookmarkStart w:id="8267" w:name="_Toc509324899"/>
      <w:bookmarkStart w:id="8268" w:name="_Toc509325268"/>
      <w:bookmarkStart w:id="8269" w:name="_Toc509325637"/>
      <w:bookmarkStart w:id="8270" w:name="_Toc509326012"/>
      <w:bookmarkStart w:id="8271" w:name="_Toc509326387"/>
      <w:bookmarkStart w:id="8272" w:name="_Toc509326762"/>
      <w:bookmarkStart w:id="8273" w:name="_Toc509327137"/>
      <w:bookmarkStart w:id="8274" w:name="_Toc509327453"/>
      <w:bookmarkStart w:id="8275" w:name="_Toc509327828"/>
      <w:bookmarkStart w:id="8276" w:name="_Toc509328203"/>
      <w:bookmarkStart w:id="8277" w:name="_Toc509332995"/>
      <w:bookmarkStart w:id="8278" w:name="_Toc509333408"/>
      <w:bookmarkStart w:id="8279" w:name="_Toc509333821"/>
      <w:bookmarkStart w:id="8280" w:name="_Toc509335224"/>
      <w:bookmarkStart w:id="8281" w:name="_Toc509335734"/>
      <w:bookmarkStart w:id="8282" w:name="_Toc509336677"/>
      <w:bookmarkStart w:id="8283" w:name="_Toc509337109"/>
      <w:bookmarkStart w:id="8284" w:name="_Toc509337536"/>
      <w:bookmarkStart w:id="8285" w:name="_Toc509337963"/>
      <w:bookmarkStart w:id="8286" w:name="_Toc509338293"/>
      <w:bookmarkStart w:id="8287" w:name="_Toc509382837"/>
      <w:bookmarkStart w:id="8288" w:name="_Toc509383269"/>
      <w:bookmarkStart w:id="8289" w:name="_Toc509384148"/>
      <w:bookmarkStart w:id="8290" w:name="_Toc509404841"/>
      <w:bookmarkStart w:id="8291" w:name="_Toc509311648"/>
      <w:bookmarkStart w:id="8292" w:name="_Toc509312087"/>
      <w:bookmarkStart w:id="8293" w:name="_Toc509312513"/>
      <w:bookmarkStart w:id="8294" w:name="_Toc509324531"/>
      <w:bookmarkStart w:id="8295" w:name="_Toc509324900"/>
      <w:bookmarkStart w:id="8296" w:name="_Toc509325269"/>
      <w:bookmarkStart w:id="8297" w:name="_Toc509325638"/>
      <w:bookmarkStart w:id="8298" w:name="_Toc509326013"/>
      <w:bookmarkStart w:id="8299" w:name="_Toc509326388"/>
      <w:bookmarkStart w:id="8300" w:name="_Toc509326763"/>
      <w:bookmarkStart w:id="8301" w:name="_Toc509327138"/>
      <w:bookmarkStart w:id="8302" w:name="_Toc509327454"/>
      <w:bookmarkStart w:id="8303" w:name="_Toc509327829"/>
      <w:bookmarkStart w:id="8304" w:name="_Toc509328204"/>
      <w:bookmarkStart w:id="8305" w:name="_Toc509332996"/>
      <w:bookmarkStart w:id="8306" w:name="_Toc509333409"/>
      <w:bookmarkStart w:id="8307" w:name="_Toc509333822"/>
      <w:bookmarkStart w:id="8308" w:name="_Toc509335225"/>
      <w:bookmarkStart w:id="8309" w:name="_Toc509335735"/>
      <w:bookmarkStart w:id="8310" w:name="_Toc509336678"/>
      <w:bookmarkStart w:id="8311" w:name="_Toc509337110"/>
      <w:bookmarkStart w:id="8312" w:name="_Toc509337537"/>
      <w:bookmarkStart w:id="8313" w:name="_Toc509337964"/>
      <w:bookmarkStart w:id="8314" w:name="_Toc509338294"/>
      <w:bookmarkStart w:id="8315" w:name="_Toc509382838"/>
      <w:bookmarkStart w:id="8316" w:name="_Toc509383270"/>
      <w:bookmarkStart w:id="8317" w:name="_Toc509384149"/>
      <w:bookmarkStart w:id="8318" w:name="_Toc509404842"/>
      <w:bookmarkStart w:id="8319" w:name="_Toc509311649"/>
      <w:bookmarkStart w:id="8320" w:name="_Toc509312088"/>
      <w:bookmarkStart w:id="8321" w:name="_Toc509312514"/>
      <w:bookmarkStart w:id="8322" w:name="_Toc509324532"/>
      <w:bookmarkStart w:id="8323" w:name="_Toc509324901"/>
      <w:bookmarkStart w:id="8324" w:name="_Toc509325270"/>
      <w:bookmarkStart w:id="8325" w:name="_Toc509325639"/>
      <w:bookmarkStart w:id="8326" w:name="_Toc509326014"/>
      <w:bookmarkStart w:id="8327" w:name="_Toc509326389"/>
      <w:bookmarkStart w:id="8328" w:name="_Toc509326764"/>
      <w:bookmarkStart w:id="8329" w:name="_Toc509327139"/>
      <w:bookmarkStart w:id="8330" w:name="_Toc509327455"/>
      <w:bookmarkStart w:id="8331" w:name="_Toc509327830"/>
      <w:bookmarkStart w:id="8332" w:name="_Toc509328205"/>
      <w:bookmarkStart w:id="8333" w:name="_Toc509332997"/>
      <w:bookmarkStart w:id="8334" w:name="_Toc509333410"/>
      <w:bookmarkStart w:id="8335" w:name="_Toc509333823"/>
      <w:bookmarkStart w:id="8336" w:name="_Toc509335226"/>
      <w:bookmarkStart w:id="8337" w:name="_Toc509335736"/>
      <w:bookmarkStart w:id="8338" w:name="_Toc509336679"/>
      <w:bookmarkStart w:id="8339" w:name="_Toc509337111"/>
      <w:bookmarkStart w:id="8340" w:name="_Toc509337538"/>
      <w:bookmarkStart w:id="8341" w:name="_Toc509337965"/>
      <w:bookmarkStart w:id="8342" w:name="_Toc509338295"/>
      <w:bookmarkStart w:id="8343" w:name="_Toc509382839"/>
      <w:bookmarkStart w:id="8344" w:name="_Toc509383271"/>
      <w:bookmarkStart w:id="8345" w:name="_Toc509384150"/>
      <w:bookmarkStart w:id="8346" w:name="_Toc509404843"/>
      <w:bookmarkStart w:id="8347" w:name="_Toc509311650"/>
      <w:bookmarkStart w:id="8348" w:name="_Toc509312089"/>
      <w:bookmarkStart w:id="8349" w:name="_Toc509312515"/>
      <w:bookmarkStart w:id="8350" w:name="_Toc509324533"/>
      <w:bookmarkStart w:id="8351" w:name="_Toc509324902"/>
      <w:bookmarkStart w:id="8352" w:name="_Toc509325271"/>
      <w:bookmarkStart w:id="8353" w:name="_Toc509325640"/>
      <w:bookmarkStart w:id="8354" w:name="_Toc509326015"/>
      <w:bookmarkStart w:id="8355" w:name="_Toc509326390"/>
      <w:bookmarkStart w:id="8356" w:name="_Toc509326765"/>
      <w:bookmarkStart w:id="8357" w:name="_Toc509327140"/>
      <w:bookmarkStart w:id="8358" w:name="_Toc509327456"/>
      <w:bookmarkStart w:id="8359" w:name="_Toc509327831"/>
      <w:bookmarkStart w:id="8360" w:name="_Toc509328206"/>
      <w:bookmarkStart w:id="8361" w:name="_Toc509332998"/>
      <w:bookmarkStart w:id="8362" w:name="_Toc509333411"/>
      <w:bookmarkStart w:id="8363" w:name="_Toc509333824"/>
      <w:bookmarkStart w:id="8364" w:name="_Toc509335227"/>
      <w:bookmarkStart w:id="8365" w:name="_Toc509335737"/>
      <w:bookmarkStart w:id="8366" w:name="_Toc509336680"/>
      <w:bookmarkStart w:id="8367" w:name="_Toc509337112"/>
      <w:bookmarkStart w:id="8368" w:name="_Toc509337539"/>
      <w:bookmarkStart w:id="8369" w:name="_Toc509337966"/>
      <w:bookmarkStart w:id="8370" w:name="_Toc509338296"/>
      <w:bookmarkStart w:id="8371" w:name="_Toc509382840"/>
      <w:bookmarkStart w:id="8372" w:name="_Toc509383272"/>
      <w:bookmarkStart w:id="8373" w:name="_Toc509384151"/>
      <w:bookmarkStart w:id="8374" w:name="_Toc509404844"/>
      <w:bookmarkStart w:id="8375" w:name="_Toc509311651"/>
      <w:bookmarkStart w:id="8376" w:name="_Toc509312090"/>
      <w:bookmarkStart w:id="8377" w:name="_Toc509312516"/>
      <w:bookmarkStart w:id="8378" w:name="_Toc509324534"/>
      <w:bookmarkStart w:id="8379" w:name="_Toc509324903"/>
      <w:bookmarkStart w:id="8380" w:name="_Toc509325272"/>
      <w:bookmarkStart w:id="8381" w:name="_Toc509325641"/>
      <w:bookmarkStart w:id="8382" w:name="_Toc509326016"/>
      <w:bookmarkStart w:id="8383" w:name="_Toc509326391"/>
      <w:bookmarkStart w:id="8384" w:name="_Toc509326766"/>
      <w:bookmarkStart w:id="8385" w:name="_Toc509327141"/>
      <w:bookmarkStart w:id="8386" w:name="_Toc509327457"/>
      <w:bookmarkStart w:id="8387" w:name="_Toc509327832"/>
      <w:bookmarkStart w:id="8388" w:name="_Toc509328207"/>
      <w:bookmarkStart w:id="8389" w:name="_Toc509332999"/>
      <w:bookmarkStart w:id="8390" w:name="_Toc509333412"/>
      <w:bookmarkStart w:id="8391" w:name="_Toc509333825"/>
      <w:bookmarkStart w:id="8392" w:name="_Toc509335228"/>
      <w:bookmarkStart w:id="8393" w:name="_Toc509335738"/>
      <w:bookmarkStart w:id="8394" w:name="_Toc509336681"/>
      <w:bookmarkStart w:id="8395" w:name="_Toc509337113"/>
      <w:bookmarkStart w:id="8396" w:name="_Toc509337540"/>
      <w:bookmarkStart w:id="8397" w:name="_Toc509337967"/>
      <w:bookmarkStart w:id="8398" w:name="_Toc509338297"/>
      <w:bookmarkStart w:id="8399" w:name="_Toc509382841"/>
      <w:bookmarkStart w:id="8400" w:name="_Toc509383273"/>
      <w:bookmarkStart w:id="8401" w:name="_Toc509384152"/>
      <w:bookmarkStart w:id="8402" w:name="_Toc509404845"/>
      <w:bookmarkStart w:id="8403" w:name="_Toc509311652"/>
      <w:bookmarkStart w:id="8404" w:name="_Toc509312091"/>
      <w:bookmarkStart w:id="8405" w:name="_Toc509312517"/>
      <w:bookmarkStart w:id="8406" w:name="_Toc509324535"/>
      <w:bookmarkStart w:id="8407" w:name="_Toc509324904"/>
      <w:bookmarkStart w:id="8408" w:name="_Toc509325273"/>
      <w:bookmarkStart w:id="8409" w:name="_Toc509325642"/>
      <w:bookmarkStart w:id="8410" w:name="_Toc509326017"/>
      <w:bookmarkStart w:id="8411" w:name="_Toc509326392"/>
      <w:bookmarkStart w:id="8412" w:name="_Toc509326767"/>
      <w:bookmarkStart w:id="8413" w:name="_Toc509327142"/>
      <w:bookmarkStart w:id="8414" w:name="_Toc509327458"/>
      <w:bookmarkStart w:id="8415" w:name="_Toc509327833"/>
      <w:bookmarkStart w:id="8416" w:name="_Toc509328208"/>
      <w:bookmarkStart w:id="8417" w:name="_Toc509333000"/>
      <w:bookmarkStart w:id="8418" w:name="_Toc509333413"/>
      <w:bookmarkStart w:id="8419" w:name="_Toc509333826"/>
      <w:bookmarkStart w:id="8420" w:name="_Toc509335229"/>
      <w:bookmarkStart w:id="8421" w:name="_Toc509335739"/>
      <w:bookmarkStart w:id="8422" w:name="_Toc509336682"/>
      <w:bookmarkStart w:id="8423" w:name="_Toc509337114"/>
      <w:bookmarkStart w:id="8424" w:name="_Toc509337541"/>
      <w:bookmarkStart w:id="8425" w:name="_Toc509337968"/>
      <w:bookmarkStart w:id="8426" w:name="_Toc509338298"/>
      <w:bookmarkStart w:id="8427" w:name="_Toc509382842"/>
      <w:bookmarkStart w:id="8428" w:name="_Toc509383274"/>
      <w:bookmarkStart w:id="8429" w:name="_Toc509384153"/>
      <w:bookmarkStart w:id="8430" w:name="_Toc509404846"/>
      <w:bookmarkStart w:id="8431" w:name="_Toc509311653"/>
      <w:bookmarkStart w:id="8432" w:name="_Toc509312092"/>
      <w:bookmarkStart w:id="8433" w:name="_Toc509312518"/>
      <w:bookmarkStart w:id="8434" w:name="_Toc509324536"/>
      <w:bookmarkStart w:id="8435" w:name="_Toc509324905"/>
      <w:bookmarkStart w:id="8436" w:name="_Toc509325274"/>
      <w:bookmarkStart w:id="8437" w:name="_Toc509325643"/>
      <w:bookmarkStart w:id="8438" w:name="_Toc509326018"/>
      <w:bookmarkStart w:id="8439" w:name="_Toc509326393"/>
      <w:bookmarkStart w:id="8440" w:name="_Toc509326768"/>
      <w:bookmarkStart w:id="8441" w:name="_Toc509327143"/>
      <w:bookmarkStart w:id="8442" w:name="_Toc509327459"/>
      <w:bookmarkStart w:id="8443" w:name="_Toc509327834"/>
      <w:bookmarkStart w:id="8444" w:name="_Toc509328209"/>
      <w:bookmarkStart w:id="8445" w:name="_Toc509333001"/>
      <w:bookmarkStart w:id="8446" w:name="_Toc509333414"/>
      <w:bookmarkStart w:id="8447" w:name="_Toc509333827"/>
      <w:bookmarkStart w:id="8448" w:name="_Toc509335230"/>
      <w:bookmarkStart w:id="8449" w:name="_Toc509335740"/>
      <w:bookmarkStart w:id="8450" w:name="_Toc509336683"/>
      <w:bookmarkStart w:id="8451" w:name="_Toc509337115"/>
      <w:bookmarkStart w:id="8452" w:name="_Toc509337542"/>
      <w:bookmarkStart w:id="8453" w:name="_Toc509337969"/>
      <w:bookmarkStart w:id="8454" w:name="_Toc509338299"/>
      <w:bookmarkStart w:id="8455" w:name="_Toc509382843"/>
      <w:bookmarkStart w:id="8456" w:name="_Toc509383275"/>
      <w:bookmarkStart w:id="8457" w:name="_Toc509384154"/>
      <w:bookmarkStart w:id="8458" w:name="_Toc509404847"/>
      <w:bookmarkStart w:id="8459" w:name="_Toc509311654"/>
      <w:bookmarkStart w:id="8460" w:name="_Toc509312093"/>
      <w:bookmarkStart w:id="8461" w:name="_Toc509312519"/>
      <w:bookmarkStart w:id="8462" w:name="_Toc509324537"/>
      <w:bookmarkStart w:id="8463" w:name="_Toc509324906"/>
      <w:bookmarkStart w:id="8464" w:name="_Toc509325275"/>
      <w:bookmarkStart w:id="8465" w:name="_Toc509325644"/>
      <w:bookmarkStart w:id="8466" w:name="_Toc509326019"/>
      <w:bookmarkStart w:id="8467" w:name="_Toc509326394"/>
      <w:bookmarkStart w:id="8468" w:name="_Toc509326769"/>
      <w:bookmarkStart w:id="8469" w:name="_Toc509327144"/>
      <w:bookmarkStart w:id="8470" w:name="_Toc509327460"/>
      <w:bookmarkStart w:id="8471" w:name="_Toc509327835"/>
      <w:bookmarkStart w:id="8472" w:name="_Toc509328210"/>
      <w:bookmarkStart w:id="8473" w:name="_Toc509333002"/>
      <w:bookmarkStart w:id="8474" w:name="_Toc509333415"/>
      <w:bookmarkStart w:id="8475" w:name="_Toc509333828"/>
      <w:bookmarkStart w:id="8476" w:name="_Toc509335231"/>
      <w:bookmarkStart w:id="8477" w:name="_Toc509335741"/>
      <w:bookmarkStart w:id="8478" w:name="_Toc509336684"/>
      <w:bookmarkStart w:id="8479" w:name="_Toc509337116"/>
      <w:bookmarkStart w:id="8480" w:name="_Toc509337543"/>
      <w:bookmarkStart w:id="8481" w:name="_Toc509337970"/>
      <w:bookmarkStart w:id="8482" w:name="_Toc509338300"/>
      <w:bookmarkStart w:id="8483" w:name="_Toc509382844"/>
      <w:bookmarkStart w:id="8484" w:name="_Toc509383276"/>
      <w:bookmarkStart w:id="8485" w:name="_Toc509384155"/>
      <w:bookmarkStart w:id="8486" w:name="_Toc509404848"/>
      <w:bookmarkStart w:id="8487" w:name="_Toc509311655"/>
      <w:bookmarkStart w:id="8488" w:name="_Toc509312094"/>
      <w:bookmarkStart w:id="8489" w:name="_Toc509312520"/>
      <w:bookmarkStart w:id="8490" w:name="_Toc509324538"/>
      <w:bookmarkStart w:id="8491" w:name="_Toc509324907"/>
      <w:bookmarkStart w:id="8492" w:name="_Toc509325276"/>
      <w:bookmarkStart w:id="8493" w:name="_Toc509325645"/>
      <w:bookmarkStart w:id="8494" w:name="_Toc509326020"/>
      <w:bookmarkStart w:id="8495" w:name="_Toc509326395"/>
      <w:bookmarkStart w:id="8496" w:name="_Toc509326770"/>
      <w:bookmarkStart w:id="8497" w:name="_Toc509327145"/>
      <w:bookmarkStart w:id="8498" w:name="_Toc509327461"/>
      <w:bookmarkStart w:id="8499" w:name="_Toc509327836"/>
      <w:bookmarkStart w:id="8500" w:name="_Toc509328211"/>
      <w:bookmarkStart w:id="8501" w:name="_Toc509333003"/>
      <w:bookmarkStart w:id="8502" w:name="_Toc509333416"/>
      <w:bookmarkStart w:id="8503" w:name="_Toc509333829"/>
      <w:bookmarkStart w:id="8504" w:name="_Toc509335232"/>
      <w:bookmarkStart w:id="8505" w:name="_Toc509335742"/>
      <w:bookmarkStart w:id="8506" w:name="_Toc509336685"/>
      <w:bookmarkStart w:id="8507" w:name="_Toc509337117"/>
      <w:bookmarkStart w:id="8508" w:name="_Toc509337544"/>
      <w:bookmarkStart w:id="8509" w:name="_Toc509337971"/>
      <w:bookmarkStart w:id="8510" w:name="_Toc509338301"/>
      <w:bookmarkStart w:id="8511" w:name="_Toc509382845"/>
      <w:bookmarkStart w:id="8512" w:name="_Toc509383277"/>
      <w:bookmarkStart w:id="8513" w:name="_Toc509384156"/>
      <w:bookmarkStart w:id="8514" w:name="_Toc509404849"/>
      <w:bookmarkStart w:id="8515" w:name="_Toc509311656"/>
      <w:bookmarkStart w:id="8516" w:name="_Toc509312095"/>
      <w:bookmarkStart w:id="8517" w:name="_Toc509312521"/>
      <w:bookmarkStart w:id="8518" w:name="_Toc509324539"/>
      <w:bookmarkStart w:id="8519" w:name="_Toc509324908"/>
      <w:bookmarkStart w:id="8520" w:name="_Toc509325277"/>
      <w:bookmarkStart w:id="8521" w:name="_Toc509325646"/>
      <w:bookmarkStart w:id="8522" w:name="_Toc509326021"/>
      <w:bookmarkStart w:id="8523" w:name="_Toc509326396"/>
      <w:bookmarkStart w:id="8524" w:name="_Toc509326771"/>
      <w:bookmarkStart w:id="8525" w:name="_Toc509327146"/>
      <w:bookmarkStart w:id="8526" w:name="_Toc509327462"/>
      <w:bookmarkStart w:id="8527" w:name="_Toc509327837"/>
      <w:bookmarkStart w:id="8528" w:name="_Toc509328212"/>
      <w:bookmarkStart w:id="8529" w:name="_Toc509333004"/>
      <w:bookmarkStart w:id="8530" w:name="_Toc509333417"/>
      <w:bookmarkStart w:id="8531" w:name="_Toc509333830"/>
      <w:bookmarkStart w:id="8532" w:name="_Toc509335233"/>
      <w:bookmarkStart w:id="8533" w:name="_Toc509335743"/>
      <w:bookmarkStart w:id="8534" w:name="_Toc509336686"/>
      <w:bookmarkStart w:id="8535" w:name="_Toc509337118"/>
      <w:bookmarkStart w:id="8536" w:name="_Toc509337545"/>
      <w:bookmarkStart w:id="8537" w:name="_Toc509337972"/>
      <w:bookmarkStart w:id="8538" w:name="_Toc509338302"/>
      <w:bookmarkStart w:id="8539" w:name="_Toc509382846"/>
      <w:bookmarkStart w:id="8540" w:name="_Toc509383278"/>
      <w:bookmarkStart w:id="8541" w:name="_Toc509384157"/>
      <w:bookmarkStart w:id="8542" w:name="_Toc509404850"/>
      <w:bookmarkStart w:id="8543" w:name="_Toc509311658"/>
      <w:bookmarkStart w:id="8544" w:name="_Toc509312097"/>
      <w:bookmarkStart w:id="8545" w:name="_Toc509312523"/>
      <w:bookmarkStart w:id="8546" w:name="_Toc509324541"/>
      <w:bookmarkStart w:id="8547" w:name="_Toc509324910"/>
      <w:bookmarkStart w:id="8548" w:name="_Toc509325279"/>
      <w:bookmarkStart w:id="8549" w:name="_Toc509325648"/>
      <w:bookmarkStart w:id="8550" w:name="_Toc509326023"/>
      <w:bookmarkStart w:id="8551" w:name="_Toc509326398"/>
      <w:bookmarkStart w:id="8552" w:name="_Toc509326773"/>
      <w:bookmarkStart w:id="8553" w:name="_Toc509327148"/>
      <w:bookmarkStart w:id="8554" w:name="_Toc509327464"/>
      <w:bookmarkStart w:id="8555" w:name="_Toc509327839"/>
      <w:bookmarkStart w:id="8556" w:name="_Toc509328214"/>
      <w:bookmarkStart w:id="8557" w:name="_Toc509333006"/>
      <w:bookmarkStart w:id="8558" w:name="_Toc509333419"/>
      <w:bookmarkStart w:id="8559" w:name="_Toc509333832"/>
      <w:bookmarkStart w:id="8560" w:name="_Toc509335235"/>
      <w:bookmarkStart w:id="8561" w:name="_Toc509335745"/>
      <w:bookmarkStart w:id="8562" w:name="_Toc509336688"/>
      <w:bookmarkStart w:id="8563" w:name="_Toc509337120"/>
      <w:bookmarkStart w:id="8564" w:name="_Toc509337547"/>
      <w:bookmarkStart w:id="8565" w:name="_Toc509337974"/>
      <w:bookmarkStart w:id="8566" w:name="_Toc509338304"/>
      <w:bookmarkStart w:id="8567" w:name="_Toc509382848"/>
      <w:bookmarkStart w:id="8568" w:name="_Toc509383280"/>
      <w:bookmarkStart w:id="8569" w:name="_Toc509384159"/>
      <w:bookmarkStart w:id="8570" w:name="_Toc509404852"/>
      <w:bookmarkStart w:id="8571" w:name="_Toc509310846"/>
      <w:bookmarkStart w:id="8572" w:name="_Toc509311244"/>
      <w:bookmarkStart w:id="8573" w:name="_Toc509311659"/>
      <w:bookmarkStart w:id="8574" w:name="_Toc509312098"/>
      <w:bookmarkStart w:id="8575" w:name="_Toc509312524"/>
      <w:bookmarkStart w:id="8576" w:name="_Toc509324542"/>
      <w:bookmarkStart w:id="8577" w:name="_Toc509324911"/>
      <w:bookmarkStart w:id="8578" w:name="_Toc509325280"/>
      <w:bookmarkStart w:id="8579" w:name="_Toc509325649"/>
      <w:bookmarkStart w:id="8580" w:name="_Toc509326024"/>
      <w:bookmarkStart w:id="8581" w:name="_Toc509326399"/>
      <w:bookmarkStart w:id="8582" w:name="_Toc509326774"/>
      <w:bookmarkStart w:id="8583" w:name="_Toc509327149"/>
      <w:bookmarkStart w:id="8584" w:name="_Toc509327465"/>
      <w:bookmarkStart w:id="8585" w:name="_Toc509327840"/>
      <w:bookmarkStart w:id="8586" w:name="_Toc509328215"/>
      <w:bookmarkStart w:id="8587" w:name="_Toc509333007"/>
      <w:bookmarkStart w:id="8588" w:name="_Toc509333420"/>
      <w:bookmarkStart w:id="8589" w:name="_Toc509333833"/>
      <w:bookmarkStart w:id="8590" w:name="_Toc509335236"/>
      <w:bookmarkStart w:id="8591" w:name="_Toc509335746"/>
      <w:bookmarkStart w:id="8592" w:name="_Toc509336689"/>
      <w:bookmarkStart w:id="8593" w:name="_Toc509337121"/>
      <w:bookmarkStart w:id="8594" w:name="_Toc509337548"/>
      <w:bookmarkStart w:id="8595" w:name="_Toc509337975"/>
      <w:bookmarkStart w:id="8596" w:name="_Toc509338305"/>
      <w:bookmarkStart w:id="8597" w:name="_Toc509382849"/>
      <w:bookmarkStart w:id="8598" w:name="_Toc509383281"/>
      <w:bookmarkStart w:id="8599" w:name="_Toc509384160"/>
      <w:bookmarkStart w:id="8600" w:name="_Toc509404853"/>
      <w:bookmarkStart w:id="8601" w:name="_Toc509310847"/>
      <w:bookmarkStart w:id="8602" w:name="_Toc509311245"/>
      <w:bookmarkStart w:id="8603" w:name="_Toc509311660"/>
      <w:bookmarkStart w:id="8604" w:name="_Toc509312099"/>
      <w:bookmarkStart w:id="8605" w:name="_Toc509312525"/>
      <w:bookmarkStart w:id="8606" w:name="_Toc509324543"/>
      <w:bookmarkStart w:id="8607" w:name="_Toc509324912"/>
      <w:bookmarkStart w:id="8608" w:name="_Toc509325281"/>
      <w:bookmarkStart w:id="8609" w:name="_Toc509325650"/>
      <w:bookmarkStart w:id="8610" w:name="_Toc509326025"/>
      <w:bookmarkStart w:id="8611" w:name="_Toc509326400"/>
      <w:bookmarkStart w:id="8612" w:name="_Toc509326775"/>
      <w:bookmarkStart w:id="8613" w:name="_Toc509327150"/>
      <w:bookmarkStart w:id="8614" w:name="_Toc509327466"/>
      <w:bookmarkStart w:id="8615" w:name="_Toc509327841"/>
      <w:bookmarkStart w:id="8616" w:name="_Toc509328216"/>
      <w:bookmarkStart w:id="8617" w:name="_Toc509333008"/>
      <w:bookmarkStart w:id="8618" w:name="_Toc509333421"/>
      <w:bookmarkStart w:id="8619" w:name="_Toc509333834"/>
      <w:bookmarkStart w:id="8620" w:name="_Toc509335237"/>
      <w:bookmarkStart w:id="8621" w:name="_Toc509335747"/>
      <w:bookmarkStart w:id="8622" w:name="_Toc509336690"/>
      <w:bookmarkStart w:id="8623" w:name="_Toc509337122"/>
      <w:bookmarkStart w:id="8624" w:name="_Toc509337549"/>
      <w:bookmarkStart w:id="8625" w:name="_Toc509337976"/>
      <w:bookmarkStart w:id="8626" w:name="_Toc509338306"/>
      <w:bookmarkStart w:id="8627" w:name="_Toc509382850"/>
      <w:bookmarkStart w:id="8628" w:name="_Toc509383282"/>
      <w:bookmarkStart w:id="8629" w:name="_Toc509384161"/>
      <w:bookmarkStart w:id="8630" w:name="_Toc509404854"/>
      <w:bookmarkStart w:id="8631" w:name="_Toc509310848"/>
      <w:bookmarkStart w:id="8632" w:name="_Toc509311246"/>
      <w:bookmarkStart w:id="8633" w:name="_Toc509311661"/>
      <w:bookmarkStart w:id="8634" w:name="_Toc509312100"/>
      <w:bookmarkStart w:id="8635" w:name="_Toc509312526"/>
      <w:bookmarkStart w:id="8636" w:name="_Toc509324544"/>
      <w:bookmarkStart w:id="8637" w:name="_Toc509324913"/>
      <w:bookmarkStart w:id="8638" w:name="_Toc509325282"/>
      <w:bookmarkStart w:id="8639" w:name="_Toc509325651"/>
      <w:bookmarkStart w:id="8640" w:name="_Toc509326026"/>
      <w:bookmarkStart w:id="8641" w:name="_Toc509326401"/>
      <w:bookmarkStart w:id="8642" w:name="_Toc509326776"/>
      <w:bookmarkStart w:id="8643" w:name="_Toc509327151"/>
      <w:bookmarkStart w:id="8644" w:name="_Toc509327467"/>
      <w:bookmarkStart w:id="8645" w:name="_Toc509327842"/>
      <w:bookmarkStart w:id="8646" w:name="_Toc509328217"/>
      <w:bookmarkStart w:id="8647" w:name="_Toc509333009"/>
      <w:bookmarkStart w:id="8648" w:name="_Toc509333422"/>
      <w:bookmarkStart w:id="8649" w:name="_Toc509333835"/>
      <w:bookmarkStart w:id="8650" w:name="_Toc509335238"/>
      <w:bookmarkStart w:id="8651" w:name="_Toc509335748"/>
      <w:bookmarkStart w:id="8652" w:name="_Toc509336691"/>
      <w:bookmarkStart w:id="8653" w:name="_Toc509337123"/>
      <w:bookmarkStart w:id="8654" w:name="_Toc509337550"/>
      <w:bookmarkStart w:id="8655" w:name="_Toc509337977"/>
      <w:bookmarkStart w:id="8656" w:name="_Toc509338307"/>
      <w:bookmarkStart w:id="8657" w:name="_Toc509382851"/>
      <w:bookmarkStart w:id="8658" w:name="_Toc509383283"/>
      <w:bookmarkStart w:id="8659" w:name="_Toc509384162"/>
      <w:bookmarkStart w:id="8660" w:name="_Toc509404855"/>
      <w:bookmarkStart w:id="8661" w:name="_Toc509324564"/>
      <w:bookmarkStart w:id="8662" w:name="_Toc509324933"/>
      <w:bookmarkStart w:id="8663" w:name="_Toc509325302"/>
      <w:bookmarkStart w:id="8664" w:name="_Toc509325671"/>
      <w:bookmarkStart w:id="8665" w:name="_Toc509326046"/>
      <w:bookmarkStart w:id="8666" w:name="_Toc509326421"/>
      <w:bookmarkStart w:id="8667" w:name="_Toc509326796"/>
      <w:bookmarkStart w:id="8668" w:name="_Toc509327171"/>
      <w:bookmarkStart w:id="8669" w:name="_Toc509327487"/>
      <w:bookmarkStart w:id="8670" w:name="_Toc509327862"/>
      <w:bookmarkStart w:id="8671" w:name="_Toc509328237"/>
      <w:bookmarkStart w:id="8672" w:name="_Toc509333029"/>
      <w:bookmarkStart w:id="8673" w:name="_Toc509333442"/>
      <w:bookmarkStart w:id="8674" w:name="_Toc509333855"/>
      <w:bookmarkStart w:id="8675" w:name="_Toc509335258"/>
      <w:bookmarkStart w:id="8676" w:name="_Toc509335768"/>
      <w:bookmarkStart w:id="8677" w:name="_Toc509336711"/>
      <w:bookmarkStart w:id="8678" w:name="_Toc509337143"/>
      <w:bookmarkStart w:id="8679" w:name="_Toc509337570"/>
      <w:bookmarkStart w:id="8680" w:name="_Toc509337997"/>
      <w:bookmarkStart w:id="8681" w:name="_Toc509338327"/>
      <w:bookmarkStart w:id="8682" w:name="_Toc509382871"/>
      <w:bookmarkStart w:id="8683" w:name="_Toc509383303"/>
      <w:bookmarkStart w:id="8684" w:name="_Toc509384182"/>
      <w:bookmarkStart w:id="8685" w:name="_Toc509404875"/>
      <w:bookmarkStart w:id="8686" w:name="_Toc509319250"/>
      <w:bookmarkStart w:id="8687" w:name="_Toc509319612"/>
      <w:bookmarkStart w:id="8688" w:name="_Toc509320386"/>
      <w:bookmarkStart w:id="8689" w:name="_Toc509322358"/>
      <w:bookmarkStart w:id="8690" w:name="_Toc509322682"/>
      <w:bookmarkStart w:id="8691" w:name="_Toc509323184"/>
      <w:bookmarkStart w:id="8692" w:name="_Toc509323557"/>
      <w:bookmarkStart w:id="8693" w:name="_Toc509323881"/>
      <w:bookmarkStart w:id="8694" w:name="_Toc509324205"/>
      <w:bookmarkStart w:id="8695" w:name="_Toc509324574"/>
      <w:bookmarkStart w:id="8696" w:name="_Toc509324943"/>
      <w:bookmarkStart w:id="8697" w:name="_Toc509325312"/>
      <w:bookmarkStart w:id="8698" w:name="_Toc509325681"/>
      <w:bookmarkStart w:id="8699" w:name="_Toc509326056"/>
      <w:bookmarkStart w:id="8700" w:name="_Toc509326431"/>
      <w:bookmarkStart w:id="8701" w:name="_Toc509326806"/>
      <w:bookmarkStart w:id="8702" w:name="_Toc509327181"/>
      <w:bookmarkStart w:id="8703" w:name="_Toc509327497"/>
      <w:bookmarkStart w:id="8704" w:name="_Toc509327872"/>
      <w:bookmarkStart w:id="8705" w:name="_Toc509328247"/>
      <w:bookmarkStart w:id="8706" w:name="_Toc509333039"/>
      <w:bookmarkStart w:id="8707" w:name="_Toc509333452"/>
      <w:bookmarkStart w:id="8708" w:name="_Toc509333865"/>
      <w:bookmarkStart w:id="8709" w:name="_Toc509335268"/>
      <w:bookmarkStart w:id="8710" w:name="_Toc509335778"/>
      <w:bookmarkStart w:id="8711" w:name="_Toc509336721"/>
      <w:bookmarkStart w:id="8712" w:name="_Toc509337153"/>
      <w:bookmarkStart w:id="8713" w:name="_Toc509337580"/>
      <w:bookmarkStart w:id="8714" w:name="_Toc509338007"/>
      <w:bookmarkStart w:id="8715" w:name="_Toc509338337"/>
      <w:bookmarkStart w:id="8716" w:name="_Toc509382881"/>
      <w:bookmarkStart w:id="8717" w:name="_Toc509383313"/>
      <w:bookmarkStart w:id="8718" w:name="_Toc509384192"/>
      <w:bookmarkStart w:id="8719" w:name="_Toc509404885"/>
      <w:bookmarkStart w:id="8720" w:name="_Toc509319251"/>
      <w:bookmarkStart w:id="8721" w:name="_Toc509319613"/>
      <w:bookmarkStart w:id="8722" w:name="_Toc509320387"/>
      <w:bookmarkStart w:id="8723" w:name="_Toc509322359"/>
      <w:bookmarkStart w:id="8724" w:name="_Toc509322683"/>
      <w:bookmarkStart w:id="8725" w:name="_Toc509323185"/>
      <w:bookmarkStart w:id="8726" w:name="_Toc509323558"/>
      <w:bookmarkStart w:id="8727" w:name="_Toc509323882"/>
      <w:bookmarkStart w:id="8728" w:name="_Toc509324206"/>
      <w:bookmarkStart w:id="8729" w:name="_Toc509324575"/>
      <w:bookmarkStart w:id="8730" w:name="_Toc509324944"/>
      <w:bookmarkStart w:id="8731" w:name="_Toc509325313"/>
      <w:bookmarkStart w:id="8732" w:name="_Toc509325682"/>
      <w:bookmarkStart w:id="8733" w:name="_Toc509326057"/>
      <w:bookmarkStart w:id="8734" w:name="_Toc509326432"/>
      <w:bookmarkStart w:id="8735" w:name="_Toc509326807"/>
      <w:bookmarkStart w:id="8736" w:name="_Toc509327182"/>
      <w:bookmarkStart w:id="8737" w:name="_Toc509327498"/>
      <w:bookmarkStart w:id="8738" w:name="_Toc509327873"/>
      <w:bookmarkStart w:id="8739" w:name="_Toc509328248"/>
      <w:bookmarkStart w:id="8740" w:name="_Toc509333040"/>
      <w:bookmarkStart w:id="8741" w:name="_Toc509333453"/>
      <w:bookmarkStart w:id="8742" w:name="_Toc509333866"/>
      <w:bookmarkStart w:id="8743" w:name="_Toc509335269"/>
      <w:bookmarkStart w:id="8744" w:name="_Toc509335779"/>
      <w:bookmarkStart w:id="8745" w:name="_Toc509336722"/>
      <w:bookmarkStart w:id="8746" w:name="_Toc509337154"/>
      <w:bookmarkStart w:id="8747" w:name="_Toc509337581"/>
      <w:bookmarkStart w:id="8748" w:name="_Toc509338008"/>
      <w:bookmarkStart w:id="8749" w:name="_Toc509338338"/>
      <w:bookmarkStart w:id="8750" w:name="_Toc509382882"/>
      <w:bookmarkStart w:id="8751" w:name="_Toc509383314"/>
      <w:bookmarkStart w:id="8752" w:name="_Toc509384193"/>
      <w:bookmarkStart w:id="8753" w:name="_Toc509404886"/>
      <w:bookmarkStart w:id="8754" w:name="_Toc509319252"/>
      <w:bookmarkStart w:id="8755" w:name="_Toc509319614"/>
      <w:bookmarkStart w:id="8756" w:name="_Toc509320388"/>
      <w:bookmarkStart w:id="8757" w:name="_Toc509322360"/>
      <w:bookmarkStart w:id="8758" w:name="_Toc509322684"/>
      <w:bookmarkStart w:id="8759" w:name="_Toc509323186"/>
      <w:bookmarkStart w:id="8760" w:name="_Toc509323559"/>
      <w:bookmarkStart w:id="8761" w:name="_Toc509323883"/>
      <w:bookmarkStart w:id="8762" w:name="_Toc509324207"/>
      <w:bookmarkStart w:id="8763" w:name="_Toc509324576"/>
      <w:bookmarkStart w:id="8764" w:name="_Toc509324945"/>
      <w:bookmarkStart w:id="8765" w:name="_Toc509325314"/>
      <w:bookmarkStart w:id="8766" w:name="_Toc509325683"/>
      <w:bookmarkStart w:id="8767" w:name="_Toc509326058"/>
      <w:bookmarkStart w:id="8768" w:name="_Toc509326433"/>
      <w:bookmarkStart w:id="8769" w:name="_Toc509326808"/>
      <w:bookmarkStart w:id="8770" w:name="_Toc509327183"/>
      <w:bookmarkStart w:id="8771" w:name="_Toc509327499"/>
      <w:bookmarkStart w:id="8772" w:name="_Toc509327874"/>
      <w:bookmarkStart w:id="8773" w:name="_Toc509328249"/>
      <w:bookmarkStart w:id="8774" w:name="_Toc509333041"/>
      <w:bookmarkStart w:id="8775" w:name="_Toc509333454"/>
      <w:bookmarkStart w:id="8776" w:name="_Toc509333867"/>
      <w:bookmarkStart w:id="8777" w:name="_Toc509335270"/>
      <w:bookmarkStart w:id="8778" w:name="_Toc509335780"/>
      <w:bookmarkStart w:id="8779" w:name="_Toc509336723"/>
      <w:bookmarkStart w:id="8780" w:name="_Toc509337155"/>
      <w:bookmarkStart w:id="8781" w:name="_Toc509337582"/>
      <w:bookmarkStart w:id="8782" w:name="_Toc509338009"/>
      <w:bookmarkStart w:id="8783" w:name="_Toc509338339"/>
      <w:bookmarkStart w:id="8784" w:name="_Toc509382883"/>
      <w:bookmarkStart w:id="8785" w:name="_Toc509383315"/>
      <w:bookmarkStart w:id="8786" w:name="_Toc509384194"/>
      <w:bookmarkStart w:id="8787" w:name="_Toc509404887"/>
      <w:bookmarkStart w:id="8788" w:name="_Toc509319256"/>
      <w:bookmarkStart w:id="8789" w:name="_Toc509319618"/>
      <w:bookmarkStart w:id="8790" w:name="_Toc509320392"/>
      <w:bookmarkStart w:id="8791" w:name="_Toc509322364"/>
      <w:bookmarkStart w:id="8792" w:name="_Toc509322688"/>
      <w:bookmarkStart w:id="8793" w:name="_Toc509323190"/>
      <w:bookmarkStart w:id="8794" w:name="_Toc509323563"/>
      <w:bookmarkStart w:id="8795" w:name="_Toc509323887"/>
      <w:bookmarkStart w:id="8796" w:name="_Toc509324211"/>
      <w:bookmarkStart w:id="8797" w:name="_Toc509324580"/>
      <w:bookmarkStart w:id="8798" w:name="_Toc509324949"/>
      <w:bookmarkStart w:id="8799" w:name="_Toc509325318"/>
      <w:bookmarkStart w:id="8800" w:name="_Toc509325687"/>
      <w:bookmarkStart w:id="8801" w:name="_Toc509326062"/>
      <w:bookmarkStart w:id="8802" w:name="_Toc509326437"/>
      <w:bookmarkStart w:id="8803" w:name="_Toc509326812"/>
      <w:bookmarkStart w:id="8804" w:name="_Toc509327187"/>
      <w:bookmarkStart w:id="8805" w:name="_Toc509327503"/>
      <w:bookmarkStart w:id="8806" w:name="_Toc509327878"/>
      <w:bookmarkStart w:id="8807" w:name="_Toc509328253"/>
      <w:bookmarkStart w:id="8808" w:name="_Toc509333045"/>
      <w:bookmarkStart w:id="8809" w:name="_Toc509333458"/>
      <w:bookmarkStart w:id="8810" w:name="_Toc509333871"/>
      <w:bookmarkStart w:id="8811" w:name="_Toc509335274"/>
      <w:bookmarkStart w:id="8812" w:name="_Toc509335784"/>
      <w:bookmarkStart w:id="8813" w:name="_Toc509336727"/>
      <w:bookmarkStart w:id="8814" w:name="_Toc509337159"/>
      <w:bookmarkStart w:id="8815" w:name="_Toc509337586"/>
      <w:bookmarkStart w:id="8816" w:name="_Toc509338013"/>
      <w:bookmarkStart w:id="8817" w:name="_Toc509338343"/>
      <w:bookmarkStart w:id="8818" w:name="_Toc509382887"/>
      <w:bookmarkStart w:id="8819" w:name="_Toc509383319"/>
      <w:bookmarkStart w:id="8820" w:name="_Toc509384198"/>
      <w:bookmarkStart w:id="8821" w:name="_Toc509404891"/>
      <w:bookmarkStart w:id="8822" w:name="_Toc509312105"/>
      <w:bookmarkStart w:id="8823" w:name="_Toc509312531"/>
      <w:bookmarkStart w:id="8824" w:name="_Toc509312852"/>
      <w:bookmarkStart w:id="8825" w:name="_Toc509313192"/>
      <w:bookmarkStart w:id="8826" w:name="_Toc509313593"/>
      <w:bookmarkStart w:id="8827" w:name="_Toc509317032"/>
      <w:bookmarkStart w:id="8828" w:name="_Toc509317345"/>
      <w:bookmarkStart w:id="8829" w:name="_Toc509317637"/>
      <w:bookmarkStart w:id="8830" w:name="_Toc509317950"/>
      <w:bookmarkStart w:id="8831" w:name="_Toc509318263"/>
      <w:bookmarkStart w:id="8832" w:name="_Toc509319257"/>
      <w:bookmarkStart w:id="8833" w:name="_Toc509319619"/>
      <w:bookmarkStart w:id="8834" w:name="_Toc509320393"/>
      <w:bookmarkStart w:id="8835" w:name="_Toc509322365"/>
      <w:bookmarkStart w:id="8836" w:name="_Toc509322689"/>
      <w:bookmarkStart w:id="8837" w:name="_Toc509323191"/>
      <w:bookmarkStart w:id="8838" w:name="_Toc509323564"/>
      <w:bookmarkStart w:id="8839" w:name="_Toc509323888"/>
      <w:bookmarkStart w:id="8840" w:name="_Toc509324212"/>
      <w:bookmarkStart w:id="8841" w:name="_Toc509324581"/>
      <w:bookmarkStart w:id="8842" w:name="_Toc509324950"/>
      <w:bookmarkStart w:id="8843" w:name="_Toc509325319"/>
      <w:bookmarkStart w:id="8844" w:name="_Toc509325688"/>
      <w:bookmarkStart w:id="8845" w:name="_Toc509326063"/>
      <w:bookmarkStart w:id="8846" w:name="_Toc509326438"/>
      <w:bookmarkStart w:id="8847" w:name="_Toc509326813"/>
      <w:bookmarkStart w:id="8848" w:name="_Toc509327188"/>
      <w:bookmarkStart w:id="8849" w:name="_Toc509327504"/>
      <w:bookmarkStart w:id="8850" w:name="_Toc509327879"/>
      <w:bookmarkStart w:id="8851" w:name="_Toc509328254"/>
      <w:bookmarkStart w:id="8852" w:name="_Toc509333046"/>
      <w:bookmarkStart w:id="8853" w:name="_Toc509333459"/>
      <w:bookmarkStart w:id="8854" w:name="_Toc509333872"/>
      <w:bookmarkStart w:id="8855" w:name="_Toc509335275"/>
      <w:bookmarkStart w:id="8856" w:name="_Toc509335785"/>
      <w:bookmarkStart w:id="8857" w:name="_Toc509336728"/>
      <w:bookmarkStart w:id="8858" w:name="_Toc509337160"/>
      <w:bookmarkStart w:id="8859" w:name="_Toc509337587"/>
      <w:bookmarkStart w:id="8860" w:name="_Toc509338014"/>
      <w:bookmarkStart w:id="8861" w:name="_Toc509338344"/>
      <w:bookmarkStart w:id="8862" w:name="_Toc509382888"/>
      <w:bookmarkStart w:id="8863" w:name="_Toc509383320"/>
      <w:bookmarkStart w:id="8864" w:name="_Toc509384199"/>
      <w:bookmarkStart w:id="8865" w:name="_Toc509404892"/>
      <w:bookmarkStart w:id="8866" w:name="_Toc509312106"/>
      <w:bookmarkStart w:id="8867" w:name="_Toc509312532"/>
      <w:bookmarkStart w:id="8868" w:name="_Toc509312853"/>
      <w:bookmarkStart w:id="8869" w:name="_Toc509313193"/>
      <w:bookmarkStart w:id="8870" w:name="_Toc509313594"/>
      <w:bookmarkStart w:id="8871" w:name="_Toc509317033"/>
      <w:bookmarkStart w:id="8872" w:name="_Toc509317346"/>
      <w:bookmarkStart w:id="8873" w:name="_Toc509317638"/>
      <w:bookmarkStart w:id="8874" w:name="_Toc509317951"/>
      <w:bookmarkStart w:id="8875" w:name="_Toc509318264"/>
      <w:bookmarkStart w:id="8876" w:name="_Toc509319258"/>
      <w:bookmarkStart w:id="8877" w:name="_Toc509319620"/>
      <w:bookmarkStart w:id="8878" w:name="_Toc509320394"/>
      <w:bookmarkStart w:id="8879" w:name="_Toc509322366"/>
      <w:bookmarkStart w:id="8880" w:name="_Toc509322690"/>
      <w:bookmarkStart w:id="8881" w:name="_Toc509323192"/>
      <w:bookmarkStart w:id="8882" w:name="_Toc509323565"/>
      <w:bookmarkStart w:id="8883" w:name="_Toc509323889"/>
      <w:bookmarkStart w:id="8884" w:name="_Toc509324213"/>
      <w:bookmarkStart w:id="8885" w:name="_Toc509324582"/>
      <w:bookmarkStart w:id="8886" w:name="_Toc509324951"/>
      <w:bookmarkStart w:id="8887" w:name="_Toc509325320"/>
      <w:bookmarkStart w:id="8888" w:name="_Toc509325689"/>
      <w:bookmarkStart w:id="8889" w:name="_Toc509326064"/>
      <w:bookmarkStart w:id="8890" w:name="_Toc509326439"/>
      <w:bookmarkStart w:id="8891" w:name="_Toc509326814"/>
      <w:bookmarkStart w:id="8892" w:name="_Toc509327189"/>
      <w:bookmarkStart w:id="8893" w:name="_Toc509327505"/>
      <w:bookmarkStart w:id="8894" w:name="_Toc509327880"/>
      <w:bookmarkStart w:id="8895" w:name="_Toc509328255"/>
      <w:bookmarkStart w:id="8896" w:name="_Toc509333047"/>
      <w:bookmarkStart w:id="8897" w:name="_Toc509333460"/>
      <w:bookmarkStart w:id="8898" w:name="_Toc509333873"/>
      <w:bookmarkStart w:id="8899" w:name="_Toc509335276"/>
      <w:bookmarkStart w:id="8900" w:name="_Toc509335786"/>
      <w:bookmarkStart w:id="8901" w:name="_Toc509336729"/>
      <w:bookmarkStart w:id="8902" w:name="_Toc509337161"/>
      <w:bookmarkStart w:id="8903" w:name="_Toc509337588"/>
      <w:bookmarkStart w:id="8904" w:name="_Toc509338015"/>
      <w:bookmarkStart w:id="8905" w:name="_Toc509338345"/>
      <w:bookmarkStart w:id="8906" w:name="_Toc509382889"/>
      <w:bookmarkStart w:id="8907" w:name="_Toc509383321"/>
      <w:bookmarkStart w:id="8908" w:name="_Toc509384200"/>
      <w:bookmarkStart w:id="8909" w:name="_Toc509404893"/>
      <w:bookmarkStart w:id="8910" w:name="_Toc509312110"/>
      <w:bookmarkStart w:id="8911" w:name="_Toc509312536"/>
      <w:bookmarkStart w:id="8912" w:name="_Toc509312857"/>
      <w:bookmarkStart w:id="8913" w:name="_Toc509313197"/>
      <w:bookmarkStart w:id="8914" w:name="_Toc509313598"/>
      <w:bookmarkStart w:id="8915" w:name="_Toc509317037"/>
      <w:bookmarkStart w:id="8916" w:name="_Toc509317350"/>
      <w:bookmarkStart w:id="8917" w:name="_Toc509317642"/>
      <w:bookmarkStart w:id="8918" w:name="_Toc509317955"/>
      <w:bookmarkStart w:id="8919" w:name="_Toc509318268"/>
      <w:bookmarkStart w:id="8920" w:name="_Toc509319262"/>
      <w:bookmarkStart w:id="8921" w:name="_Toc509319624"/>
      <w:bookmarkStart w:id="8922" w:name="_Toc509320398"/>
      <w:bookmarkStart w:id="8923" w:name="_Toc509322370"/>
      <w:bookmarkStart w:id="8924" w:name="_Toc509322694"/>
      <w:bookmarkStart w:id="8925" w:name="_Toc509323196"/>
      <w:bookmarkStart w:id="8926" w:name="_Toc509323569"/>
      <w:bookmarkStart w:id="8927" w:name="_Toc509323893"/>
      <w:bookmarkStart w:id="8928" w:name="_Toc509324217"/>
      <w:bookmarkStart w:id="8929" w:name="_Toc509324586"/>
      <w:bookmarkStart w:id="8930" w:name="_Toc509324955"/>
      <w:bookmarkStart w:id="8931" w:name="_Toc509325324"/>
      <w:bookmarkStart w:id="8932" w:name="_Toc509325693"/>
      <w:bookmarkStart w:id="8933" w:name="_Toc509326068"/>
      <w:bookmarkStart w:id="8934" w:name="_Toc509326443"/>
      <w:bookmarkStart w:id="8935" w:name="_Toc509326818"/>
      <w:bookmarkStart w:id="8936" w:name="_Toc509327193"/>
      <w:bookmarkStart w:id="8937" w:name="_Toc509327509"/>
      <w:bookmarkStart w:id="8938" w:name="_Toc509327884"/>
      <w:bookmarkStart w:id="8939" w:name="_Toc509328259"/>
      <w:bookmarkStart w:id="8940" w:name="_Toc509333051"/>
      <w:bookmarkStart w:id="8941" w:name="_Toc509333464"/>
      <w:bookmarkStart w:id="8942" w:name="_Toc509333877"/>
      <w:bookmarkStart w:id="8943" w:name="_Toc509335280"/>
      <w:bookmarkStart w:id="8944" w:name="_Toc509335790"/>
      <w:bookmarkStart w:id="8945" w:name="_Toc509336733"/>
      <w:bookmarkStart w:id="8946" w:name="_Toc509337165"/>
      <w:bookmarkStart w:id="8947" w:name="_Toc509337592"/>
      <w:bookmarkStart w:id="8948" w:name="_Toc509338019"/>
      <w:bookmarkStart w:id="8949" w:name="_Toc509338349"/>
      <w:bookmarkStart w:id="8950" w:name="_Toc509382893"/>
      <w:bookmarkStart w:id="8951" w:name="_Toc509383325"/>
      <w:bookmarkStart w:id="8952" w:name="_Toc509384204"/>
      <w:bookmarkStart w:id="8953" w:name="_Toc509404897"/>
      <w:bookmarkStart w:id="8954" w:name="_Toc509312112"/>
      <w:bookmarkStart w:id="8955" w:name="_Toc509312538"/>
      <w:bookmarkStart w:id="8956" w:name="_Toc509312859"/>
      <w:bookmarkStart w:id="8957" w:name="_Toc509313199"/>
      <w:bookmarkStart w:id="8958" w:name="_Toc509313600"/>
      <w:bookmarkStart w:id="8959" w:name="_Toc509317039"/>
      <w:bookmarkStart w:id="8960" w:name="_Toc509317352"/>
      <w:bookmarkStart w:id="8961" w:name="_Toc509317644"/>
      <w:bookmarkStart w:id="8962" w:name="_Toc509317957"/>
      <w:bookmarkStart w:id="8963" w:name="_Toc509318270"/>
      <w:bookmarkStart w:id="8964" w:name="_Toc509319264"/>
      <w:bookmarkStart w:id="8965" w:name="_Toc509319626"/>
      <w:bookmarkStart w:id="8966" w:name="_Toc509320400"/>
      <w:bookmarkStart w:id="8967" w:name="_Toc509322372"/>
      <w:bookmarkStart w:id="8968" w:name="_Toc509322696"/>
      <w:bookmarkStart w:id="8969" w:name="_Toc509323198"/>
      <w:bookmarkStart w:id="8970" w:name="_Toc509323571"/>
      <w:bookmarkStart w:id="8971" w:name="_Toc509323895"/>
      <w:bookmarkStart w:id="8972" w:name="_Toc509324219"/>
      <w:bookmarkStart w:id="8973" w:name="_Toc509324588"/>
      <w:bookmarkStart w:id="8974" w:name="_Toc509324957"/>
      <w:bookmarkStart w:id="8975" w:name="_Toc509325326"/>
      <w:bookmarkStart w:id="8976" w:name="_Toc509325695"/>
      <w:bookmarkStart w:id="8977" w:name="_Toc509326070"/>
      <w:bookmarkStart w:id="8978" w:name="_Toc509326445"/>
      <w:bookmarkStart w:id="8979" w:name="_Toc509326820"/>
      <w:bookmarkStart w:id="8980" w:name="_Toc509327195"/>
      <w:bookmarkStart w:id="8981" w:name="_Toc509327511"/>
      <w:bookmarkStart w:id="8982" w:name="_Toc509327886"/>
      <w:bookmarkStart w:id="8983" w:name="_Toc509328261"/>
      <w:bookmarkStart w:id="8984" w:name="_Toc509333053"/>
      <w:bookmarkStart w:id="8985" w:name="_Toc509333466"/>
      <w:bookmarkStart w:id="8986" w:name="_Toc509333879"/>
      <w:bookmarkStart w:id="8987" w:name="_Toc509335282"/>
      <w:bookmarkStart w:id="8988" w:name="_Toc509335792"/>
      <w:bookmarkStart w:id="8989" w:name="_Toc509336735"/>
      <w:bookmarkStart w:id="8990" w:name="_Toc509337167"/>
      <w:bookmarkStart w:id="8991" w:name="_Toc509337594"/>
      <w:bookmarkStart w:id="8992" w:name="_Toc509338021"/>
      <w:bookmarkStart w:id="8993" w:name="_Toc509338351"/>
      <w:bookmarkStart w:id="8994" w:name="_Toc509382895"/>
      <w:bookmarkStart w:id="8995" w:name="_Toc509383327"/>
      <w:bookmarkStart w:id="8996" w:name="_Toc509384206"/>
      <w:bookmarkStart w:id="8997" w:name="_Toc509404899"/>
      <w:bookmarkStart w:id="8998" w:name="_Toc509312113"/>
      <w:bookmarkStart w:id="8999" w:name="_Toc509312539"/>
      <w:bookmarkStart w:id="9000" w:name="_Toc509312860"/>
      <w:bookmarkStart w:id="9001" w:name="_Toc509313200"/>
      <w:bookmarkStart w:id="9002" w:name="_Toc509313601"/>
      <w:bookmarkStart w:id="9003" w:name="_Toc509317040"/>
      <w:bookmarkStart w:id="9004" w:name="_Toc509317353"/>
      <w:bookmarkStart w:id="9005" w:name="_Toc509317645"/>
      <w:bookmarkStart w:id="9006" w:name="_Toc509317958"/>
      <w:bookmarkStart w:id="9007" w:name="_Toc509318271"/>
      <w:bookmarkStart w:id="9008" w:name="_Toc509319265"/>
      <w:bookmarkStart w:id="9009" w:name="_Toc509319627"/>
      <w:bookmarkStart w:id="9010" w:name="_Toc509320401"/>
      <w:bookmarkStart w:id="9011" w:name="_Toc509322373"/>
      <w:bookmarkStart w:id="9012" w:name="_Toc509322697"/>
      <w:bookmarkStart w:id="9013" w:name="_Toc509323199"/>
      <w:bookmarkStart w:id="9014" w:name="_Toc509323572"/>
      <w:bookmarkStart w:id="9015" w:name="_Toc509323896"/>
      <w:bookmarkStart w:id="9016" w:name="_Toc509324220"/>
      <w:bookmarkStart w:id="9017" w:name="_Toc509324589"/>
      <w:bookmarkStart w:id="9018" w:name="_Toc509324958"/>
      <w:bookmarkStart w:id="9019" w:name="_Toc509325327"/>
      <w:bookmarkStart w:id="9020" w:name="_Toc509325696"/>
      <w:bookmarkStart w:id="9021" w:name="_Toc509326071"/>
      <w:bookmarkStart w:id="9022" w:name="_Toc509326446"/>
      <w:bookmarkStart w:id="9023" w:name="_Toc509326821"/>
      <w:bookmarkStart w:id="9024" w:name="_Toc509327196"/>
      <w:bookmarkStart w:id="9025" w:name="_Toc509327512"/>
      <w:bookmarkStart w:id="9026" w:name="_Toc509327887"/>
      <w:bookmarkStart w:id="9027" w:name="_Toc509328262"/>
      <w:bookmarkStart w:id="9028" w:name="_Toc509333054"/>
      <w:bookmarkStart w:id="9029" w:name="_Toc509333467"/>
      <w:bookmarkStart w:id="9030" w:name="_Toc509333880"/>
      <w:bookmarkStart w:id="9031" w:name="_Toc509335283"/>
      <w:bookmarkStart w:id="9032" w:name="_Toc509335793"/>
      <w:bookmarkStart w:id="9033" w:name="_Toc509336736"/>
      <w:bookmarkStart w:id="9034" w:name="_Toc509337168"/>
      <w:bookmarkStart w:id="9035" w:name="_Toc509337595"/>
      <w:bookmarkStart w:id="9036" w:name="_Toc509338022"/>
      <w:bookmarkStart w:id="9037" w:name="_Toc509338352"/>
      <w:bookmarkStart w:id="9038" w:name="_Toc509382896"/>
      <w:bookmarkStart w:id="9039" w:name="_Toc509383328"/>
      <w:bookmarkStart w:id="9040" w:name="_Toc509384207"/>
      <w:bookmarkStart w:id="9041" w:name="_Toc509404900"/>
      <w:bookmarkStart w:id="9042" w:name="_Toc509310854"/>
      <w:bookmarkStart w:id="9043" w:name="_Toc509311252"/>
      <w:bookmarkStart w:id="9044" w:name="_Toc509311667"/>
      <w:bookmarkStart w:id="9045" w:name="_Toc509312114"/>
      <w:bookmarkStart w:id="9046" w:name="_Toc509312540"/>
      <w:bookmarkStart w:id="9047" w:name="_Toc509312861"/>
      <w:bookmarkStart w:id="9048" w:name="_Toc509313201"/>
      <w:bookmarkStart w:id="9049" w:name="_Toc509313602"/>
      <w:bookmarkStart w:id="9050" w:name="_Toc509317041"/>
      <w:bookmarkStart w:id="9051" w:name="_Toc509317354"/>
      <w:bookmarkStart w:id="9052" w:name="_Toc509317646"/>
      <w:bookmarkStart w:id="9053" w:name="_Toc509317959"/>
      <w:bookmarkStart w:id="9054" w:name="_Toc509318272"/>
      <w:bookmarkStart w:id="9055" w:name="_Toc509319266"/>
      <w:bookmarkStart w:id="9056" w:name="_Toc509319628"/>
      <w:bookmarkStart w:id="9057" w:name="_Toc509320402"/>
      <w:bookmarkStart w:id="9058" w:name="_Toc509322374"/>
      <w:bookmarkStart w:id="9059" w:name="_Toc509322698"/>
      <w:bookmarkStart w:id="9060" w:name="_Toc509323200"/>
      <w:bookmarkStart w:id="9061" w:name="_Toc509323573"/>
      <w:bookmarkStart w:id="9062" w:name="_Toc509323897"/>
      <w:bookmarkStart w:id="9063" w:name="_Toc509324221"/>
      <w:bookmarkStart w:id="9064" w:name="_Toc509324590"/>
      <w:bookmarkStart w:id="9065" w:name="_Toc509324959"/>
      <w:bookmarkStart w:id="9066" w:name="_Toc509325328"/>
      <w:bookmarkStart w:id="9067" w:name="_Toc509325697"/>
      <w:bookmarkStart w:id="9068" w:name="_Toc509326072"/>
      <w:bookmarkStart w:id="9069" w:name="_Toc509326447"/>
      <w:bookmarkStart w:id="9070" w:name="_Toc509326822"/>
      <w:bookmarkStart w:id="9071" w:name="_Toc509327197"/>
      <w:bookmarkStart w:id="9072" w:name="_Toc509327513"/>
      <w:bookmarkStart w:id="9073" w:name="_Toc509327888"/>
      <w:bookmarkStart w:id="9074" w:name="_Toc509328263"/>
      <w:bookmarkStart w:id="9075" w:name="_Toc509333055"/>
      <w:bookmarkStart w:id="9076" w:name="_Toc509333468"/>
      <w:bookmarkStart w:id="9077" w:name="_Toc509333881"/>
      <w:bookmarkStart w:id="9078" w:name="_Toc509335284"/>
      <w:bookmarkStart w:id="9079" w:name="_Toc509335794"/>
      <w:bookmarkStart w:id="9080" w:name="_Toc509336737"/>
      <w:bookmarkStart w:id="9081" w:name="_Toc509337169"/>
      <w:bookmarkStart w:id="9082" w:name="_Toc509337596"/>
      <w:bookmarkStart w:id="9083" w:name="_Toc509338023"/>
      <w:bookmarkStart w:id="9084" w:name="_Toc509338353"/>
      <w:bookmarkStart w:id="9085" w:name="_Toc509382897"/>
      <w:bookmarkStart w:id="9086" w:name="_Toc509383329"/>
      <w:bookmarkStart w:id="9087" w:name="_Toc509384208"/>
      <w:bookmarkStart w:id="9088" w:name="_Toc509404901"/>
      <w:bookmarkStart w:id="9089" w:name="_Toc509312542"/>
      <w:bookmarkStart w:id="9090" w:name="_Toc509312863"/>
      <w:bookmarkStart w:id="9091" w:name="_Toc509313203"/>
      <w:bookmarkStart w:id="9092" w:name="_Toc509313604"/>
      <w:bookmarkStart w:id="9093" w:name="_Toc509317043"/>
      <w:bookmarkStart w:id="9094" w:name="_Toc509317356"/>
      <w:bookmarkStart w:id="9095" w:name="_Toc509317648"/>
      <w:bookmarkStart w:id="9096" w:name="_Toc509317961"/>
      <w:bookmarkStart w:id="9097" w:name="_Toc509318274"/>
      <w:bookmarkStart w:id="9098" w:name="_Toc509319268"/>
      <w:bookmarkStart w:id="9099" w:name="_Toc509319630"/>
      <w:bookmarkStart w:id="9100" w:name="_Toc509320404"/>
      <w:bookmarkStart w:id="9101" w:name="_Toc509322376"/>
      <w:bookmarkStart w:id="9102" w:name="_Toc509322700"/>
      <w:bookmarkStart w:id="9103" w:name="_Toc509323202"/>
      <w:bookmarkStart w:id="9104" w:name="_Toc509323575"/>
      <w:bookmarkStart w:id="9105" w:name="_Toc509323899"/>
      <w:bookmarkStart w:id="9106" w:name="_Toc509324223"/>
      <w:bookmarkStart w:id="9107" w:name="_Toc509324592"/>
      <w:bookmarkStart w:id="9108" w:name="_Toc509324961"/>
      <w:bookmarkStart w:id="9109" w:name="_Toc509325330"/>
      <w:bookmarkStart w:id="9110" w:name="_Toc509325699"/>
      <w:bookmarkStart w:id="9111" w:name="_Toc509326074"/>
      <w:bookmarkStart w:id="9112" w:name="_Toc509326449"/>
      <w:bookmarkStart w:id="9113" w:name="_Toc509326824"/>
      <w:bookmarkStart w:id="9114" w:name="_Toc509327199"/>
      <w:bookmarkStart w:id="9115" w:name="_Toc509327515"/>
      <w:bookmarkStart w:id="9116" w:name="_Toc509327890"/>
      <w:bookmarkStart w:id="9117" w:name="_Toc509328265"/>
      <w:bookmarkStart w:id="9118" w:name="_Toc509333057"/>
      <w:bookmarkStart w:id="9119" w:name="_Toc509333470"/>
      <w:bookmarkStart w:id="9120" w:name="_Toc509333883"/>
      <w:bookmarkStart w:id="9121" w:name="_Toc509335286"/>
      <w:bookmarkStart w:id="9122" w:name="_Toc509335796"/>
      <w:bookmarkStart w:id="9123" w:name="_Toc509336739"/>
      <w:bookmarkStart w:id="9124" w:name="_Toc509337171"/>
      <w:bookmarkStart w:id="9125" w:name="_Toc509337598"/>
      <w:bookmarkStart w:id="9126" w:name="_Toc509338025"/>
      <w:bookmarkStart w:id="9127" w:name="_Toc509338355"/>
      <w:bookmarkStart w:id="9128" w:name="_Toc509382899"/>
      <w:bookmarkStart w:id="9129" w:name="_Toc509383331"/>
      <w:bookmarkStart w:id="9130" w:name="_Toc509384210"/>
      <w:bookmarkStart w:id="9131" w:name="_Toc509404903"/>
      <w:bookmarkStart w:id="9132" w:name="_Toc509310856"/>
      <w:bookmarkStart w:id="9133" w:name="_Toc509311254"/>
      <w:bookmarkStart w:id="9134" w:name="_Toc509311669"/>
      <w:bookmarkStart w:id="9135" w:name="_Toc509312116"/>
      <w:bookmarkStart w:id="9136" w:name="_Toc509312543"/>
      <w:bookmarkStart w:id="9137" w:name="_Toc509312864"/>
      <w:bookmarkStart w:id="9138" w:name="_Toc509313204"/>
      <w:bookmarkStart w:id="9139" w:name="_Toc509313605"/>
      <w:bookmarkStart w:id="9140" w:name="_Toc509317044"/>
      <w:bookmarkStart w:id="9141" w:name="_Toc509317357"/>
      <w:bookmarkStart w:id="9142" w:name="_Toc509317649"/>
      <w:bookmarkStart w:id="9143" w:name="_Toc509317962"/>
      <w:bookmarkStart w:id="9144" w:name="_Toc509318275"/>
      <w:bookmarkStart w:id="9145" w:name="_Toc509319269"/>
      <w:bookmarkStart w:id="9146" w:name="_Toc509319631"/>
      <w:bookmarkStart w:id="9147" w:name="_Toc509320405"/>
      <w:bookmarkStart w:id="9148" w:name="_Toc509322377"/>
      <w:bookmarkStart w:id="9149" w:name="_Toc509322701"/>
      <w:bookmarkStart w:id="9150" w:name="_Toc509323203"/>
      <w:bookmarkStart w:id="9151" w:name="_Toc509323576"/>
      <w:bookmarkStart w:id="9152" w:name="_Toc509323900"/>
      <w:bookmarkStart w:id="9153" w:name="_Toc509324224"/>
      <w:bookmarkStart w:id="9154" w:name="_Toc509324593"/>
      <w:bookmarkStart w:id="9155" w:name="_Toc509324962"/>
      <w:bookmarkStart w:id="9156" w:name="_Toc509325331"/>
      <w:bookmarkStart w:id="9157" w:name="_Toc509325700"/>
      <w:bookmarkStart w:id="9158" w:name="_Toc509326075"/>
      <w:bookmarkStart w:id="9159" w:name="_Toc509326450"/>
      <w:bookmarkStart w:id="9160" w:name="_Toc509326825"/>
      <w:bookmarkStart w:id="9161" w:name="_Toc509327200"/>
      <w:bookmarkStart w:id="9162" w:name="_Toc509327516"/>
      <w:bookmarkStart w:id="9163" w:name="_Toc509327891"/>
      <w:bookmarkStart w:id="9164" w:name="_Toc509328266"/>
      <w:bookmarkStart w:id="9165" w:name="_Toc509333058"/>
      <w:bookmarkStart w:id="9166" w:name="_Toc509333471"/>
      <w:bookmarkStart w:id="9167" w:name="_Toc509333884"/>
      <w:bookmarkStart w:id="9168" w:name="_Toc509335287"/>
      <w:bookmarkStart w:id="9169" w:name="_Toc509335797"/>
      <w:bookmarkStart w:id="9170" w:name="_Toc509336740"/>
      <w:bookmarkStart w:id="9171" w:name="_Toc509337172"/>
      <w:bookmarkStart w:id="9172" w:name="_Toc509337599"/>
      <w:bookmarkStart w:id="9173" w:name="_Toc509338026"/>
      <w:bookmarkStart w:id="9174" w:name="_Toc509338356"/>
      <w:bookmarkStart w:id="9175" w:name="_Toc509382900"/>
      <w:bookmarkStart w:id="9176" w:name="_Toc509383332"/>
      <w:bookmarkStart w:id="9177" w:name="_Toc509384211"/>
      <w:bookmarkStart w:id="9178" w:name="_Toc509404904"/>
      <w:bookmarkStart w:id="9179" w:name="_Toc508287426"/>
      <w:bookmarkStart w:id="9180" w:name="_Toc508724938"/>
      <w:bookmarkStart w:id="9181" w:name="_Toc508733481"/>
      <w:bookmarkStart w:id="9182" w:name="_Toc508735114"/>
      <w:bookmarkStart w:id="9183" w:name="_Toc508809737"/>
      <w:bookmarkStart w:id="9184" w:name="_Toc509069272"/>
      <w:bookmarkStart w:id="9185" w:name="_Toc509313290"/>
      <w:bookmarkStart w:id="9186" w:name="_Toc509323901"/>
      <w:bookmarkStart w:id="9187" w:name="_Toc509327517"/>
      <w:bookmarkStart w:id="9188" w:name="_Toc509333059"/>
      <w:bookmarkStart w:id="9189" w:name="_Toc509334725"/>
      <w:bookmarkStart w:id="9190" w:name="_Toc509338027"/>
      <w:bookmarkStart w:id="9191" w:name="_Toc510517863"/>
      <w:bookmarkStart w:id="9192" w:name="_Toc510613011"/>
      <w:bookmarkStart w:id="9193" w:name="_Toc510683727"/>
      <w:bookmarkStart w:id="9194" w:name="_Ref514671916"/>
      <w:bookmarkStart w:id="9195" w:name="_Ref514671927"/>
      <w:bookmarkStart w:id="9196" w:name="_Toc515348898"/>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r>
        <w:rPr>
          <w:noProof/>
          <w:szCs w:val="24"/>
        </w:rPr>
        <w:t>How will performance be monitored and evaluated?</w:t>
      </w:r>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pPr>
        <w:spacing w:after="120" w:line="264" w:lineRule="auto"/>
        <w:rPr>
          <w:rFonts w:cs="Times New Roman"/>
          <w:noProof/>
          <w:szCs w:val="24"/>
        </w:rPr>
      </w:pPr>
      <w:r>
        <w:rPr>
          <w:rFonts w:cs="Times New Roman"/>
          <w:noProof/>
          <w:szCs w:val="24"/>
        </w:rPr>
        <w:t xml:space="preserve">The InvestEU Fund's aim is to better leverage and use EU funds, simplify and streamline rules, avoid duplications, and achieve better policy delivery. Therefore, focused reporting, monitoring and evaluation arrangements will be key to measure the degree of the progress. </w:t>
      </w:r>
    </w:p>
    <w:p>
      <w:pPr>
        <w:spacing w:after="120" w:line="264" w:lineRule="auto"/>
        <w:rPr>
          <w:rFonts w:cs="Times New Roman"/>
          <w:noProof/>
          <w:szCs w:val="24"/>
        </w:rPr>
      </w:pPr>
      <w:r>
        <w:rPr>
          <w:rFonts w:cs="Times New Roman"/>
          <w:noProof/>
          <w:szCs w:val="24"/>
        </w:rPr>
        <w:t xml:space="preserve">Performance monitoring will be carried out both at overall InvestEU Fund level and at policy window level. The Commission will develop performance indicators to assess the impacts of the InvestEU Fund intervention at the general level and for the specific policy objectives. </w:t>
      </w:r>
    </w:p>
    <w:p>
      <w:pPr>
        <w:spacing w:after="120" w:line="264" w:lineRule="auto"/>
        <w:rPr>
          <w:rFonts w:cs="Times New Roman"/>
          <w:noProof/>
          <w:szCs w:val="24"/>
        </w:rPr>
      </w:pPr>
      <w:r>
        <w:rPr>
          <w:rFonts w:cs="Times New Roman"/>
          <w:noProof/>
          <w:szCs w:val="24"/>
        </w:rPr>
        <w:t xml:space="preserve">At InvestEU Fund level, in line with the provisions of the amended Financial Regulation, the InvestEU Fund regulation will put forward several indicators based on the common policy objectives, while the measurement mechanisms for these indicators will be developed in advance of the implementation of the new regulation. Given the policy nature of this instrument, the success of this instrument would not only be measured against the overall volume of investment mobilised, as it was the case for the EFSI, but also through more targeted impact indicators identified under each policy window or of a cross-cutting nature. Several of these indicators would mirror the corresponding impact indicators being developed under the structural funds so as to be able to measure the combined effort of the EU towards important policy priorities. Sectoral information reported at NACE level 2 would also be provided. </w:t>
      </w:r>
    </w:p>
    <w:p>
      <w:pPr>
        <w:spacing w:after="120" w:line="264" w:lineRule="auto"/>
        <w:rPr>
          <w:rFonts w:cs="Times New Roman"/>
          <w:noProof/>
          <w:szCs w:val="24"/>
        </w:rPr>
      </w:pPr>
      <w:r>
        <w:rPr>
          <w:rFonts w:cs="Times New Roman"/>
          <w:noProof/>
          <w:szCs w:val="24"/>
        </w:rPr>
        <w:t xml:space="preserve">The targets under each policy window will measure performance related to the specific policy challenges and will thus be more detailed and granular. Policy specific indicators will be developed upon the design of the financing products to be deployed under each window, and will comprise the measurement of progress towards achieving specific policy objectives, such as sustainability of infrastructure and climate investments, reduction of emissions, CO2 mitigation/ GHG reductions/ avoidance/ capture, investment in R&amp;I, support of jobs and growth, and energy efficiency targets. </w:t>
      </w:r>
    </w:p>
    <w:p>
      <w:pPr>
        <w:spacing w:after="120" w:line="264" w:lineRule="auto"/>
        <w:rPr>
          <w:rFonts w:cs="Times New Roman"/>
          <w:noProof/>
          <w:szCs w:val="24"/>
        </w:rPr>
      </w:pPr>
      <w:r>
        <w:rPr>
          <w:rFonts w:cs="Times New Roman"/>
          <w:noProof/>
          <w:szCs w:val="24"/>
        </w:rPr>
        <w:t xml:space="preserve">Annex 7 includes the list of core indicators that could be used under the InvestEU Fund. In addition to these core indicators, more detailed indicators will be included in the investment guidelines or guarantee agreements on the basis of the specific financial products to be deployed. Moreover, specific indicators will be developed for the InvestEU Advisory and the InvestEU Portal. </w:t>
      </w:r>
    </w:p>
    <w:p>
      <w:pPr>
        <w:spacing w:after="120" w:line="264" w:lineRule="auto"/>
        <w:rPr>
          <w:rFonts w:cs="Times New Roman"/>
          <w:noProof/>
          <w:szCs w:val="24"/>
        </w:rPr>
      </w:pPr>
      <w:r>
        <w:rPr>
          <w:rFonts w:cs="Times New Roman"/>
          <w:noProof/>
          <w:szCs w:val="24"/>
        </w:rPr>
        <w:t>A more detailed example of performance and monitoring indicators for the SME window is included in Annex 8, as well as in Annex 9 for the Social investment and skills Window.</w:t>
      </w:r>
    </w:p>
    <w:p>
      <w:pPr>
        <w:spacing w:after="120" w:line="264" w:lineRule="auto"/>
        <w:rPr>
          <w:rFonts w:cs="Times New Roman"/>
          <w:noProof/>
          <w:szCs w:val="24"/>
        </w:rPr>
      </w:pPr>
      <w:r>
        <w:rPr>
          <w:rFonts w:cs="Times New Roman"/>
          <w:noProof/>
          <w:szCs w:val="24"/>
        </w:rPr>
        <w:t xml:space="preserve">While Policy Boards will design specific impact measurements and indicators for each policy window, the overall performance and monitoring system will be approved by the InvestEU Fund Steering Board. Concrete and measurable targets for the support provided under the InvestEU Fund and under each policy window level will be set in the guidance of the Steering Board. </w:t>
      </w:r>
    </w:p>
    <w:p>
      <w:pPr>
        <w:spacing w:after="120" w:line="264" w:lineRule="auto"/>
        <w:rPr>
          <w:rFonts w:cs="Times New Roman"/>
          <w:noProof/>
          <w:szCs w:val="24"/>
        </w:rPr>
      </w:pPr>
      <w:r>
        <w:rPr>
          <w:rFonts w:cs="Times New Roman"/>
          <w:noProof/>
          <w:szCs w:val="24"/>
        </w:rPr>
        <w:t>The required data will be collected from implementing partners.</w:t>
      </w:r>
    </w:p>
    <w:p>
      <w:pPr>
        <w:spacing w:after="120" w:line="264" w:lineRule="auto"/>
        <w:rPr>
          <w:rFonts w:cs="Times New Roman"/>
          <w:noProof/>
          <w:szCs w:val="24"/>
        </w:rPr>
      </w:pPr>
    </w:p>
    <w:p>
      <w:pPr>
        <w:spacing w:after="120" w:line="264" w:lineRule="auto"/>
        <w:rPr>
          <w:rFonts w:cs="Times New Roman"/>
          <w:noProof/>
          <w:szCs w:val="24"/>
        </w:rPr>
      </w:pPr>
    </w:p>
    <w:p>
      <w:pPr>
        <w:spacing w:after="120" w:line="264" w:lineRule="auto"/>
        <w:rPr>
          <w:rFonts w:cs="Times New Roman"/>
          <w:noProof/>
          <w:szCs w:val="24"/>
        </w:rPr>
      </w:pPr>
    </w:p>
    <w:p>
      <w:pPr>
        <w:spacing w:after="120" w:line="264" w:lineRule="auto"/>
        <w:rPr>
          <w:rFonts w:cs="Times New Roman"/>
          <w:b/>
          <w:noProof/>
          <w:szCs w:val="24"/>
        </w:rPr>
      </w:pPr>
      <w:r>
        <w:rPr>
          <w:rFonts w:cs="Times New Roman"/>
          <w:b/>
          <w:noProof/>
          <w:szCs w:val="24"/>
        </w:rPr>
        <w:t>Monitoring and evaluations</w:t>
      </w:r>
    </w:p>
    <w:p>
      <w:pPr>
        <w:spacing w:after="120" w:line="264" w:lineRule="auto"/>
        <w:rPr>
          <w:rFonts w:cs="Times New Roman"/>
          <w:noProof/>
          <w:color w:val="000000"/>
          <w:szCs w:val="24"/>
        </w:rPr>
      </w:pPr>
      <w:r>
        <w:rPr>
          <w:rFonts w:cs="Times New Roman"/>
          <w:noProof/>
          <w:szCs w:val="24"/>
        </w:rPr>
        <w:t xml:space="preserve">The Commission in cooperation with the implementing partners will monitor the performance and implementation of the InvestEU Fund. </w:t>
      </w:r>
      <w:r>
        <w:rPr>
          <w:rFonts w:cs="Times New Roman"/>
          <w:noProof/>
          <w:color w:val="000000"/>
          <w:szCs w:val="24"/>
        </w:rPr>
        <w:t>Monitoring will be undertaken in line with the requirements laid down in the Financial Regulation.</w:t>
      </w:r>
    </w:p>
    <w:p>
      <w:pPr>
        <w:spacing w:after="120" w:line="264" w:lineRule="auto"/>
        <w:rPr>
          <w:rFonts w:cs="Times New Roman"/>
          <w:b/>
          <w:noProof/>
          <w:szCs w:val="24"/>
        </w:rPr>
      </w:pPr>
      <w:r>
        <w:rPr>
          <w:rFonts w:cs="Times New Roman"/>
          <w:noProof/>
          <w:color w:val="000000"/>
          <w:szCs w:val="24"/>
        </w:rPr>
        <w:t xml:space="preserve">Monitoring indicators may not be sufficient to provide an adequate evaluation of the effects of the programme. For this reason, it is foreseen to plan for impact evaluations of the effects of specific projects/interventions on selected outcomes (measured on intermediate/end users), along with the relevant data collection at the appropriate level of granularity. </w:t>
      </w:r>
    </w:p>
    <w:p>
      <w:pPr>
        <w:spacing w:after="120" w:line="264" w:lineRule="auto"/>
        <w:rPr>
          <w:rFonts w:cs="Times New Roman"/>
          <w:noProof/>
          <w:szCs w:val="24"/>
        </w:rPr>
      </w:pPr>
      <w:r>
        <w:rPr>
          <w:rFonts w:cs="Times New Roman"/>
          <w:noProof/>
          <w:szCs w:val="24"/>
        </w:rPr>
        <w:t>The Commission will perform external evaluations of the InvestEU Fund. They will thoroughly assess the InvestEU Fund’s performance in terms of relevance, effectiveness, efficiency and EU added value. The first interim evaluation will be carried out in 2025 so as to assess the initial progress and to inform the decision making process on the successor instrument. The final evaluation will take place after the implementation period. These evaluations will also address causality between the intervention and the observed results.</w:t>
      </w:r>
    </w:p>
    <w:p>
      <w:pPr>
        <w:spacing w:after="120" w:line="264" w:lineRule="auto"/>
        <w:rPr>
          <w:rFonts w:cs="Times New Roman"/>
          <w:noProof/>
          <w:szCs w:val="24"/>
        </w:rPr>
        <w:sectPr>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418" w:header="601" w:footer="471" w:gutter="0"/>
          <w:pgNumType w:start="1"/>
          <w:cols w:space="720"/>
          <w:titlePg/>
          <w:docGrid w:linePitch="326"/>
        </w:sectPr>
      </w:pPr>
      <w:r>
        <w:rPr>
          <w:rFonts w:cs="Times New Roman"/>
          <w:noProof/>
          <w:szCs w:val="24"/>
        </w:rPr>
        <w:t xml:space="preserve"> </w:t>
      </w:r>
    </w:p>
    <w:p>
      <w:pPr>
        <w:pStyle w:val="Heading1"/>
        <w:numPr>
          <w:ilvl w:val="0"/>
          <w:numId w:val="0"/>
        </w:numPr>
        <w:spacing w:before="0" w:after="120" w:line="264" w:lineRule="auto"/>
        <w:ind w:left="432"/>
        <w:rPr>
          <w:noProof/>
          <w:szCs w:val="24"/>
        </w:rPr>
      </w:pPr>
      <w:bookmarkStart w:id="9197" w:name="_Toc509335799"/>
      <w:bookmarkStart w:id="9198" w:name="_Toc509336742"/>
      <w:bookmarkStart w:id="9199" w:name="_Toc508287431"/>
      <w:bookmarkStart w:id="9200" w:name="_Toc509313295"/>
      <w:bookmarkStart w:id="9201" w:name="_Toc509323902"/>
      <w:bookmarkStart w:id="9202" w:name="_Toc509327518"/>
      <w:bookmarkStart w:id="9203" w:name="_Toc509333060"/>
      <w:bookmarkStart w:id="9204" w:name="_Toc509334730"/>
      <w:bookmarkStart w:id="9205" w:name="_Toc509338028"/>
      <w:bookmarkStart w:id="9206" w:name="_Toc510517864"/>
      <w:bookmarkStart w:id="9207" w:name="_Toc510613012"/>
      <w:bookmarkStart w:id="9208" w:name="_Toc510683728"/>
      <w:bookmarkStart w:id="9209" w:name="_Toc515348899"/>
      <w:bookmarkEnd w:id="9197"/>
      <w:bookmarkEnd w:id="9198"/>
      <w:r>
        <w:rPr>
          <w:noProof/>
          <w:szCs w:val="24"/>
        </w:rPr>
        <w:t>Annex 1: Procedural information</w:t>
      </w:r>
      <w:bookmarkEnd w:id="9199"/>
      <w:bookmarkEnd w:id="9200"/>
      <w:bookmarkEnd w:id="9201"/>
      <w:bookmarkEnd w:id="9202"/>
      <w:bookmarkEnd w:id="9203"/>
      <w:bookmarkEnd w:id="9204"/>
      <w:bookmarkEnd w:id="9205"/>
      <w:bookmarkEnd w:id="9206"/>
      <w:bookmarkEnd w:id="9207"/>
      <w:bookmarkEnd w:id="9208"/>
      <w:bookmarkEnd w:id="9209"/>
    </w:p>
    <w:p>
      <w:pPr>
        <w:spacing w:after="120" w:line="264" w:lineRule="auto"/>
        <w:rPr>
          <w:rFonts w:cs="Times New Roman"/>
          <w:b/>
          <w:noProof/>
          <w:szCs w:val="24"/>
        </w:rPr>
      </w:pPr>
    </w:p>
    <w:p>
      <w:pPr>
        <w:spacing w:after="120" w:line="264" w:lineRule="auto"/>
        <w:rPr>
          <w:rFonts w:cs="Times New Roman"/>
          <w:b/>
          <w:noProof/>
          <w:szCs w:val="24"/>
        </w:rPr>
      </w:pPr>
      <w:bookmarkStart w:id="9210" w:name="_Toc471997754"/>
      <w:bookmarkStart w:id="9211" w:name="_Toc508287432"/>
      <w:bookmarkStart w:id="9212" w:name="_Toc508724943"/>
      <w:bookmarkStart w:id="9213" w:name="_Toc508733486"/>
      <w:bookmarkStart w:id="9214" w:name="_Toc508735119"/>
      <w:bookmarkStart w:id="9215" w:name="_Toc508809742"/>
      <w:bookmarkStart w:id="9216" w:name="_Toc509069277"/>
      <w:r>
        <w:rPr>
          <w:rFonts w:cs="Times New Roman"/>
          <w:b/>
          <w:noProof/>
          <w:szCs w:val="24"/>
        </w:rPr>
        <w:t>Lead DG(s), D</w:t>
      </w:r>
      <w:r>
        <w:rPr>
          <w:rFonts w:cs="Times New Roman"/>
          <w:b/>
          <w:i/>
          <w:noProof/>
          <w:szCs w:val="24"/>
        </w:rPr>
        <w:t>e</w:t>
      </w:r>
      <w:r>
        <w:rPr>
          <w:rFonts w:cs="Times New Roman"/>
          <w:b/>
          <w:noProof/>
          <w:szCs w:val="24"/>
        </w:rPr>
        <w:t>cide Planning/CWP references</w:t>
      </w:r>
      <w:bookmarkEnd w:id="9210"/>
      <w:bookmarkEnd w:id="9211"/>
      <w:bookmarkEnd w:id="9212"/>
      <w:bookmarkEnd w:id="9213"/>
      <w:bookmarkEnd w:id="9214"/>
      <w:bookmarkEnd w:id="9215"/>
      <w:bookmarkEnd w:id="9216"/>
    </w:p>
    <w:p>
      <w:pPr>
        <w:spacing w:after="120" w:line="264" w:lineRule="auto"/>
        <w:rPr>
          <w:rFonts w:cs="Times New Roman"/>
          <w:noProof/>
          <w:szCs w:val="24"/>
        </w:rPr>
      </w:pPr>
      <w:r>
        <w:rPr>
          <w:rFonts w:cs="Times New Roman"/>
          <w:noProof/>
          <w:szCs w:val="24"/>
        </w:rPr>
        <w:t xml:space="preserve">The Directorate-General (DG) for Economic and Financial Affairs (ECFIN) was leading the preparation of this initiative and the work on the impact assessment in the European Commission. </w:t>
      </w:r>
    </w:p>
    <w:p>
      <w:pPr>
        <w:spacing w:after="120" w:line="264" w:lineRule="auto"/>
        <w:rPr>
          <w:rFonts w:cs="Times New Roman"/>
          <w:noProof/>
          <w:szCs w:val="24"/>
        </w:rPr>
      </w:pPr>
      <w:r>
        <w:rPr>
          <w:rFonts w:cs="Times New Roman"/>
          <w:noProof/>
          <w:szCs w:val="24"/>
        </w:rPr>
        <w:t>Coordination and consultation with all the other relevant Commission departments was organised in the context of the existing Financial Instruments Inter-service Expert Group (FIIEG). DG ECFIN together with DG Budget chaired discussions regarding this initiative. Nine FIIEG meetings dedicated entirely to the InvestEU Programme were organised from December 2017 to March 2018</w:t>
      </w:r>
      <w:r>
        <w:rPr>
          <w:rStyle w:val="FootnoteReference"/>
          <w:rFonts w:cs="Times New Roman"/>
          <w:noProof/>
          <w:szCs w:val="24"/>
        </w:rPr>
        <w:footnoteReference w:id="72"/>
      </w:r>
      <w:r>
        <w:rPr>
          <w:rFonts w:cs="Times New Roman"/>
          <w:noProof/>
          <w:szCs w:val="24"/>
        </w:rPr>
        <w:t xml:space="preserve">. The following Commission services participated in the group: Secretariat General, Legal Service, Economic and Financial Affairs, Budget Competition, Internal Market, Industry, Entrepreneurship and SMEs, Climate Action, Communications Networks, Content and Technology, Employment, Social Affairs &amp; Inclusion, Energy, Environment, Mobility and Transport, Research and Innovation, Agriculture, Anti-fraud Office, Education and Culture, Executive Agency for SMEs, Financial Stability, Financial Services and Capital Markets Union, Health and Food Safety, International Cooperation and Development, Joint Research Centre, Maritime Affairs and Fisheries, Migration and Home Affairs, Neighbourhood and Enlargement Negotiations, Regional and Urban Policy, Taxation and Customs Union. </w:t>
      </w:r>
    </w:p>
    <w:p>
      <w:pPr>
        <w:spacing w:after="120" w:line="264" w:lineRule="auto"/>
        <w:rPr>
          <w:rFonts w:cs="Times New Roman"/>
          <w:b/>
          <w:noProof/>
          <w:szCs w:val="24"/>
        </w:rPr>
      </w:pPr>
      <w:bookmarkStart w:id="9217" w:name="_Toc471997755"/>
      <w:bookmarkStart w:id="9218" w:name="_Toc508287433"/>
      <w:bookmarkStart w:id="9219" w:name="_Toc508724944"/>
      <w:bookmarkStart w:id="9220" w:name="_Toc508733487"/>
      <w:bookmarkStart w:id="9221" w:name="_Toc508735120"/>
      <w:bookmarkStart w:id="9222" w:name="_Toc508809743"/>
      <w:bookmarkStart w:id="9223" w:name="_Toc509069278"/>
      <w:r>
        <w:rPr>
          <w:rFonts w:cs="Times New Roman"/>
          <w:b/>
          <w:noProof/>
          <w:szCs w:val="24"/>
        </w:rPr>
        <w:t>Organisation and timing</w:t>
      </w:r>
      <w:bookmarkEnd w:id="9217"/>
      <w:bookmarkEnd w:id="9218"/>
      <w:bookmarkEnd w:id="9219"/>
      <w:bookmarkEnd w:id="9220"/>
      <w:bookmarkEnd w:id="9221"/>
      <w:bookmarkEnd w:id="9222"/>
      <w:bookmarkEnd w:id="9223"/>
    </w:p>
    <w:p>
      <w:pPr>
        <w:spacing w:after="120" w:line="264" w:lineRule="auto"/>
        <w:rPr>
          <w:rFonts w:cs="Times New Roman"/>
          <w:noProof/>
          <w:szCs w:val="24"/>
        </w:rPr>
      </w:pPr>
      <w:r>
        <w:rPr>
          <w:rFonts w:cs="Times New Roman"/>
          <w:noProof/>
          <w:szCs w:val="24"/>
        </w:rPr>
        <w:t>This Impact Assessment was prepared based on experience and past evaluation of the EFSI and other centrally managed financial instruments. The preliminary work and analysis started in second half of 2017 and intensified in 2018 through extensive consultation and exchanges with above mentioned Commission services. An external consultants led by ICF Mostra provided some additional support for this Impact Assessment.</w:t>
      </w:r>
    </w:p>
    <w:p>
      <w:pPr>
        <w:spacing w:after="120" w:line="264" w:lineRule="auto"/>
        <w:rPr>
          <w:rFonts w:cs="Times New Roman"/>
          <w:b/>
          <w:noProof/>
          <w:szCs w:val="24"/>
        </w:rPr>
      </w:pPr>
      <w:bookmarkStart w:id="9224" w:name="_Toc471997757"/>
      <w:bookmarkStart w:id="9225" w:name="_Toc508287434"/>
      <w:bookmarkStart w:id="9226" w:name="_Toc508724945"/>
      <w:bookmarkStart w:id="9227" w:name="_Toc508733488"/>
      <w:bookmarkStart w:id="9228" w:name="_Toc508735121"/>
      <w:bookmarkStart w:id="9229" w:name="_Toc508809744"/>
      <w:bookmarkStart w:id="9230" w:name="_Toc509069279"/>
      <w:r>
        <w:rPr>
          <w:rFonts w:cs="Times New Roman"/>
          <w:b/>
          <w:noProof/>
          <w:szCs w:val="24"/>
        </w:rPr>
        <w:t>Consultation of the RSB</w:t>
      </w:r>
      <w:bookmarkEnd w:id="9224"/>
      <w:bookmarkEnd w:id="9225"/>
      <w:bookmarkEnd w:id="9226"/>
      <w:bookmarkEnd w:id="9227"/>
      <w:bookmarkEnd w:id="9228"/>
      <w:bookmarkEnd w:id="9229"/>
      <w:bookmarkEnd w:id="9230"/>
    </w:p>
    <w:p>
      <w:pPr>
        <w:spacing w:line="264" w:lineRule="auto"/>
        <w:rPr>
          <w:rFonts w:cs="Times New Roman"/>
          <w:iCs/>
          <w:noProof/>
          <w:szCs w:val="24"/>
        </w:rPr>
      </w:pPr>
      <w:r>
        <w:rPr>
          <w:rFonts w:cs="Times New Roman"/>
          <w:iCs/>
          <w:noProof/>
          <w:szCs w:val="24"/>
        </w:rPr>
        <w:t>An informal upstream meeting was held on 2 February 2018 with Regulatory Scrutiny Board (RSB) representatives and the participation of SG, DG BUDG, DG ECFIN, DG GROW, DG CNECT and JRC. During this discussion, Board members provided early feedback and advice on the basis of the inception impact assessment. Board members' feedback did not prejudge in any way the subsequent formal deliberations of the RSB.</w:t>
      </w:r>
    </w:p>
    <w:p>
      <w:pPr>
        <w:spacing w:line="264" w:lineRule="auto"/>
        <w:rPr>
          <w:rFonts w:cs="Times New Roman"/>
          <w:iCs/>
          <w:noProof/>
          <w:szCs w:val="24"/>
        </w:rPr>
      </w:pPr>
      <w:r>
        <w:rPr>
          <w:rFonts w:cs="Times New Roman"/>
          <w:iCs/>
          <w:noProof/>
          <w:szCs w:val="24"/>
        </w:rPr>
        <w:t xml:space="preserve">The RSB scrutiny took place on 25 April 2018. The board gave a positive opinion with reservations that have all been addressed in the revised version of the impact assessment report. </w:t>
      </w:r>
    </w:p>
    <w:p>
      <w:pPr>
        <w:spacing w:line="264" w:lineRule="auto"/>
        <w:rPr>
          <w:rFonts w:cs="Times New Roman"/>
          <w:iCs/>
          <w:noProof/>
          <w:szCs w:val="24"/>
        </w:rPr>
      </w:pPr>
      <w:r>
        <w:rPr>
          <w:rFonts w:cs="Times New Roman"/>
          <w:iCs/>
          <w:noProof/>
          <w:szCs w:val="24"/>
        </w:rPr>
        <w:t>The table below summarises the changes introduced to this Impact Assessment in response to the Board’s main considerations:</w:t>
      </w:r>
    </w:p>
    <w:tbl>
      <w:tblPr>
        <w:tblStyle w:val="TableGrid"/>
        <w:tblW w:w="0" w:type="auto"/>
        <w:tblLook w:val="04A0" w:firstRow="1" w:lastRow="0" w:firstColumn="1" w:lastColumn="0" w:noHBand="0" w:noVBand="1"/>
      </w:tblPr>
      <w:tblGrid>
        <w:gridCol w:w="4668"/>
        <w:gridCol w:w="4902"/>
      </w:tblGrid>
      <w:tr>
        <w:trPr>
          <w:trHeight w:val="543"/>
        </w:trPr>
        <w:tc>
          <w:tcPr>
            <w:tcW w:w="4668" w:type="dxa"/>
            <w:vAlign w:val="center"/>
          </w:tcPr>
          <w:p>
            <w:pPr>
              <w:spacing w:after="0" w:line="264" w:lineRule="auto"/>
              <w:rPr>
                <w:b/>
                <w:iCs/>
                <w:noProof/>
                <w:sz w:val="22"/>
                <w:szCs w:val="24"/>
              </w:rPr>
            </w:pPr>
            <w:r>
              <w:rPr>
                <w:b/>
                <w:iCs/>
                <w:noProof/>
                <w:sz w:val="22"/>
                <w:szCs w:val="24"/>
              </w:rPr>
              <w:t>Main RSB considerations:</w:t>
            </w:r>
          </w:p>
        </w:tc>
        <w:tc>
          <w:tcPr>
            <w:tcW w:w="4902" w:type="dxa"/>
            <w:vAlign w:val="center"/>
          </w:tcPr>
          <w:p>
            <w:pPr>
              <w:spacing w:after="0" w:line="264" w:lineRule="auto"/>
              <w:rPr>
                <w:b/>
                <w:iCs/>
                <w:noProof/>
                <w:sz w:val="22"/>
                <w:szCs w:val="24"/>
              </w:rPr>
            </w:pPr>
            <w:r>
              <w:rPr>
                <w:b/>
                <w:iCs/>
                <w:noProof/>
                <w:sz w:val="22"/>
                <w:szCs w:val="24"/>
              </w:rPr>
              <w:t>Changes made to the Impact Assessment</w:t>
            </w:r>
          </w:p>
        </w:tc>
      </w:tr>
      <w:tr>
        <w:tc>
          <w:tcPr>
            <w:tcW w:w="4668" w:type="dxa"/>
          </w:tcPr>
          <w:p>
            <w:pPr>
              <w:spacing w:after="0" w:line="264" w:lineRule="auto"/>
              <w:rPr>
                <w:iCs/>
                <w:noProof/>
                <w:sz w:val="22"/>
                <w:szCs w:val="24"/>
              </w:rPr>
            </w:pPr>
            <w:r>
              <w:rPr>
                <w:iCs/>
                <w:noProof/>
                <w:sz w:val="22"/>
                <w:szCs w:val="24"/>
              </w:rPr>
              <w:t>The report does not sufficiently explain how InvestEU will avoid financing overlaps. These can be either internal, among its thematic windows, or external, with instruments funded directly by the Member States under European structural and investment funds (ESIF).</w:t>
            </w:r>
          </w:p>
        </w:tc>
        <w:tc>
          <w:tcPr>
            <w:tcW w:w="4902" w:type="dxa"/>
            <w:shd w:val="clear" w:color="auto" w:fill="auto"/>
          </w:tcPr>
          <w:p>
            <w:pPr>
              <w:spacing w:after="0" w:line="264" w:lineRule="auto"/>
              <w:rPr>
                <w:iCs/>
                <w:noProof/>
                <w:sz w:val="22"/>
                <w:szCs w:val="24"/>
              </w:rPr>
            </w:pPr>
            <w:r>
              <w:rPr>
                <w:iCs/>
                <w:noProof/>
                <w:sz w:val="22"/>
                <w:szCs w:val="24"/>
              </w:rPr>
              <w:t xml:space="preserve">Section 3.5 was redrafted to better explain the current overlaps and how the potential overlaps will be avoided. </w:t>
            </w:r>
          </w:p>
          <w:p>
            <w:pPr>
              <w:spacing w:after="0" w:line="264" w:lineRule="auto"/>
              <w:rPr>
                <w:iCs/>
                <w:noProof/>
                <w:sz w:val="22"/>
                <w:szCs w:val="24"/>
              </w:rPr>
            </w:pPr>
            <w:r>
              <w:rPr>
                <w:iCs/>
                <w:noProof/>
                <w:sz w:val="22"/>
                <w:szCs w:val="24"/>
              </w:rPr>
              <w:t xml:space="preserve">More details are included in Annex 12. This includes two tables analysing the currently observed potential overlaps of SME products under centrally managed FIs for debt and equity products. Moreover, section 3.1 explains how InvestEU will address the identified shortcomings and lessons learnt with existing instruments. </w:t>
            </w:r>
          </w:p>
        </w:tc>
      </w:tr>
      <w:tr>
        <w:tc>
          <w:tcPr>
            <w:tcW w:w="4668" w:type="dxa"/>
          </w:tcPr>
          <w:p>
            <w:pPr>
              <w:spacing w:line="264" w:lineRule="auto"/>
              <w:rPr>
                <w:iCs/>
                <w:noProof/>
                <w:sz w:val="22"/>
                <w:szCs w:val="24"/>
              </w:rPr>
            </w:pPr>
            <w:r>
              <w:rPr>
                <w:iCs/>
                <w:noProof/>
                <w:sz w:val="22"/>
                <w:szCs w:val="24"/>
              </w:rPr>
              <w:t>The report does not elaborate on the choice of the envisaged complex governance structure of the Fund. It does not sufficiently explain the functioning of the new structure and to what extent this would constitute an improvement, as compared to the current situation.</w:t>
            </w:r>
          </w:p>
        </w:tc>
        <w:tc>
          <w:tcPr>
            <w:tcW w:w="4902" w:type="dxa"/>
          </w:tcPr>
          <w:p>
            <w:pPr>
              <w:spacing w:line="264" w:lineRule="auto"/>
              <w:rPr>
                <w:iCs/>
                <w:noProof/>
                <w:sz w:val="22"/>
                <w:szCs w:val="24"/>
              </w:rPr>
            </w:pPr>
            <w:r>
              <w:rPr>
                <w:iCs/>
                <w:noProof/>
                <w:sz w:val="22"/>
                <w:szCs w:val="24"/>
              </w:rPr>
              <w:t xml:space="preserve">Additional drafting has been provided in section 3.4 that explains in detail the reasons for the choice of the governance structure and the role of different bodies. This includes also a comparison of the governance arrangements currently in use for the EFSI and the FIs with the one proposed under the InvestEU Fund. Annex 13 includes detailed figures that represent the current governance arrangement with those proposed under the InvestEU Fund. </w:t>
            </w:r>
          </w:p>
        </w:tc>
      </w:tr>
      <w:tr>
        <w:tc>
          <w:tcPr>
            <w:tcW w:w="4668" w:type="dxa"/>
          </w:tcPr>
          <w:p>
            <w:pPr>
              <w:spacing w:line="264" w:lineRule="auto"/>
              <w:rPr>
                <w:iCs/>
                <w:noProof/>
                <w:sz w:val="22"/>
                <w:szCs w:val="24"/>
              </w:rPr>
            </w:pPr>
            <w:r>
              <w:rPr>
                <w:noProof/>
                <w:sz w:val="22"/>
                <w:szCs w:val="24"/>
              </w:rPr>
              <w:t xml:space="preserve"> </w:t>
            </w:r>
            <w:r>
              <w:rPr>
                <w:iCs/>
                <w:noProof/>
                <w:sz w:val="22"/>
                <w:szCs w:val="24"/>
              </w:rPr>
              <w:t>The report should elaborate on possible higher risk-taking by the EU budget related to the increased use of financial instruments and the lower provisioning rates implied by the recourse to a global guarantee. The report should describe how the risk assessment function would be organised within the governance structure of InvestEU. It should explain how this would effectively protect the interests of the EU budget from undue or excessive risk-taking. To assess the overall risk to the established budget guarantee, the report should clarify the issue of assessing individual provisioning rates, the ensuing overall provisioning rate for the Fund and risk sharing and its rationale between the EU budget and the implementing partners. Moreover, it should provide more details on the allocation of the budget guarantee across thematic windows and sectors.</w:t>
            </w:r>
          </w:p>
        </w:tc>
        <w:tc>
          <w:tcPr>
            <w:tcW w:w="4902" w:type="dxa"/>
          </w:tcPr>
          <w:p>
            <w:pPr>
              <w:spacing w:line="264" w:lineRule="auto"/>
              <w:rPr>
                <w:iCs/>
                <w:noProof/>
                <w:sz w:val="22"/>
                <w:szCs w:val="24"/>
              </w:rPr>
            </w:pPr>
            <w:r>
              <w:rPr>
                <w:iCs/>
                <w:noProof/>
                <w:sz w:val="22"/>
                <w:szCs w:val="24"/>
              </w:rPr>
              <w:t>Additional clarifications on the assumptions for the foreseen level of risk and the provisioning rates have been added to section 5.2 "Budgetary Guarantee". An overview of the indicative allocation of the budgetary guarantee has been added to section 3 "Programme Structure and Priorities". Further explanations concerning the risk assessment function within the governance structure have been added to section 3.4 "Governance".</w:t>
            </w:r>
          </w:p>
        </w:tc>
      </w:tr>
      <w:tr>
        <w:tc>
          <w:tcPr>
            <w:tcW w:w="4668" w:type="dxa"/>
          </w:tcPr>
          <w:p>
            <w:pPr>
              <w:spacing w:line="264" w:lineRule="auto"/>
              <w:rPr>
                <w:iCs/>
                <w:noProof/>
                <w:sz w:val="22"/>
                <w:szCs w:val="24"/>
              </w:rPr>
            </w:pPr>
            <w:r>
              <w:rPr>
                <w:iCs/>
                <w:noProof/>
                <w:sz w:val="22"/>
                <w:szCs w:val="24"/>
              </w:rPr>
              <w:t>In addition, past EFSI evaluations have also stressed the need to improve the geographical distribution in finance provisioning. Building on the experience with EFSI, the report should better explain how the Fund would deal with geographical distribution, given the overall bottom-up approach to financing projects. It should also thoroughly describe the mitigating measures that the proposal envisages to put in place.</w:t>
            </w:r>
          </w:p>
        </w:tc>
        <w:tc>
          <w:tcPr>
            <w:tcW w:w="4902" w:type="dxa"/>
          </w:tcPr>
          <w:p>
            <w:pPr>
              <w:spacing w:line="264" w:lineRule="auto"/>
              <w:rPr>
                <w:iCs/>
                <w:noProof/>
                <w:sz w:val="22"/>
                <w:szCs w:val="24"/>
              </w:rPr>
            </w:pPr>
            <w:r>
              <w:rPr>
                <w:iCs/>
                <w:noProof/>
                <w:sz w:val="22"/>
                <w:szCs w:val="24"/>
              </w:rPr>
              <w:t xml:space="preserve">A new section (3.6 - </w:t>
            </w:r>
            <w:r>
              <w:rPr>
                <w:noProof/>
                <w:sz w:val="22"/>
                <w:szCs w:val="24"/>
              </w:rPr>
              <w:t>Geographical distribution</w:t>
            </w:r>
            <w:r>
              <w:rPr>
                <w:iCs/>
                <w:noProof/>
                <w:sz w:val="22"/>
                <w:szCs w:val="24"/>
              </w:rPr>
              <w:t>) was introduced to the report providing details on how the design of the InvestEU Fund will ensure a balanced geographical distribution and avoid concentrations of the EU support.</w:t>
            </w:r>
          </w:p>
        </w:tc>
      </w:tr>
    </w:tbl>
    <w:p>
      <w:pPr>
        <w:spacing w:after="120" w:line="264" w:lineRule="auto"/>
        <w:rPr>
          <w:rFonts w:cs="Times New Roman"/>
          <w:b/>
          <w:noProof/>
          <w:szCs w:val="24"/>
        </w:rPr>
      </w:pPr>
      <w:bookmarkStart w:id="9231" w:name="_Toc471997758"/>
      <w:bookmarkStart w:id="9232" w:name="_Toc508287435"/>
      <w:bookmarkStart w:id="9233" w:name="_Toc508724946"/>
      <w:bookmarkStart w:id="9234" w:name="_Toc508733489"/>
      <w:bookmarkStart w:id="9235" w:name="_Toc508735122"/>
      <w:bookmarkStart w:id="9236" w:name="_Toc508809745"/>
      <w:bookmarkStart w:id="9237" w:name="_Toc509069280"/>
    </w:p>
    <w:p>
      <w:pPr>
        <w:spacing w:after="120" w:line="264" w:lineRule="auto"/>
        <w:rPr>
          <w:rFonts w:cs="Times New Roman"/>
          <w:b/>
          <w:noProof/>
          <w:szCs w:val="24"/>
        </w:rPr>
      </w:pPr>
    </w:p>
    <w:p>
      <w:pPr>
        <w:spacing w:after="120" w:line="264" w:lineRule="auto"/>
        <w:rPr>
          <w:rFonts w:cs="Times New Roman"/>
          <w:b/>
          <w:noProof/>
          <w:szCs w:val="24"/>
        </w:rPr>
      </w:pPr>
    </w:p>
    <w:p>
      <w:pPr>
        <w:spacing w:after="120" w:line="264" w:lineRule="auto"/>
        <w:rPr>
          <w:rFonts w:cs="Times New Roman"/>
          <w:b/>
          <w:noProof/>
          <w:szCs w:val="24"/>
        </w:rPr>
      </w:pPr>
    </w:p>
    <w:p>
      <w:pPr>
        <w:spacing w:after="120" w:line="264" w:lineRule="auto"/>
        <w:rPr>
          <w:rFonts w:cs="Times New Roman"/>
          <w:b/>
          <w:noProof/>
          <w:szCs w:val="24"/>
        </w:rPr>
      </w:pPr>
      <w:r>
        <w:rPr>
          <w:rFonts w:cs="Times New Roman"/>
          <w:b/>
          <w:noProof/>
          <w:szCs w:val="24"/>
        </w:rPr>
        <w:t>Evidence, sources and quality</w:t>
      </w:r>
      <w:bookmarkEnd w:id="9231"/>
      <w:bookmarkEnd w:id="9232"/>
      <w:bookmarkEnd w:id="9233"/>
      <w:bookmarkEnd w:id="9234"/>
      <w:bookmarkEnd w:id="9235"/>
      <w:bookmarkEnd w:id="9236"/>
      <w:bookmarkEnd w:id="9237"/>
    </w:p>
    <w:p>
      <w:pPr>
        <w:spacing w:after="120" w:line="264" w:lineRule="auto"/>
        <w:rPr>
          <w:rFonts w:cs="Times New Roman"/>
          <w:i/>
          <w:noProof/>
          <w:szCs w:val="24"/>
          <w:u w:val="single"/>
        </w:rPr>
      </w:pPr>
      <w:r>
        <w:rPr>
          <w:rFonts w:cs="Times New Roman"/>
          <w:i/>
          <w:noProof/>
          <w:szCs w:val="24"/>
          <w:u w:val="single"/>
        </w:rPr>
        <w:t xml:space="preserve">Sustainable infrastructure window </w:t>
      </w:r>
    </w:p>
    <w:p>
      <w:pPr>
        <w:spacing w:after="120" w:line="264" w:lineRule="auto"/>
        <w:jc w:val="left"/>
        <w:rPr>
          <w:rFonts w:cs="Times New Roman"/>
          <w:noProof/>
          <w:szCs w:val="24"/>
        </w:rPr>
      </w:pPr>
      <w:r>
        <w:rPr>
          <w:rFonts w:cs="Times New Roman"/>
          <w:noProof/>
          <w:szCs w:val="24"/>
        </w:rPr>
        <w:t xml:space="preserve">TEN-T Work Plans: </w:t>
      </w:r>
      <w:hyperlink r:id="rId43" w:history="1">
        <w:r>
          <w:rPr>
            <w:rStyle w:val="Hyperlink"/>
            <w:rFonts w:cs="Times New Roman"/>
            <w:noProof/>
            <w:szCs w:val="24"/>
          </w:rPr>
          <w:t>https://ec.europa.eu/transport/themes/infrastructure_en</w:t>
        </w:r>
      </w:hyperlink>
    </w:p>
    <w:p>
      <w:pPr>
        <w:spacing w:after="120" w:line="264" w:lineRule="auto"/>
        <w:jc w:val="left"/>
        <w:rPr>
          <w:rFonts w:cs="Times New Roman"/>
          <w:noProof/>
          <w:szCs w:val="24"/>
        </w:rPr>
      </w:pPr>
      <w:r>
        <w:rPr>
          <w:rFonts w:cs="Times New Roman"/>
          <w:noProof/>
          <w:szCs w:val="24"/>
        </w:rPr>
        <w:t xml:space="preserve">EIB, </w:t>
      </w:r>
      <w:r>
        <w:rPr>
          <w:rFonts w:cs="Times New Roman"/>
          <w:i/>
          <w:noProof/>
          <w:szCs w:val="24"/>
        </w:rPr>
        <w:t xml:space="preserve">Investment Report 2017/2018 – From Recovery to Sustainable Growth </w:t>
      </w:r>
      <w:hyperlink r:id="rId44" w:history="1">
        <w:r>
          <w:rPr>
            <w:rStyle w:val="Hyperlink"/>
            <w:rFonts w:cs="Times New Roman"/>
            <w:noProof/>
            <w:szCs w:val="24"/>
          </w:rPr>
          <w:t>http://www.eib.org/infocentre/publications/all/investment-report-2017.htm</w:t>
        </w:r>
      </w:hyperlink>
    </w:p>
    <w:p>
      <w:pPr>
        <w:spacing w:after="120" w:line="264" w:lineRule="auto"/>
        <w:jc w:val="left"/>
        <w:rPr>
          <w:rFonts w:cs="Times New Roman"/>
          <w:noProof/>
          <w:szCs w:val="24"/>
        </w:rPr>
      </w:pPr>
      <w:r>
        <w:rPr>
          <w:rFonts w:cs="Times New Roman"/>
          <w:noProof/>
          <w:szCs w:val="24"/>
        </w:rPr>
        <w:t xml:space="preserve">EIB, Restoring EU Competitiveness 2016 - </w:t>
      </w:r>
      <w:hyperlink r:id="rId45" w:history="1">
        <w:r>
          <w:rPr>
            <w:rStyle w:val="Hyperlink"/>
            <w:rFonts w:cs="Times New Roman"/>
            <w:noProof/>
            <w:szCs w:val="24"/>
          </w:rPr>
          <w:t>http://www.eib.org/attachments/efs/restoring_eu_competitiveness_en.pdf</w:t>
        </w:r>
      </w:hyperlink>
      <w:r>
        <w:rPr>
          <w:rFonts w:cs="Times New Roman"/>
          <w:noProof/>
          <w:szCs w:val="24"/>
        </w:rPr>
        <w:t xml:space="preserve"> </w:t>
      </w:r>
    </w:p>
    <w:p>
      <w:pPr>
        <w:spacing w:after="120" w:line="264" w:lineRule="auto"/>
        <w:jc w:val="left"/>
        <w:rPr>
          <w:rFonts w:cs="Times New Roman"/>
          <w:noProof/>
          <w:szCs w:val="24"/>
        </w:rPr>
      </w:pPr>
      <w:r>
        <w:rPr>
          <w:rFonts w:cs="Times New Roman"/>
          <w:noProof/>
          <w:szCs w:val="24"/>
        </w:rPr>
        <w:t xml:space="preserve">European Commission, 2016, Clean Energy for all Europeans, COM(2016) 860 final - </w:t>
      </w:r>
      <w:hyperlink r:id="rId46" w:history="1">
        <w:r>
          <w:rPr>
            <w:rStyle w:val="Hyperlink"/>
            <w:rFonts w:cs="Times New Roman"/>
            <w:noProof/>
            <w:szCs w:val="24"/>
          </w:rPr>
          <w:t>https://ec.europa.eu/transparency/regdoc/rep/1/2016/EN/COM-2016-860-F1-EN-MAIN.PDF</w:t>
        </w:r>
      </w:hyperlink>
    </w:p>
    <w:p>
      <w:pPr>
        <w:spacing w:after="120" w:line="264" w:lineRule="auto"/>
        <w:jc w:val="left"/>
        <w:rPr>
          <w:rFonts w:cs="Times New Roman"/>
          <w:noProof/>
          <w:szCs w:val="24"/>
        </w:rPr>
      </w:pPr>
      <w:r>
        <w:rPr>
          <w:rFonts w:cs="Times New Roman"/>
          <w:noProof/>
          <w:szCs w:val="24"/>
        </w:rPr>
        <w:t xml:space="preserve">European Commission, 2016, </w:t>
      </w:r>
      <w:r>
        <w:rPr>
          <w:rFonts w:cs="Times New Roman"/>
          <w:i/>
          <w:noProof/>
          <w:szCs w:val="24"/>
        </w:rPr>
        <w:t>Climate change and major projects</w:t>
      </w:r>
      <w:r>
        <w:rPr>
          <w:rFonts w:cs="Times New Roman"/>
          <w:noProof/>
          <w:szCs w:val="24"/>
        </w:rPr>
        <w:t xml:space="preserve">: </w:t>
      </w:r>
      <w:hyperlink r:id="rId47" w:history="1">
        <w:r>
          <w:rPr>
            <w:rStyle w:val="Hyperlink"/>
            <w:rFonts w:cs="Times New Roman"/>
            <w:noProof/>
            <w:szCs w:val="24"/>
          </w:rPr>
          <w:t>https://ec.europa.eu/clima/sites/clima/files/docs/major_projects_en.pdf</w:t>
        </w:r>
      </w:hyperlink>
    </w:p>
    <w:p>
      <w:pPr>
        <w:spacing w:after="120" w:line="264" w:lineRule="auto"/>
        <w:jc w:val="left"/>
        <w:rPr>
          <w:rFonts w:cs="Times New Roman"/>
          <w:noProof/>
          <w:szCs w:val="24"/>
        </w:rPr>
      </w:pPr>
      <w:r>
        <w:rPr>
          <w:rFonts w:cs="Times New Roman"/>
          <w:noProof/>
          <w:szCs w:val="24"/>
        </w:rPr>
        <w:t xml:space="preserve">European Commission, 2018, Action Plan Financing Sustainable Growth, COM(2018) 97 final - </w:t>
      </w:r>
      <w:hyperlink r:id="rId48" w:history="1">
        <w:r>
          <w:rPr>
            <w:rStyle w:val="Hyperlink"/>
            <w:rFonts w:cs="Times New Roman"/>
            <w:noProof/>
            <w:szCs w:val="24"/>
          </w:rPr>
          <w:t>https://ec.europa.eu/transparency/regdoc/rep/1/2018/EN/COM-2018-97-F1-EN-MAIN-PART-1.PDF</w:t>
        </w:r>
      </w:hyperlink>
    </w:p>
    <w:p>
      <w:pPr>
        <w:spacing w:after="120" w:line="264" w:lineRule="auto"/>
        <w:jc w:val="left"/>
        <w:rPr>
          <w:rFonts w:cs="Times New Roman"/>
          <w:noProof/>
          <w:szCs w:val="24"/>
        </w:rPr>
      </w:pPr>
      <w:r>
        <w:rPr>
          <w:rFonts w:cs="Times New Roman"/>
          <w:noProof/>
          <w:szCs w:val="24"/>
        </w:rPr>
        <w:t xml:space="preserve">European Commission, 2018, Financing a Sustainable European Economy by the High-Level Expert Group on Sustainable Finance, Final Report 2018 </w:t>
      </w:r>
      <w:hyperlink r:id="rId49" w:history="1">
        <w:r>
          <w:rPr>
            <w:rStyle w:val="Hyperlink"/>
            <w:rFonts w:cs="Times New Roman"/>
            <w:noProof/>
            <w:szCs w:val="24"/>
          </w:rPr>
          <w:t>https://ec.europa.eu/info/publications/180131-sustainable-finance-report_en</w:t>
        </w:r>
      </w:hyperlink>
    </w:p>
    <w:p>
      <w:pPr>
        <w:spacing w:after="120" w:line="264" w:lineRule="auto"/>
        <w:rPr>
          <w:rFonts w:cs="Times New Roman"/>
          <w:b/>
          <w:noProof/>
          <w:szCs w:val="24"/>
        </w:rPr>
      </w:pPr>
    </w:p>
    <w:p>
      <w:pPr>
        <w:spacing w:after="120" w:line="264" w:lineRule="auto"/>
        <w:rPr>
          <w:rFonts w:cs="Times New Roman"/>
          <w:i/>
          <w:noProof/>
          <w:szCs w:val="24"/>
          <w:u w:val="single"/>
        </w:rPr>
      </w:pPr>
      <w:r>
        <w:rPr>
          <w:rFonts w:cs="Times New Roman"/>
          <w:i/>
          <w:noProof/>
          <w:szCs w:val="24"/>
          <w:u w:val="single"/>
        </w:rPr>
        <w:t xml:space="preserve">Research, innovation and digitalisation Window </w:t>
      </w:r>
    </w:p>
    <w:p>
      <w:pPr>
        <w:spacing w:after="120" w:line="264" w:lineRule="auto"/>
        <w:jc w:val="left"/>
        <w:rPr>
          <w:rFonts w:cs="Times New Roman"/>
          <w:noProof/>
          <w:szCs w:val="24"/>
        </w:rPr>
      </w:pPr>
      <w:r>
        <w:rPr>
          <w:rFonts w:cs="Times New Roman"/>
          <w:noProof/>
          <w:szCs w:val="24"/>
        </w:rPr>
        <w:t>DG RTD, 2013, Independent Expert Group (IEG), Second interim evaluation of the RSFF, Final Report - http://ec.europa.eu/research/evaluations/pdf/archive/other_reports_studies_and_documents/interim_evaluation_report_rsff.pdf</w:t>
      </w:r>
      <w:r>
        <w:rPr>
          <w:rStyle w:val="FootnoteReference"/>
          <w:rFonts w:cs="Times New Roman"/>
          <w:noProof/>
          <w:szCs w:val="24"/>
        </w:rPr>
        <w:t xml:space="preserve"> </w:t>
      </w:r>
      <w:r>
        <w:rPr>
          <w:rFonts w:cs="Times New Roman"/>
          <w:noProof/>
          <w:szCs w:val="24"/>
        </w:rPr>
        <w:t>;</w:t>
      </w:r>
    </w:p>
    <w:p>
      <w:pPr>
        <w:spacing w:after="120" w:line="264" w:lineRule="auto"/>
        <w:jc w:val="left"/>
        <w:rPr>
          <w:rFonts w:cs="Times New Roman"/>
          <w:noProof/>
          <w:szCs w:val="24"/>
        </w:rPr>
      </w:pPr>
      <w:r>
        <w:rPr>
          <w:rFonts w:cs="Times New Roman"/>
          <w:noProof/>
          <w:szCs w:val="24"/>
        </w:rPr>
        <w:t>EIB Working Papers, 2016/08, Intangible investment in the EU and US before and since the Great Recession and its contribution to productivity growth - http://www.eib.org/attachments/efs/economics_working_paper_2016_08_en.pdf</w:t>
      </w:r>
      <w:r>
        <w:rPr>
          <w:rStyle w:val="FootnoteReference"/>
          <w:rFonts w:cs="Times New Roman"/>
          <w:noProof/>
          <w:szCs w:val="24"/>
        </w:rPr>
        <w:t xml:space="preserve"> </w:t>
      </w:r>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EIB, 2014, MidCap Growth Finance, Flexible financing for innovative mid-cap companies - </w:t>
      </w:r>
      <w:hyperlink r:id="rId50" w:history="1">
        <w:r>
          <w:rPr>
            <w:rStyle w:val="Hyperlink"/>
            <w:rFonts w:cs="Times New Roman"/>
            <w:noProof/>
            <w:szCs w:val="24"/>
          </w:rPr>
          <w:t>http://www.eib.org/attachments/general/events/20141211_innovfin_oslo_mgf_workshop_en.pdf</w:t>
        </w:r>
      </w:hyperlink>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EIB, 2014, Unlocking lending in Europe - </w:t>
      </w:r>
      <w:hyperlink r:id="rId51" w:history="1">
        <w:r>
          <w:rPr>
            <w:rStyle w:val="Hyperlink"/>
            <w:rFonts w:cs="Times New Roman"/>
            <w:noProof/>
            <w:szCs w:val="24"/>
          </w:rPr>
          <w:t>http://www.eib.org/attachments/efs/economic_report_unlocking_lending_in_europe_en.pdf</w:t>
        </w:r>
      </w:hyperlink>
    </w:p>
    <w:p>
      <w:pPr>
        <w:spacing w:after="120" w:line="264" w:lineRule="auto"/>
        <w:jc w:val="left"/>
        <w:rPr>
          <w:rFonts w:cs="Times New Roman"/>
          <w:noProof/>
          <w:szCs w:val="24"/>
        </w:rPr>
      </w:pPr>
      <w:r>
        <w:rPr>
          <w:rFonts w:cs="Times New Roman"/>
          <w:noProof/>
          <w:szCs w:val="24"/>
        </w:rPr>
        <w:t xml:space="preserve">EIB, 2015, Operations Evaluation: EIB group’s support to the knowledge economy 2007-2013 - </w:t>
      </w:r>
      <w:hyperlink r:id="rId52" w:history="1">
        <w:r>
          <w:rPr>
            <w:rStyle w:val="Hyperlink"/>
            <w:rFonts w:cs="Times New Roman"/>
            <w:noProof/>
            <w:szCs w:val="24"/>
          </w:rPr>
          <w:t>http://www.eib.org/attachments/ev/ev_support_to_knowledge_economy_en.pdf</w:t>
        </w:r>
      </w:hyperlink>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EIB, 2016, Investment and Investment Finance in Europe, Financing productivity growth - </w:t>
      </w:r>
      <w:hyperlink r:id="rId53" w:history="1">
        <w:r>
          <w:rPr>
            <w:rStyle w:val="Hyperlink"/>
            <w:rFonts w:cs="Times New Roman"/>
            <w:noProof/>
            <w:szCs w:val="24"/>
          </w:rPr>
          <w:t>http://www.eib.org/attachments/efs/investment_and_investment_finance_in_europe_2016_en.pdf</w:t>
        </w:r>
      </w:hyperlink>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European Commission, 2015, Action Plan on Building a Capital Markets Union, COM(2015) 468 final - </w:t>
      </w:r>
      <w:hyperlink r:id="rId54" w:history="1">
        <w:r>
          <w:rPr>
            <w:rStyle w:val="Hyperlink"/>
            <w:rFonts w:cs="Times New Roman"/>
            <w:noProof/>
            <w:szCs w:val="24"/>
          </w:rPr>
          <w:t>http://ec.europa.eu/transparency/regdoc/rep/1/2015/EN/1-2015-468-EN-F1-1.PDF</w:t>
        </w:r>
      </w:hyperlink>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European Commission, 2016, Accelerating Clean Energy Innovation, COM(2016) 763 final - </w:t>
      </w:r>
      <w:hyperlink r:id="rId55" w:history="1">
        <w:r>
          <w:rPr>
            <w:rStyle w:val="Hyperlink"/>
            <w:rFonts w:cs="Times New Roman"/>
            <w:noProof/>
            <w:szCs w:val="24"/>
          </w:rPr>
          <w:t>https://ec.europa.eu/energy/sites/ener/files/documents/1_en_act_part1_v6_0.pdf</w:t>
        </w:r>
      </w:hyperlink>
      <w:r>
        <w:rPr>
          <w:rFonts w:cs="Times New Roman"/>
          <w:noProof/>
          <w:szCs w:val="24"/>
        </w:rPr>
        <w:t>;</w:t>
      </w:r>
    </w:p>
    <w:p>
      <w:pPr>
        <w:spacing w:after="120" w:line="264" w:lineRule="auto"/>
        <w:jc w:val="left"/>
        <w:rPr>
          <w:rFonts w:cs="Times New Roman"/>
          <w:noProof/>
          <w:szCs w:val="24"/>
        </w:rPr>
      </w:pPr>
      <w:r>
        <w:rPr>
          <w:rFonts w:cs="Times New Roman"/>
          <w:noProof/>
          <w:szCs w:val="24"/>
        </w:rPr>
        <w:t xml:space="preserve">European Commission, 2016, Commission Staff Working Document, Activities relating to Financial Instruments, SWD(2016) 335 final - </w:t>
      </w:r>
      <w:hyperlink r:id="rId56" w:history="1">
        <w:r>
          <w:rPr>
            <w:rStyle w:val="Hyperlink"/>
            <w:rFonts w:cs="Times New Roman"/>
            <w:noProof/>
            <w:szCs w:val="24"/>
          </w:rPr>
          <w:t>https://eur-lex.europa.eu/legal-content/EN/TXT/PDF/?uri=CELEX:52016SC0335&amp;from=EN</w:t>
        </w:r>
      </w:hyperlink>
      <w:r>
        <w:rPr>
          <w:rFonts w:cs="Times New Roman"/>
          <w:noProof/>
          <w:szCs w:val="24"/>
        </w:rPr>
        <w:t xml:space="preserve">; </w:t>
      </w:r>
    </w:p>
    <w:p>
      <w:pPr>
        <w:spacing w:after="120" w:line="264" w:lineRule="auto"/>
        <w:jc w:val="left"/>
        <w:rPr>
          <w:rFonts w:cs="Times New Roman"/>
          <w:noProof/>
          <w:szCs w:val="24"/>
        </w:rPr>
      </w:pPr>
      <w:r>
        <w:rPr>
          <w:rFonts w:cs="Times New Roman"/>
          <w:noProof/>
          <w:szCs w:val="24"/>
        </w:rPr>
        <w:t>Brown, G. Martinsson, and B. Petersen (2012)" Do Financing Constraints Matter for R&amp;D?", European Economic Review, 56(8).</w:t>
      </w:r>
    </w:p>
    <w:p>
      <w:pPr>
        <w:spacing w:after="120" w:line="264" w:lineRule="auto"/>
        <w:jc w:val="left"/>
        <w:rPr>
          <w:rFonts w:cs="Times New Roman"/>
          <w:noProof/>
          <w:szCs w:val="24"/>
        </w:rPr>
      </w:pPr>
      <w:r>
        <w:rPr>
          <w:rFonts w:cs="Times New Roman"/>
          <w:noProof/>
          <w:szCs w:val="24"/>
        </w:rPr>
        <w:t>Carpenter, R, and B. Petersen (2002) "Capital market imperfections, high-tech investment, and new equity financing", The Economic Journal, 112.</w:t>
      </w:r>
    </w:p>
    <w:p>
      <w:pPr>
        <w:spacing w:after="120" w:line="264" w:lineRule="auto"/>
        <w:jc w:val="left"/>
        <w:rPr>
          <w:rFonts w:cs="Times New Roman"/>
          <w:noProof/>
          <w:szCs w:val="24"/>
        </w:rPr>
      </w:pPr>
      <w:r>
        <w:rPr>
          <w:rFonts w:cs="Times New Roman"/>
          <w:noProof/>
          <w:szCs w:val="24"/>
        </w:rPr>
        <w:t>Cincera, M., J. Ravet, and R. Veugelers (2016) "The sensitivity of R&amp;D investments to cash flows: comparing young and old EU and US leading innovators," Economics of Innovation and New Technology.</w:t>
      </w:r>
    </w:p>
    <w:p>
      <w:pPr>
        <w:spacing w:line="264" w:lineRule="auto"/>
        <w:jc w:val="left"/>
        <w:rPr>
          <w:rFonts w:cs="Times New Roman"/>
          <w:noProof/>
          <w:szCs w:val="24"/>
        </w:rPr>
      </w:pPr>
      <w:r>
        <w:rPr>
          <w:rFonts w:cs="Times New Roman"/>
          <w:noProof/>
          <w:szCs w:val="24"/>
        </w:rPr>
        <w:t>D'Este, P. et al (2012), "What Hampers Innovation? Revealed Barriers versus Deterring Barriers", Research Policy 41(2)</w:t>
      </w:r>
    </w:p>
    <w:p>
      <w:pPr>
        <w:spacing w:after="120" w:line="264" w:lineRule="auto"/>
        <w:jc w:val="left"/>
        <w:rPr>
          <w:rFonts w:cs="Times New Roman"/>
          <w:noProof/>
          <w:szCs w:val="24"/>
        </w:rPr>
      </w:pPr>
      <w:r>
        <w:rPr>
          <w:rFonts w:cs="Times New Roman"/>
          <w:noProof/>
          <w:szCs w:val="24"/>
        </w:rPr>
        <w:t xml:space="preserve">Hall, B, Moncada-Paterno, P, Montresor, S and A. Vezzani (2016) "Financing constraints, R&amp;D investments and innovative perfromances: new empirical evidence at the firm level for Europe". </w:t>
      </w:r>
      <w:r>
        <w:rPr>
          <w:rFonts w:cs="Times New Roman"/>
          <w:i/>
          <w:noProof/>
          <w:szCs w:val="24"/>
        </w:rPr>
        <w:t>Economics of Innovation and New Technology</w:t>
      </w:r>
      <w:r>
        <w:rPr>
          <w:rFonts w:cs="Times New Roman"/>
          <w:noProof/>
          <w:szCs w:val="24"/>
        </w:rPr>
        <w:t xml:space="preserve">.25:3, 183-196.  </w:t>
      </w:r>
    </w:p>
    <w:p>
      <w:pPr>
        <w:spacing w:line="264" w:lineRule="auto"/>
        <w:jc w:val="left"/>
        <w:rPr>
          <w:rFonts w:cs="Times New Roman"/>
          <w:noProof/>
          <w:szCs w:val="24"/>
        </w:rPr>
      </w:pPr>
      <w:r>
        <w:rPr>
          <w:rFonts w:cs="Times New Roman"/>
          <w:noProof/>
          <w:szCs w:val="24"/>
        </w:rPr>
        <w:t>IMF (2016), Fiscal Monitor: Acting Now, Acting Together, Washington, April.</w:t>
      </w:r>
    </w:p>
    <w:p>
      <w:pPr>
        <w:spacing w:line="264" w:lineRule="auto"/>
        <w:jc w:val="left"/>
        <w:rPr>
          <w:rFonts w:cs="Times New Roman"/>
          <w:noProof/>
          <w:szCs w:val="24"/>
        </w:rPr>
      </w:pPr>
      <w:r>
        <w:rPr>
          <w:rFonts w:cs="Times New Roman"/>
          <w:noProof/>
          <w:szCs w:val="24"/>
        </w:rPr>
        <w:t>OECD (2015) "The future of productivity", OECD, 2015.</w:t>
      </w:r>
    </w:p>
    <w:p>
      <w:pPr>
        <w:spacing w:after="120" w:line="264" w:lineRule="auto"/>
        <w:rPr>
          <w:rFonts w:cs="Times New Roman"/>
          <w:i/>
          <w:noProof/>
          <w:szCs w:val="24"/>
          <w:u w:val="single"/>
        </w:rPr>
      </w:pPr>
    </w:p>
    <w:p>
      <w:pPr>
        <w:spacing w:after="120" w:line="264" w:lineRule="auto"/>
        <w:rPr>
          <w:rFonts w:cs="Times New Roman"/>
          <w:i/>
          <w:noProof/>
          <w:szCs w:val="24"/>
          <w:u w:val="single"/>
        </w:rPr>
      </w:pPr>
      <w:r>
        <w:rPr>
          <w:rFonts w:cs="Times New Roman"/>
          <w:i/>
          <w:noProof/>
          <w:szCs w:val="24"/>
          <w:u w:val="single"/>
        </w:rPr>
        <w:t xml:space="preserve">SME Window </w:t>
      </w:r>
    </w:p>
    <w:p>
      <w:pPr>
        <w:spacing w:after="120" w:line="264" w:lineRule="auto"/>
        <w:rPr>
          <w:rFonts w:cs="Times New Roman"/>
          <w:noProof/>
          <w:szCs w:val="24"/>
        </w:rPr>
      </w:pPr>
      <w:r>
        <w:rPr>
          <w:rFonts w:cs="Times New Roman"/>
          <w:noProof/>
          <w:szCs w:val="24"/>
        </w:rPr>
        <w:t>SME Window: Cultural and Creative Sectors</w:t>
      </w:r>
    </w:p>
    <w:p>
      <w:pPr>
        <w:pStyle w:val="FootnoteText"/>
        <w:spacing w:after="120" w:line="264" w:lineRule="auto"/>
        <w:ind w:left="0" w:firstLine="0"/>
        <w:rPr>
          <w:rFonts w:cs="Times New Roman"/>
          <w:noProof/>
          <w:sz w:val="24"/>
          <w:szCs w:val="24"/>
        </w:rPr>
      </w:pPr>
      <w:r>
        <w:rPr>
          <w:rFonts w:cs="Times New Roman"/>
          <w:noProof/>
          <w:sz w:val="24"/>
          <w:szCs w:val="24"/>
        </w:rPr>
        <w:t xml:space="preserve">Survey on access to finance for cultural and creative sectors, </w:t>
      </w:r>
      <w:hyperlink r:id="rId57" w:history="1">
        <w:r>
          <w:rPr>
            <w:rStyle w:val="Hyperlink"/>
            <w:rFonts w:cs="Times New Roman"/>
            <w:noProof/>
            <w:sz w:val="24"/>
            <w:szCs w:val="24"/>
          </w:rPr>
          <w:t>http://ec.europa.eu/assets/eac/culture/library/studies/access-finance_en.pdf</w:t>
        </w:r>
      </w:hyperlink>
    </w:p>
    <w:p>
      <w:pPr>
        <w:pStyle w:val="FootnoteText"/>
        <w:spacing w:after="120" w:line="264" w:lineRule="auto"/>
        <w:ind w:left="0" w:firstLine="0"/>
        <w:rPr>
          <w:rFonts w:cs="Times New Roman"/>
          <w:noProof/>
          <w:sz w:val="24"/>
          <w:szCs w:val="24"/>
        </w:rPr>
      </w:pPr>
      <w:r>
        <w:rPr>
          <w:rFonts w:cs="Times New Roman"/>
          <w:noProof/>
          <w:sz w:val="24"/>
          <w:szCs w:val="24"/>
        </w:rPr>
        <w:t xml:space="preserve">Impact Assessment for Creative Europe (2014-2020) - </w:t>
      </w:r>
      <w:hyperlink r:id="rId58" w:history="1">
        <w:r>
          <w:rPr>
            <w:rStyle w:val="Hyperlink"/>
            <w:rFonts w:cs="Times New Roman"/>
            <w:noProof/>
            <w:sz w:val="24"/>
            <w:szCs w:val="24"/>
          </w:rPr>
          <w:t>http://ec.europa.eu/programmes/creative-europe/documents/ce-impact_en.pdf</w:t>
        </w:r>
      </w:hyperlink>
      <w:r>
        <w:rPr>
          <w:rFonts w:cs="Times New Roman"/>
          <w:noProof/>
          <w:sz w:val="24"/>
          <w:szCs w:val="24"/>
        </w:rPr>
        <w:t xml:space="preserve"> (Part III- Financial Instrument, pages 115-170)</w:t>
      </w:r>
    </w:p>
    <w:p>
      <w:pPr>
        <w:spacing w:after="120" w:line="264" w:lineRule="auto"/>
        <w:rPr>
          <w:rFonts w:cs="Times New Roman"/>
          <w:noProof/>
          <w:szCs w:val="24"/>
        </w:rPr>
      </w:pPr>
      <w:r>
        <w:rPr>
          <w:rFonts w:cs="Times New Roman"/>
          <w:noProof/>
          <w:szCs w:val="24"/>
        </w:rPr>
        <w:t xml:space="preserve">Good practice report "Towards more efficient financial ecosystems: innovative instruments to facilitate access to finance for the cultural and creative sectors" - </w:t>
      </w:r>
      <w:hyperlink r:id="rId59" w:history="1">
        <w:r>
          <w:rPr>
            <w:rStyle w:val="Hyperlink"/>
            <w:rFonts w:cs="Times New Roman"/>
            <w:noProof/>
            <w:color w:val="auto"/>
            <w:szCs w:val="24"/>
            <w:u w:val="none"/>
          </w:rPr>
          <w:t>https://ec.europa.eu/culture/news/2016/new-good-practice-report-innovative-financing-instruments-cultural-and-creative-sectors_en</w:t>
        </w:r>
      </w:hyperlink>
      <w:r>
        <w:rPr>
          <w:rFonts w:cs="Times New Roman"/>
          <w:noProof/>
          <w:szCs w:val="24"/>
        </w:rPr>
        <w:t xml:space="preserve"> </w:t>
      </w:r>
    </w:p>
    <w:p>
      <w:pPr>
        <w:spacing w:after="120" w:line="264" w:lineRule="auto"/>
        <w:rPr>
          <w:rStyle w:val="Hyperlink"/>
          <w:rFonts w:cs="Times New Roman"/>
          <w:noProof/>
          <w:color w:val="auto"/>
          <w:szCs w:val="24"/>
          <w:u w:val="none"/>
        </w:rPr>
      </w:pPr>
      <w:r>
        <w:rPr>
          <w:rFonts w:cs="Times New Roman"/>
          <w:noProof/>
          <w:szCs w:val="24"/>
        </w:rPr>
        <w:t xml:space="preserve">Report on a coherent EU policy for cultural and creative industries - </w:t>
      </w:r>
      <w:hyperlink r:id="rId60" w:history="1">
        <w:r>
          <w:rPr>
            <w:rStyle w:val="Hyperlink"/>
            <w:rFonts w:cs="Times New Roman"/>
            <w:noProof/>
            <w:color w:val="auto"/>
            <w:szCs w:val="24"/>
            <w:u w:val="none"/>
          </w:rPr>
          <w:t>http://www.europarl.europa.eu/sides/getDoc.do?type=REPORT&amp;reference=A8-2016-0357&amp;language=EN</w:t>
        </w:r>
      </w:hyperlink>
    </w:p>
    <w:p>
      <w:pPr>
        <w:spacing w:after="120" w:line="264" w:lineRule="auto"/>
        <w:rPr>
          <w:rFonts w:cs="Times New Roman"/>
          <w:noProof/>
          <w:szCs w:val="24"/>
        </w:rPr>
      </w:pPr>
    </w:p>
    <w:p>
      <w:pPr>
        <w:spacing w:after="120" w:line="264" w:lineRule="auto"/>
        <w:rPr>
          <w:rFonts w:cs="Times New Roman"/>
          <w:i/>
          <w:noProof/>
          <w:szCs w:val="24"/>
          <w:u w:val="single"/>
        </w:rPr>
      </w:pPr>
      <w:r>
        <w:rPr>
          <w:rFonts w:cs="Times New Roman"/>
          <w:i/>
          <w:noProof/>
          <w:szCs w:val="24"/>
          <w:u w:val="single"/>
        </w:rPr>
        <w:t>Social investment and skills window</w:t>
      </w:r>
    </w:p>
    <w:p>
      <w:pPr>
        <w:spacing w:after="120" w:line="264" w:lineRule="auto"/>
        <w:rPr>
          <w:rFonts w:cs="Times New Roman"/>
          <w:noProof/>
          <w:color w:val="1F497D"/>
          <w:szCs w:val="24"/>
        </w:rPr>
      </w:pPr>
      <w:r>
        <w:rPr>
          <w:rFonts w:cs="Times New Roman"/>
          <w:noProof/>
          <w:szCs w:val="24"/>
        </w:rPr>
        <w:t xml:space="preserve">Mid-term evaluation of the Erasmus+ Programme - </w:t>
      </w:r>
      <w:hyperlink r:id="rId61" w:history="1">
        <w:r>
          <w:rPr>
            <w:rStyle w:val="Hyperlink"/>
            <w:rFonts w:cs="Times New Roman"/>
            <w:noProof/>
            <w:szCs w:val="24"/>
          </w:rPr>
          <w:t>https://ec.europa.eu/assets/eac/erasmus-plus/eval/icf-volume2-student-loan.pdf</w:t>
        </w:r>
      </w:hyperlink>
    </w:p>
    <w:p>
      <w:pPr>
        <w:spacing w:after="120" w:line="264" w:lineRule="auto"/>
        <w:rPr>
          <w:rFonts w:cs="Times New Roman"/>
          <w:noProof/>
          <w:szCs w:val="24"/>
        </w:rPr>
      </w:pPr>
      <w:r>
        <w:rPr>
          <w:rFonts w:cs="Times New Roman"/>
          <w:noProof/>
          <w:szCs w:val="24"/>
        </w:rPr>
        <w:t xml:space="preserve">DG EAC, </w:t>
      </w:r>
      <w:r>
        <w:rPr>
          <w:rFonts w:cs="Times New Roman"/>
          <w:i/>
          <w:noProof/>
          <w:szCs w:val="24"/>
        </w:rPr>
        <w:t>Study on feasibility of an education and training investment platform</w:t>
      </w:r>
      <w:r>
        <w:rPr>
          <w:rFonts w:cs="Times New Roman"/>
          <w:noProof/>
          <w:szCs w:val="24"/>
        </w:rPr>
        <w:t xml:space="preserve"> (2017) </w:t>
      </w:r>
    </w:p>
    <w:p>
      <w:pPr>
        <w:spacing w:after="120" w:line="264" w:lineRule="auto"/>
        <w:rPr>
          <w:rFonts w:cs="Times New Roman"/>
          <w:noProof/>
          <w:szCs w:val="24"/>
        </w:rPr>
      </w:pPr>
      <w:r>
        <w:rPr>
          <w:rFonts w:cs="Times New Roman"/>
          <w:noProof/>
          <w:szCs w:val="24"/>
        </w:rPr>
        <w:t xml:space="preserve">Report of the High Level Task Force (HLTF) on Investing in Social Infrastructure - </w:t>
      </w:r>
      <w:hyperlink r:id="rId62" w:history="1">
        <w:r>
          <w:rPr>
            <w:rStyle w:val="Hyperlink"/>
            <w:rFonts w:cs="Times New Roman"/>
            <w:noProof/>
            <w:szCs w:val="24"/>
          </w:rPr>
          <w:t>http://eltia.eu/images/Boosting_investment_in_Social_Infrastructure_in_Europe.pdf</w:t>
        </w:r>
      </w:hyperlink>
      <w:r>
        <w:rPr>
          <w:rFonts w:cs="Times New Roman"/>
          <w:noProof/>
          <w:szCs w:val="24"/>
        </w:rPr>
        <w:t xml:space="preserve"> </w:t>
      </w:r>
    </w:p>
    <w:p>
      <w:pPr>
        <w:spacing w:after="120" w:line="264" w:lineRule="auto"/>
        <w:rPr>
          <w:rFonts w:eastAsia="Calibri" w:cs="Times New Roman"/>
          <w:noProof/>
          <w:szCs w:val="24"/>
        </w:rPr>
      </w:pPr>
      <w:r>
        <w:rPr>
          <w:rFonts w:eastAsia="Calibri" w:cs="Times New Roman"/>
          <w:noProof/>
          <w:szCs w:val="24"/>
        </w:rPr>
        <w:t xml:space="preserve">CEEP (2017) CEEP response to the reflection paper on the future of EU finances - </w:t>
      </w:r>
      <w:hyperlink r:id="rId63" w:history="1">
        <w:r>
          <w:rPr>
            <w:rStyle w:val="Hyperlink"/>
            <w:rFonts w:cs="Times New Roman"/>
            <w:noProof/>
            <w:szCs w:val="24"/>
          </w:rPr>
          <w:t>http://www.ceep.eu/wp-content/uploads/2017/07/17SAB08_DRAFT_CEEP_response_to_Reflection_paper_future_of_the_EU_Finances-12092017-2.pdf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ESF 2007-2013 Ex post evaluation: Investment in human capital, Volume 1</w:t>
      </w:r>
    </w:p>
    <w:p>
      <w:pPr>
        <w:spacing w:after="120" w:line="264" w:lineRule="auto"/>
        <w:jc w:val="left"/>
        <w:rPr>
          <w:rFonts w:eastAsia="Calibri" w:cs="Times New Roman"/>
          <w:noProof/>
          <w:szCs w:val="24"/>
        </w:rPr>
      </w:pPr>
      <w:r>
        <w:rPr>
          <w:rFonts w:eastAsia="Calibri" w:cs="Times New Roman"/>
          <w:noProof/>
          <w:szCs w:val="24"/>
        </w:rPr>
        <w:t>ESF 2007-2013 Ex post Evaluation: Access and sustainable integration into employment</w:t>
      </w:r>
    </w:p>
    <w:p>
      <w:pPr>
        <w:spacing w:after="120" w:line="264" w:lineRule="auto"/>
        <w:jc w:val="left"/>
        <w:rPr>
          <w:rFonts w:eastAsia="Calibri" w:cs="Times New Roman"/>
          <w:noProof/>
          <w:szCs w:val="24"/>
        </w:rPr>
      </w:pPr>
      <w:r>
        <w:rPr>
          <w:rFonts w:eastAsia="Calibri" w:cs="Times New Roman"/>
          <w:noProof/>
          <w:szCs w:val="24"/>
        </w:rPr>
        <w:t xml:space="preserve">European Policy Centre (2011) The EU Added Value Test to Justify EU spending: What Impact for Regions and Local Authorities? - </w:t>
      </w:r>
      <w:r>
        <w:rPr>
          <w:rFonts w:cs="Times New Roman"/>
          <w:noProof/>
          <w:szCs w:val="24"/>
        </w:rPr>
        <w:t>http://www.cor.europa.eu/en/documentation/studies/Documents/eu-added-value-test-to-justify-eu-spending.pdf</w:t>
      </w:r>
      <w:r>
        <w:rPr>
          <w:rStyle w:val="FootnoteReference"/>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Commission, DG Employment (2010): Study on the Return on ESF Investment in Human Capital, Final report - </w:t>
      </w:r>
      <w:r>
        <w:rPr>
          <w:rFonts w:cs="Times New Roman"/>
          <w:noProof/>
          <w:szCs w:val="24"/>
        </w:rPr>
        <w:t>http://ec.europa.eu/employment_social/esf/docs/human_capital_final_report_en.pdf</w:t>
      </w:r>
      <w:r>
        <w:rPr>
          <w:rStyle w:val="FootnoteReference"/>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G. Verschraegen, B. Vanhercke, R. Verpoorten (2011): The European Social Fund and domestic activation policies: Europeanization mechanisms; In: Journal of European Social Policy; Vol 21, Issue 1, pp. 55 – 72 - </w:t>
      </w:r>
      <w:hyperlink r:id="rId64" w:history="1">
        <w:r>
          <w:rPr>
            <w:rStyle w:val="Hyperlink"/>
            <w:rFonts w:cs="Times New Roman"/>
            <w:noProof/>
            <w:szCs w:val="24"/>
          </w:rPr>
          <w:t>http://journals.sagepub.com/doi/abs/10.1177/0958928710385733</w:t>
        </w:r>
      </w:hyperlink>
      <w:r>
        <w:rPr>
          <w:rFonts w:cs="Times New Roman"/>
          <w:noProof/>
          <w:szCs w:val="24"/>
        </w:rPr>
        <w:t xml:space="preserve"> </w:t>
      </w:r>
      <w:r>
        <w:rPr>
          <w:rFonts w:eastAsia="Calibri" w:cs="Times New Roman"/>
          <w:noProof/>
          <w:szCs w:val="24"/>
        </w:rPr>
        <w:t>.</w:t>
      </w:r>
    </w:p>
    <w:p>
      <w:pPr>
        <w:spacing w:after="120" w:line="264" w:lineRule="auto"/>
        <w:jc w:val="left"/>
        <w:rPr>
          <w:rFonts w:eastAsia="Calibri" w:cs="Times New Roman"/>
          <w:noProof/>
          <w:szCs w:val="24"/>
        </w:rPr>
      </w:pPr>
      <w:r>
        <w:rPr>
          <w:rFonts w:eastAsia="Calibri" w:cs="Times New Roman"/>
          <w:noProof/>
          <w:szCs w:val="24"/>
        </w:rPr>
        <w:t xml:space="preserve">G. Lejeune; I. Maquet (2014) Job creation, productivity and more equality for sustained growth </w:t>
      </w:r>
    </w:p>
    <w:p>
      <w:pPr>
        <w:spacing w:after="120" w:line="264" w:lineRule="auto"/>
        <w:jc w:val="left"/>
        <w:rPr>
          <w:rFonts w:eastAsia="Calibri" w:cs="Times New Roman"/>
          <w:noProof/>
          <w:szCs w:val="24"/>
        </w:rPr>
      </w:pPr>
      <w:r>
        <w:rPr>
          <w:rFonts w:eastAsia="Calibri" w:cs="Times New Roman"/>
          <w:noProof/>
          <w:szCs w:val="24"/>
        </w:rPr>
        <w:t xml:space="preserve">EP; DG for internal policies (2017): ESF policies as a mitigating factor during the crisis; Study for the EMPL Committee - </w:t>
      </w:r>
      <w:r>
        <w:rPr>
          <w:rFonts w:cs="Times New Roman"/>
          <w:noProof/>
          <w:szCs w:val="24"/>
        </w:rPr>
        <w:t>http://www.europarl.europa.eu/RegData/etudes/STUD/2017/595351/IPOL_STU%282017%29595351_EN.pdf</w:t>
      </w:r>
      <w:r>
        <w:rPr>
          <w:rStyle w:val="FootnoteReference"/>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Commission, DG Employment, Social Affairs and Equal Opportunities (2011) Evaluation of ESF Support for Enhancing Access to the Labour Market and the Social Inclusion of Migrants and Ethnic Minorities - </w:t>
      </w:r>
      <w:hyperlink r:id="rId65" w:history="1">
        <w:r>
          <w:rPr>
            <w:rStyle w:val="Hyperlink"/>
            <w:rFonts w:cs="Times New Roman"/>
            <w:noProof/>
            <w:szCs w:val="24"/>
          </w:rPr>
          <w:t>https://circabc.europa.eu/webdav/CircaBC/empl/ESF%20Evaluation%20discussion%20group/Library/commission_evaluation/20072013/evaluation/evaluation_integration/Final%20Report%20ESF%20support%20to%20migrants%20and%20minorities.pdf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Bertelsmann Stiftung (2013): The European Added Value of EU Spending: Can the EU Help its Member States to Save Money? Exploratory Study - </w:t>
      </w:r>
      <w:r>
        <w:rPr>
          <w:rFonts w:cs="Times New Roman"/>
          <w:noProof/>
          <w:szCs w:val="24"/>
        </w:rPr>
        <w:t>https://www.rand.org/content/dam/rand/pubs/external_publications/EP50000/EP50350/RAND_EP50350.pdf</w:t>
      </w:r>
      <w:r>
        <w:rPr>
          <w:rStyle w:val="FootnoteReference"/>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Dheret, C. and Roden, J., 2016, </w:t>
      </w:r>
      <w:r>
        <w:rPr>
          <w:rFonts w:eastAsia="Calibri" w:cs="Times New Roman"/>
          <w:i/>
          <w:noProof/>
          <w:szCs w:val="24"/>
        </w:rPr>
        <w:t>Towards a Europeanisation of Youth Employment Policies: A Comparative Analysis of Regional Youth Guarantee Policy Designs</w:t>
      </w:r>
      <w:r>
        <w:rPr>
          <w:rFonts w:eastAsia="Calibri" w:cs="Times New Roman"/>
          <w:noProof/>
          <w:szCs w:val="24"/>
        </w:rPr>
        <w:t xml:space="preserve">, Issue Paper, No.81 - </w:t>
      </w:r>
      <w:r>
        <w:rPr>
          <w:rFonts w:cs="Times New Roman"/>
          <w:noProof/>
          <w:szCs w:val="24"/>
        </w:rPr>
        <w:t>http://www.epc.eu/documents/uploads/pub_6949_towardseuropeanisationyouthemploymentpolicies.pdf</w:t>
      </w:r>
      <w:r>
        <w:rPr>
          <w:rStyle w:val="FootnoteReference"/>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Eurofound, 2015, </w:t>
      </w:r>
      <w:r>
        <w:rPr>
          <w:rFonts w:eastAsia="Calibri" w:cs="Times New Roman"/>
          <w:i/>
          <w:noProof/>
          <w:szCs w:val="24"/>
        </w:rPr>
        <w:t>Beyond the Youth Guarantee: Lessons learned in the first year of implementation</w:t>
      </w:r>
      <w:r>
        <w:rPr>
          <w:rFonts w:eastAsia="Calibri" w:cs="Times New Roman"/>
          <w:noProof/>
          <w:szCs w:val="24"/>
        </w:rPr>
        <w:t xml:space="preserve">, Background document to the informal EPSCO meeting 16-17 July 2015, Luxembourg - </w:t>
      </w:r>
      <w:hyperlink r:id="rId66" w:history="1">
        <w:r>
          <w:rPr>
            <w:rStyle w:val="Hyperlink"/>
            <w:rFonts w:cs="Times New Roman"/>
            <w:noProof/>
            <w:szCs w:val="24"/>
          </w:rPr>
          <w:t>http://www.eu2015lu.eu/fr/actualites/notes-fond/2015/07/info-epsco-documents/WL_Beyond-the-Youth-Guarantee_Eurofound---June-2015_EN.pdf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European Commission, 2016, </w:t>
      </w:r>
      <w:r>
        <w:rPr>
          <w:rFonts w:eastAsia="Calibri" w:cs="Times New Roman"/>
          <w:i/>
          <w:noProof/>
          <w:szCs w:val="24"/>
        </w:rPr>
        <w:t>The Youth Guarantee and Youth Employment Initiative three years on</w:t>
      </w:r>
      <w:r>
        <w:rPr>
          <w:rFonts w:eastAsia="Calibri" w:cs="Times New Roman"/>
          <w:noProof/>
          <w:szCs w:val="24"/>
        </w:rPr>
        <w:t xml:space="preserve">, Strasbourg - </w:t>
      </w:r>
      <w:hyperlink r:id="rId67" w:history="1">
        <w:r>
          <w:rPr>
            <w:rStyle w:val="Hyperlink"/>
            <w:rFonts w:cs="Times New Roman"/>
            <w:noProof/>
            <w:szCs w:val="24"/>
          </w:rPr>
          <w:t>http://eur-lex.europa.eu/resource.html?uri=cellar:73591c12-8afc-11e6-b955-01aa75ed71a1.0001.02/DOC_2&amp;format=PDF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Cernat, L, Mustilli, F., </w:t>
      </w:r>
      <w:r>
        <w:rPr>
          <w:rFonts w:eastAsia="Calibri" w:cs="Times New Roman"/>
          <w:i/>
          <w:noProof/>
          <w:szCs w:val="24"/>
        </w:rPr>
        <w:t xml:space="preserve">Trade and Labour Adjustment in Europe: What Role for the European Globalisation Adjustment Fund - </w:t>
      </w:r>
      <w:hyperlink r:id="rId68" w:history="1">
        <w:r>
          <w:rPr>
            <w:rFonts w:eastAsia="Calibri" w:cs="Times New Roman"/>
            <w:noProof/>
            <w:color w:val="0000FF"/>
            <w:szCs w:val="24"/>
            <w:u w:val="single"/>
          </w:rPr>
          <w:t>http://trade.ec.europa.eu/doclib/docs/2017/may/tradoc_155512.pdf</w:t>
        </w:r>
      </w:hyperlink>
      <w:r>
        <w:rPr>
          <w:rFonts w:eastAsia="Calibri"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European Commission, 2015, </w:t>
      </w:r>
      <w:r>
        <w:rPr>
          <w:rFonts w:eastAsia="Calibri" w:cs="Times New Roman"/>
          <w:i/>
          <w:noProof/>
          <w:szCs w:val="24"/>
        </w:rPr>
        <w:t>Ex-post evaluation of the European Globalisation Adjustment Fund (EGF) – Final Report</w:t>
      </w:r>
      <w:r>
        <w:rPr>
          <w:rFonts w:eastAsia="Calibri" w:cs="Times New Roman"/>
          <w:noProof/>
          <w:szCs w:val="24"/>
        </w:rPr>
        <w:t>, Directorate-General for Employment, Social Affairs and Inclusion, Directorate C – Europe 2020: Employment policies, Unit C.2 – Sectorial Employment challenges, Youth Employment and Entrepreneurship, Brussels</w:t>
      </w:r>
    </w:p>
    <w:p>
      <w:pPr>
        <w:spacing w:after="120" w:line="264" w:lineRule="auto"/>
        <w:jc w:val="left"/>
        <w:rPr>
          <w:rFonts w:eastAsia="Calibri" w:cs="Times New Roman"/>
          <w:noProof/>
          <w:szCs w:val="24"/>
        </w:rPr>
      </w:pPr>
      <w:r>
        <w:rPr>
          <w:rFonts w:eastAsia="Calibri" w:cs="Times New Roman"/>
          <w:noProof/>
          <w:szCs w:val="24"/>
        </w:rPr>
        <w:t xml:space="preserve">European Commission, 2017, </w:t>
      </w:r>
      <w:r>
        <w:rPr>
          <w:rFonts w:eastAsia="Calibri" w:cs="Times New Roman"/>
          <w:i/>
          <w:noProof/>
          <w:szCs w:val="24"/>
        </w:rPr>
        <w:t>Revised draft Report from the Commission on the mid-term evaluation of the European Globalisation Adjustment Fund (EGF)</w:t>
      </w:r>
      <w:r>
        <w:rPr>
          <w:rFonts w:eastAsia="Calibri" w:cs="Times New Roman"/>
          <w:noProof/>
          <w:szCs w:val="24"/>
        </w:rPr>
        <w:t>, forthcoming</w:t>
      </w:r>
    </w:p>
    <w:p>
      <w:pPr>
        <w:spacing w:after="120" w:line="264" w:lineRule="auto"/>
        <w:jc w:val="left"/>
        <w:rPr>
          <w:rFonts w:eastAsia="Calibri" w:cs="Times New Roman"/>
          <w:noProof/>
          <w:szCs w:val="24"/>
        </w:rPr>
      </w:pPr>
      <w:r>
        <w:rPr>
          <w:rFonts w:eastAsia="Calibri" w:cs="Times New Roman"/>
          <w:noProof/>
          <w:szCs w:val="24"/>
        </w:rPr>
        <w:t xml:space="preserve">European Commission, 2017, </w:t>
      </w:r>
      <w:r>
        <w:rPr>
          <w:rFonts w:eastAsia="Calibri" w:cs="Times New Roman"/>
          <w:i/>
          <w:noProof/>
          <w:szCs w:val="24"/>
        </w:rPr>
        <w:t>Report from the Commission to the European Parliament and the Council on the activities of the European Globalisation Adjustment Fund in 2015 and 2016</w:t>
      </w:r>
      <w:r>
        <w:rPr>
          <w:rFonts w:eastAsia="Calibri" w:cs="Times New Roman"/>
          <w:noProof/>
          <w:szCs w:val="24"/>
        </w:rPr>
        <w:t>, Brussels</w:t>
      </w:r>
    </w:p>
    <w:p>
      <w:pPr>
        <w:spacing w:after="120" w:line="264" w:lineRule="auto"/>
        <w:jc w:val="left"/>
        <w:rPr>
          <w:rFonts w:eastAsia="Calibri" w:cs="Times New Roman"/>
          <w:noProof/>
          <w:szCs w:val="24"/>
        </w:rPr>
      </w:pPr>
      <w:r>
        <w:rPr>
          <w:rFonts w:eastAsia="Calibri" w:cs="Times New Roman"/>
          <w:noProof/>
          <w:szCs w:val="24"/>
        </w:rPr>
        <w:t xml:space="preserve">European Court of Auditors, 2013, </w:t>
      </w:r>
      <w:r>
        <w:rPr>
          <w:rFonts w:eastAsia="Calibri" w:cs="Times New Roman"/>
          <w:i/>
          <w:noProof/>
          <w:szCs w:val="24"/>
        </w:rPr>
        <w:t>Special Report No 7: Has the European Globalisation Adjustment Fund delivered EU added value in reintegrating redundant workers</w:t>
      </w:r>
      <w:r>
        <w:rPr>
          <w:rFonts w:eastAsia="Calibri" w:cs="Times New Roman"/>
          <w:noProof/>
          <w:szCs w:val="24"/>
        </w:rPr>
        <w:t xml:space="preserve">, Luxembourg - </w:t>
      </w:r>
      <w:hyperlink r:id="rId69" w:history="1">
        <w:r>
          <w:rPr>
            <w:rStyle w:val="Hyperlink"/>
            <w:rFonts w:cs="Times New Roman"/>
            <w:noProof/>
            <w:szCs w:val="24"/>
          </w:rPr>
          <w:t>https://www.eca.europa.eu/Lists/ECADocuments/SR13_07/SR13_07_EN.pdf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European Commission, 2017, </w:t>
      </w:r>
      <w:r>
        <w:rPr>
          <w:rFonts w:eastAsia="Calibri" w:cs="Times New Roman"/>
          <w:i/>
          <w:noProof/>
          <w:szCs w:val="24"/>
        </w:rPr>
        <w:t>Mid-term evaluation of the EU programme for employment and social innovation - EaSI - Final Evaluation Report</w:t>
      </w:r>
    </w:p>
    <w:p>
      <w:pPr>
        <w:spacing w:after="120" w:line="264" w:lineRule="auto"/>
        <w:jc w:val="left"/>
        <w:rPr>
          <w:rFonts w:eastAsia="Calibri" w:cs="Times New Roman"/>
          <w:noProof/>
          <w:szCs w:val="24"/>
        </w:rPr>
      </w:pPr>
      <w:r>
        <w:rPr>
          <w:rFonts w:eastAsia="Calibri" w:cs="Times New Roman"/>
          <w:noProof/>
          <w:szCs w:val="24"/>
        </w:rPr>
        <w:t>European Commission (2017), Study on the assessment of the adequacy of the ESF's design to support human capital policies</w:t>
      </w:r>
    </w:p>
    <w:p>
      <w:pPr>
        <w:spacing w:after="120" w:line="264" w:lineRule="auto"/>
        <w:jc w:val="left"/>
        <w:rPr>
          <w:rFonts w:eastAsia="Calibri" w:cs="Times New Roman"/>
          <w:noProof/>
          <w:szCs w:val="24"/>
        </w:rPr>
      </w:pPr>
      <w:r>
        <w:rPr>
          <w:rFonts w:eastAsia="Calibri" w:cs="Times New Roman"/>
          <w:noProof/>
          <w:szCs w:val="24"/>
        </w:rPr>
        <w:t xml:space="preserve">European Commission (2017), The Value Added of Ex ante Conditionality in the European Structural and Investment Funds: SWD (2017) 127 - </w:t>
      </w:r>
      <w:hyperlink r:id="rId70" w:history="1">
        <w:r>
          <w:rPr>
            <w:rStyle w:val="Hyperlink"/>
            <w:rFonts w:cs="Times New Roman"/>
            <w:noProof/>
            <w:szCs w:val="24"/>
          </w:rPr>
          <w:t>http://ec.europa.eu/regional_policy/sources/docgener/studies/pdf/value_added_exac_esif_en.pdf</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European Commission (2017), </w:t>
      </w:r>
      <w:r>
        <w:rPr>
          <w:rFonts w:eastAsia="Calibri" w:cs="Times New Roman"/>
          <w:bCs/>
          <w:noProof/>
          <w:szCs w:val="24"/>
        </w:rPr>
        <w:t>Synthesis Report of ESF 2016 Annual Implementation Reports</w:t>
      </w:r>
      <w:r>
        <w:rPr>
          <w:rFonts w:eastAsia="Calibri" w:cs="Times New Roman"/>
          <w:noProof/>
          <w:szCs w:val="24"/>
        </w:rPr>
        <w:t xml:space="preserve">- </w:t>
      </w:r>
      <w:hyperlink r:id="rId71" w:history="1">
        <w:r>
          <w:rPr>
            <w:rStyle w:val="Hyperlink"/>
            <w:rFonts w:cs="Times New Roman"/>
            <w:noProof/>
            <w:szCs w:val="24"/>
          </w:rPr>
          <w:t>https://publications.europa.eu/en/publication-detail/-/publication/4fd56da6-99bf-11e7-b92d-01aa75ed71a1/language-en</w:t>
        </w:r>
      </w:hyperlink>
    </w:p>
    <w:p>
      <w:pPr>
        <w:spacing w:after="120" w:line="264" w:lineRule="auto"/>
        <w:jc w:val="left"/>
        <w:rPr>
          <w:rFonts w:eastAsia="Calibri" w:cs="Times New Roman"/>
          <w:noProof/>
          <w:szCs w:val="24"/>
        </w:rPr>
      </w:pPr>
      <w:r>
        <w:rPr>
          <w:rFonts w:eastAsia="Calibri" w:cs="Times New Roman"/>
          <w:noProof/>
          <w:szCs w:val="24"/>
        </w:rPr>
        <w:t xml:space="preserve">European Commission (2017), Performance Monitoring Report of the European Union Programme for Employment and Social Innovation (EaSI) 2015-2016 </w:t>
      </w:r>
    </w:p>
    <w:p>
      <w:pPr>
        <w:spacing w:after="120" w:line="264" w:lineRule="auto"/>
        <w:jc w:val="left"/>
        <w:rPr>
          <w:rFonts w:eastAsia="Calibri" w:cs="Times New Roman"/>
          <w:noProof/>
          <w:szCs w:val="24"/>
        </w:rPr>
      </w:pPr>
      <w:r>
        <w:rPr>
          <w:rFonts w:eastAsia="Calibri" w:cs="Times New Roman"/>
          <w:noProof/>
          <w:szCs w:val="24"/>
        </w:rPr>
        <w:t>European Commission (2017), Study on linkage with Country Specific Recommendations and supporting structural reforms (concept)</w:t>
      </w:r>
    </w:p>
    <w:p>
      <w:pPr>
        <w:spacing w:after="120" w:line="264" w:lineRule="auto"/>
        <w:jc w:val="left"/>
        <w:rPr>
          <w:rFonts w:eastAsia="Calibri" w:cs="Times New Roman"/>
          <w:noProof/>
          <w:szCs w:val="24"/>
        </w:rPr>
      </w:pPr>
      <w:r>
        <w:rPr>
          <w:rFonts w:eastAsia="Calibri" w:cs="Times New Roman"/>
          <w:noProof/>
          <w:szCs w:val="24"/>
        </w:rPr>
        <w:t xml:space="preserve">European Commission (2017), Study on the implementation of the provisions in relation to the ex-ante conditionalities during the programming phase of the European Structural and Investment (ESI) Funds - </w:t>
      </w:r>
      <w:hyperlink r:id="rId72" w:history="1">
        <w:r>
          <w:rPr>
            <w:rStyle w:val="Hyperlink"/>
            <w:rFonts w:cs="Times New Roman"/>
            <w:noProof/>
            <w:szCs w:val="24"/>
          </w:rPr>
          <w:t>http://ec.europa.eu/regional_policy/en/information/publications/studies/2016/the-implementation-of-the-provisions-in-relation-to-the-ex-ante-conditionalities-during-the-programming-phase-of-the-european-structural-and-investment-esi-funds</w:t>
        </w:r>
      </w:hyperlink>
      <w:r>
        <w:rPr>
          <w:rFonts w:cs="Times New Roman"/>
          <w:noProof/>
          <w:szCs w:val="24"/>
        </w:rPr>
        <w:t xml:space="preserve"> </w:t>
      </w:r>
    </w:p>
    <w:p>
      <w:pPr>
        <w:spacing w:after="120" w:line="264" w:lineRule="auto"/>
        <w:jc w:val="left"/>
        <w:rPr>
          <w:rFonts w:eastAsia="Calibri" w:cs="Times New Roman"/>
          <w:noProof/>
          <w:szCs w:val="24"/>
        </w:rPr>
      </w:pPr>
      <w:r>
        <w:rPr>
          <w:rFonts w:eastAsia="Calibri" w:cs="Times New Roman"/>
          <w:noProof/>
          <w:szCs w:val="24"/>
        </w:rPr>
        <w:t xml:space="preserve">European Commission (2017), Study on the implementation of the provisions in relation to the performance framework during the programming phase of the ESI Funds - </w:t>
      </w:r>
      <w:hyperlink r:id="rId73" w:history="1">
        <w:r>
          <w:rPr>
            <w:rStyle w:val="Hyperlink"/>
            <w:rFonts w:cs="Times New Roman"/>
            <w:noProof/>
            <w:szCs w:val="24"/>
          </w:rPr>
          <w:t>http://ec.europa.eu/regional_policy/sources/policy/how/studies_integration/impl_exante_esif_report_en.pdf</w:t>
        </w:r>
      </w:hyperlink>
      <w:r>
        <w:rPr>
          <w:rFonts w:cs="Times New Roman"/>
          <w:noProof/>
          <w:szCs w:val="24"/>
        </w:rPr>
        <w:t xml:space="preserve"> </w:t>
      </w:r>
    </w:p>
    <w:p>
      <w:pPr>
        <w:spacing w:after="120" w:line="264" w:lineRule="auto"/>
        <w:rPr>
          <w:rFonts w:cs="Times New Roman"/>
          <w:noProof/>
          <w:szCs w:val="24"/>
        </w:rPr>
      </w:pPr>
      <w:r>
        <w:rPr>
          <w:rFonts w:eastAsia="Calibri" w:cs="Times New Roman"/>
          <w:noProof/>
          <w:szCs w:val="24"/>
        </w:rPr>
        <w:t xml:space="preserve">European Commission (2017), Support of ESI Funds to the implementation of the Country Specific Recommendations and to structural reforms in Member States - </w:t>
      </w:r>
      <w:hyperlink r:id="rId74" w:history="1">
        <w:r>
          <w:rPr>
            <w:rStyle w:val="Hyperlink"/>
            <w:rFonts w:cs="Times New Roman"/>
            <w:noProof/>
            <w:szCs w:val="24"/>
          </w:rPr>
          <w:t>http://ec.europa.eu/regional_policy/en/information/publications/studies/2015/support-of-european-structural-and-investment-funds-esi-funds-to-the-implementation-of-the-country-specific-recommendations-and-to-structural-reforms-in-member-states</w:t>
        </w:r>
      </w:hyperlink>
      <w:r>
        <w:rPr>
          <w:rFonts w:cs="Times New Roman"/>
          <w:noProof/>
          <w:szCs w:val="24"/>
        </w:rPr>
        <w:t xml:space="preserve"> </w:t>
      </w:r>
    </w:p>
    <w:p>
      <w:pPr>
        <w:spacing w:after="120" w:line="264" w:lineRule="auto"/>
        <w:rPr>
          <w:rStyle w:val="Hyperlink"/>
          <w:rFonts w:cs="Times New Roman"/>
          <w:noProof/>
          <w:szCs w:val="24"/>
        </w:rPr>
      </w:pPr>
      <w:r>
        <w:rPr>
          <w:rFonts w:cs="Times New Roman"/>
          <w:noProof/>
          <w:szCs w:val="24"/>
        </w:rPr>
        <w:t xml:space="preserve">“Mapping of the use of European Structural and Investment funds in health in the 2007-2013 and 2014-2020 programming periods”, report of the project “Effective use of European Structural and Investment (ESI) Funds for health investments”, </w:t>
      </w:r>
      <w:hyperlink r:id="rId75" w:history="1">
        <w:r>
          <w:rPr>
            <w:rStyle w:val="Hyperlink"/>
            <w:rFonts w:cs="Times New Roman"/>
            <w:noProof/>
            <w:szCs w:val="24"/>
          </w:rPr>
          <w:t>http://www.esifforhealth.eu/Mapping_report.htm</w:t>
        </w:r>
      </w:hyperlink>
    </w:p>
    <w:p>
      <w:pPr>
        <w:spacing w:after="120" w:line="264" w:lineRule="auto"/>
        <w:rPr>
          <w:rFonts w:eastAsia="Calibri" w:cs="Times New Roman"/>
          <w:noProof/>
          <w:szCs w:val="24"/>
        </w:rPr>
      </w:pPr>
      <w:r>
        <w:rPr>
          <w:rFonts w:cs="Times New Roman"/>
          <w:noProof/>
          <w:szCs w:val="24"/>
        </w:rPr>
        <w:t xml:space="preserve">Report of the seminar "Strategic investments for the future of healthcare" (2017), </w:t>
      </w:r>
      <w:hyperlink r:id="rId76" w:history="1">
        <w:r>
          <w:rPr>
            <w:rStyle w:val="Hyperlink"/>
            <w:rFonts w:cs="Times New Roman"/>
            <w:noProof/>
            <w:szCs w:val="24"/>
          </w:rPr>
          <w:t>https://ec.europa.eu/health/sites/health/files/investment_plan/docs/ev_20170227_mi_en.pdf</w:t>
        </w:r>
      </w:hyperlink>
    </w:p>
    <w:p>
      <w:pPr>
        <w:spacing w:after="120" w:line="264" w:lineRule="auto"/>
        <w:rPr>
          <w:rFonts w:eastAsia="Times New Roman" w:cs="Times New Roman"/>
          <w:noProof/>
          <w:szCs w:val="24"/>
        </w:rPr>
      </w:pPr>
      <w:r>
        <w:rPr>
          <w:rFonts w:cs="Times New Roman"/>
          <w:noProof/>
          <w:szCs w:val="24"/>
        </w:rPr>
        <w:br w:type="page"/>
      </w:r>
    </w:p>
    <w:p>
      <w:pPr>
        <w:spacing w:after="120" w:line="264" w:lineRule="auto"/>
        <w:rPr>
          <w:rFonts w:cs="Times New Roman"/>
          <w:noProof/>
          <w:szCs w:val="24"/>
        </w:rPr>
        <w:sectPr>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276" w:left="1418" w:header="601" w:footer="254" w:gutter="0"/>
          <w:cols w:space="720"/>
          <w:titlePg/>
          <w:docGrid w:linePitch="326"/>
        </w:sectPr>
      </w:pPr>
    </w:p>
    <w:p>
      <w:pPr>
        <w:pStyle w:val="Heading1"/>
        <w:numPr>
          <w:ilvl w:val="0"/>
          <w:numId w:val="0"/>
        </w:numPr>
        <w:spacing w:before="0" w:after="120" w:line="264" w:lineRule="auto"/>
        <w:ind w:left="432"/>
        <w:rPr>
          <w:noProof/>
          <w:szCs w:val="24"/>
        </w:rPr>
      </w:pPr>
      <w:bookmarkStart w:id="9238" w:name="_Toc515348900"/>
      <w:r>
        <w:rPr>
          <w:noProof/>
          <w:szCs w:val="24"/>
        </w:rPr>
        <w:t>Annex 2: Stakeholder consultation</w:t>
      </w:r>
      <w:bookmarkEnd w:id="9238"/>
      <w:r>
        <w:rPr>
          <w:noProof/>
          <w:szCs w:val="24"/>
        </w:rPr>
        <w:t xml:space="preserve"> </w:t>
      </w:r>
    </w:p>
    <w:p>
      <w:pPr>
        <w:spacing w:after="120" w:line="264" w:lineRule="auto"/>
        <w:rPr>
          <w:rFonts w:cs="Times New Roman"/>
          <w:noProof/>
          <w:szCs w:val="24"/>
        </w:rPr>
      </w:pPr>
      <w:r>
        <w:rPr>
          <w:rFonts w:cs="Times New Roman"/>
          <w:noProof/>
          <w:szCs w:val="24"/>
        </w:rPr>
        <w:t>Open Public Consultations for the post-2020 Impact Assessment were organised per group of policy areas. This impact assessment will mainly consider the results from the OPC on the EU Support for Investment</w:t>
      </w:r>
      <w:r>
        <w:rPr>
          <w:rStyle w:val="FootnoteReference"/>
          <w:rFonts w:cs="Times New Roman"/>
          <w:noProof/>
          <w:szCs w:val="24"/>
        </w:rPr>
        <w:footnoteReference w:id="73"/>
      </w:r>
      <w:r>
        <w:rPr>
          <w:rFonts w:cs="Times New Roman"/>
          <w:noProof/>
          <w:szCs w:val="24"/>
        </w:rPr>
        <w:t xml:space="preserve">. Any relevant results from OPCs regarding different policy areas like Cohesion; Security, Migration and Asylum; Strategic Infrastructure; Values and Mobility will also be taken into consideration. </w:t>
      </w:r>
    </w:p>
    <w:p>
      <w:pPr>
        <w:spacing w:after="120" w:line="264" w:lineRule="auto"/>
        <w:rPr>
          <w:rFonts w:cs="Times New Roman"/>
          <w:noProof/>
          <w:szCs w:val="24"/>
        </w:rPr>
      </w:pPr>
    </w:p>
    <w:p>
      <w:pPr>
        <w:pStyle w:val="ListParagraph"/>
        <w:numPr>
          <w:ilvl w:val="0"/>
          <w:numId w:val="11"/>
        </w:numPr>
        <w:spacing w:after="120" w:line="264" w:lineRule="auto"/>
        <w:rPr>
          <w:rFonts w:cs="Times New Roman"/>
          <w:b/>
          <w:noProof/>
          <w:szCs w:val="24"/>
        </w:rPr>
      </w:pPr>
      <w:r>
        <w:rPr>
          <w:rFonts w:cs="Times New Roman"/>
          <w:b/>
          <w:noProof/>
          <w:szCs w:val="24"/>
        </w:rPr>
        <w:t>Results from the Open Public Consultation on EU funds in the area of investment, research &amp; innovation, SMEs and single market</w:t>
      </w:r>
    </w:p>
    <w:p>
      <w:pPr>
        <w:pStyle w:val="ListParagraph"/>
        <w:spacing w:after="120" w:line="264" w:lineRule="auto"/>
        <w:rPr>
          <w:rFonts w:cs="Times New Roman"/>
          <w:noProof/>
          <w:szCs w:val="24"/>
        </w:rPr>
      </w:pPr>
    </w:p>
    <w:p>
      <w:pPr>
        <w:spacing w:after="120" w:line="264" w:lineRule="auto"/>
        <w:rPr>
          <w:rFonts w:eastAsiaTheme="minorHAnsi" w:cs="Times New Roman"/>
          <w:b/>
          <w:noProof/>
          <w:szCs w:val="24"/>
        </w:rPr>
      </w:pPr>
      <w:r>
        <w:rPr>
          <w:rFonts w:eastAsiaTheme="minorHAnsi" w:cs="Times New Roman"/>
          <w:b/>
          <w:noProof/>
          <w:szCs w:val="24"/>
        </w:rPr>
        <w:t>1. Introduction and methodology</w:t>
      </w:r>
    </w:p>
    <w:p>
      <w:pPr>
        <w:spacing w:after="120" w:line="264" w:lineRule="auto"/>
        <w:rPr>
          <w:rFonts w:eastAsiaTheme="minorHAnsi" w:cs="Times New Roman"/>
          <w:noProof/>
          <w:szCs w:val="24"/>
        </w:rPr>
      </w:pPr>
      <w:r>
        <w:rPr>
          <w:rFonts w:eastAsiaTheme="minorHAnsi" w:cs="Times New Roman"/>
          <w:noProof/>
          <w:szCs w:val="24"/>
        </w:rPr>
        <w:t xml:space="preserve">On 10 January 2018, the European Commission launched an open public consultation (OPC) on EU funds in the area of investment, research &amp; innovation, SMEs and single market. The survey was conducted on the Commission webpage through an online survey consisting primarily of multiple-choice questions, with some open-ended questions. </w:t>
      </w:r>
    </w:p>
    <w:p>
      <w:pPr>
        <w:spacing w:after="120" w:line="264" w:lineRule="auto"/>
        <w:jc w:val="center"/>
        <w:rPr>
          <w:rFonts w:eastAsiaTheme="minorHAnsi" w:cs="Times New Roman"/>
          <w:noProof/>
          <w:szCs w:val="24"/>
        </w:rPr>
      </w:pPr>
      <w:r>
        <w:rPr>
          <w:rFonts w:eastAsiaTheme="minorHAnsi" w:cs="Times New Roman"/>
          <w:noProof/>
          <w:szCs w:val="24"/>
          <w:lang w:val="en-US"/>
        </w:rPr>
        <w:drawing>
          <wp:inline distT="0" distB="0" distL="0" distR="0">
            <wp:extent cx="5462546" cy="3093057"/>
            <wp:effectExtent l="0" t="0" r="2413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spacing w:after="120" w:line="264" w:lineRule="auto"/>
        <w:rPr>
          <w:rFonts w:eastAsiaTheme="minorHAnsi" w:cs="Times New Roman"/>
          <w:noProof/>
          <w:szCs w:val="24"/>
        </w:rPr>
      </w:pPr>
      <w:r>
        <w:rPr>
          <w:rFonts w:eastAsiaTheme="minorHAnsi" w:cs="Times New Roman"/>
          <w:noProof/>
          <w:szCs w:val="24"/>
        </w:rPr>
        <w:t>By the end of the consultation on 9 March 2018, 4052 respondents provided valuable information to the Commission. All citizens, organisations and stakeholders with an interest in issues related to investment, entrepreneurship, research, innovation and SMEs were welcome to respond to this consultation. In total, 1808 respondents answered in their personal capacity, while 2244 in their professional capacity or on behalf of an organisation. Replies from organisations were received from Think Tanks (12), Academia (526) and Research Institution (347). The respondents had to answer to a specific questionnaire and they also had a possibility to attach any relevant document. Figure 1 shows the residence of respondents</w:t>
      </w:r>
      <w:r>
        <w:rPr>
          <w:rFonts w:eastAsiaTheme="minorHAnsi" w:cs="Times New Roman"/>
          <w:noProof/>
          <w:szCs w:val="24"/>
          <w:vertAlign w:val="superscript"/>
        </w:rPr>
        <w:footnoteReference w:id="74"/>
      </w:r>
      <w:r>
        <w:rPr>
          <w:rFonts w:eastAsiaTheme="minorHAnsi" w:cs="Times New Roman"/>
          <w:noProof/>
          <w:szCs w:val="24"/>
        </w:rPr>
        <w:t>.</w:t>
      </w:r>
    </w:p>
    <w:p>
      <w:pPr>
        <w:spacing w:after="120" w:line="264" w:lineRule="auto"/>
        <w:rPr>
          <w:rFonts w:eastAsiaTheme="minorHAnsi" w:cs="Times New Roman"/>
          <w:noProof/>
          <w:szCs w:val="24"/>
        </w:rPr>
      </w:pPr>
      <w:r>
        <w:rPr>
          <w:rFonts w:eastAsiaTheme="minorHAnsi" w:cs="Times New Roman"/>
          <w:noProof/>
          <w:szCs w:val="24"/>
        </w:rPr>
        <w:t xml:space="preserve">Figure 2 highlights the awareness of the respondents of the European programmes in connection to the topic area to which they answer. As the figure shows, Horizon 2020 is the most known programme. In other words, almost 9 out of 10 respondents are aware of the EU R&amp;I programme Horizon 2020, which remains by far the most known EU programme among respondents. This is followed by ESIF (21,7%), EU Health Programme (9%), COSME (8%), EFSI (6,15%) and EaSI (3,15%), which are not recognized as Horizon 2020. </w:t>
      </w:r>
    </w:p>
    <w:p>
      <w:pPr>
        <w:spacing w:after="120" w:line="264" w:lineRule="auto"/>
        <w:rPr>
          <w:rFonts w:eastAsiaTheme="minorHAnsi" w:cs="Times New Roman"/>
          <w:noProof/>
          <w:szCs w:val="24"/>
        </w:rPr>
      </w:pPr>
      <w:r>
        <w:rPr>
          <w:rFonts w:eastAsiaTheme="minorHAnsi" w:cs="Times New Roman"/>
          <w:noProof/>
          <w:szCs w:val="24"/>
          <w:lang w:val="en-US"/>
        </w:rPr>
        <w:drawing>
          <wp:inline distT="0" distB="0" distL="0" distR="0">
            <wp:extent cx="5760720" cy="3293110"/>
            <wp:effectExtent l="0" t="0" r="0" b="25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keepNext/>
        <w:keepLines/>
        <w:spacing w:after="120" w:line="264" w:lineRule="auto"/>
        <w:rPr>
          <w:rFonts w:eastAsiaTheme="minorHAnsi" w:cs="Times New Roman"/>
          <w:b/>
          <w:noProof/>
          <w:szCs w:val="24"/>
        </w:rPr>
      </w:pPr>
      <w:r>
        <w:rPr>
          <w:rFonts w:eastAsiaTheme="minorHAnsi" w:cs="Times New Roman"/>
          <w:b/>
          <w:noProof/>
          <w:szCs w:val="24"/>
        </w:rPr>
        <w:t>2. EU support for investment</w:t>
      </w:r>
    </w:p>
    <w:p>
      <w:pPr>
        <w:keepNext/>
        <w:keepLines/>
        <w:spacing w:after="120" w:line="264" w:lineRule="auto"/>
        <w:jc w:val="left"/>
        <w:rPr>
          <w:rFonts w:eastAsiaTheme="minorHAnsi" w:cs="Times New Roman"/>
          <w:noProof/>
          <w:szCs w:val="24"/>
        </w:rPr>
      </w:pPr>
    </w:p>
    <w:p>
      <w:pPr>
        <w:keepNext/>
        <w:keepLines/>
        <w:spacing w:after="120" w:line="264" w:lineRule="auto"/>
        <w:jc w:val="center"/>
        <w:rPr>
          <w:rFonts w:eastAsiaTheme="minorHAnsi" w:cs="Times New Roman"/>
          <w:noProof/>
          <w:szCs w:val="24"/>
        </w:rPr>
      </w:pPr>
      <w:r>
        <w:rPr>
          <w:rFonts w:eastAsiaTheme="minorHAnsi" w:cs="Times New Roman"/>
          <w:noProof/>
          <w:szCs w:val="24"/>
          <w:lang w:val="en-US"/>
        </w:rPr>
        <w:drawing>
          <wp:inline distT="0" distB="0" distL="0" distR="0">
            <wp:extent cx="5478448" cy="3093057"/>
            <wp:effectExtent l="0" t="0" r="27305"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spacing w:after="120" w:line="264" w:lineRule="auto"/>
        <w:rPr>
          <w:rFonts w:eastAsiaTheme="minorHAnsi" w:cs="Times New Roman"/>
          <w:noProof/>
          <w:szCs w:val="24"/>
        </w:rPr>
      </w:pPr>
      <w:r>
        <w:rPr>
          <w:rFonts w:eastAsiaTheme="minorHAnsi" w:cs="Times New Roman"/>
          <w:noProof/>
          <w:szCs w:val="24"/>
        </w:rPr>
        <w:t>As illustrated in Figure 3, due to the structure of this questionnaire, it was possible to extrapolate the answers of people whose replies concerned the support for investment at European level. In total, 642 out of 4052 replies were dedicated to this topic and, as per Figure 4, the sample covers all the countries in European Union and it only shows those respondents that provided their country of residence.</w:t>
      </w:r>
    </w:p>
    <w:p>
      <w:pPr>
        <w:spacing w:after="120" w:line="264" w:lineRule="auto"/>
        <w:rPr>
          <w:rFonts w:eastAsiaTheme="minorHAnsi" w:cs="Times New Roman"/>
          <w:noProof/>
          <w:szCs w:val="24"/>
        </w:rPr>
      </w:pPr>
      <w:r>
        <w:rPr>
          <w:rFonts w:eastAsiaTheme="minorHAnsi" w:cs="Times New Roman"/>
          <w:noProof/>
          <w:szCs w:val="24"/>
          <w:lang w:val="en-US"/>
        </w:rPr>
        <w:drawing>
          <wp:inline distT="0" distB="0" distL="0" distR="0">
            <wp:extent cx="5446643" cy="2051437"/>
            <wp:effectExtent l="0" t="0" r="20955" b="254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120" w:line="264" w:lineRule="auto"/>
        <w:rPr>
          <w:rFonts w:eastAsiaTheme="minorHAnsi" w:cs="Times New Roman"/>
          <w:noProof/>
          <w:szCs w:val="24"/>
        </w:rPr>
      </w:pPr>
      <w:r>
        <w:rPr>
          <w:rFonts w:eastAsiaTheme="minorHAnsi" w:cs="Times New Roman"/>
          <w:noProof/>
          <w:szCs w:val="24"/>
        </w:rPr>
        <w:t xml:space="preserve">Moreover, data on the policies awareness on this specific subgroup are in line with the sample presented in Figure 2. The only exception is that more than 20% of the respondents are aware of the EFSI, compared to 6.15% in the total sample. </w:t>
      </w:r>
    </w:p>
    <w:p>
      <w:pPr>
        <w:spacing w:after="120" w:line="264" w:lineRule="auto"/>
        <w:rPr>
          <w:rFonts w:eastAsiaTheme="minorHAnsi" w:cs="Times New Roman"/>
          <w:noProof/>
          <w:szCs w:val="24"/>
        </w:rPr>
      </w:pPr>
      <w:r>
        <w:rPr>
          <w:rFonts w:eastAsiaTheme="minorHAnsi" w:cs="Times New Roman"/>
          <w:noProof/>
          <w:szCs w:val="24"/>
        </w:rPr>
        <w:t xml:space="preserve">As far as the ability of the European institutions to intervene, respondents believe that there is room for improvement. According to their opinion, presented in Figure 5, the majority of the respondents believe that European institutions are not sufficiently addressing most of the challenges listed above. In particular, they stress the inability to address unemployment and social disparities, access to finance especially for SMEs and social investment and social innovation. </w:t>
      </w:r>
    </w:p>
    <w:p>
      <w:pPr>
        <w:spacing w:after="120" w:line="264" w:lineRule="auto"/>
        <w:jc w:val="center"/>
        <w:rPr>
          <w:rFonts w:eastAsiaTheme="minorHAnsi" w:cs="Times New Roman"/>
          <w:noProof/>
          <w:szCs w:val="24"/>
        </w:rPr>
      </w:pPr>
      <w:r>
        <w:rPr>
          <w:rFonts w:cs="Times New Roman"/>
          <w:noProof/>
          <w:szCs w:val="24"/>
          <w:lang w:val="en-US"/>
        </w:rPr>
        <w:drawing>
          <wp:inline distT="0" distB="0" distL="0" distR="0">
            <wp:extent cx="5573864" cy="4675367"/>
            <wp:effectExtent l="0" t="0" r="27305"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spacing w:after="120" w:line="264" w:lineRule="auto"/>
        <w:jc w:val="center"/>
        <w:rPr>
          <w:rFonts w:eastAsiaTheme="minorHAnsi" w:cs="Times New Roman"/>
          <w:noProof/>
          <w:szCs w:val="24"/>
          <w:lang w:eastAsia="en-GB"/>
        </w:rPr>
      </w:pPr>
    </w:p>
    <w:p>
      <w:pPr>
        <w:spacing w:after="120" w:line="264" w:lineRule="auto"/>
        <w:rPr>
          <w:rFonts w:eastAsiaTheme="minorHAnsi" w:cs="Times New Roman"/>
          <w:noProof/>
          <w:szCs w:val="24"/>
        </w:rPr>
      </w:pPr>
      <w:r>
        <w:rPr>
          <w:rFonts w:eastAsiaTheme="minorHAnsi" w:cs="Times New Roman"/>
          <w:noProof/>
          <w:szCs w:val="24"/>
        </w:rPr>
        <w:t>More interestingly, the respondents on the EU support for investments firmly believe that currents actions at European level bring added value and that this is complementary to what Member States could achieve at national, regional and/or local levels. More than 70% of the respondents affirmed that at least to a fairly good extent the EU intervention adds value.</w:t>
      </w:r>
    </w:p>
    <w:p>
      <w:pPr>
        <w:spacing w:after="120" w:line="264" w:lineRule="auto"/>
        <w:rPr>
          <w:rFonts w:eastAsiaTheme="minorHAnsi" w:cs="Times New Roman"/>
          <w:noProof/>
          <w:szCs w:val="24"/>
        </w:rPr>
      </w:pPr>
      <w:r>
        <w:rPr>
          <w:rFonts w:eastAsiaTheme="minorHAnsi" w:cs="Times New Roman"/>
          <w:noProof/>
          <w:szCs w:val="24"/>
          <w:lang w:val="en-US"/>
        </w:rPr>
        <w:drawing>
          <wp:inline distT="0" distB="0" distL="0" distR="0">
            <wp:extent cx="5486400" cy="2377440"/>
            <wp:effectExtent l="0" t="0" r="0" b="3810"/>
            <wp:docPr id="444" name="Picture 44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apt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2377440"/>
                    </a:xfrm>
                    <a:prstGeom prst="rect">
                      <a:avLst/>
                    </a:prstGeom>
                    <a:noFill/>
                    <a:ln>
                      <a:noFill/>
                    </a:ln>
                  </pic:spPr>
                </pic:pic>
              </a:graphicData>
            </a:graphic>
          </wp:inline>
        </w:drawing>
      </w:r>
    </w:p>
    <w:p>
      <w:pPr>
        <w:spacing w:after="120" w:line="264" w:lineRule="auto"/>
        <w:rPr>
          <w:rFonts w:eastAsiaTheme="minorHAnsi" w:cs="Times New Roman"/>
          <w:noProof/>
          <w:szCs w:val="24"/>
        </w:rPr>
      </w:pPr>
      <w:r>
        <w:rPr>
          <w:rFonts w:eastAsiaTheme="minorHAnsi" w:cs="Times New Roman"/>
          <w:noProof/>
          <w:szCs w:val="24"/>
        </w:rPr>
        <w:t>Furthermore, Figure 7 shows the importance that respondents give to preliminary identified policy challenges that according to the European Commission should be targeted in the future. For instance, research and innovation, the facilitation of the transition to low carbon and circular economy, education, skill and training or digitalisation are priorities that new programmes should clearly address.</w:t>
      </w:r>
    </w:p>
    <w:p>
      <w:pPr>
        <w:spacing w:after="120" w:line="264" w:lineRule="auto"/>
        <w:rPr>
          <w:rFonts w:eastAsiaTheme="minorHAnsi" w:cs="Times New Roman"/>
          <w:noProof/>
          <w:szCs w:val="24"/>
        </w:rPr>
      </w:pPr>
      <w:r>
        <w:rPr>
          <w:rFonts w:cs="Times New Roman"/>
          <w:noProof/>
          <w:szCs w:val="24"/>
          <w:lang w:val="en-US"/>
        </w:rPr>
        <w:drawing>
          <wp:inline distT="0" distB="0" distL="0" distR="0">
            <wp:extent cx="5389870" cy="4005618"/>
            <wp:effectExtent l="0" t="0" r="20955" b="139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after="120" w:line="264" w:lineRule="auto"/>
        <w:rPr>
          <w:rFonts w:eastAsiaTheme="minorHAnsi" w:cs="Times New Roman"/>
          <w:noProof/>
          <w:szCs w:val="24"/>
        </w:rPr>
      </w:pPr>
      <w:r>
        <w:rPr>
          <w:rFonts w:eastAsiaTheme="minorHAnsi" w:cs="Times New Roman"/>
          <w:noProof/>
          <w:szCs w:val="24"/>
        </w:rPr>
        <w:t xml:space="preserve">Finally, Figure 8 confirms the steps that should be undertaken in order to simplify and reduces administrative burden for beneficiaries, according to the importance given by respondents. The entirety of challenges listed by the Commission should be addressed in the future. In particular, respondents believe that simplification of rules is the most important point that could help solve the administrative burdens for beneficiaries. Respondents also stress an alignment of rules between the EU Funds and a stable but flexible framework between programming periods. </w:t>
      </w:r>
    </w:p>
    <w:p>
      <w:pPr>
        <w:spacing w:after="120" w:line="264" w:lineRule="auto"/>
        <w:rPr>
          <w:rFonts w:eastAsiaTheme="minorHAnsi" w:cs="Times New Roman"/>
          <w:noProof/>
          <w:color w:val="404040"/>
          <w:szCs w:val="24"/>
        </w:rPr>
      </w:pPr>
      <w:r>
        <w:rPr>
          <w:rFonts w:cs="Times New Roman"/>
          <w:noProof/>
          <w:szCs w:val="24"/>
          <w:lang w:val="en-US"/>
        </w:rPr>
        <w:drawing>
          <wp:inline distT="0" distB="0" distL="0" distR="0">
            <wp:extent cx="5174349" cy="3527947"/>
            <wp:effectExtent l="0" t="0" r="26670"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after="120" w:line="264" w:lineRule="auto"/>
        <w:jc w:val="left"/>
        <w:rPr>
          <w:rFonts w:eastAsiaTheme="minorHAnsi" w:cs="Times New Roman"/>
          <w:noProof/>
          <w:color w:val="404040"/>
          <w:szCs w:val="24"/>
        </w:rPr>
      </w:pPr>
      <w:r>
        <w:rPr>
          <w:rFonts w:eastAsiaTheme="minorHAnsi" w:cs="Times New Roman"/>
          <w:noProof/>
          <w:color w:val="404040"/>
          <w:szCs w:val="24"/>
        </w:rPr>
        <w:t xml:space="preserve"> </w:t>
      </w:r>
    </w:p>
    <w:p>
      <w:pPr>
        <w:spacing w:after="120" w:line="264" w:lineRule="auto"/>
        <w:rPr>
          <w:rFonts w:eastAsiaTheme="minorHAnsi" w:cs="Times New Roman"/>
          <w:b/>
          <w:noProof/>
          <w:color w:val="404040"/>
          <w:szCs w:val="24"/>
        </w:rPr>
      </w:pPr>
      <w:r>
        <w:rPr>
          <w:rFonts w:eastAsiaTheme="minorHAnsi" w:cs="Times New Roman"/>
          <w:b/>
          <w:noProof/>
          <w:color w:val="404040"/>
          <w:szCs w:val="24"/>
        </w:rPr>
        <w:t xml:space="preserve">3. Other Open Public Consultations. </w:t>
      </w:r>
    </w:p>
    <w:p>
      <w:pPr>
        <w:spacing w:after="120" w:line="264" w:lineRule="auto"/>
        <w:rPr>
          <w:rFonts w:eastAsiaTheme="minorHAnsi" w:cs="Times New Roman"/>
          <w:noProof/>
          <w:szCs w:val="24"/>
        </w:rPr>
      </w:pPr>
      <w:r>
        <w:rPr>
          <w:rFonts w:eastAsiaTheme="minorHAnsi" w:cs="Times New Roman"/>
          <w:noProof/>
          <w:szCs w:val="24"/>
        </w:rPr>
        <w:t xml:space="preserve">In parallel to this consultation, the Commission conducted different OPC covering the entire spectrum of EU policies: Cohesion; Security; Migration and Asylum; Strategic Infrastructure; Values and Mobility. Figure 9 and 10 present the results of these consultations regarding the respondents’ views on importance of Financial Instruments in the relevant policy area. </w:t>
      </w:r>
    </w:p>
    <w:p>
      <w:pPr>
        <w:spacing w:after="120" w:line="264" w:lineRule="auto"/>
        <w:rPr>
          <w:rFonts w:eastAsiaTheme="minorHAnsi" w:cs="Times New Roman"/>
          <w:noProof/>
          <w:szCs w:val="24"/>
        </w:rPr>
      </w:pPr>
      <w:r>
        <w:rPr>
          <w:rFonts w:eastAsiaTheme="minorHAnsi" w:cs="Times New Roman"/>
          <w:noProof/>
          <w:szCs w:val="24"/>
        </w:rPr>
        <w:t xml:space="preserve">For the Cohesion and Security, around 40% of the respondents believe that the insufficient use of Financial Instruments is an obstacle preventing the current programmes/funds from successfully achieving their objectives. </w:t>
      </w:r>
    </w:p>
    <w:p>
      <w:pPr>
        <w:spacing w:after="120" w:line="264" w:lineRule="auto"/>
        <w:rPr>
          <w:rFonts w:eastAsiaTheme="minorHAnsi" w:cs="Times New Roman"/>
          <w:noProof/>
          <w:color w:val="404040"/>
          <w:szCs w:val="24"/>
        </w:rPr>
      </w:pPr>
      <w:r>
        <w:rPr>
          <w:rFonts w:eastAsiaTheme="minorHAnsi" w:cs="Times New Roman"/>
          <w:noProof/>
          <w:szCs w:val="24"/>
          <w:lang w:val="en-US"/>
        </w:rPr>
        <w:drawing>
          <wp:inline distT="0" distB="0" distL="0" distR="0">
            <wp:extent cx="5613621" cy="1812897"/>
            <wp:effectExtent l="0" t="0" r="254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spacing w:after="120" w:line="264" w:lineRule="auto"/>
        <w:rPr>
          <w:rFonts w:eastAsiaTheme="minorHAnsi" w:cs="Times New Roman"/>
          <w:noProof/>
          <w:szCs w:val="24"/>
        </w:rPr>
      </w:pPr>
      <w:r>
        <w:rPr>
          <w:rFonts w:eastAsiaTheme="minorHAnsi" w:cs="Times New Roman"/>
          <w:noProof/>
          <w:szCs w:val="24"/>
        </w:rPr>
        <w:t>For Strategic Infrastructure, around 60% of the respondents believe that the difficulty to access</w:t>
      </w:r>
      <w:r>
        <w:rPr>
          <w:rFonts w:eastAsiaTheme="minorHAnsi" w:cs="Times New Roman"/>
          <w:noProof/>
          <w:szCs w:val="24"/>
          <w:vertAlign w:val="superscript"/>
        </w:rPr>
        <w:footnoteReference w:id="75"/>
      </w:r>
      <w:r>
        <w:rPr>
          <w:rFonts w:eastAsiaTheme="minorHAnsi" w:cs="Times New Roman"/>
          <w:noProof/>
          <w:szCs w:val="24"/>
        </w:rPr>
        <w:t xml:space="preserve"> to Financial Instruments is preventing the current programmes regarding infrastructures from successfully achieving their objectives. </w:t>
      </w:r>
    </w:p>
    <w:p>
      <w:pPr>
        <w:spacing w:after="120" w:line="264" w:lineRule="auto"/>
        <w:rPr>
          <w:rFonts w:eastAsiaTheme="minorHAnsi" w:cs="Times New Roman"/>
          <w:noProof/>
          <w:szCs w:val="24"/>
        </w:rPr>
      </w:pPr>
      <w:r>
        <w:rPr>
          <w:rFonts w:eastAsiaTheme="minorHAnsi" w:cs="Times New Roman"/>
          <w:noProof/>
          <w:szCs w:val="24"/>
          <w:lang w:val="en-US"/>
        </w:rPr>
        <w:drawing>
          <wp:inline distT="0" distB="0" distL="0" distR="0">
            <wp:extent cx="5573864" cy="1478943"/>
            <wp:effectExtent l="0" t="0" r="27305"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120" w:line="264" w:lineRule="auto"/>
        <w:jc w:val="left"/>
        <w:rPr>
          <w:rFonts w:eastAsiaTheme="minorHAnsi" w:cs="Times New Roman"/>
          <w:noProof/>
          <w:color w:val="404040"/>
          <w:szCs w:val="24"/>
        </w:rPr>
      </w:pPr>
    </w:p>
    <w:p>
      <w:pPr>
        <w:spacing w:after="120" w:line="264" w:lineRule="auto"/>
        <w:jc w:val="left"/>
        <w:rPr>
          <w:rFonts w:eastAsiaTheme="minorHAnsi" w:cs="Times New Roman"/>
          <w:noProof/>
          <w:color w:val="404040"/>
          <w:szCs w:val="24"/>
        </w:rPr>
      </w:pPr>
    </w:p>
    <w:p>
      <w:pPr>
        <w:spacing w:after="120" w:line="264" w:lineRule="auto"/>
        <w:rPr>
          <w:rFonts w:cs="Times New Roman"/>
          <w:noProof/>
          <w:szCs w:val="24"/>
        </w:rPr>
        <w:sectPr>
          <w:headerReference w:type="even" r:id="rId93"/>
          <w:headerReference w:type="default" r:id="rId94"/>
          <w:footerReference w:type="even" r:id="rId95"/>
          <w:footerReference w:type="default" r:id="rId96"/>
          <w:headerReference w:type="first" r:id="rId97"/>
          <w:footerReference w:type="first" r:id="rId98"/>
          <w:pgSz w:w="11906" w:h="16838"/>
          <w:pgMar w:top="1134" w:right="1134" w:bottom="1134" w:left="1418" w:header="601" w:footer="1077" w:gutter="0"/>
          <w:cols w:space="720"/>
          <w:titlePg/>
          <w:docGrid w:linePitch="326"/>
        </w:sectPr>
      </w:pPr>
    </w:p>
    <w:p>
      <w:pPr>
        <w:pStyle w:val="Heading1"/>
        <w:numPr>
          <w:ilvl w:val="0"/>
          <w:numId w:val="0"/>
        </w:numPr>
        <w:spacing w:before="0" w:after="120" w:line="264" w:lineRule="auto"/>
        <w:ind w:left="432"/>
        <w:rPr>
          <w:noProof/>
          <w:szCs w:val="24"/>
        </w:rPr>
      </w:pPr>
      <w:bookmarkStart w:id="9239" w:name="_Toc508287437"/>
      <w:bookmarkStart w:id="9240" w:name="_Toc509313300"/>
      <w:bookmarkStart w:id="9241" w:name="_Toc509323907"/>
      <w:bookmarkStart w:id="9242" w:name="_Toc509327523"/>
      <w:bookmarkStart w:id="9243" w:name="_Toc509333065"/>
      <w:bookmarkStart w:id="9244" w:name="_Toc509334736"/>
      <w:bookmarkStart w:id="9245" w:name="_Toc509338033"/>
      <w:bookmarkStart w:id="9246" w:name="_Toc510517866"/>
      <w:bookmarkStart w:id="9247" w:name="_Toc510613014"/>
      <w:bookmarkStart w:id="9248" w:name="_Toc510683730"/>
      <w:bookmarkStart w:id="9249" w:name="_Toc515348901"/>
      <w:r>
        <w:rPr>
          <w:noProof/>
          <w:szCs w:val="24"/>
        </w:rPr>
        <w:t>Annex 3: Evaluation results</w:t>
      </w:r>
      <w:bookmarkEnd w:id="9239"/>
      <w:bookmarkEnd w:id="9240"/>
      <w:bookmarkEnd w:id="9241"/>
      <w:bookmarkEnd w:id="9242"/>
      <w:bookmarkEnd w:id="9243"/>
      <w:bookmarkEnd w:id="9244"/>
      <w:bookmarkEnd w:id="9245"/>
      <w:bookmarkEnd w:id="9246"/>
      <w:bookmarkEnd w:id="9247"/>
      <w:bookmarkEnd w:id="9248"/>
      <w:bookmarkEnd w:id="9249"/>
    </w:p>
    <w:p>
      <w:pPr>
        <w:pStyle w:val="ListParagraph"/>
        <w:numPr>
          <w:ilvl w:val="0"/>
          <w:numId w:val="8"/>
        </w:numPr>
        <w:spacing w:after="120" w:line="264" w:lineRule="auto"/>
        <w:rPr>
          <w:rFonts w:cs="Times New Roman"/>
          <w:b/>
          <w:noProof/>
          <w:szCs w:val="24"/>
        </w:rPr>
      </w:pPr>
      <w:r>
        <w:rPr>
          <w:rFonts w:cs="Times New Roman"/>
          <w:b/>
          <w:noProof/>
          <w:szCs w:val="24"/>
        </w:rPr>
        <w:t>Introduction</w:t>
      </w:r>
    </w:p>
    <w:p>
      <w:pPr>
        <w:spacing w:after="120" w:line="264" w:lineRule="auto"/>
        <w:rPr>
          <w:rFonts w:cs="Times New Roman"/>
          <w:noProof/>
          <w:szCs w:val="24"/>
        </w:rPr>
      </w:pPr>
      <w:r>
        <w:rPr>
          <w:rFonts w:cs="Times New Roman"/>
          <w:noProof/>
          <w:szCs w:val="24"/>
        </w:rPr>
        <w:t>Annex 3 summarises the main findings of related programmes relevant for the InvestEU Programme. This includes in particular the various EFSI evaluations and the findings on financial instruments under sectoral regulations.</w:t>
      </w:r>
    </w:p>
    <w:p>
      <w:pPr>
        <w:pStyle w:val="ListParagraph"/>
        <w:numPr>
          <w:ilvl w:val="0"/>
          <w:numId w:val="8"/>
        </w:numPr>
        <w:spacing w:after="120" w:line="264" w:lineRule="auto"/>
        <w:rPr>
          <w:rFonts w:cs="Times New Roman"/>
          <w:b/>
          <w:noProof/>
          <w:szCs w:val="24"/>
        </w:rPr>
      </w:pPr>
      <w:r>
        <w:rPr>
          <w:rFonts w:cs="Times New Roman"/>
          <w:b/>
          <w:noProof/>
          <w:szCs w:val="24"/>
        </w:rPr>
        <w:t>EFSI</w:t>
      </w:r>
    </w:p>
    <w:p>
      <w:pPr>
        <w:spacing w:after="120" w:line="264" w:lineRule="auto"/>
        <w:rPr>
          <w:rFonts w:cs="Times New Roman"/>
          <w:noProof/>
          <w:szCs w:val="24"/>
        </w:rPr>
      </w:pPr>
      <w:r>
        <w:rPr>
          <w:rFonts w:cs="Times New Roman"/>
          <w:noProof/>
          <w:szCs w:val="24"/>
        </w:rPr>
        <w:t>T</w:t>
      </w:r>
      <w:r>
        <w:rPr>
          <w:rStyle w:val="Aucun"/>
          <w:rFonts w:cs="Times New Roman"/>
          <w:noProof/>
          <w:szCs w:val="24"/>
          <w:lang w:val="en-GB"/>
        </w:rPr>
        <w:t>he European Fund for Strategic Investments (EFSI) was launched in July 2015 as a response to the global economic, financial, and sovereign debt crisis. It is currently the biggest EU investment support instrument. It aims at mobilising EUR 500 billion of additional investment in infrastructure, innovation, and SME financing by end-2020.</w:t>
      </w:r>
      <w:r>
        <w:rPr>
          <w:rFonts w:cs="Times New Roman"/>
          <w:bCs/>
          <w:iCs/>
          <w:noProof/>
          <w:szCs w:val="24"/>
        </w:rPr>
        <w:t xml:space="preserve"> EFSI has introduced a new approach for providing investment support, namely the use of a budgetary guarantee</w:t>
      </w:r>
      <w:r>
        <w:rPr>
          <w:rStyle w:val="FootnoteReference"/>
          <w:rFonts w:cs="Times New Roman"/>
          <w:noProof/>
          <w:szCs w:val="24"/>
        </w:rPr>
        <w:footnoteReference w:id="76"/>
      </w:r>
      <w:r>
        <w:rPr>
          <w:rFonts w:cs="Times New Roman"/>
          <w:bCs/>
          <w:iCs/>
          <w:noProof/>
          <w:szCs w:val="24"/>
        </w:rPr>
        <w:t xml:space="preserve">. </w:t>
      </w:r>
      <w:r>
        <w:rPr>
          <w:rFonts w:cs="Times New Roman"/>
          <w:noProof/>
          <w:szCs w:val="24"/>
        </w:rPr>
        <w:t>The EFSI's EU budgetary guarantee to the EIB Group amounts to EUR 26 billion. It allows the EIB to increase financing of projects with a higher risk-profile and to mobilise private capital.</w:t>
      </w:r>
    </w:p>
    <w:p>
      <w:pPr>
        <w:spacing w:after="120" w:line="264" w:lineRule="auto"/>
        <w:rPr>
          <w:rStyle w:val="Aucun"/>
          <w:rFonts w:cs="Times New Roman"/>
          <w:noProof/>
          <w:szCs w:val="24"/>
          <w:lang w:val="en-GB"/>
        </w:rPr>
      </w:pPr>
      <w:r>
        <w:rPr>
          <w:rStyle w:val="Aucun"/>
          <w:rFonts w:cs="Times New Roman"/>
          <w:noProof/>
          <w:szCs w:val="24"/>
          <w:lang w:val="en-GB"/>
        </w:rPr>
        <w:t xml:space="preserve">Given the relatively recent launch of the EFSI, most signed projects supported by EFSI have not yet been completed. Therefore, the evaluations performed focused on the results achieved so far and their expected impacts. </w:t>
      </w:r>
    </w:p>
    <w:p>
      <w:pPr>
        <w:spacing w:after="120" w:line="264" w:lineRule="auto"/>
        <w:rPr>
          <w:rFonts w:cs="Times New Roman"/>
          <w:noProof/>
          <w:szCs w:val="24"/>
        </w:rPr>
      </w:pPr>
      <w:r>
        <w:rPr>
          <w:rFonts w:cs="Times New Roman"/>
          <w:noProof/>
          <w:szCs w:val="24"/>
        </w:rPr>
        <w:t>Several EFSI evaluations have been conducted or are ongoing:</w:t>
      </w:r>
    </w:p>
    <w:p>
      <w:pPr>
        <w:pStyle w:val="ListParagraph"/>
        <w:numPr>
          <w:ilvl w:val="0"/>
          <w:numId w:val="9"/>
        </w:numPr>
        <w:spacing w:after="120" w:line="264" w:lineRule="auto"/>
        <w:rPr>
          <w:rFonts w:cs="Times New Roman"/>
          <w:noProof/>
          <w:szCs w:val="24"/>
        </w:rPr>
      </w:pPr>
      <w:r>
        <w:rPr>
          <w:rFonts w:cs="Times New Roman"/>
          <w:noProof/>
          <w:szCs w:val="24"/>
        </w:rPr>
        <w:t>a Commission evaluation on the use of the EU guarantee and the functioning of the EFSI guarantee fund</w:t>
      </w:r>
      <w:r>
        <w:rPr>
          <w:rStyle w:val="FootnoteReference"/>
          <w:rFonts w:cs="Times New Roman"/>
          <w:noProof/>
          <w:szCs w:val="24"/>
        </w:rPr>
        <w:footnoteReference w:id="77"/>
      </w:r>
      <w:r>
        <w:rPr>
          <w:rFonts w:cs="Times New Roman"/>
          <w:noProof/>
          <w:szCs w:val="24"/>
        </w:rPr>
        <w:t xml:space="preserve"> accompanied by an opinion of the Court of Auditors</w:t>
      </w:r>
      <w:r>
        <w:rPr>
          <w:rStyle w:val="FootnoteReference"/>
          <w:rFonts w:cs="Times New Roman"/>
          <w:noProof/>
          <w:szCs w:val="24"/>
        </w:rPr>
        <w:footnoteReference w:id="78"/>
      </w:r>
      <w:r>
        <w:rPr>
          <w:rFonts w:cs="Times New Roman"/>
          <w:noProof/>
          <w:szCs w:val="24"/>
        </w:rPr>
        <w:t>,</w:t>
      </w:r>
    </w:p>
    <w:p>
      <w:pPr>
        <w:pStyle w:val="ListParagraph"/>
        <w:numPr>
          <w:ilvl w:val="0"/>
          <w:numId w:val="9"/>
        </w:numPr>
        <w:spacing w:after="120" w:line="264" w:lineRule="auto"/>
        <w:rPr>
          <w:rFonts w:cs="Times New Roman"/>
          <w:noProof/>
          <w:szCs w:val="24"/>
        </w:rPr>
      </w:pPr>
      <w:r>
        <w:rPr>
          <w:rFonts w:cs="Times New Roman"/>
          <w:noProof/>
          <w:szCs w:val="24"/>
        </w:rPr>
        <w:t>an EIB evaluation on the functioning of EFSI</w:t>
      </w:r>
      <w:r>
        <w:rPr>
          <w:rStyle w:val="FootnoteReference"/>
          <w:rFonts w:cs="Times New Roman"/>
          <w:noProof/>
          <w:szCs w:val="24"/>
        </w:rPr>
        <w:footnoteReference w:id="79"/>
      </w:r>
      <w:r>
        <w:rPr>
          <w:rFonts w:cs="Times New Roman"/>
          <w:noProof/>
          <w:szCs w:val="24"/>
        </w:rPr>
        <w:t xml:space="preserve">, and </w:t>
      </w:r>
    </w:p>
    <w:p>
      <w:pPr>
        <w:pStyle w:val="ListParagraph"/>
        <w:numPr>
          <w:ilvl w:val="0"/>
          <w:numId w:val="9"/>
        </w:numPr>
        <w:spacing w:after="120" w:line="264" w:lineRule="auto"/>
        <w:rPr>
          <w:rStyle w:val="Hyperlink"/>
          <w:rFonts w:cs="Times New Roman"/>
          <w:noProof/>
          <w:color w:val="auto"/>
          <w:szCs w:val="24"/>
        </w:rPr>
      </w:pPr>
      <w:r>
        <w:rPr>
          <w:rFonts w:cs="Times New Roman"/>
          <w:noProof/>
          <w:szCs w:val="24"/>
        </w:rPr>
        <w:t>an independent external evaluation on the application of the EFSI Regulation</w:t>
      </w:r>
      <w:r>
        <w:rPr>
          <w:rStyle w:val="FootnoteReference"/>
          <w:rFonts w:cs="Times New Roman"/>
          <w:noProof/>
          <w:szCs w:val="24"/>
        </w:rPr>
        <w:footnoteReference w:id="80"/>
      </w:r>
      <w:r>
        <w:rPr>
          <w:rFonts w:cs="Times New Roman"/>
          <w:noProof/>
          <w:szCs w:val="24"/>
        </w:rPr>
        <w:t xml:space="preserve"> published in November 2017. Main findings of these evaluations were summarised in the Commission Communication on the Investment Plan for Europe (COM (2016) 764)</w:t>
      </w:r>
      <w:r>
        <w:rPr>
          <w:rStyle w:val="FootnoteReference"/>
          <w:rFonts w:cs="Times New Roman"/>
          <w:noProof/>
          <w:szCs w:val="24"/>
        </w:rPr>
        <w:footnoteReference w:id="81"/>
      </w:r>
      <w:r>
        <w:rPr>
          <w:rFonts w:cs="Times New Roman"/>
          <w:noProof/>
          <w:szCs w:val="24"/>
        </w:rPr>
        <w:t>,</w:t>
      </w:r>
    </w:p>
    <w:p>
      <w:pPr>
        <w:pStyle w:val="ListParagraph"/>
        <w:numPr>
          <w:ilvl w:val="0"/>
          <w:numId w:val="9"/>
        </w:numPr>
        <w:spacing w:after="120" w:line="264" w:lineRule="auto"/>
        <w:rPr>
          <w:rFonts w:cs="Times New Roman"/>
          <w:b/>
          <w:noProof/>
          <w:szCs w:val="24"/>
          <w:u w:val="single"/>
        </w:rPr>
      </w:pPr>
      <w:r>
        <w:rPr>
          <w:rFonts w:cs="Times New Roman"/>
          <w:noProof/>
          <w:szCs w:val="24"/>
        </w:rPr>
        <w:t>an independent evaluation as required under article 18 of the EFSI Regulation. The evaluation was performed by ICF Mostra (hereafter referred to ICF evaluation and is published concurrently with the InvestEU Programme proposal), and</w:t>
      </w:r>
    </w:p>
    <w:p>
      <w:pPr>
        <w:pStyle w:val="ListParagraph"/>
        <w:numPr>
          <w:ilvl w:val="0"/>
          <w:numId w:val="9"/>
        </w:numPr>
        <w:spacing w:after="120" w:line="264" w:lineRule="auto"/>
        <w:rPr>
          <w:rStyle w:val="Hyperlink"/>
          <w:rFonts w:cs="Times New Roman"/>
          <w:b/>
          <w:noProof/>
          <w:color w:val="auto"/>
          <w:szCs w:val="24"/>
        </w:rPr>
      </w:pPr>
      <w:r>
        <w:rPr>
          <w:rFonts w:cs="Times New Roman"/>
          <w:noProof/>
          <w:szCs w:val="24"/>
        </w:rPr>
        <w:t>an ongoing EFSI evaluation by the EIB Group (deadline for publication 30 June 2018).</w:t>
      </w:r>
    </w:p>
    <w:p>
      <w:pPr>
        <w:spacing w:after="120" w:line="264" w:lineRule="auto"/>
        <w:rPr>
          <w:rStyle w:val="Aucun"/>
          <w:rFonts w:cs="Times New Roman"/>
          <w:b/>
          <w:noProof/>
          <w:szCs w:val="24"/>
          <w:lang w:val="en-GB"/>
        </w:rPr>
      </w:pPr>
    </w:p>
    <w:p>
      <w:pPr>
        <w:spacing w:after="120" w:line="264" w:lineRule="auto"/>
        <w:rPr>
          <w:rStyle w:val="Aucun"/>
          <w:rFonts w:cs="Times New Roman"/>
          <w:b/>
          <w:noProof/>
          <w:szCs w:val="24"/>
          <w:lang w:val="en-GB"/>
        </w:rPr>
      </w:pPr>
      <w:r>
        <w:rPr>
          <w:rStyle w:val="Aucun"/>
          <w:rFonts w:cs="Times New Roman"/>
          <w:b/>
          <w:noProof/>
          <w:szCs w:val="24"/>
          <w:lang w:val="en-GB"/>
        </w:rPr>
        <w:t>Relevance</w:t>
      </w:r>
    </w:p>
    <w:p>
      <w:pPr>
        <w:spacing w:line="264" w:lineRule="auto"/>
        <w:rPr>
          <w:rStyle w:val="Aucun"/>
          <w:rFonts w:cs="Times New Roman"/>
          <w:noProof/>
          <w:szCs w:val="24"/>
          <w:lang w:val="en-GB"/>
        </w:rPr>
      </w:pPr>
      <w:r>
        <w:rPr>
          <w:rStyle w:val="Aucun"/>
          <w:rFonts w:cs="Times New Roman"/>
          <w:noProof/>
          <w:szCs w:val="24"/>
          <w:lang w:val="en-GB"/>
        </w:rPr>
        <w:t xml:space="preserve">All evaluation found that the EU guarantee proved relevant and enabled the EIB to undertake riskier activities in line with expectations. </w:t>
      </w:r>
      <w:r>
        <w:rPr>
          <w:rFonts w:cs="Times New Roman"/>
          <w:noProof/>
          <w:szCs w:val="24"/>
        </w:rPr>
        <w:t>T</w:t>
      </w:r>
      <w:r>
        <w:rPr>
          <w:rStyle w:val="Aucun"/>
          <w:rFonts w:cs="Times New Roman"/>
          <w:noProof/>
          <w:szCs w:val="24"/>
          <w:lang w:val="en-GB"/>
        </w:rPr>
        <w:t xml:space="preserve">he European Fund for Strategic Investments also proved a relevant tool to mobilise private capital. The volumes of investment mobilised under EFSI are deemed sufficient scale to make a significant contribution to these investment needs. </w:t>
      </w:r>
    </w:p>
    <w:p>
      <w:pPr>
        <w:spacing w:line="264" w:lineRule="auto"/>
        <w:rPr>
          <w:rStyle w:val="Aucun"/>
          <w:rFonts w:cs="Times New Roman"/>
          <w:noProof/>
          <w:szCs w:val="24"/>
          <w:lang w:val="en-GB"/>
        </w:rPr>
      </w:pPr>
      <w:r>
        <w:rPr>
          <w:rStyle w:val="Aucun"/>
          <w:rFonts w:cs="Times New Roman"/>
          <w:noProof/>
          <w:szCs w:val="24"/>
          <w:lang w:val="en-GB"/>
        </w:rPr>
        <w:t xml:space="preserve">However, the evaluations have underlined some concentration in those MS with well-developed institutional capacities. </w:t>
      </w:r>
    </w:p>
    <w:p>
      <w:pPr>
        <w:spacing w:line="264" w:lineRule="auto"/>
        <w:rPr>
          <w:rStyle w:val="Aucun"/>
          <w:rFonts w:cs="Times New Roman"/>
          <w:noProof/>
          <w:szCs w:val="24"/>
          <w:lang w:val="en-GB"/>
        </w:rPr>
      </w:pPr>
      <w:r>
        <w:rPr>
          <w:rStyle w:val="Aucun"/>
          <w:rFonts w:cs="Times New Roman"/>
          <w:noProof/>
          <w:szCs w:val="24"/>
          <w:lang w:val="en-GB"/>
        </w:rPr>
        <w:t xml:space="preserve">The relevance of EFSI is also indicated by the introduction of new higher risk products reflecting the objective of taking on higher risk investments. </w:t>
      </w:r>
    </w:p>
    <w:p>
      <w:pPr>
        <w:spacing w:line="264" w:lineRule="auto"/>
        <w:rPr>
          <w:rStyle w:val="Aucun"/>
          <w:rFonts w:cs="Times New Roman"/>
          <w:noProof/>
          <w:szCs w:val="24"/>
          <w:lang w:val="en-GB"/>
        </w:rPr>
      </w:pPr>
      <w:r>
        <w:rPr>
          <w:rStyle w:val="Aucun"/>
          <w:rFonts w:cs="Times New Roman"/>
          <w:noProof/>
          <w:szCs w:val="24"/>
          <w:lang w:val="en-GB"/>
        </w:rPr>
        <w:t>The Scoreboard was evaluated as a relevant tool that allows a consistent approach to project presentation and to summarise appraisal conclusions.</w:t>
      </w:r>
    </w:p>
    <w:p>
      <w:pPr>
        <w:spacing w:line="264" w:lineRule="auto"/>
        <w:rPr>
          <w:rFonts w:cs="Times New Roman"/>
          <w:noProof/>
          <w:szCs w:val="24"/>
        </w:rPr>
      </w:pPr>
      <w:r>
        <w:rPr>
          <w:rStyle w:val="Aucun"/>
          <w:rFonts w:cs="Times New Roman"/>
          <w:noProof/>
          <w:szCs w:val="24"/>
          <w:lang w:val="en-GB"/>
        </w:rPr>
        <w:t>The ICF evaluation found t</w:t>
      </w:r>
      <w:r>
        <w:rPr>
          <w:rFonts w:cs="Times New Roman"/>
          <w:noProof/>
          <w:szCs w:val="24"/>
        </w:rPr>
        <w:t>he EU Guarantee to be highly relevant in permitting the additional financing to be deployed.</w:t>
      </w:r>
    </w:p>
    <w:p>
      <w:pPr>
        <w:spacing w:line="264" w:lineRule="auto"/>
        <w:rPr>
          <w:rStyle w:val="Aucun"/>
          <w:rFonts w:cs="Times New Roman"/>
          <w:noProof/>
          <w:szCs w:val="24"/>
          <w:lang w:val="en-GB"/>
        </w:rPr>
      </w:pPr>
    </w:p>
    <w:p>
      <w:pPr>
        <w:spacing w:after="120" w:line="264" w:lineRule="auto"/>
        <w:rPr>
          <w:rStyle w:val="Aucun"/>
          <w:rFonts w:cs="Times New Roman"/>
          <w:b/>
          <w:noProof/>
          <w:szCs w:val="24"/>
          <w:lang w:val="en-GB"/>
        </w:rPr>
      </w:pPr>
      <w:r>
        <w:rPr>
          <w:rStyle w:val="Aucun"/>
          <w:rFonts w:cs="Times New Roman"/>
          <w:b/>
          <w:noProof/>
          <w:szCs w:val="24"/>
          <w:lang w:val="en-GB"/>
        </w:rPr>
        <w:t>Effectiveness</w:t>
      </w:r>
    </w:p>
    <w:p>
      <w:pPr>
        <w:spacing w:after="120" w:line="264" w:lineRule="auto"/>
        <w:rPr>
          <w:rStyle w:val="Aucun"/>
          <w:rFonts w:cs="Times New Roman"/>
          <w:noProof/>
          <w:szCs w:val="24"/>
          <w:lang w:val="en-GB"/>
        </w:rPr>
      </w:pPr>
      <w:r>
        <w:rPr>
          <w:rStyle w:val="Aucun"/>
          <w:rFonts w:cs="Times New Roman"/>
          <w:noProof/>
          <w:szCs w:val="24"/>
          <w:lang w:val="en-GB"/>
        </w:rPr>
        <w:t>These evaluations have demonstrated that the EFSI is effective in delivering concrete results and encouraging a sustainable increase in the low investment levels in Europe by increasing access to financing and mobilising private capital.</w:t>
      </w:r>
    </w:p>
    <w:p>
      <w:pPr>
        <w:spacing w:after="120" w:line="264" w:lineRule="auto"/>
        <w:rPr>
          <w:rStyle w:val="Aucun"/>
          <w:rFonts w:cs="Times New Roman"/>
          <w:noProof/>
          <w:szCs w:val="24"/>
          <w:lang w:val="en-GB"/>
        </w:rPr>
      </w:pPr>
      <w:r>
        <w:rPr>
          <w:rFonts w:cs="Times New Roman"/>
          <w:noProof/>
          <w:szCs w:val="24"/>
        </w:rPr>
        <w:t>Based on reported investment mobilised to the cut-off date of the ICF evaluation (31 December 2017), EUR 207 billion has been mobilised by achieved signatures corresponding to 66 per cent of the target (and EUR 256 billion as per all approved operations corresponding to 81 per cent of the target). Extrapolating this trend a further 6 months with the completion of EFSI 1.0 in mid-2018, then mobilised investment from approved operations is expected to come very close or reach the 315 billion by mid-2018.</w:t>
      </w:r>
    </w:p>
    <w:p>
      <w:pPr>
        <w:spacing w:after="120" w:line="264" w:lineRule="auto"/>
        <w:rPr>
          <w:rFonts w:cs="Times New Roman"/>
          <w:noProof/>
          <w:szCs w:val="24"/>
        </w:rPr>
      </w:pPr>
      <w:r>
        <w:rPr>
          <w:rFonts w:cs="Times New Roman"/>
          <w:bCs/>
          <w:noProof/>
          <w:color w:val="000000"/>
          <w:szCs w:val="24"/>
          <w:lang w:eastAsia="ja-JP"/>
        </w:rPr>
        <w:t>Under the amended EFSI Regulation</w:t>
      </w:r>
      <w:r>
        <w:rPr>
          <w:rStyle w:val="FootnoteReference"/>
          <w:rFonts w:cs="Times New Roman"/>
          <w:bCs/>
          <w:noProof/>
          <w:color w:val="000000"/>
          <w:szCs w:val="24"/>
          <w:lang w:eastAsia="ja-JP"/>
        </w:rPr>
        <w:footnoteReference w:id="82"/>
      </w:r>
      <w:r>
        <w:rPr>
          <w:rFonts w:cs="Times New Roman"/>
          <w:bCs/>
          <w:noProof/>
          <w:color w:val="000000"/>
          <w:szCs w:val="24"/>
          <w:lang w:eastAsia="ja-JP"/>
        </w:rPr>
        <w:t xml:space="preserve"> ('</w:t>
      </w:r>
      <w:r>
        <w:rPr>
          <w:rFonts w:eastAsia="Times New Roman" w:cs="Times New Roman"/>
          <w:bCs/>
          <w:noProof/>
          <w:color w:val="000000"/>
          <w:szCs w:val="24"/>
        </w:rPr>
        <w:t>EFSI 2.0</w:t>
      </w:r>
      <w:r>
        <w:rPr>
          <w:rFonts w:cs="Times New Roman"/>
          <w:bCs/>
          <w:noProof/>
          <w:color w:val="000000"/>
          <w:szCs w:val="24"/>
          <w:lang w:eastAsia="ja-JP"/>
        </w:rPr>
        <w:t>')</w:t>
      </w:r>
      <w:r>
        <w:rPr>
          <w:rFonts w:eastAsia="Times New Roman" w:cs="Times New Roman"/>
          <w:bCs/>
          <w:noProof/>
          <w:color w:val="000000"/>
          <w:szCs w:val="24"/>
        </w:rPr>
        <w:t xml:space="preserve"> </w:t>
      </w:r>
      <w:r>
        <w:rPr>
          <w:rFonts w:cs="Times New Roman"/>
          <w:bCs/>
          <w:noProof/>
          <w:color w:val="000000"/>
          <w:szCs w:val="24"/>
          <w:lang w:eastAsia="ja-JP"/>
        </w:rPr>
        <w:t xml:space="preserve">support </w:t>
      </w:r>
      <w:r>
        <w:rPr>
          <w:rFonts w:cs="Times New Roman"/>
          <w:noProof/>
          <w:szCs w:val="24"/>
        </w:rPr>
        <w:t xml:space="preserve">will continue </w:t>
      </w:r>
      <w:r>
        <w:rPr>
          <w:rFonts w:cs="Times New Roman"/>
          <w:noProof/>
          <w:szCs w:val="24"/>
          <w:lang w:eastAsia="ja-JP"/>
        </w:rPr>
        <w:t xml:space="preserve">towards </w:t>
      </w:r>
      <w:r>
        <w:rPr>
          <w:rFonts w:cs="Times New Roman"/>
          <w:noProof/>
          <w:szCs w:val="24"/>
        </w:rPr>
        <w:t xml:space="preserve">financing </w:t>
      </w:r>
      <w:r>
        <w:rPr>
          <w:rFonts w:cs="Times New Roman"/>
          <w:noProof/>
          <w:szCs w:val="24"/>
          <w:lang w:eastAsia="ja-JP"/>
        </w:rPr>
        <w:t xml:space="preserve">of </w:t>
      </w:r>
      <w:r>
        <w:rPr>
          <w:rFonts w:cs="Times New Roman"/>
          <w:noProof/>
          <w:szCs w:val="24"/>
        </w:rPr>
        <w:t>projects</w:t>
      </w:r>
      <w:r>
        <w:rPr>
          <w:rFonts w:cs="Times New Roman"/>
          <w:noProof/>
          <w:szCs w:val="24"/>
          <w:lang w:eastAsia="ja-JP"/>
        </w:rPr>
        <w:t>,</w:t>
      </w:r>
      <w:r>
        <w:rPr>
          <w:rFonts w:cs="Times New Roman"/>
          <w:noProof/>
          <w:szCs w:val="24"/>
        </w:rPr>
        <w:t xml:space="preserve"> leading to higher productivity and competitiveness with enhanced focus on sustainable investments in line with the Paris Agreement and the clean energy transition objectives. </w:t>
      </w:r>
    </w:p>
    <w:p>
      <w:pPr>
        <w:spacing w:after="120" w:line="264" w:lineRule="auto"/>
        <w:rPr>
          <w:rStyle w:val="Aucun"/>
          <w:rFonts w:cs="Times New Roman"/>
          <w:noProof/>
          <w:szCs w:val="24"/>
          <w:lang w:val="en-GB"/>
        </w:rPr>
      </w:pPr>
      <w:r>
        <w:rPr>
          <w:rStyle w:val="Aucun"/>
          <w:rFonts w:cs="Times New Roman"/>
          <w:noProof/>
          <w:szCs w:val="24"/>
          <w:lang w:val="en-GB"/>
        </w:rPr>
        <w:t>The EFSI is a demand driven instrument and its portfolio is concentrated in few Member States. However, if the investment mobilised is considered relative to Member States' GDP this concentration is much less pronounced. Nevertheless, to improve geographical balance the EFSI 2.0 has already taken corrective action by strengthening the relevance of the IPE's second Pillar.</w:t>
      </w:r>
    </w:p>
    <w:p>
      <w:pPr>
        <w:spacing w:after="120" w:line="264" w:lineRule="auto"/>
        <w:rPr>
          <w:rFonts w:cs="Times New Roman"/>
          <w:noProof/>
          <w:szCs w:val="24"/>
        </w:rPr>
      </w:pPr>
      <w:r>
        <w:rPr>
          <w:rFonts w:cs="Times New Roman"/>
          <w:noProof/>
          <w:szCs w:val="24"/>
        </w:rPr>
        <w:t xml:space="preserve">As of 31 December 2017, the actual multiplier effect of the EFSI is broadly in line with what had been assessed at the outset – aggregate global multiplier achieved end 2017 of 13.5 against a target of 15. EFSI has also been effective in mobilising private investments. Some 64 per cent of investment mobilised is from the private sector. </w:t>
      </w:r>
    </w:p>
    <w:p>
      <w:pPr>
        <w:spacing w:after="120" w:line="264" w:lineRule="auto"/>
        <w:rPr>
          <w:rFonts w:cs="Times New Roman"/>
          <w:noProof/>
          <w:szCs w:val="24"/>
        </w:rPr>
      </w:pPr>
      <w:r>
        <w:rPr>
          <w:rFonts w:cs="Times New Roman"/>
          <w:noProof/>
          <w:szCs w:val="24"/>
        </w:rPr>
        <w:t xml:space="preserve">The ICF independent evaluation found that the approach to modelling the EFSI target rate appears to be broadly adequate and in line with industry standards but proposed some further developments of the model. It also concluded that the assessment of the estimation of the current target rate showed that the target rate is highly sensitive to the assumption related to the correlation of defaults between individual debt operations. </w:t>
      </w:r>
    </w:p>
    <w:p>
      <w:pPr>
        <w:spacing w:after="120" w:line="264" w:lineRule="auto"/>
        <w:rPr>
          <w:rFonts w:cs="Times New Roman"/>
          <w:noProof/>
          <w:szCs w:val="24"/>
        </w:rPr>
      </w:pPr>
    </w:p>
    <w:p>
      <w:pPr>
        <w:spacing w:after="120" w:line="264" w:lineRule="auto"/>
        <w:rPr>
          <w:rFonts w:cs="Times New Roman"/>
          <w:noProof/>
          <w:szCs w:val="24"/>
        </w:rPr>
      </w:pPr>
    </w:p>
    <w:p>
      <w:pPr>
        <w:spacing w:after="120" w:line="264" w:lineRule="auto"/>
        <w:rPr>
          <w:rFonts w:cs="Times New Roman"/>
          <w:noProof/>
          <w:szCs w:val="24"/>
        </w:rPr>
      </w:pPr>
    </w:p>
    <w:p>
      <w:pPr>
        <w:spacing w:after="120" w:line="264" w:lineRule="auto"/>
        <w:rPr>
          <w:rStyle w:val="Aucun"/>
          <w:rFonts w:cs="Times New Roman"/>
          <w:b/>
          <w:noProof/>
          <w:szCs w:val="24"/>
          <w:lang w:val="en-GB"/>
        </w:rPr>
      </w:pPr>
      <w:r>
        <w:rPr>
          <w:rStyle w:val="Aucun"/>
          <w:rFonts w:cs="Times New Roman"/>
          <w:b/>
          <w:noProof/>
          <w:szCs w:val="24"/>
          <w:lang w:val="en-GB"/>
        </w:rPr>
        <w:t>Efficiency</w:t>
      </w:r>
    </w:p>
    <w:p>
      <w:pPr>
        <w:spacing w:line="264" w:lineRule="auto"/>
        <w:rPr>
          <w:rFonts w:cs="Times New Roman"/>
          <w:bCs/>
          <w:iCs/>
          <w:noProof/>
          <w:szCs w:val="24"/>
        </w:rPr>
      </w:pPr>
      <w:r>
        <w:rPr>
          <w:rFonts w:cs="Times New Roman"/>
          <w:noProof/>
          <w:szCs w:val="24"/>
        </w:rPr>
        <w:t xml:space="preserve">In terms of efficiency, the availability of the EU Guarantee proved to be an efficient tool to considerably increase the volume of riskier operations by the EIB. </w:t>
      </w:r>
      <w:r>
        <w:rPr>
          <w:rFonts w:cs="Times New Roman"/>
          <w:bCs/>
          <w:iCs/>
          <w:noProof/>
          <w:szCs w:val="24"/>
        </w:rPr>
        <w:t>In particular, the EFSI budgetary guarantee freezes less budgetary resources compared to financial instruments, as it requires limited provisioning needs compared to the level of financial engagement. In other words, it assumes a contingent liability and is consequently expected to achieve economies of scale that result in higher investment mobilised per euro spent. The evidence analysed as part of the ICF evaluation also indicated that the size of the EU Guarantee under EFSI 1.0 was appropriate.</w:t>
      </w:r>
    </w:p>
    <w:p>
      <w:pPr>
        <w:spacing w:after="120" w:line="264" w:lineRule="auto"/>
        <w:rPr>
          <w:rStyle w:val="Aucun"/>
          <w:rFonts w:cs="Times New Roman"/>
          <w:noProof/>
          <w:szCs w:val="24"/>
          <w:lang w:val="en-GB"/>
        </w:rPr>
      </w:pPr>
      <w:r>
        <w:rPr>
          <w:rStyle w:val="Aucun"/>
          <w:rFonts w:cs="Times New Roman"/>
          <w:noProof/>
          <w:szCs w:val="24"/>
          <w:lang w:val="en-GB"/>
        </w:rPr>
        <w:t xml:space="preserve">A budgetary guarantee has also proven more cost-efficient for the EU budget, as it limits the payment of management fees to the implementing partner. Such fees are limited to cases where they are strictly needed to cover part of the implementing partner's costs related to the development of an action in a specific niche, related to high risk or an unproven area. In the case of the EFSI, the EU is even remunerated for the EU guarantee provided under the Infrastructure and Innovation Window. </w:t>
      </w:r>
    </w:p>
    <w:p>
      <w:pPr>
        <w:spacing w:after="120" w:line="264" w:lineRule="auto"/>
        <w:rPr>
          <w:rFonts w:cs="Times New Roman"/>
          <w:noProof/>
          <w:szCs w:val="24"/>
        </w:rPr>
      </w:pPr>
      <w:r>
        <w:rPr>
          <w:rFonts w:cs="Times New Roman"/>
          <w:noProof/>
          <w:szCs w:val="24"/>
        </w:rPr>
        <w:t>In addition, the ICF evaluation identified no major issues with the EFSI governance. The planned publication of the Scoreboard improves transparency. Some early issues of communication between the Secretariat and the Investment Committee have also been resolved. Better feedback to the Investment Committee members on the details of projects after final close was an identified area for improvement.</w:t>
      </w:r>
    </w:p>
    <w:p>
      <w:pPr>
        <w:spacing w:after="120" w:line="264" w:lineRule="auto"/>
        <w:rPr>
          <w:rFonts w:cs="Times New Roman"/>
          <w:noProof/>
          <w:szCs w:val="24"/>
        </w:rPr>
      </w:pPr>
      <w:r>
        <w:rPr>
          <w:rFonts w:cs="Times New Roman"/>
          <w:noProof/>
          <w:szCs w:val="24"/>
        </w:rPr>
        <w:t>The efficiency of procedures and the time taken appear consistent with the tasks required to be undertaken.</w:t>
      </w:r>
    </w:p>
    <w:p>
      <w:pPr>
        <w:spacing w:after="120" w:line="264" w:lineRule="auto"/>
        <w:rPr>
          <w:rFonts w:cs="Times New Roman"/>
          <w:noProof/>
          <w:szCs w:val="24"/>
        </w:rPr>
      </w:pPr>
      <w:r>
        <w:rPr>
          <w:rFonts w:cs="Times New Roman"/>
          <w:noProof/>
          <w:szCs w:val="24"/>
        </w:rPr>
        <w:t>The burden on project promotors was generally modest, especially when establishing a first contact with the EIB Group. The appraisal procedure was considered to be difficult by a quarter of promoters interviewed, but this is not considered to represent a need for any significant change in procedures.</w:t>
      </w:r>
    </w:p>
    <w:p>
      <w:pPr>
        <w:spacing w:after="120" w:line="264" w:lineRule="auto"/>
        <w:rPr>
          <w:rFonts w:cs="Times New Roman"/>
          <w:b/>
          <w:noProof/>
          <w:szCs w:val="24"/>
        </w:rPr>
      </w:pPr>
      <w:r>
        <w:rPr>
          <w:rFonts w:cs="Times New Roman"/>
          <w:b/>
          <w:noProof/>
          <w:szCs w:val="24"/>
        </w:rPr>
        <w:t>EU added value</w:t>
      </w:r>
    </w:p>
    <w:p>
      <w:pPr>
        <w:spacing w:after="120" w:line="264" w:lineRule="auto"/>
        <w:rPr>
          <w:rFonts w:cs="Times New Roman"/>
          <w:noProof/>
          <w:szCs w:val="24"/>
        </w:rPr>
      </w:pPr>
      <w:r>
        <w:rPr>
          <w:rFonts w:cs="Times New Roman"/>
          <w:noProof/>
          <w:szCs w:val="24"/>
        </w:rPr>
        <w:t xml:space="preserve">The 2016 independent evaluation stressed the need to better define and clarify the concept of additionality. Consequently, the EFSI 2.0 amended Regulation proposed several corrective measures to clarify the concept, the criteria and made the process more transparent. </w:t>
      </w:r>
    </w:p>
    <w:p>
      <w:pPr>
        <w:spacing w:after="120" w:line="264" w:lineRule="auto"/>
        <w:rPr>
          <w:rFonts w:cs="Times New Roman"/>
          <w:noProof/>
          <w:szCs w:val="24"/>
        </w:rPr>
      </w:pPr>
      <w:r>
        <w:rPr>
          <w:rFonts w:cs="Times New Roman"/>
          <w:noProof/>
          <w:szCs w:val="24"/>
        </w:rPr>
        <w:t>The ECA Opinion</w:t>
      </w:r>
      <w:r>
        <w:rPr>
          <w:rStyle w:val="FootnoteReference"/>
          <w:rFonts w:cs="Times New Roman"/>
          <w:noProof/>
          <w:szCs w:val="24"/>
        </w:rPr>
        <w:footnoteReference w:id="83"/>
      </w:r>
      <w:r>
        <w:rPr>
          <w:rFonts w:cs="Times New Roman"/>
          <w:noProof/>
          <w:szCs w:val="24"/>
        </w:rPr>
        <w:t xml:space="preserve"> on the early proposal to extend and expand EFSI acknowledges the challenge to determine the exact amount of investment mobilised by public support. In particular, the report claims that not all sources of finance attracted by a project are the result of the EU intervention. The challenge is magnified by the difficulty to determine whether private investment was crowded-in because of the EU intervention or would a part of it have been mobilised even without the public support. </w:t>
      </w:r>
    </w:p>
    <w:p>
      <w:pPr>
        <w:spacing w:after="120" w:line="264" w:lineRule="auto"/>
        <w:rPr>
          <w:rFonts w:cs="Times New Roman"/>
          <w:noProof/>
          <w:szCs w:val="24"/>
        </w:rPr>
      </w:pPr>
      <w:r>
        <w:rPr>
          <w:rFonts w:cs="Times New Roman"/>
          <w:noProof/>
          <w:szCs w:val="24"/>
        </w:rPr>
        <w:t>The ICF evaluation concluded in particular</w:t>
      </w:r>
      <w:r>
        <w:rPr>
          <w:rStyle w:val="FootnoteReference"/>
          <w:rFonts w:cs="Times New Roman"/>
          <w:noProof/>
          <w:szCs w:val="24"/>
        </w:rPr>
        <w:footnoteReference w:id="84"/>
      </w:r>
      <w:r>
        <w:rPr>
          <w:rFonts w:cs="Times New Roman"/>
          <w:noProof/>
          <w:szCs w:val="24"/>
        </w:rPr>
        <w:t>:</w:t>
      </w:r>
    </w:p>
    <w:p>
      <w:pPr>
        <w:pStyle w:val="ListParagraph"/>
        <w:numPr>
          <w:ilvl w:val="0"/>
          <w:numId w:val="58"/>
        </w:numPr>
        <w:spacing w:after="120" w:line="264" w:lineRule="auto"/>
        <w:rPr>
          <w:rFonts w:cs="Times New Roman"/>
          <w:noProof/>
          <w:szCs w:val="24"/>
        </w:rPr>
      </w:pPr>
      <w:r>
        <w:rPr>
          <w:rFonts w:cs="Times New Roman"/>
          <w:noProof/>
          <w:szCs w:val="24"/>
        </w:rPr>
        <w:t xml:space="preserve">Compared to EIB finance for higher risk activity (Special Activities) prior to the EFSI, there has been a five-fold increase in investment and clear evidence that EFSI operations are characterised by a higher level of risk as compared to standard (non-EFSI) EIB operations. </w:t>
      </w:r>
    </w:p>
    <w:p>
      <w:pPr>
        <w:pStyle w:val="ListParagraph"/>
        <w:numPr>
          <w:ilvl w:val="0"/>
          <w:numId w:val="58"/>
        </w:numPr>
        <w:spacing w:after="120" w:line="264" w:lineRule="auto"/>
        <w:rPr>
          <w:rFonts w:cs="Times New Roman"/>
          <w:noProof/>
          <w:szCs w:val="24"/>
        </w:rPr>
      </w:pPr>
      <w:r>
        <w:rPr>
          <w:rFonts w:cs="Times New Roman"/>
          <w:noProof/>
          <w:szCs w:val="24"/>
        </w:rPr>
        <w:t>Additionality. There is a need to further clarify the concept of additionality and the definition of sub-optimal investment situations. In particular, the evaluation concluded that EFSI operations are characterised by a higher level of risk as compared to standard (non-EFSI) EIB operations as required by the EFSI Regulation. However, the survey and interviews indicated that under the Infrastructure and Innovation Window of EFSI some crowding out may have occurred. While there is always a risk that market-based interventions can in certain cases have a limited crowding out effect, more analysis is needed to verify whether the new measures foreseen under EFSI 2.0 have a positive effect on additionality.</w:t>
      </w:r>
    </w:p>
    <w:p>
      <w:pPr>
        <w:pStyle w:val="ListParagraph"/>
        <w:numPr>
          <w:ilvl w:val="0"/>
          <w:numId w:val="58"/>
        </w:numPr>
        <w:spacing w:after="120" w:line="264" w:lineRule="auto"/>
        <w:rPr>
          <w:rFonts w:cs="Times New Roman"/>
          <w:noProof/>
          <w:szCs w:val="24"/>
        </w:rPr>
      </w:pPr>
      <w:r>
        <w:rPr>
          <w:rFonts w:cs="Times New Roman"/>
          <w:noProof/>
          <w:szCs w:val="24"/>
        </w:rPr>
        <w:t>Non-financial added value – there is evidence of other added value from the EFSI in terms of attracting new investors, providing demonstrations and market testing of new products and financing models, and support and adoption of higher operational standards by financial service providers.</w:t>
      </w:r>
    </w:p>
    <w:p>
      <w:pPr>
        <w:pStyle w:val="ListParagraph"/>
        <w:numPr>
          <w:ilvl w:val="0"/>
          <w:numId w:val="58"/>
        </w:numPr>
        <w:spacing w:after="120" w:line="264" w:lineRule="auto"/>
        <w:rPr>
          <w:rFonts w:cs="Times New Roman"/>
          <w:noProof/>
          <w:szCs w:val="24"/>
        </w:rPr>
      </w:pPr>
      <w:r>
        <w:rPr>
          <w:rFonts w:cs="Times New Roman"/>
          <w:noProof/>
          <w:szCs w:val="24"/>
        </w:rPr>
        <w:t>Opportunity costs of provisioning EFSI – the financing of the EFSI required some reallocation of the EU budget from existing programmes i.e. CEF and H2020 which increased the resources for EFSI while leading to reduced resources in these programmes. However, because of EFSI activity being partially focused on these programme areas, the adverse policy effect has been somewhat reduced.</w:t>
      </w:r>
    </w:p>
    <w:p>
      <w:pPr>
        <w:spacing w:after="120" w:line="264" w:lineRule="auto"/>
        <w:rPr>
          <w:rFonts w:cs="Times New Roman"/>
          <w:b/>
          <w:noProof/>
          <w:szCs w:val="24"/>
        </w:rPr>
      </w:pPr>
    </w:p>
    <w:p>
      <w:pPr>
        <w:spacing w:after="120" w:line="264" w:lineRule="auto"/>
        <w:rPr>
          <w:rFonts w:cs="Times New Roman"/>
          <w:b/>
          <w:noProof/>
          <w:szCs w:val="24"/>
        </w:rPr>
      </w:pPr>
      <w:r>
        <w:rPr>
          <w:rFonts w:cs="Times New Roman"/>
          <w:b/>
          <w:noProof/>
          <w:szCs w:val="24"/>
        </w:rPr>
        <w:t>Coherence</w:t>
      </w:r>
    </w:p>
    <w:p>
      <w:pPr>
        <w:spacing w:after="120" w:line="264" w:lineRule="auto"/>
        <w:rPr>
          <w:rFonts w:cs="Times New Roman"/>
          <w:noProof/>
          <w:szCs w:val="24"/>
        </w:rPr>
      </w:pPr>
      <w:r>
        <w:rPr>
          <w:rStyle w:val="Aucun"/>
          <w:rFonts w:eastAsia="Arial Unicode MS" w:cs="Times New Roman"/>
          <w:noProof/>
          <w:color w:val="000000"/>
          <w:szCs w:val="24"/>
          <w:u w:color="000000"/>
          <w:bdr w:val="nil"/>
          <w:lang w:val="en-GB" w:eastAsia="en-GB"/>
        </w:rPr>
        <w:t>The 2016 EIB evaluation found that other EU programmes and financial instruments may in some cases compete with the EFSI. In other cases, the EFSI and other EU programmes can be complementary. For example, resources from the CEF and H2020, and similarly the ESIF, could finance the first-loss piece of EFSI operations, where it is</w:t>
      </w:r>
      <w:r>
        <w:rPr>
          <w:rFonts w:cs="Times New Roman"/>
          <w:noProof/>
          <w:szCs w:val="24"/>
        </w:rPr>
        <w:t xml:space="preserve"> needed to take projects off the ground and maximise private sector contributions. In these cases, the EIB, with EFSI support, can finance mezzanine tranches. </w:t>
      </w:r>
    </w:p>
    <w:p>
      <w:pPr>
        <w:spacing w:after="120" w:line="264" w:lineRule="auto"/>
        <w:rPr>
          <w:rFonts w:cs="Times New Roman"/>
          <w:noProof/>
          <w:szCs w:val="24"/>
        </w:rPr>
      </w:pPr>
      <w:r>
        <w:rPr>
          <w:rFonts w:cs="Times New Roman"/>
          <w:noProof/>
          <w:szCs w:val="24"/>
        </w:rPr>
        <w:t xml:space="preserve">The ICF independent EFSI evaluation confirmed the initial disruption by EFSI under IIW to other EU level financial instruments by offering similar financial products. The evaluation however found that the main coherence issue have since been resolved during implementation by re-focusing existing instruments towards new market segments. The evaluation also stressed some potential coherence issue with the financial instruments used under ESIF. The evaluation recommended to strengthen ex-ante assessments and ongoing analysis of market failures and needs at a sectoral level to avoid any overlaps between products and to minimise any potential crowding out effects. </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Mid-term evaluation of Connecting Europe Facility (CEF) </w:t>
      </w:r>
    </w:p>
    <w:p>
      <w:pPr>
        <w:spacing w:after="120" w:line="264" w:lineRule="auto"/>
        <w:rPr>
          <w:rFonts w:cs="Times New Roman"/>
          <w:noProof/>
          <w:szCs w:val="24"/>
        </w:rPr>
      </w:pPr>
      <w:r>
        <w:rPr>
          <w:rFonts w:cs="Times New Roman"/>
          <w:noProof/>
          <w:szCs w:val="24"/>
        </w:rPr>
        <w:t xml:space="preserve">The Connecting Europe Facility (CEF) programme was established in 2013 to support investment in Trans-European networks in the fields of transport, energy and telecommunications services. It was designed to exploit potential synergies among the three sectors, while supporting the better integration of their respective infrastructure across EU Member States. The CEF Debt Instrument (CEF DI), effective since July 2015 and building on the experience gained with the Loan Guarantee Instrument for Trans-European Transport (LGTT) and the pilot phase of the Project Bond Initiative (PBI), pioneered the use of financial products in the three sectors. The CEF Equity Instrument (EI) is not yet in use in any of the CEF sectors. Support from this instrument will be provided to fund the rollout of very high capacity networks in underserved areas, with an important leverage effect, through the Connecting Europe Broadband Fund (CEBF) which is expected to become operational in the first half of 2018. </w:t>
      </w:r>
    </w:p>
    <w:p>
      <w:pPr>
        <w:spacing w:after="120" w:line="264" w:lineRule="auto"/>
        <w:rPr>
          <w:rFonts w:cs="Times New Roman"/>
          <w:noProof/>
          <w:szCs w:val="24"/>
        </w:rPr>
      </w:pPr>
      <w:r>
        <w:rPr>
          <w:rFonts w:cs="Times New Roman"/>
          <w:noProof/>
          <w:szCs w:val="24"/>
        </w:rPr>
        <w:t>In accordance with the CEF Regulation</w:t>
      </w:r>
      <w:r>
        <w:rPr>
          <w:rStyle w:val="FootnoteReference"/>
          <w:rFonts w:cs="Times New Roman"/>
          <w:noProof/>
          <w:szCs w:val="24"/>
        </w:rPr>
        <w:footnoteReference w:id="85"/>
      </w:r>
      <w:r>
        <w:rPr>
          <w:rFonts w:cs="Times New Roman"/>
          <w:noProof/>
          <w:szCs w:val="24"/>
        </w:rPr>
        <w:t>, the Commission, in cooperation with the Member States and the beneficiaries concerned, was required to present a report on the mid-term evaluation of the CEF to the European Parliament and the Council. This report</w:t>
      </w:r>
      <w:r>
        <w:rPr>
          <w:rStyle w:val="FootnoteReference"/>
          <w:rFonts w:cs="Times New Roman"/>
          <w:noProof/>
          <w:szCs w:val="24"/>
        </w:rPr>
        <w:footnoteReference w:id="86"/>
      </w:r>
      <w:r>
        <w:rPr>
          <w:rFonts w:cs="Times New Roman"/>
          <w:noProof/>
          <w:szCs w:val="24"/>
        </w:rPr>
        <w:t xml:space="preserve"> and its accompanying Commission staff working document were adopted by the Commission on 13 February 2018. The evaluation assesses the programme’s overall performance in light of its general and sectoral objectives, as well as compared to what has been achieved as a result of national or EU action. The evaluation illustrate</w:t>
      </w:r>
      <w:r>
        <w:rPr>
          <w:rFonts w:cs="Times New Roman"/>
          <w:noProof/>
          <w:szCs w:val="24"/>
          <w:lang w:eastAsia="ja-JP"/>
        </w:rPr>
        <w:t>s</w:t>
      </w:r>
      <w:r>
        <w:rPr>
          <w:rFonts w:cs="Times New Roman"/>
          <w:noProof/>
          <w:szCs w:val="24"/>
        </w:rPr>
        <w:t xml:space="preserve"> that after the first three and a half years of CEF implementation, the programme is on track, although it is much too early to measure results given that the programme implementation is still at an early stage. Moreover, the evaluation showed that in all three sectors, the deployment of CEF Financial Instruments</w:t>
      </w:r>
      <w:r>
        <w:rPr>
          <w:rFonts w:cs="Times New Roman"/>
          <w:noProof/>
          <w:szCs w:val="24"/>
          <w:vertAlign w:val="superscript"/>
        </w:rPr>
        <w:footnoteReference w:id="87"/>
      </w:r>
      <w:r>
        <w:rPr>
          <w:rFonts w:cs="Times New Roman"/>
          <w:noProof/>
          <w:szCs w:val="24"/>
        </w:rPr>
        <w:t xml:space="preserve"> has been limited, partly due to the new financing opportunities opened by the European Fund for Strategic Investments (EFSI). Other factors relate to the weak pipeline of bankable CEF-eligible projects available in the energy sector at the time that the CEF DI became effective, or to the limited budget available for broadband projects. To date, support from the instrument has been mainly provided to projects in the transport sector, while only one broadband project and one energy project were supported under the predecessor instrument, i.e. the pilot phase of the PBI. More projects are expected however to be supported under the instrument in 2018. </w:t>
      </w:r>
    </w:p>
    <w:p>
      <w:pPr>
        <w:spacing w:after="120" w:line="264" w:lineRule="auto"/>
        <w:rPr>
          <w:rFonts w:cs="Times New Roman"/>
          <w:noProof/>
          <w:szCs w:val="24"/>
        </w:rPr>
      </w:pPr>
      <w:r>
        <w:rPr>
          <w:rFonts w:cs="Times New Roman"/>
          <w:noProof/>
          <w:szCs w:val="24"/>
        </w:rPr>
        <w:t>The evaluation highlighted the positive experience of blending CEF grants with Financial Instruments which was carried out in 2017 in transport, whereby EUR 2.2 billion funding was requested for a call with an indicative budget of EUR 1 billion, which enabled the use of grants to maximise the leverage of private or public funds. Looking forward, the evaluation stresses that the completion of the trans-European networks will still require massive investments, part of which will depend on continued EU support. The size of the CEF programme currently makes it possible to address only partly the market failures identified in the three CEF sectors. Therefore, the evaluation recommends that unlocking further public and private investment should continue to represent a priority in the future, which can be addressed through grant financing, but also through the use of Financial Instruments whose relevance is found to vary across the CEF sectors. To this end, the evaluation concludes that CEF Financial Instruments and blending of grants with other forms of financing (notably from private sector and public banks) remain relevant financing intervention means from the EU budget, in particular for revenue generating projects.</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European Energy Efficiency Fund (EEEF) </w:t>
      </w:r>
    </w:p>
    <w:p>
      <w:pPr>
        <w:spacing w:after="120" w:line="264" w:lineRule="auto"/>
        <w:rPr>
          <w:rFonts w:cs="Times New Roman"/>
          <w:noProof/>
          <w:szCs w:val="24"/>
        </w:rPr>
      </w:pPr>
      <w:r>
        <w:rPr>
          <w:rFonts w:cs="Times New Roman"/>
          <w:noProof/>
          <w:szCs w:val="24"/>
        </w:rPr>
        <w:t xml:space="preserve">A significant challenge the Fund has faced is the limited number of ongoing projects and the difficulty to attract a substantial number of new ones. While identifying the exact causes of this development is an ongoing exercise, some recurring factors have been observed: 1) local governments prefer working with grants that are, from their point of view, easier to manage and more flexible (especially the case in Scandinavian countries and in Eastern Europe); 2) municipalities usually need to adhere to lengthy and slow public procurement processes, which call for a simplified, streamlined process regarding Financial Instruments to better support the projects targeted by EEEF – similar to the InvestEU Fund. Mitigating actions include fine-tuning the Fund’s marketing approach to underline that its capacity to provide financing complementing grants and increasing the provision of technical assistance to ensure municipalities efficiently organise the required procurements processes. </w:t>
      </w:r>
    </w:p>
    <w:p>
      <w:pPr>
        <w:spacing w:after="120" w:line="264" w:lineRule="auto"/>
        <w:rPr>
          <w:rFonts w:cs="Times New Roman"/>
          <w:noProof/>
          <w:szCs w:val="24"/>
        </w:rPr>
      </w:pPr>
      <w:r>
        <w:rPr>
          <w:rFonts w:cs="Times New Roman"/>
          <w:noProof/>
          <w:szCs w:val="24"/>
        </w:rPr>
        <w:t xml:space="preserve">EEEF also helped the Commission learn that the closing of projects is facilitated if technical support is tied to use of the fund. </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Private Finance for Energy Efficiency (PF4EE)</w:t>
      </w:r>
    </w:p>
    <w:p>
      <w:pPr>
        <w:spacing w:after="120" w:line="264" w:lineRule="auto"/>
        <w:rPr>
          <w:rFonts w:cs="Times New Roman"/>
          <w:noProof/>
          <w:szCs w:val="24"/>
        </w:rPr>
      </w:pPr>
      <w:r>
        <w:rPr>
          <w:rFonts w:cs="Times New Roman"/>
          <w:noProof/>
          <w:szCs w:val="24"/>
        </w:rPr>
        <w:t>On energy efficiency, the PF4EE instrument targets projects which support the implementation of National Energy Efficiency Action Plans or other energy efficiency programmes of EU Member States. The PPF4EE also includes an Expert Support Facility to support participating financial institutions to develop financial products for the financing of the national/regional EE schemes.</w:t>
      </w:r>
    </w:p>
    <w:p>
      <w:pPr>
        <w:spacing w:after="120" w:line="264" w:lineRule="auto"/>
        <w:rPr>
          <w:rFonts w:cs="Times New Roman"/>
          <w:noProof/>
          <w:szCs w:val="24"/>
        </w:rPr>
      </w:pPr>
      <w:r>
        <w:rPr>
          <w:rFonts w:cs="Times New Roman"/>
          <w:noProof/>
          <w:szCs w:val="24"/>
        </w:rPr>
        <w:t xml:space="preserve">To date the EIB have signed operations in The Czech Republic, Spain, France, Belgium, Italy, Portugal, Croatia, Greece and Cyprus generating a portfolio worth of EUR 720 million of investment. The investment leverage effect would be 14.6 against an initial target of 8. </w:t>
      </w:r>
    </w:p>
    <w:p>
      <w:pPr>
        <w:spacing w:after="120" w:line="264" w:lineRule="auto"/>
        <w:rPr>
          <w:rFonts w:cs="Times New Roman"/>
          <w:noProof/>
          <w:szCs w:val="24"/>
        </w:rPr>
      </w:pPr>
      <w:r>
        <w:rPr>
          <w:rFonts w:cs="Times New Roman"/>
          <w:noProof/>
          <w:szCs w:val="24"/>
        </w:rPr>
        <w:t xml:space="preserve">With regard to the PF4EE the Mid-term evaluation of LIFE states that ‘There are issues regarding the complementarity of the instrument with other funding mechanisms supporting energy efficiency, especially in some Member States.’. Potential overlap with EBRD and ERDF loans was highlighted. The overlap with ERDF loans is also mentioned in the section on ESIF. However, although there are an increasing number of FIs active in the energy efficiency area, the size and importance of the potential market is very large. According to DG ENER it is estimated that an additional EUR 177 billion per year will be necessary over the period 2021-2030 to reach the EU's energy and climate objectives for 2030. Therefore, the risk of these FIs crowding each other out appears minimal. </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Natural Capital Financing Facility (NCFF)</w:t>
      </w:r>
    </w:p>
    <w:p>
      <w:pPr>
        <w:spacing w:after="120" w:line="264" w:lineRule="auto"/>
        <w:rPr>
          <w:rFonts w:eastAsia="Times New Roman" w:cs="Times New Roman"/>
          <w:bCs/>
          <w:noProof/>
          <w:color w:val="000000"/>
          <w:szCs w:val="24"/>
        </w:rPr>
      </w:pPr>
      <w:r>
        <w:rPr>
          <w:rFonts w:cs="Times New Roman"/>
          <w:noProof/>
          <w:szCs w:val="24"/>
        </w:rPr>
        <w:t xml:space="preserve">Under the NCFF, LIFE provides 10M EUR of technical assistance, and a guarantee of 50M EUR to support EIB investments (loans and equity) of up to 125M EUR that contribute to biodiversity and/or climate change adaptation objectives. </w:t>
      </w:r>
    </w:p>
    <w:p>
      <w:pPr>
        <w:spacing w:after="120" w:line="264" w:lineRule="auto"/>
        <w:rPr>
          <w:rFonts w:cs="Times New Roman"/>
          <w:noProof/>
          <w:szCs w:val="24"/>
        </w:rPr>
      </w:pPr>
      <w:r>
        <w:rPr>
          <w:rFonts w:cs="Times New Roman"/>
          <w:noProof/>
          <w:szCs w:val="24"/>
        </w:rPr>
        <w:t xml:space="preserve">It aims at establishing a pipeline of some 9 to 12 replicable, bankable operations that will serve as a "proof of concept" and demonstrate to private and public investors the attractiveness of such investments. This represents an innovation which, if successful, could drive the architecture of natural capital financing. Although development of the pipeline has been slow, the pace is picking up with three operations now signed, 5 additional ones in the pipeline, and 9 more currently under scrutiny by EIB. </w:t>
      </w:r>
    </w:p>
    <w:p>
      <w:pPr>
        <w:spacing w:after="120" w:line="264" w:lineRule="auto"/>
        <w:rPr>
          <w:rFonts w:cs="Times New Roman"/>
          <w:noProof/>
          <w:szCs w:val="24"/>
        </w:rPr>
      </w:pPr>
      <w:r>
        <w:rPr>
          <w:rFonts w:cs="Times New Roman"/>
          <w:noProof/>
          <w:szCs w:val="24"/>
        </w:rPr>
        <w:t xml:space="preserve">Recommendations from the LIFE mid-term review have been implemented including increasing visibility and promotion, and operationalisation of the support facility. The implementation period had been extended until 2021 and the 2018-2020 LIFE programme foresees a new guarantee window. Experience so far with NCFF shows that there is a niche for investments in ecosystem-based natural capital investments, though it is important to develop a pipeline to share the experience and demonstrate the opportunities more widely. The LIFE mid-term evaluation also recommended to consider options for blending. </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Marguerite Fund </w:t>
      </w:r>
    </w:p>
    <w:p>
      <w:pPr>
        <w:spacing w:after="120" w:line="264" w:lineRule="auto"/>
        <w:rPr>
          <w:rFonts w:cs="Times New Roman"/>
          <w:noProof/>
          <w:szCs w:val="24"/>
        </w:rPr>
      </w:pPr>
      <w:r>
        <w:rPr>
          <w:rFonts w:cs="Times New Roman"/>
          <w:noProof/>
          <w:color w:val="000000"/>
          <w:szCs w:val="24"/>
        </w:rPr>
        <w:t xml:space="preserve">On the equity side, the Marguerite Fund </w:t>
      </w:r>
      <w:r>
        <w:rPr>
          <w:rFonts w:cs="Times New Roman"/>
          <w:noProof/>
          <w:szCs w:val="24"/>
        </w:rPr>
        <w:t xml:space="preserve">described also as “The 2020 European Fund for Energy, Climate Change and Infrastructure” was launched in 2009 at the initiative of and the Cassa Depositi e Prestiti, the Caisse des Dépôts Group, KfW, the Spanish Instituto de Credito Official , the Polish PKO Bank Polski (PKO), the EIB and the European Commission. </w:t>
      </w:r>
    </w:p>
    <w:p>
      <w:pPr>
        <w:spacing w:after="120" w:line="264" w:lineRule="auto"/>
        <w:rPr>
          <w:rFonts w:cs="Times New Roman"/>
          <w:noProof/>
          <w:color w:val="000000"/>
          <w:szCs w:val="24"/>
        </w:rPr>
      </w:pPr>
      <w:r>
        <w:rPr>
          <w:rFonts w:cs="Times New Roman"/>
          <w:noProof/>
          <w:color w:val="000000"/>
          <w:szCs w:val="24"/>
        </w:rPr>
        <w:t xml:space="preserve">At the end of the investment period of the Marguerite Fund invested EUR 745 million in 13 Member States. Overall, it has invested, 31% in the TEN-T eligible projects (roads and airports), 55% in the energy sector including renewables and 14% in ICT. Marguerite Fund has demonstrated its ability to attract the private sector investments since private investors had the possibility to invest directly in the projects. However, it was not possible to attract private investors at Fund level. </w:t>
      </w:r>
    </w:p>
    <w:p>
      <w:pPr>
        <w:spacing w:after="120" w:line="264" w:lineRule="auto"/>
        <w:rPr>
          <w:rFonts w:cs="Times New Roman"/>
          <w:noProof/>
          <w:color w:val="000000"/>
          <w:szCs w:val="24"/>
        </w:rPr>
      </w:pPr>
      <w:r>
        <w:rPr>
          <w:rFonts w:cs="Times New Roman"/>
          <w:noProof/>
          <w:color w:val="000000"/>
          <w:szCs w:val="24"/>
        </w:rPr>
        <w:t>Marguerite II (supported by EFSI) will continue focusing on both greenfield and brownfield infrastructure investments in renewables, energy, transport and digital infrastructure.</w:t>
      </w:r>
    </w:p>
    <w:p>
      <w:pPr>
        <w:spacing w:after="120" w:line="264" w:lineRule="auto"/>
        <w:rPr>
          <w:rFonts w:cs="Times New Roman"/>
          <w:noProof/>
          <w:color w:val="000000"/>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Financial Instruments under FP7 and Horizon 2020 </w:t>
      </w:r>
    </w:p>
    <w:p>
      <w:pPr>
        <w:pStyle w:val="Default"/>
        <w:spacing w:after="120" w:line="264" w:lineRule="auto"/>
        <w:jc w:val="both"/>
        <w:rPr>
          <w:noProof/>
        </w:rPr>
      </w:pPr>
      <w:r>
        <w:rPr>
          <w:noProof/>
        </w:rPr>
        <w:t>The interim evaluation of Horizon 2020 finds that Horizon 2020 provides companies, and in particular SMEs, with access to risk finance to carry out their innovation projects, thereby addressing an important market failure. Under the Access to Risk Finance programme, 5,700 organisations have been funded and EUR 13 billion of private funds have been leveraged. The total investment mobilised via debt financing amounts to EUR 29.6 billion in the first three years of its implementation, based on a budget of EUR 2.7 billion.</w:t>
      </w:r>
    </w:p>
    <w:p>
      <w:pPr>
        <w:pStyle w:val="Default"/>
        <w:spacing w:after="120" w:line="264" w:lineRule="auto"/>
        <w:jc w:val="both"/>
        <w:rPr>
          <w:noProof/>
        </w:rPr>
      </w:pPr>
      <w:r>
        <w:rPr>
          <w:noProof/>
        </w:rPr>
        <w:t xml:space="preserve">Horizon 2020's Interim Evaluation has identified some potential for supporting breakthrough, market-creating innovation, but concludes that such support must be considerably strengthened. Only a relatively small number of firms receiving grants under Horizon 2020 benefitted from Financial Instruments under Horizon 2020. This may hinder the scaling up of innovative firms that could become innovation leaders at EU and global scale. To address this challenge, synergies should be exploited between the grant and non-grant based instruments available to firms at different stages of the innovation cycle. </w:t>
      </w:r>
    </w:p>
    <w:p>
      <w:pPr>
        <w:pStyle w:val="Default"/>
        <w:spacing w:after="120" w:line="264" w:lineRule="auto"/>
        <w:jc w:val="both"/>
        <w:rPr>
          <w:noProof/>
        </w:rPr>
      </w:pPr>
      <w:r>
        <w:rPr>
          <w:noProof/>
          <w:lang w:eastAsia="ja-JP"/>
        </w:rPr>
        <w:t>T</w:t>
      </w:r>
      <w:r>
        <w:rPr>
          <w:noProof/>
        </w:rPr>
        <w:t xml:space="preserve">he interim evaluation </w:t>
      </w:r>
      <w:r>
        <w:rPr>
          <w:noProof/>
          <w:lang w:eastAsia="ja-JP"/>
        </w:rPr>
        <w:t>concluded that</w:t>
      </w:r>
      <w:r>
        <w:rPr>
          <w:noProof/>
        </w:rPr>
        <w:t xml:space="preserve">: </w:t>
      </w:r>
    </w:p>
    <w:p>
      <w:pPr>
        <w:pStyle w:val="Bulet"/>
        <w:spacing w:after="120" w:line="264" w:lineRule="auto"/>
        <w:rPr>
          <w:noProof/>
          <w:szCs w:val="24"/>
        </w:rPr>
      </w:pPr>
      <w:r>
        <w:rPr>
          <w:noProof/>
          <w:szCs w:val="24"/>
        </w:rPr>
        <w:t>InnovFin represents a significant development in the provision of EU supported innovation financing that builds on the more modest and rather disparate schemes that previously existed.</w:t>
      </w:r>
    </w:p>
    <w:p>
      <w:pPr>
        <w:pStyle w:val="Bulet"/>
        <w:spacing w:after="120" w:line="264" w:lineRule="auto"/>
        <w:rPr>
          <w:noProof/>
          <w:szCs w:val="24"/>
        </w:rPr>
      </w:pPr>
      <w:r>
        <w:rPr>
          <w:noProof/>
          <w:szCs w:val="24"/>
        </w:rPr>
        <w:t xml:space="preserve">InnovFin scheme is performing well against its main objectives of improving access to finance for innovative companies and projects, and helping to address related market failures. </w:t>
      </w:r>
    </w:p>
    <w:p>
      <w:pPr>
        <w:pStyle w:val="Bulet"/>
        <w:spacing w:after="120" w:line="264" w:lineRule="auto"/>
        <w:rPr>
          <w:noProof/>
          <w:szCs w:val="24"/>
        </w:rPr>
      </w:pPr>
      <w:r>
        <w:rPr>
          <w:noProof/>
          <w:szCs w:val="24"/>
        </w:rPr>
        <w:t>InnovFin’s combination of debt financing and equity-based Financial Instruments is coherent overall from a programme design perspective and generally provide high added value but with some variation between InnovFin instruments and between countries.</w:t>
      </w:r>
    </w:p>
    <w:p>
      <w:pPr>
        <w:pStyle w:val="Bulet"/>
        <w:spacing w:after="120" w:line="264" w:lineRule="auto"/>
        <w:rPr>
          <w:noProof/>
          <w:szCs w:val="24"/>
        </w:rPr>
      </w:pPr>
      <w:r>
        <w:rPr>
          <w:noProof/>
          <w:szCs w:val="24"/>
          <w:lang w:eastAsia="ja-JP"/>
        </w:rPr>
        <w:t>There is an i</w:t>
      </w:r>
      <w:r>
        <w:rPr>
          <w:noProof/>
          <w:szCs w:val="24"/>
        </w:rPr>
        <w:t xml:space="preserve">ncreased usage of innovative financing instruments in the EU budget under FP7 compared to Horizon 2020. </w:t>
      </w:r>
    </w:p>
    <w:p>
      <w:pPr>
        <w:pStyle w:val="Bulet"/>
        <w:spacing w:after="120" w:line="264" w:lineRule="auto"/>
        <w:rPr>
          <w:noProof/>
          <w:szCs w:val="24"/>
        </w:rPr>
      </w:pPr>
      <w:r>
        <w:rPr>
          <w:rFonts w:eastAsia="Calibri"/>
          <w:noProof/>
          <w:szCs w:val="24"/>
        </w:rPr>
        <w:t xml:space="preserve">Demand for InnovFin finance has been high since the launch of the facility in mid-2014: in its first phase (2014-2017), its take-up exceeded initial expectations, which required a dedicated top up of more than 80% of the initial budget from the SME window of the European Fund for Strategic Investment (EFSI). </w:t>
      </w:r>
    </w:p>
    <w:p>
      <w:pPr>
        <w:pStyle w:val="Bulet"/>
        <w:spacing w:after="120" w:line="264" w:lineRule="auto"/>
        <w:rPr>
          <w:noProof/>
          <w:szCs w:val="24"/>
        </w:rPr>
      </w:pPr>
      <w:r>
        <w:rPr>
          <w:noProof/>
          <w:szCs w:val="24"/>
        </w:rPr>
        <w:t xml:space="preserve">Efforts have already been made to increase the synergies between Horizon 2020 and other programmes, in particular the European Structural and Investment Funds and the European Fund for Strategic Investments and these can be further strengthened. The Interim Evaluation of Horizon 2020 points out that "since the set-up of EFSI in 2015, it has proved challenging to reach InnovFin's objectives, as a significant part of the products deployed overlap with EFSI in terms of both risk spectrum and eligibility." Against this background, the EIB and DG RTD have decided to re-focus InnovFin's deployment in 2017. </w:t>
      </w:r>
    </w:p>
    <w:p>
      <w:pPr>
        <w:pStyle w:val="Bulet"/>
        <w:numPr>
          <w:ilvl w:val="0"/>
          <w:numId w:val="0"/>
        </w:numPr>
        <w:spacing w:after="120" w:line="264" w:lineRule="auto"/>
        <w:rPr>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SME Programmes </w:t>
      </w:r>
    </w:p>
    <w:p>
      <w:pPr>
        <w:spacing w:after="120" w:line="264" w:lineRule="auto"/>
        <w:rPr>
          <w:rFonts w:cs="Times New Roman"/>
          <w:noProof/>
          <w:szCs w:val="24"/>
        </w:rPr>
      </w:pPr>
      <w:r>
        <w:rPr>
          <w:rFonts w:cs="Times New Roman"/>
          <w:noProof/>
          <w:szCs w:val="24"/>
        </w:rPr>
        <w:t xml:space="preserve">The Commission has already implemented four generations of debt Financial Instruments for SMEs. These programmes have been subject to evaluations and close scrutiny by the Council and Parliament, as well as by the Court of Auditors. </w:t>
      </w:r>
    </w:p>
    <w:p>
      <w:pPr>
        <w:spacing w:after="120" w:line="264" w:lineRule="auto"/>
        <w:rPr>
          <w:rFonts w:cs="Times New Roman"/>
          <w:noProof/>
          <w:szCs w:val="24"/>
        </w:rPr>
      </w:pPr>
      <w:r>
        <w:rPr>
          <w:rFonts w:cs="Times New Roman"/>
          <w:noProof/>
          <w:szCs w:val="24"/>
        </w:rPr>
        <w:t>In particular, the Loan Guarantee Facility for SMEs of the COSME programme has been thoroughly assessed twice. First of all, by the European Court of Auditors in the context of a performance audit, which comprised the COSME Loan Guarantee Facility as well as the InnovFin SME Guarantee Facility of Horizon 2020 (published December 2017</w:t>
      </w:r>
      <w:r>
        <w:rPr>
          <w:rStyle w:val="FootnoteReference"/>
          <w:rFonts w:cs="Times New Roman"/>
          <w:noProof/>
          <w:szCs w:val="24"/>
        </w:rPr>
        <w:footnoteReference w:id="88"/>
      </w:r>
      <w:r>
        <w:rPr>
          <w:rFonts w:cs="Times New Roman"/>
          <w:noProof/>
          <w:szCs w:val="24"/>
        </w:rPr>
        <w:t xml:space="preserve">) and in the context of the COSME interim evaluation (published January 2018). </w:t>
      </w:r>
    </w:p>
    <w:p>
      <w:pPr>
        <w:spacing w:after="120" w:line="264" w:lineRule="auto"/>
        <w:rPr>
          <w:rFonts w:cs="Times New Roman"/>
          <w:noProof/>
          <w:szCs w:val="24"/>
        </w:rPr>
      </w:pPr>
      <w:r>
        <w:rPr>
          <w:rFonts w:cs="Times New Roman"/>
          <w:noProof/>
          <w:szCs w:val="24"/>
        </w:rPr>
        <w:t xml:space="preserve">These assessments have shown that the Loan Guarantee Facility is working very successfully. It is properly designed to help SMEs, which would otherwise struggle to obtain finance, to grow more in terms of total assets, sales and employees when compared to the general SME population. The impact of the facility could be further strengthened by better targeting the beneficiaries and coordinating better with Member State activities. </w:t>
      </w:r>
    </w:p>
    <w:p>
      <w:pPr>
        <w:spacing w:after="120" w:line="264" w:lineRule="auto"/>
        <w:rPr>
          <w:rFonts w:cs="Times New Roman"/>
          <w:noProof/>
          <w:szCs w:val="24"/>
          <w:lang w:eastAsia="ja-JP"/>
        </w:rPr>
      </w:pPr>
      <w:r>
        <w:rPr>
          <w:rFonts w:cs="Times New Roman"/>
          <w:noProof/>
          <w:szCs w:val="24"/>
        </w:rPr>
        <w:t xml:space="preserve">In response to the assessments made, </w:t>
      </w:r>
      <w:r>
        <w:rPr>
          <w:rFonts w:cs="Times New Roman"/>
          <w:noProof/>
          <w:szCs w:val="24"/>
          <w:lang w:eastAsia="ja-JP"/>
        </w:rPr>
        <w:t>a number of</w:t>
      </w:r>
      <w:r>
        <w:rPr>
          <w:rFonts w:cs="Times New Roman"/>
          <w:noProof/>
          <w:szCs w:val="24"/>
        </w:rPr>
        <w:t xml:space="preserve"> </w:t>
      </w:r>
      <w:r>
        <w:rPr>
          <w:rFonts w:cs="Times New Roman"/>
          <w:noProof/>
          <w:szCs w:val="24"/>
          <w:lang w:eastAsia="ja-JP"/>
        </w:rPr>
        <w:t>recommendations</w:t>
      </w:r>
      <w:r>
        <w:rPr>
          <w:rFonts w:cs="Times New Roman"/>
          <w:noProof/>
          <w:szCs w:val="24"/>
        </w:rPr>
        <w:t xml:space="preserve"> are proposed for the successor programme of COSME</w:t>
      </w:r>
      <w:r>
        <w:rPr>
          <w:rFonts w:cs="Times New Roman"/>
          <w:noProof/>
          <w:szCs w:val="24"/>
          <w:lang w:eastAsia="ja-JP"/>
        </w:rPr>
        <w:t xml:space="preserve">, such as (i) </w:t>
      </w:r>
      <w:r>
        <w:rPr>
          <w:rFonts w:cs="Times New Roman"/>
          <w:noProof/>
          <w:szCs w:val="24"/>
        </w:rPr>
        <w:t>further strengthen the existing cooperation with the Enterprise Europe Network</w:t>
      </w:r>
      <w:r>
        <w:rPr>
          <w:rFonts w:cs="Times New Roman"/>
          <w:noProof/>
          <w:szCs w:val="24"/>
          <w:lang w:eastAsia="ja-JP"/>
        </w:rPr>
        <w:t>; (ii) a</w:t>
      </w:r>
      <w:r>
        <w:rPr>
          <w:rFonts w:cs="Times New Roman"/>
          <w:noProof/>
          <w:szCs w:val="24"/>
        </w:rPr>
        <w:t xml:space="preserve"> better upstream co-ordination between Financial Instruments for SMEs established by Member States and th</w:t>
      </w:r>
      <w:r>
        <w:rPr>
          <w:rFonts w:cs="Times New Roman"/>
          <w:noProof/>
          <w:szCs w:val="24"/>
          <w:lang w:eastAsia="ja-JP"/>
        </w:rPr>
        <w:t xml:space="preserve">e successor instrument in the next MFF </w:t>
      </w:r>
      <w:r>
        <w:rPr>
          <w:rFonts w:cs="Times New Roman"/>
          <w:noProof/>
          <w:szCs w:val="24"/>
        </w:rPr>
        <w:t xml:space="preserve">by using the existing SME Envoys Network as an information exchange forum; </w:t>
      </w:r>
      <w:r>
        <w:rPr>
          <w:rFonts w:cs="Times New Roman"/>
          <w:noProof/>
          <w:szCs w:val="24"/>
          <w:lang w:eastAsia="ja-JP"/>
        </w:rPr>
        <w:t>(iii)</w:t>
      </w:r>
      <w:r>
        <w:rPr>
          <w:rFonts w:cs="Times New Roman"/>
          <w:noProof/>
          <w:szCs w:val="24"/>
        </w:rPr>
        <w:t xml:space="preserve"> reduce administrative burden for SMEs and financial intermediaries.</w:t>
      </w:r>
    </w:p>
    <w:p>
      <w:pPr>
        <w:spacing w:after="120" w:line="264" w:lineRule="auto"/>
        <w:rPr>
          <w:rFonts w:cs="Times New Roman"/>
          <w:noProof/>
          <w:szCs w:val="24"/>
          <w:lang w:eastAsia="ja-JP"/>
        </w:rPr>
      </w:pPr>
      <w:r>
        <w:rPr>
          <w:rFonts w:cs="Times New Roman"/>
          <w:noProof/>
          <w:szCs w:val="24"/>
          <w:lang w:eastAsia="ja-JP"/>
        </w:rPr>
        <w:t>The COSME interim evaluation recommends that a future EU loan guarantee facility should help to ensure "</w:t>
      </w:r>
      <w:r>
        <w:rPr>
          <w:rFonts w:cs="Times New Roman"/>
          <w:i/>
          <w:noProof/>
          <w:szCs w:val="24"/>
          <w:lang w:eastAsia="ja-JP"/>
        </w:rPr>
        <w:t>a more level playing field for SMEs […] in those countries where, according to current studies, the needs among SMEs are highest</w:t>
      </w:r>
      <w:r>
        <w:rPr>
          <w:rFonts w:cs="Times New Roman"/>
          <w:noProof/>
          <w:szCs w:val="24"/>
          <w:lang w:eastAsia="ja-JP"/>
        </w:rPr>
        <w:t>." As regards the existing Equity Facility for Growth, the interim evaluation concluded that the facility is effective. Nevertheless, it has been recommended to reduce the number of financial products and to align the Equity Facility for Growth with the equity facilities established under EFSI.</w:t>
      </w:r>
    </w:p>
    <w:p>
      <w:pPr>
        <w:spacing w:after="120" w:line="264" w:lineRule="auto"/>
        <w:rPr>
          <w:rFonts w:cs="Times New Roman"/>
          <w:noProof/>
          <w:szCs w:val="24"/>
          <w:lang w:eastAsia="ja-JP"/>
        </w:rPr>
      </w:pPr>
      <w:r>
        <w:rPr>
          <w:rFonts w:cs="Times New Roman"/>
          <w:b/>
          <w:noProof/>
          <w:szCs w:val="24"/>
        </w:rPr>
        <w:t xml:space="preserve">Lessons learned </w:t>
      </w:r>
      <w:r>
        <w:rPr>
          <w:rFonts w:cs="Times New Roman"/>
          <w:b/>
          <w:noProof/>
          <w:szCs w:val="24"/>
          <w:lang w:eastAsia="ja-JP"/>
        </w:rPr>
        <w:t>on</w:t>
      </w:r>
      <w:r>
        <w:rPr>
          <w:rFonts w:cs="Times New Roman"/>
          <w:b/>
          <w:noProof/>
          <w:szCs w:val="24"/>
        </w:rPr>
        <w:t xml:space="preserve"> </w:t>
      </w:r>
      <w:r>
        <w:rPr>
          <w:rFonts w:cs="Times New Roman"/>
          <w:b/>
          <w:noProof/>
          <w:szCs w:val="24"/>
          <w:lang w:eastAsia="ja-JP"/>
        </w:rPr>
        <w:t>equity</w:t>
      </w:r>
      <w:r>
        <w:rPr>
          <w:rFonts w:cs="Times New Roman"/>
          <w:b/>
          <w:noProof/>
          <w:szCs w:val="24"/>
        </w:rPr>
        <w:t xml:space="preserve"> instruments for SMEs</w:t>
      </w:r>
      <w:r>
        <w:rPr>
          <w:rFonts w:cs="Times New Roman"/>
          <w:noProof/>
          <w:szCs w:val="24"/>
          <w:lang w:eastAsia="ja-JP"/>
        </w:rPr>
        <w:t xml:space="preserve"> </w:t>
      </w:r>
    </w:p>
    <w:p>
      <w:pPr>
        <w:spacing w:after="120" w:line="264" w:lineRule="auto"/>
        <w:rPr>
          <w:rFonts w:cs="Times New Roman"/>
          <w:noProof/>
          <w:szCs w:val="24"/>
        </w:rPr>
      </w:pPr>
      <w:r>
        <w:rPr>
          <w:rFonts w:cs="Times New Roman"/>
          <w:noProof/>
          <w:szCs w:val="24"/>
          <w:lang w:eastAsia="ja-JP"/>
        </w:rPr>
        <w:t>T</w:t>
      </w:r>
      <w:r>
        <w:rPr>
          <w:rFonts w:cs="Times New Roman"/>
          <w:noProof/>
          <w:szCs w:val="24"/>
        </w:rPr>
        <w:t>he interim evaluation of Horizon 2020's Financial Instruments</w:t>
      </w:r>
      <w:r>
        <w:rPr>
          <w:rStyle w:val="FootnoteReference"/>
          <w:rFonts w:cs="Times New Roman"/>
          <w:noProof/>
          <w:szCs w:val="24"/>
        </w:rPr>
        <w:footnoteReference w:id="89"/>
      </w:r>
      <w:r>
        <w:rPr>
          <w:rFonts w:cs="Times New Roman"/>
          <w:noProof/>
          <w:szCs w:val="24"/>
        </w:rPr>
        <w:t xml:space="preserve"> assessed the 'InnovFin Equity' product, which focuses on early-stage finance</w:t>
      </w:r>
      <w:r>
        <w:rPr>
          <w:rFonts w:cs="Times New Roman"/>
          <w:noProof/>
          <w:szCs w:val="24"/>
          <w:lang w:eastAsia="ja-JP"/>
        </w:rPr>
        <w:t>, and</w:t>
      </w:r>
      <w:r>
        <w:rPr>
          <w:rFonts w:cs="Times New Roman"/>
          <w:noProof/>
          <w:szCs w:val="24"/>
        </w:rPr>
        <w:t xml:space="preserve"> concentrated on V</w:t>
      </w:r>
      <w:r>
        <w:rPr>
          <w:rFonts w:cs="Times New Roman"/>
          <w:noProof/>
          <w:szCs w:val="24"/>
          <w:lang w:eastAsia="ja-JP"/>
        </w:rPr>
        <w:t xml:space="preserve">enture </w:t>
      </w:r>
      <w:r>
        <w:rPr>
          <w:rFonts w:cs="Times New Roman"/>
          <w:noProof/>
          <w:szCs w:val="24"/>
        </w:rPr>
        <w:t>C</w:t>
      </w:r>
      <w:r>
        <w:rPr>
          <w:rFonts w:cs="Times New Roman"/>
          <w:noProof/>
          <w:szCs w:val="24"/>
          <w:lang w:eastAsia="ja-JP"/>
        </w:rPr>
        <w:t>apital (VC)</w:t>
      </w:r>
      <w:r>
        <w:rPr>
          <w:rFonts w:cs="Times New Roman"/>
          <w:noProof/>
          <w:szCs w:val="24"/>
        </w:rPr>
        <w:t>. The key findings are that in a few countries, VC is readily available, reducing the need for InnovFin Equity, while in other</w:t>
      </w:r>
      <w:r>
        <w:rPr>
          <w:rFonts w:cs="Times New Roman"/>
          <w:noProof/>
          <w:szCs w:val="24"/>
          <w:lang w:eastAsia="ja-JP"/>
        </w:rPr>
        <w:t xml:space="preserve"> geographie</w:t>
      </w:r>
      <w:r>
        <w:rPr>
          <w:rFonts w:cs="Times New Roman"/>
          <w:noProof/>
          <w:szCs w:val="24"/>
        </w:rPr>
        <w:t xml:space="preserve">s, particularly for start-ups and firms that are not yet bankable, </w:t>
      </w:r>
      <w:r>
        <w:rPr>
          <w:rFonts w:cs="Times New Roman"/>
          <w:noProof/>
          <w:szCs w:val="24"/>
          <w:lang w:eastAsia="ja-JP"/>
        </w:rPr>
        <w:t>the</w:t>
      </w:r>
      <w:r>
        <w:rPr>
          <w:rFonts w:cs="Times New Roman"/>
          <w:noProof/>
          <w:szCs w:val="24"/>
        </w:rPr>
        <w:t xml:space="preserve"> market gap</w:t>
      </w:r>
      <w:r>
        <w:rPr>
          <w:rFonts w:cs="Times New Roman"/>
          <w:noProof/>
          <w:szCs w:val="24"/>
          <w:lang w:eastAsia="ja-JP"/>
        </w:rPr>
        <w:t xml:space="preserve"> persists</w:t>
      </w:r>
      <w:r>
        <w:rPr>
          <w:rFonts w:cs="Times New Roman"/>
          <w:noProof/>
          <w:szCs w:val="24"/>
        </w:rPr>
        <w:t>, though many companies are reluctant to use equity finance because of the dilution of ownership involved. The interim evaluation of COSME's Financial Instruments</w:t>
      </w:r>
      <w:r>
        <w:rPr>
          <w:rStyle w:val="FootnoteReference"/>
          <w:rFonts w:cs="Times New Roman"/>
          <w:noProof/>
          <w:szCs w:val="24"/>
        </w:rPr>
        <w:footnoteReference w:id="90"/>
      </w:r>
      <w:r>
        <w:rPr>
          <w:rFonts w:cs="Times New Roman"/>
          <w:noProof/>
          <w:szCs w:val="24"/>
        </w:rPr>
        <w:t xml:space="preserve"> assessed the 'Equity Facility for Growth' (EFG) product, which provides VC finance focused on the growth and expansion stage. All surveyed SME beneficiaries report a positive impact of EFG financing on their growth perspectives. Difficulties facing cross-border operations by VC funds are persistent, however: the EU single capital market is still in its infancy, country-specific barriers for investment have not gone away, and most funds are not large enough to operate on a pan-European basis. </w:t>
      </w:r>
    </w:p>
    <w:p>
      <w:pPr>
        <w:spacing w:after="120" w:line="264" w:lineRule="auto"/>
        <w:rPr>
          <w:rFonts w:cs="Times New Roman"/>
          <w:noProof/>
          <w:szCs w:val="24"/>
        </w:rPr>
      </w:pPr>
      <w:r>
        <w:rPr>
          <w:rFonts w:cs="Times New Roman"/>
          <w:noProof/>
          <w:szCs w:val="24"/>
        </w:rPr>
        <w:t xml:space="preserve">The Council recognised that the guarantee instruments in support of SMEs have proven their concrete results, inter alia due to their financial leverage effect, in fostering high-risk innovation, a higher wage bill and enhanced business turn-over. </w:t>
      </w:r>
    </w:p>
    <w:p>
      <w:pPr>
        <w:spacing w:after="120" w:line="264" w:lineRule="auto"/>
        <w:rPr>
          <w:rFonts w:cs="Times New Roman"/>
          <w:noProof/>
          <w:szCs w:val="24"/>
        </w:rPr>
      </w:pPr>
    </w:p>
    <w:p>
      <w:pPr>
        <w:spacing w:after="120" w:line="264" w:lineRule="auto"/>
        <w:rPr>
          <w:rFonts w:cs="Times New Roman"/>
          <w:i/>
          <w:noProof/>
          <w:szCs w:val="24"/>
        </w:rPr>
      </w:pPr>
      <w:r>
        <w:rPr>
          <w:rFonts w:cs="Times New Roman"/>
          <w:i/>
          <w:noProof/>
          <w:szCs w:val="24"/>
        </w:rPr>
        <w:t xml:space="preserve">Observations made by the European Court of Auditors </w:t>
      </w:r>
    </w:p>
    <w:p>
      <w:pPr>
        <w:spacing w:after="120" w:line="264" w:lineRule="auto"/>
        <w:rPr>
          <w:rFonts w:cs="Times New Roman"/>
          <w:noProof/>
          <w:szCs w:val="24"/>
        </w:rPr>
      </w:pPr>
      <w:r>
        <w:rPr>
          <w:rFonts w:cs="Times New Roman"/>
          <w:noProof/>
          <w:szCs w:val="24"/>
        </w:rPr>
        <w:t>As highlighted already in the title of the dedicated European Court of Auditors’ report</w:t>
      </w:r>
      <w:r>
        <w:rPr>
          <w:rStyle w:val="FootnoteReference"/>
          <w:rFonts w:cs="Times New Roman"/>
          <w:noProof/>
          <w:szCs w:val="24"/>
        </w:rPr>
        <w:footnoteReference w:id="91"/>
      </w:r>
      <w:r>
        <w:rPr>
          <w:rFonts w:cs="Times New Roman"/>
          <w:noProof/>
          <w:szCs w:val="24"/>
        </w:rPr>
        <w:t xml:space="preserve">, the COSME Loan Guarantee Facility (LGF) has achieved the positive results intended, but needs some better targeting of beneficiaries and more coordination with national schemes. In particular, the report recommended that the Commission carries out an assessment of market needs and how EU guarantee instruments can best respond to these needs alongside national/regional instruments. In this regard, the Commission has prepared an in-depth market assessment at the level of each Member State demonstrating the market gap and the rationale for an intervention at EU level. </w:t>
      </w:r>
    </w:p>
    <w:p>
      <w:pPr>
        <w:spacing w:after="120" w:line="264" w:lineRule="auto"/>
        <w:rPr>
          <w:rFonts w:cs="Times New Roman"/>
          <w:noProof/>
          <w:szCs w:val="24"/>
        </w:rPr>
      </w:pPr>
      <w:r>
        <w:rPr>
          <w:rFonts w:cs="Times New Roman"/>
          <w:noProof/>
          <w:szCs w:val="24"/>
          <w:lang w:eastAsia="ja-JP"/>
        </w:rPr>
        <w:t>One of t</w:t>
      </w:r>
      <w:r>
        <w:rPr>
          <w:rFonts w:cs="Times New Roman"/>
          <w:noProof/>
          <w:szCs w:val="24"/>
        </w:rPr>
        <w:t>he</w:t>
      </w:r>
      <w:r>
        <w:rPr>
          <w:rFonts w:cs="Times New Roman"/>
          <w:noProof/>
          <w:szCs w:val="24"/>
          <w:lang w:eastAsia="ja-JP"/>
        </w:rPr>
        <w:t xml:space="preserve"> conclusions in the report was</w:t>
      </w:r>
      <w:r>
        <w:rPr>
          <w:rFonts w:cs="Times New Roman"/>
          <w:noProof/>
          <w:szCs w:val="24"/>
        </w:rPr>
        <w:t xml:space="preserve"> that a future facility should better target viable businesses lacking access to finance and a better coordination should occur between central EU guarantee facilities and those established at national level.</w:t>
      </w:r>
    </w:p>
    <w:p>
      <w:pPr>
        <w:spacing w:after="120" w:line="264" w:lineRule="auto"/>
        <w:rPr>
          <w:rFonts w:cs="Times New Roman"/>
          <w:noProof/>
          <w:szCs w:val="24"/>
        </w:rPr>
      </w:pPr>
      <w:r>
        <w:rPr>
          <w:rFonts w:cs="Times New Roman"/>
          <w:noProof/>
          <w:szCs w:val="24"/>
        </w:rPr>
        <w:t>As regards the InnovFin SME guarantee facility, the report found that the loan guarantee facility has helped beneficiary companies grow more in terms of total assets, sales, wage bills and productivity. However, the InnovFin SME guarantee facility failed to focus on companies carrying out innovation activities with a high potential for excellence.</w:t>
      </w:r>
    </w:p>
    <w:p>
      <w:pPr>
        <w:spacing w:after="120" w:line="264" w:lineRule="auto"/>
        <w:rPr>
          <w:rFonts w:cs="Times New Roman"/>
          <w:noProof/>
          <w:szCs w:val="24"/>
        </w:rPr>
      </w:pPr>
      <w:r>
        <w:rPr>
          <w:rFonts w:cs="Times New Roman"/>
          <w:noProof/>
          <w:szCs w:val="24"/>
        </w:rPr>
        <w:t>The report also contains a number of recommendations to the European Commission to better target the guarantees at viable businesses lacking access to finance and on more innovative businesses. Moreover, it emphasises the importance of cost-effectiveness since similar instruments already exist in the member states.</w:t>
      </w:r>
    </w:p>
    <w:p>
      <w:pPr>
        <w:spacing w:after="120" w:line="264" w:lineRule="auto"/>
        <w:rPr>
          <w:rFonts w:cs="Times New Roman"/>
          <w:noProof/>
          <w:szCs w:val="24"/>
        </w:rPr>
      </w:pPr>
      <w:r>
        <w:rPr>
          <w:rFonts w:cs="Times New Roman"/>
          <w:noProof/>
          <w:szCs w:val="24"/>
          <w:lang w:eastAsia="ja-JP"/>
        </w:rPr>
        <w:t>It is recommended that the</w:t>
      </w:r>
      <w:r>
        <w:rPr>
          <w:rFonts w:cs="Times New Roman"/>
          <w:noProof/>
          <w:szCs w:val="24"/>
        </w:rPr>
        <w:t xml:space="preserve"> </w:t>
      </w:r>
      <w:r>
        <w:rPr>
          <w:rFonts w:cs="Times New Roman"/>
          <w:noProof/>
          <w:szCs w:val="24"/>
          <w:lang w:eastAsia="ja-JP"/>
        </w:rPr>
        <w:t>above proposals are taken</w:t>
      </w:r>
      <w:r>
        <w:rPr>
          <w:rFonts w:cs="Times New Roman"/>
          <w:noProof/>
          <w:szCs w:val="24"/>
        </w:rPr>
        <w:t xml:space="preserve"> into account when </w:t>
      </w:r>
      <w:r>
        <w:rPr>
          <w:rFonts w:cs="Times New Roman"/>
          <w:noProof/>
          <w:szCs w:val="24"/>
          <w:lang w:eastAsia="ja-JP"/>
        </w:rPr>
        <w:t>designing</w:t>
      </w:r>
      <w:r>
        <w:rPr>
          <w:rFonts w:cs="Times New Roman"/>
          <w:noProof/>
          <w:szCs w:val="24"/>
        </w:rPr>
        <w:t xml:space="preserve"> successor programmes, </w:t>
      </w:r>
      <w:r>
        <w:rPr>
          <w:rFonts w:cs="Times New Roman"/>
          <w:noProof/>
          <w:szCs w:val="24"/>
          <w:lang w:eastAsia="ja-JP"/>
        </w:rPr>
        <w:t>with a view to</w:t>
      </w:r>
      <w:r>
        <w:rPr>
          <w:rFonts w:cs="Times New Roman"/>
          <w:noProof/>
          <w:szCs w:val="24"/>
        </w:rPr>
        <w:t xml:space="preserve"> ensure the reinforcement, better targeting and broader uptake in all member states of those instruments that are particularly addressed to smaller businesses.</w:t>
      </w:r>
    </w:p>
    <w:p>
      <w:pPr>
        <w:spacing w:after="120" w:line="264" w:lineRule="auto"/>
        <w:rPr>
          <w:rFonts w:cs="Times New Roman"/>
          <w:b/>
          <w:noProof/>
          <w:szCs w:val="24"/>
          <w:lang w:eastAsia="ja-JP"/>
        </w:rPr>
      </w:pPr>
    </w:p>
    <w:p>
      <w:pPr>
        <w:spacing w:after="120" w:line="264" w:lineRule="auto"/>
        <w:rPr>
          <w:rFonts w:cs="Times New Roman"/>
          <w:i/>
          <w:noProof/>
          <w:szCs w:val="24"/>
        </w:rPr>
      </w:pPr>
      <w:r>
        <w:rPr>
          <w:rFonts w:cs="Times New Roman"/>
          <w:i/>
          <w:noProof/>
          <w:szCs w:val="24"/>
          <w:lang w:eastAsia="ja-JP"/>
        </w:rPr>
        <w:t>Financing</w:t>
      </w:r>
      <w:r>
        <w:rPr>
          <w:rFonts w:cs="Times New Roman"/>
          <w:i/>
          <w:noProof/>
          <w:szCs w:val="24"/>
        </w:rPr>
        <w:t xml:space="preserve"> the cultural sector</w:t>
      </w:r>
      <w:r>
        <w:rPr>
          <w:rFonts w:cs="Times New Roman"/>
          <w:i/>
          <w:noProof/>
          <w:szCs w:val="24"/>
          <w:lang w:eastAsia="ja-JP"/>
        </w:rPr>
        <w:t xml:space="preserve"> through Financial Instruments</w:t>
      </w:r>
      <w:r>
        <w:rPr>
          <w:rFonts w:cs="Times New Roman"/>
          <w:i/>
          <w:noProof/>
          <w:szCs w:val="24"/>
        </w:rPr>
        <w:t xml:space="preserve"> </w:t>
      </w:r>
    </w:p>
    <w:p>
      <w:pPr>
        <w:spacing w:after="120" w:line="264" w:lineRule="auto"/>
        <w:rPr>
          <w:rFonts w:cs="Times New Roman"/>
          <w:noProof/>
          <w:szCs w:val="24"/>
        </w:rPr>
      </w:pPr>
      <w:r>
        <w:rPr>
          <w:rFonts w:cs="Times New Roman"/>
          <w:noProof/>
          <w:szCs w:val="24"/>
        </w:rPr>
        <w:t>The Creative and Cultural Sectors Guarantee Facility was allocated a budget of EUR 121 million for the period 2014-2020 representing 9% of the Creative Europe budget. The first top up of its budget through the EFSI was received in 2017. A further top-up may be envisaged in 2018. The top-ups of the budget would allow a quicker deployment of guarantee support, reaching more countries and sectors and enhancing the geographic and sectoral balance.</w:t>
      </w:r>
    </w:p>
    <w:p>
      <w:pPr>
        <w:spacing w:after="120" w:line="264" w:lineRule="auto"/>
        <w:rPr>
          <w:rFonts w:cs="Times New Roman"/>
          <w:noProof/>
          <w:szCs w:val="24"/>
        </w:rPr>
      </w:pPr>
      <w:r>
        <w:rPr>
          <w:rFonts w:cs="Times New Roman"/>
          <w:noProof/>
          <w:szCs w:val="24"/>
        </w:rPr>
        <w:t xml:space="preserve">In 2017, its first full year of operation, nine guarantee agreements with six financial institutions were signed. This strong market response to its launch in 2016 shows the relevance of this instrument to addressing the financing gap, estimated at </w:t>
      </w:r>
      <w:r>
        <w:rPr>
          <w:rFonts w:cs="Times New Roman"/>
          <w:noProof/>
          <w:szCs w:val="24"/>
          <w:lang w:eastAsia="ja-JP"/>
        </w:rPr>
        <w:t>EUR</w:t>
      </w:r>
      <w:r>
        <w:rPr>
          <w:rFonts w:cs="Times New Roman"/>
          <w:noProof/>
          <w:szCs w:val="24"/>
        </w:rPr>
        <w:t xml:space="preserve">1 billion annually, in a geographically and sectoral balanced way. </w:t>
      </w:r>
    </w:p>
    <w:p>
      <w:pPr>
        <w:spacing w:after="120" w:line="264" w:lineRule="auto"/>
        <w:rPr>
          <w:rFonts w:cs="Times New Roman"/>
          <w:noProof/>
          <w:szCs w:val="24"/>
        </w:rPr>
      </w:pPr>
      <w:r>
        <w:rPr>
          <w:rFonts w:cs="Times New Roman"/>
          <w:noProof/>
          <w:szCs w:val="24"/>
        </w:rPr>
        <w:t xml:space="preserve">The Creative Europe mid-term evaluation found that the Guarantee Facility responds directly to the needs of SMEs in the sector, which have specific difficulties accessing loans due to the nature of their business, the difficulty to evaluate intangible assets or an uncertain demand. </w:t>
      </w:r>
    </w:p>
    <w:p>
      <w:pPr>
        <w:spacing w:after="120" w:line="264" w:lineRule="auto"/>
        <w:rPr>
          <w:rFonts w:cs="Times New Roman"/>
          <w:noProof/>
          <w:szCs w:val="24"/>
        </w:rPr>
      </w:pPr>
    </w:p>
    <w:p>
      <w:pPr>
        <w:pStyle w:val="ListParagraph"/>
        <w:numPr>
          <w:ilvl w:val="0"/>
          <w:numId w:val="8"/>
        </w:numPr>
        <w:spacing w:after="120" w:line="264" w:lineRule="auto"/>
        <w:rPr>
          <w:rFonts w:cs="Times New Roman"/>
          <w:b/>
          <w:noProof/>
          <w:szCs w:val="24"/>
        </w:rPr>
      </w:pPr>
      <w:r>
        <w:rPr>
          <w:rFonts w:cs="Times New Roman"/>
          <w:b/>
          <w:noProof/>
          <w:szCs w:val="24"/>
        </w:rPr>
        <w:t xml:space="preserve">Social </w:t>
      </w:r>
      <w:r>
        <w:rPr>
          <w:rFonts w:cs="Times New Roman"/>
          <w:b/>
          <w:noProof/>
          <w:szCs w:val="24"/>
          <w:lang w:eastAsia="ja-JP"/>
        </w:rPr>
        <w:t>s</w:t>
      </w:r>
      <w:r>
        <w:rPr>
          <w:rFonts w:cs="Times New Roman"/>
          <w:b/>
          <w:noProof/>
          <w:szCs w:val="24"/>
        </w:rPr>
        <w:t xml:space="preserve">ector </w:t>
      </w:r>
      <w:r>
        <w:rPr>
          <w:rFonts w:cs="Times New Roman"/>
          <w:b/>
          <w:noProof/>
          <w:szCs w:val="24"/>
          <w:lang w:eastAsia="ja-JP"/>
        </w:rPr>
        <w:t>investments</w:t>
      </w:r>
    </w:p>
    <w:p>
      <w:pPr>
        <w:pStyle w:val="Text2"/>
        <w:spacing w:after="120" w:line="264" w:lineRule="auto"/>
        <w:ind w:left="0"/>
        <w:rPr>
          <w:noProof/>
          <w:szCs w:val="24"/>
        </w:rPr>
      </w:pPr>
      <w:r>
        <w:rPr>
          <w:noProof/>
          <w:szCs w:val="24"/>
        </w:rPr>
        <w:t>Building on the milestone initiatives of the Social Business Initiative (</w:t>
      </w:r>
      <w:r>
        <w:rPr>
          <w:rFonts w:eastAsia="MS Mincho"/>
          <w:noProof/>
          <w:szCs w:val="24"/>
          <w:lang w:eastAsia="ja-JP"/>
        </w:rPr>
        <w:t xml:space="preserve">launched in </w:t>
      </w:r>
      <w:r>
        <w:rPr>
          <w:noProof/>
          <w:szCs w:val="24"/>
        </w:rPr>
        <w:t>2011) and the Social Investment Package (</w:t>
      </w:r>
      <w:r>
        <w:rPr>
          <w:rFonts w:eastAsia="MS Mincho"/>
          <w:noProof/>
          <w:szCs w:val="24"/>
          <w:lang w:eastAsia="ja-JP"/>
        </w:rPr>
        <w:t xml:space="preserve">launched in </w:t>
      </w:r>
      <w:r>
        <w:rPr>
          <w:noProof/>
          <w:szCs w:val="24"/>
        </w:rPr>
        <w:t>2013), and more recently in the context of persisting socio-economic challenges and political developments, social investments, including through</w:t>
      </w:r>
      <w:r>
        <w:rPr>
          <w:rFonts w:eastAsia="MS Mincho"/>
          <w:noProof/>
          <w:szCs w:val="24"/>
          <w:lang w:eastAsia="ja-JP"/>
        </w:rPr>
        <w:t xml:space="preserve"> support from</w:t>
      </w:r>
      <w:r>
        <w:rPr>
          <w:noProof/>
          <w:szCs w:val="24"/>
        </w:rPr>
        <w:t xml:space="preserve"> Financial Instruments, have been recognized as strategic policy tools within the policy programmes of the European Commission</w:t>
      </w:r>
      <w:r>
        <w:rPr>
          <w:rStyle w:val="FootnoteReference"/>
          <w:noProof/>
          <w:szCs w:val="24"/>
        </w:rPr>
        <w:footnoteReference w:id="92"/>
      </w:r>
      <w:r>
        <w:rPr>
          <w:noProof/>
          <w:szCs w:val="24"/>
        </w:rPr>
        <w:t>.</w:t>
      </w:r>
    </w:p>
    <w:p>
      <w:pPr>
        <w:spacing w:after="120" w:line="264" w:lineRule="auto"/>
        <w:rPr>
          <w:rFonts w:cs="Times New Roman"/>
          <w:noProof/>
          <w:szCs w:val="24"/>
        </w:rPr>
      </w:pPr>
      <w:r>
        <w:rPr>
          <w:rFonts w:cs="Times New Roman"/>
          <w:noProof/>
          <w:szCs w:val="24"/>
        </w:rPr>
        <w:t xml:space="preserve">In the social sector, four primary areas </w:t>
      </w:r>
      <w:r>
        <w:rPr>
          <w:rFonts w:cs="Times New Roman"/>
          <w:noProof/>
          <w:szCs w:val="24"/>
          <w:lang w:eastAsia="ja-JP"/>
        </w:rPr>
        <w:t xml:space="preserve">have made the focus </w:t>
      </w:r>
      <w:r>
        <w:rPr>
          <w:rFonts w:cs="Times New Roman"/>
          <w:noProof/>
          <w:szCs w:val="24"/>
        </w:rPr>
        <w:t>of investment</w:t>
      </w:r>
      <w:r>
        <w:rPr>
          <w:rFonts w:cs="Times New Roman"/>
          <w:noProof/>
          <w:szCs w:val="24"/>
          <w:lang w:eastAsia="ja-JP"/>
        </w:rPr>
        <w:t>s</w:t>
      </w:r>
      <w:r>
        <w:rPr>
          <w:rFonts w:cs="Times New Roman"/>
          <w:noProof/>
          <w:szCs w:val="24"/>
        </w:rPr>
        <w:t xml:space="preserve">, mostly carried out by the EIB </w:t>
      </w:r>
      <w:r>
        <w:rPr>
          <w:rFonts w:cs="Times New Roman"/>
          <w:noProof/>
          <w:szCs w:val="24"/>
          <w:lang w:eastAsia="ja-JP"/>
        </w:rPr>
        <w:t>G</w:t>
      </w:r>
      <w:r>
        <w:rPr>
          <w:rFonts w:cs="Times New Roman"/>
          <w:noProof/>
          <w:szCs w:val="24"/>
        </w:rPr>
        <w:t>roup</w:t>
      </w:r>
      <w:r>
        <w:rPr>
          <w:rStyle w:val="FootnoteReference"/>
          <w:rFonts w:cs="Times New Roman"/>
          <w:noProof/>
          <w:szCs w:val="24"/>
        </w:rPr>
        <w:footnoteReference w:id="93"/>
      </w:r>
      <w:r>
        <w:rPr>
          <w:rFonts w:cs="Times New Roman"/>
          <w:noProof/>
          <w:szCs w:val="24"/>
        </w:rPr>
        <w:t>:</w:t>
      </w:r>
      <w:r>
        <w:rPr>
          <w:rFonts w:cs="Times New Roman"/>
          <w:noProof/>
          <w:szCs w:val="24"/>
          <w:lang w:eastAsia="ja-JP"/>
        </w:rPr>
        <w:t xml:space="preserve"> (i) e</w:t>
      </w:r>
      <w:r>
        <w:rPr>
          <w:rFonts w:cs="Times New Roman"/>
          <w:noProof/>
          <w:szCs w:val="24"/>
        </w:rPr>
        <w:t>ducation and skills– including financing of educational infrastructure</w:t>
      </w:r>
      <w:r>
        <w:rPr>
          <w:rFonts w:cs="Times New Roman"/>
          <w:noProof/>
          <w:szCs w:val="24"/>
          <w:lang w:eastAsia="ja-JP"/>
        </w:rPr>
        <w:t>; (ii) h</w:t>
      </w:r>
      <w:r>
        <w:rPr>
          <w:rFonts w:cs="Times New Roman"/>
          <w:noProof/>
          <w:szCs w:val="24"/>
        </w:rPr>
        <w:t>ealth, including infrastructure and equipment;</w:t>
      </w:r>
      <w:r>
        <w:rPr>
          <w:rFonts w:cs="Times New Roman"/>
          <w:noProof/>
          <w:szCs w:val="24"/>
          <w:lang w:eastAsia="ja-JP"/>
        </w:rPr>
        <w:t xml:space="preserve"> (iii) s</w:t>
      </w:r>
      <w:r>
        <w:rPr>
          <w:rFonts w:cs="Times New Roman"/>
          <w:noProof/>
          <w:szCs w:val="24"/>
        </w:rPr>
        <w:t>ocial housing; and</w:t>
      </w:r>
      <w:r>
        <w:rPr>
          <w:rFonts w:cs="Times New Roman"/>
          <w:noProof/>
          <w:szCs w:val="24"/>
          <w:lang w:eastAsia="ja-JP"/>
        </w:rPr>
        <w:t xml:space="preserve"> (iv) </w:t>
      </w:r>
      <w:r>
        <w:rPr>
          <w:rFonts w:cs="Times New Roman"/>
          <w:noProof/>
          <w:szCs w:val="24"/>
        </w:rPr>
        <w:t>EaSI Microfinance and social entrepreneurship.</w:t>
      </w:r>
    </w:p>
    <w:p>
      <w:pPr>
        <w:spacing w:after="120" w:line="264" w:lineRule="auto"/>
        <w:rPr>
          <w:rFonts w:cs="Times New Roman"/>
          <w:noProof/>
          <w:szCs w:val="24"/>
        </w:rPr>
      </w:pPr>
      <w:r>
        <w:rPr>
          <w:rFonts w:cs="Times New Roman"/>
          <w:noProof/>
          <w:szCs w:val="24"/>
        </w:rPr>
        <w:t xml:space="preserve">Under EFSI and as part of the </w:t>
      </w:r>
      <w:r>
        <w:rPr>
          <w:rFonts w:cs="Times New Roman"/>
          <w:b/>
          <w:noProof/>
          <w:szCs w:val="24"/>
        </w:rPr>
        <w:t>toolbox to support the impact investing ecosystem</w:t>
      </w:r>
      <w:r>
        <w:rPr>
          <w:rFonts w:cs="Times New Roman"/>
          <w:noProof/>
          <w:szCs w:val="24"/>
        </w:rPr>
        <w:t xml:space="preserve">, a set of innovative </w:t>
      </w:r>
      <w:r>
        <w:rPr>
          <w:rFonts w:cs="Times New Roman"/>
          <w:b/>
          <w:noProof/>
          <w:szCs w:val="24"/>
        </w:rPr>
        <w:t xml:space="preserve">pilot impact instruments </w:t>
      </w:r>
      <w:r>
        <w:rPr>
          <w:rFonts w:cs="Times New Roman"/>
          <w:noProof/>
          <w:szCs w:val="24"/>
        </w:rPr>
        <w:t xml:space="preserve">have been developed and launched, supporting investments into Social Incubator and Accelerator vehicles or linked to funds that provide incubation services, a Social Business Angels co-investment facility, both of which aim to support the provision of risk capital to early stage social enterprises, complementing the range of funding instruments developed under EU’s Employment and Social Innovation programme. Last but not least, a pilot instrument was developed, with the aim to support innovative outcomes-focused Payment-by-Results schemes and the development of social outcomes contracting models on European level. </w:t>
      </w:r>
    </w:p>
    <w:p>
      <w:pPr>
        <w:spacing w:after="120" w:line="264" w:lineRule="auto"/>
        <w:rPr>
          <w:rFonts w:cs="Times New Roman"/>
          <w:noProof/>
          <w:szCs w:val="24"/>
        </w:rPr>
      </w:pPr>
      <w:r>
        <w:rPr>
          <w:rFonts w:cs="Times New Roman"/>
          <w:noProof/>
          <w:szCs w:val="24"/>
        </w:rPr>
        <w:t>Further, the achievements and lessons learnt from the Erasmus+ Master loan scheme should be taken on board. In addition, the need for patient capital for these kinds of investments should be recognised.</w:t>
      </w:r>
    </w:p>
    <w:p>
      <w:pPr>
        <w:spacing w:after="120" w:line="264" w:lineRule="auto"/>
        <w:rPr>
          <w:rFonts w:cs="Times New Roman"/>
          <w:noProof/>
          <w:szCs w:val="24"/>
        </w:rPr>
      </w:pPr>
      <w:r>
        <w:rPr>
          <w:rFonts w:cs="Times New Roman"/>
          <w:noProof/>
          <w:szCs w:val="24"/>
        </w:rPr>
        <w:t>Under EaSI and the EFSI, the European Investment Fund (EIF) has been mandated to manage a package of mutually reinforcing and complementary Financial Instruments, namely: the EaSI Guarantee instrument (to enhance risk-taking and improve access to finance for social enterprises, micro-enterprises and vulnerable groups), the EaSI Capacity Building Investments Window (to build up the institutional capacity of microfinance institutions and social finance providers), the EFSI equity social impact pilots (to attract public and private capital for supporting investments in social enterprises), and the future EaSI Funded instrument (to the boost the lending capacity of microfinance institutions and social finance providers).</w:t>
      </w:r>
    </w:p>
    <w:p>
      <w:pPr>
        <w:spacing w:after="120" w:line="264" w:lineRule="auto"/>
        <w:rPr>
          <w:rFonts w:cs="Times New Roman"/>
          <w:noProof/>
          <w:szCs w:val="24"/>
        </w:rPr>
      </w:pPr>
      <w:r>
        <w:rPr>
          <w:rFonts w:cs="Times New Roman"/>
          <w:noProof/>
          <w:szCs w:val="24"/>
        </w:rPr>
        <w:t>Besides EFSI, it is envisaged</w:t>
      </w:r>
      <w:r>
        <w:rPr>
          <w:rFonts w:cs="Times New Roman"/>
          <w:noProof/>
          <w:szCs w:val="24"/>
          <w:lang w:eastAsia="ja-JP"/>
        </w:rPr>
        <w:t xml:space="preserve"> that</w:t>
      </w:r>
      <w:r>
        <w:rPr>
          <w:rFonts w:cs="Times New Roman"/>
          <w:noProof/>
          <w:szCs w:val="24"/>
        </w:rPr>
        <w:t xml:space="preserve"> EaSI is also complemented by EIB Group own contributions resulting in an investment pool of around EUR 1billion, which in turn is expected to mobilise nearly EUR 2.5 billion. </w:t>
      </w:r>
    </w:p>
    <w:tbl>
      <w:tblPr>
        <w:tblStyle w:val="LightShading-Accent1"/>
        <w:tblW w:w="9360" w:type="dxa"/>
        <w:tblInd w:w="108" w:type="dxa"/>
        <w:tblLayout w:type="fixed"/>
        <w:tblLook w:val="04A0" w:firstRow="1" w:lastRow="0" w:firstColumn="1" w:lastColumn="0" w:noHBand="0" w:noVBand="1"/>
      </w:tblPr>
      <w:tblGrid>
        <w:gridCol w:w="1320"/>
        <w:gridCol w:w="590"/>
        <w:gridCol w:w="130"/>
        <w:gridCol w:w="673"/>
        <w:gridCol w:w="45"/>
        <w:gridCol w:w="771"/>
        <w:gridCol w:w="53"/>
        <w:gridCol w:w="765"/>
        <w:gridCol w:w="1173"/>
        <w:gridCol w:w="2760"/>
        <w:gridCol w:w="1080"/>
      </w:tblGrid>
      <w:tr>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320" w:type="dxa"/>
            <w:vMerge w:val="restart"/>
            <w:tcBorders>
              <w:right w:val="single" w:sz="4" w:space="0" w:color="F2F2F2" w:themeColor="background1" w:themeShade="F2"/>
            </w:tcBorders>
            <w:shd w:val="clear" w:color="auto" w:fill="365F91" w:themeFill="accent1" w:themeFillShade="BF"/>
            <w:vAlign w:val="center"/>
          </w:tcPr>
          <w:p>
            <w:pPr>
              <w:keepNext/>
              <w:keepLines/>
              <w:spacing w:after="120" w:line="264" w:lineRule="auto"/>
              <w:jc w:val="center"/>
              <w:rPr>
                <w:rFonts w:cs="Times New Roman"/>
                <w:noProof/>
                <w:color w:val="FFFFFF" w:themeColor="background1"/>
                <w:sz w:val="20"/>
              </w:rPr>
            </w:pPr>
            <w:r>
              <w:rPr>
                <w:rFonts w:cs="Times New Roman"/>
                <w:noProof/>
                <w:color w:val="FFFFFF" w:themeColor="background1"/>
                <w:sz w:val="20"/>
              </w:rPr>
              <w:t xml:space="preserve">Financial Instrument in </w:t>
            </w:r>
            <w:r>
              <w:rPr>
                <w:rFonts w:cs="Times New Roman"/>
                <w:i/>
                <w:noProof/>
                <w:color w:val="FFFFFF" w:themeColor="background1"/>
                <w:sz w:val="20"/>
              </w:rPr>
              <w:t>EUR M</w:t>
            </w:r>
          </w:p>
        </w:tc>
        <w:tc>
          <w:tcPr>
            <w:tcW w:w="3027" w:type="dxa"/>
            <w:gridSpan w:val="7"/>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100000000000" w:firstRow="1" w:lastRow="0" w:firstColumn="0" w:lastColumn="0" w:oddVBand="0" w:evenVBand="0" w:oddHBand="0"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Indicative Budgetary Contributions</w:t>
            </w:r>
          </w:p>
        </w:tc>
        <w:tc>
          <w:tcPr>
            <w:tcW w:w="1173" w:type="dxa"/>
            <w:vMerge w:val="restart"/>
            <w:tcBorders>
              <w:left w:val="single" w:sz="4" w:space="0" w:color="F2F2F2" w:themeColor="background1" w:themeShade="F2"/>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100000000000" w:firstRow="1" w:lastRow="0" w:firstColumn="0" w:lastColumn="0" w:oddVBand="0" w:evenVBand="0" w:oddHBand="0"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Indicative mobilised volumes</w:t>
            </w:r>
          </w:p>
        </w:tc>
        <w:tc>
          <w:tcPr>
            <w:tcW w:w="2760" w:type="dxa"/>
            <w:vMerge w:val="restart"/>
            <w:tcBorders>
              <w:left w:val="single" w:sz="4" w:space="0" w:color="F2F2F2" w:themeColor="background1" w:themeShade="F2"/>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100000000000" w:firstRow="1" w:lastRow="0" w:firstColumn="0" w:lastColumn="0" w:oddVBand="0" w:evenVBand="0" w:oddHBand="0"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Scope of intervention</w:t>
            </w:r>
          </w:p>
        </w:tc>
        <w:tc>
          <w:tcPr>
            <w:tcW w:w="1080" w:type="dxa"/>
            <w:vMerge w:val="restart"/>
            <w:tcBorders>
              <w:lef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100000000000" w:firstRow="1" w:lastRow="0" w:firstColumn="0" w:lastColumn="0" w:oddVBand="0" w:evenVBand="0" w:oddHBand="0"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Date Launched</w:t>
            </w:r>
          </w:p>
        </w:tc>
      </w:tr>
      <w:tr>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20" w:type="dxa"/>
            <w:vMerge/>
            <w:tcBorders>
              <w:bottom w:val="single" w:sz="4" w:space="0" w:color="003399"/>
              <w:right w:val="single" w:sz="4" w:space="0" w:color="F2F2F2" w:themeColor="background1" w:themeShade="F2"/>
            </w:tcBorders>
            <w:shd w:val="clear" w:color="auto" w:fill="365F91" w:themeFill="accent1" w:themeFillShade="BF"/>
          </w:tcPr>
          <w:p>
            <w:pPr>
              <w:keepNext/>
              <w:keepLines/>
              <w:spacing w:after="120" w:line="264" w:lineRule="auto"/>
              <w:rPr>
                <w:rFonts w:cs="Times New Roman"/>
                <w:noProof/>
                <w:color w:val="FFFFFF" w:themeColor="background1"/>
                <w:sz w:val="20"/>
                <w:szCs w:val="24"/>
              </w:rPr>
            </w:pPr>
          </w:p>
        </w:tc>
        <w:tc>
          <w:tcPr>
            <w:tcW w:w="720" w:type="dxa"/>
            <w:gridSpan w:val="2"/>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Total</w:t>
            </w:r>
          </w:p>
        </w:tc>
        <w:tc>
          <w:tcPr>
            <w:tcW w:w="673" w:type="dxa"/>
            <w:tcBorders>
              <w:top w:val="single" w:sz="4" w:space="0" w:color="F2F2F2" w:themeColor="background1" w:themeShade="F2"/>
              <w:bottom w:val="nil"/>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EaSI</w:t>
            </w:r>
          </w:p>
        </w:tc>
        <w:tc>
          <w:tcPr>
            <w:tcW w:w="816" w:type="dxa"/>
            <w:gridSpan w:val="2"/>
            <w:tcBorders>
              <w:top w:val="single" w:sz="4" w:space="0" w:color="F2F2F2" w:themeColor="background1" w:themeShade="F2"/>
              <w:bottom w:val="nil"/>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EFSI</w:t>
            </w:r>
          </w:p>
        </w:tc>
        <w:tc>
          <w:tcPr>
            <w:tcW w:w="818" w:type="dxa"/>
            <w:gridSpan w:val="2"/>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365F91" w:themeFill="accent1" w:themeFillShade="BF"/>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rPr>
            </w:pPr>
            <w:r>
              <w:rPr>
                <w:rFonts w:cs="Times New Roman"/>
                <w:noProof/>
                <w:color w:val="FFFFFF" w:themeColor="background1"/>
                <w:sz w:val="20"/>
              </w:rPr>
              <w:t>EIB Group</w:t>
            </w:r>
          </w:p>
        </w:tc>
        <w:tc>
          <w:tcPr>
            <w:tcW w:w="1173" w:type="dxa"/>
            <w:vMerge/>
            <w:tcBorders>
              <w:left w:val="single" w:sz="4" w:space="0" w:color="F2F2F2" w:themeColor="background1" w:themeShade="F2"/>
              <w:bottom w:val="single" w:sz="4" w:space="0" w:color="003399"/>
              <w:right w:val="single" w:sz="4" w:space="0" w:color="F2F2F2" w:themeColor="background1" w:themeShade="F2"/>
            </w:tcBorders>
            <w:shd w:val="clear" w:color="auto" w:fill="365F91" w:themeFill="accent1" w:themeFillShade="BF"/>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szCs w:val="24"/>
              </w:rPr>
            </w:pPr>
          </w:p>
        </w:tc>
        <w:tc>
          <w:tcPr>
            <w:tcW w:w="2760" w:type="dxa"/>
            <w:vMerge/>
            <w:tcBorders>
              <w:left w:val="single" w:sz="4" w:space="0" w:color="F2F2F2" w:themeColor="background1" w:themeShade="F2"/>
              <w:bottom w:val="nil"/>
              <w:right w:val="single" w:sz="4" w:space="0" w:color="F2F2F2" w:themeColor="background1" w:themeShade="F2"/>
            </w:tcBorders>
            <w:shd w:val="clear" w:color="auto" w:fill="365F91" w:themeFill="accent1" w:themeFillShade="BF"/>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szCs w:val="24"/>
              </w:rPr>
            </w:pPr>
          </w:p>
        </w:tc>
        <w:tc>
          <w:tcPr>
            <w:tcW w:w="1080" w:type="dxa"/>
            <w:vMerge/>
            <w:tcBorders>
              <w:left w:val="single" w:sz="4" w:space="0" w:color="F2F2F2" w:themeColor="background1" w:themeShade="F2"/>
              <w:bottom w:val="nil"/>
            </w:tcBorders>
            <w:shd w:val="clear" w:color="auto" w:fill="365F91" w:themeFill="accent1" w:themeFillShade="BF"/>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FFFFFF" w:themeColor="background1"/>
                <w:sz w:val="20"/>
                <w:szCs w:val="24"/>
              </w:rPr>
            </w:pPr>
          </w:p>
        </w:tc>
      </w:tr>
      <w:tr>
        <w:trPr>
          <w:trHeight w:val="898"/>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003399"/>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EaSI Guarantee (capped)</w:t>
            </w:r>
          </w:p>
        </w:tc>
        <w:tc>
          <w:tcPr>
            <w:tcW w:w="590" w:type="dxa"/>
            <w:tcBorders>
              <w:top w:val="single" w:sz="4" w:space="0" w:color="003399"/>
              <w:left w:val="single" w:sz="4" w:space="0" w:color="BFBFBF" w:themeColor="background1" w:themeShade="BF"/>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196</w:t>
            </w:r>
          </w:p>
        </w:tc>
        <w:tc>
          <w:tcPr>
            <w:tcW w:w="848" w:type="dxa"/>
            <w:gridSpan w:val="3"/>
            <w:tcBorders>
              <w:top w:val="single" w:sz="4" w:space="0" w:color="003399"/>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96</w:t>
            </w:r>
          </w:p>
        </w:tc>
        <w:tc>
          <w:tcPr>
            <w:tcW w:w="824" w:type="dxa"/>
            <w:gridSpan w:val="2"/>
            <w:tcBorders>
              <w:top w:val="single" w:sz="4" w:space="0" w:color="003399"/>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100</w:t>
            </w:r>
          </w:p>
        </w:tc>
        <w:tc>
          <w:tcPr>
            <w:tcW w:w="765" w:type="dxa"/>
            <w:tcBorders>
              <w:top w:val="single" w:sz="4" w:space="0" w:color="003399"/>
              <w:bottom w:val="single" w:sz="4" w:space="0" w:color="808080" w:themeColor="background1" w:themeShade="80"/>
              <w:right w:val="single" w:sz="4" w:space="0" w:color="BFBFBF" w:themeColor="background1" w:themeShade="BF"/>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w:t>
            </w:r>
          </w:p>
        </w:tc>
        <w:tc>
          <w:tcPr>
            <w:tcW w:w="1173" w:type="dxa"/>
            <w:tcBorders>
              <w:top w:val="single" w:sz="4" w:space="0" w:color="003399"/>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1530</w:t>
            </w:r>
          </w:p>
        </w:tc>
        <w:tc>
          <w:tcPr>
            <w:tcW w:w="2760" w:type="dxa"/>
            <w:tcBorders>
              <w:top w:val="single" w:sz="4" w:space="0" w:color="003399"/>
              <w:left w:val="single" w:sz="4" w:space="0" w:color="BFBFBF" w:themeColor="background1" w:themeShade="BF"/>
              <w:bottom w:val="single" w:sz="4" w:space="0" w:color="808080" w:themeColor="background1" w:themeShade="80"/>
            </w:tcBorders>
          </w:tcPr>
          <w:p>
            <w:pPr>
              <w:keepNext/>
              <w:keepLines/>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0"/>
              </w:rPr>
            </w:pPr>
            <w:r>
              <w:rPr>
                <w:rFonts w:cs="Times New Roman"/>
                <w:noProof/>
                <w:color w:val="auto"/>
                <w:sz w:val="20"/>
                <w:szCs w:val="20"/>
              </w:rPr>
              <w:t>Capped (counter-) guarantee offered to financial intermediaries to cover loan portfolios in areas of microfinance and social enterprise finance.</w:t>
            </w:r>
          </w:p>
        </w:tc>
        <w:tc>
          <w:tcPr>
            <w:tcW w:w="1080" w:type="dxa"/>
            <w:tcBorders>
              <w:top w:val="single" w:sz="4" w:space="0" w:color="003399"/>
              <w:bottom w:val="single" w:sz="4" w:space="0" w:color="808080" w:themeColor="background1" w:themeShade="80"/>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Jun 2015</w:t>
            </w:r>
          </w:p>
        </w:tc>
      </w:tr>
      <w:tr>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EaSI Capacity Building</w:t>
            </w:r>
          </w:p>
        </w:tc>
        <w:tc>
          <w:tcPr>
            <w:tcW w:w="590" w:type="dxa"/>
            <w:tcBorders>
              <w:top w:val="single" w:sz="4" w:space="0" w:color="808080" w:themeColor="background1" w:themeShade="80"/>
              <w:left w:val="single" w:sz="4" w:space="0" w:color="BFBFBF" w:themeColor="background1" w:themeShade="BF"/>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16</w:t>
            </w:r>
          </w:p>
        </w:tc>
        <w:tc>
          <w:tcPr>
            <w:tcW w:w="848" w:type="dxa"/>
            <w:gridSpan w:val="3"/>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16</w:t>
            </w:r>
          </w:p>
        </w:tc>
        <w:tc>
          <w:tcPr>
            <w:tcW w:w="82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w:t>
            </w:r>
          </w:p>
        </w:tc>
        <w:tc>
          <w:tcPr>
            <w:tcW w:w="765"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w:t>
            </w:r>
          </w:p>
        </w:tc>
        <w:tc>
          <w:tcPr>
            <w:tcW w:w="1173" w:type="dxa"/>
            <w:tcBorders>
              <w:top w:val="single" w:sz="4" w:space="0" w:color="808080" w:themeColor="background1" w:themeShade="80"/>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w:t>
            </w:r>
          </w:p>
        </w:tc>
        <w:tc>
          <w:tcPr>
            <w:tcW w:w="2760" w:type="dxa"/>
            <w:tcBorders>
              <w:top w:val="single" w:sz="4" w:space="0" w:color="808080" w:themeColor="background1" w:themeShade="80"/>
              <w:left w:val="single" w:sz="4" w:space="0" w:color="BFBFBF" w:themeColor="background1" w:themeShade="BF"/>
              <w:bottom w:val="single" w:sz="4" w:space="0" w:color="808080" w:themeColor="background1" w:themeShade="80"/>
            </w:tcBorders>
            <w:shd w:val="clear" w:color="auto" w:fill="D9D9D9" w:themeFill="background1" w:themeFillShade="D9"/>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0"/>
              </w:rPr>
            </w:pPr>
            <w:r>
              <w:rPr>
                <w:rFonts w:cs="Times New Roman"/>
                <w:noProof/>
                <w:color w:val="auto"/>
                <w:sz w:val="20"/>
                <w:szCs w:val="20"/>
              </w:rPr>
              <w:t>(Quasi-) Equity investments aimed at building up the institutional capacity of financial intermediaries.</w:t>
            </w:r>
          </w:p>
        </w:tc>
        <w:tc>
          <w:tcPr>
            <w:tcW w:w="1080"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Dec 2016</w:t>
            </w:r>
          </w:p>
        </w:tc>
      </w:tr>
      <w:tr>
        <w:trPr>
          <w:trHeight w:val="353"/>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EFSI Equity Social Impact Pilots</w:t>
            </w:r>
          </w:p>
        </w:tc>
        <w:tc>
          <w:tcPr>
            <w:tcW w:w="590" w:type="dxa"/>
            <w:tcBorders>
              <w:top w:val="single" w:sz="4" w:space="0" w:color="808080" w:themeColor="background1" w:themeShade="80"/>
              <w:left w:val="single" w:sz="4" w:space="0" w:color="BFBFBF" w:themeColor="background1" w:themeShade="BF"/>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150</w:t>
            </w:r>
          </w:p>
        </w:tc>
        <w:tc>
          <w:tcPr>
            <w:tcW w:w="848" w:type="dxa"/>
            <w:gridSpan w:val="3"/>
            <w:tcBorders>
              <w:top w:val="single" w:sz="4" w:space="0" w:color="808080" w:themeColor="background1" w:themeShade="80"/>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27</w:t>
            </w:r>
          </w:p>
        </w:tc>
        <w:tc>
          <w:tcPr>
            <w:tcW w:w="824" w:type="dxa"/>
            <w:gridSpan w:val="2"/>
            <w:tcBorders>
              <w:top w:val="single" w:sz="4" w:space="0" w:color="808080" w:themeColor="background1" w:themeShade="80"/>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p>
        </w:tc>
        <w:tc>
          <w:tcPr>
            <w:tcW w:w="765" w:type="dxa"/>
            <w:tcBorders>
              <w:top w:val="single" w:sz="4" w:space="0" w:color="808080" w:themeColor="background1" w:themeShade="80"/>
              <w:bottom w:val="single" w:sz="4" w:space="0" w:color="808080" w:themeColor="background1" w:themeShade="80"/>
              <w:right w:val="single" w:sz="4" w:space="0" w:color="BFBFBF" w:themeColor="background1" w:themeShade="BF"/>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w:t>
            </w:r>
          </w:p>
        </w:tc>
        <w:tc>
          <w:tcPr>
            <w:tcW w:w="1173" w:type="dxa"/>
            <w:tcBorders>
              <w:top w:val="single" w:sz="4" w:space="0" w:color="808080" w:themeColor="background1" w:themeShade="80"/>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w:t>
            </w:r>
          </w:p>
        </w:tc>
        <w:tc>
          <w:tcPr>
            <w:tcW w:w="2760" w:type="dxa"/>
            <w:tcBorders>
              <w:top w:val="single" w:sz="4" w:space="0" w:color="808080" w:themeColor="background1" w:themeShade="80"/>
              <w:left w:val="single" w:sz="4" w:space="0" w:color="BFBFBF" w:themeColor="background1" w:themeShade="BF"/>
              <w:bottom w:val="single" w:sz="4" w:space="0" w:color="808080" w:themeColor="background1" w:themeShade="80"/>
            </w:tcBorders>
          </w:tcPr>
          <w:p>
            <w:pPr>
              <w:keepNext/>
              <w:keepLines/>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0"/>
              </w:rPr>
            </w:pPr>
            <w:r>
              <w:rPr>
                <w:rFonts w:cs="Times New Roman"/>
                <w:noProof/>
                <w:color w:val="auto"/>
                <w:sz w:val="20"/>
                <w:szCs w:val="20"/>
              </w:rPr>
              <w:t xml:space="preserve">Equity investments early-stage innovative social enterprises via </w:t>
            </w:r>
            <w:r>
              <w:rPr>
                <w:rFonts w:cs="Times New Roman"/>
                <w:b/>
                <w:noProof/>
                <w:color w:val="auto"/>
                <w:sz w:val="20"/>
                <w:szCs w:val="20"/>
              </w:rPr>
              <w:t>social incubation facility</w:t>
            </w:r>
            <w:r>
              <w:rPr>
                <w:rFonts w:cs="Times New Roman"/>
                <w:noProof/>
                <w:color w:val="auto"/>
                <w:sz w:val="20"/>
                <w:szCs w:val="20"/>
              </w:rPr>
              <w:t xml:space="preserve">, </w:t>
            </w:r>
            <w:r>
              <w:rPr>
                <w:rFonts w:cs="Times New Roman"/>
                <w:b/>
                <w:noProof/>
                <w:color w:val="auto"/>
                <w:sz w:val="20"/>
                <w:szCs w:val="20"/>
              </w:rPr>
              <w:t>business angel co-investment</w:t>
            </w:r>
            <w:r>
              <w:rPr>
                <w:rFonts w:cs="Times New Roman"/>
                <w:noProof/>
                <w:color w:val="auto"/>
                <w:sz w:val="20"/>
                <w:szCs w:val="20"/>
              </w:rPr>
              <w:t xml:space="preserve">s and </w:t>
            </w:r>
            <w:r>
              <w:rPr>
                <w:rFonts w:cs="Times New Roman"/>
                <w:b/>
                <w:noProof/>
                <w:color w:val="auto"/>
                <w:sz w:val="20"/>
                <w:szCs w:val="20"/>
              </w:rPr>
              <w:t>payment-by-results pilo</w:t>
            </w:r>
            <w:r>
              <w:rPr>
                <w:rFonts w:cs="Times New Roman"/>
                <w:noProof/>
                <w:color w:val="auto"/>
                <w:sz w:val="20"/>
                <w:szCs w:val="20"/>
              </w:rPr>
              <w:t>t.</w:t>
            </w:r>
          </w:p>
        </w:tc>
        <w:tc>
          <w:tcPr>
            <w:tcW w:w="108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Oct 2016</w:t>
            </w:r>
          </w:p>
        </w:tc>
      </w:tr>
      <w:tr>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EaSI Funded</w:t>
            </w:r>
          </w:p>
        </w:tc>
        <w:tc>
          <w:tcPr>
            <w:tcW w:w="590" w:type="dxa"/>
            <w:tcBorders>
              <w:top w:val="single" w:sz="4" w:space="0" w:color="808080" w:themeColor="background1" w:themeShade="80"/>
              <w:left w:val="single" w:sz="4" w:space="0" w:color="BFBFBF" w:themeColor="background1" w:themeShade="BF"/>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200</w:t>
            </w:r>
          </w:p>
        </w:tc>
        <w:tc>
          <w:tcPr>
            <w:tcW w:w="848" w:type="dxa"/>
            <w:gridSpan w:val="3"/>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67</w:t>
            </w:r>
          </w:p>
        </w:tc>
        <w:tc>
          <w:tcPr>
            <w:tcW w:w="82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w:t>
            </w:r>
          </w:p>
        </w:tc>
        <w:tc>
          <w:tcPr>
            <w:tcW w:w="765"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133</w:t>
            </w:r>
          </w:p>
        </w:tc>
        <w:tc>
          <w:tcPr>
            <w:tcW w:w="1173" w:type="dxa"/>
            <w:tcBorders>
              <w:top w:val="single" w:sz="4" w:space="0" w:color="808080" w:themeColor="background1" w:themeShade="80"/>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300</w:t>
            </w:r>
          </w:p>
        </w:tc>
        <w:tc>
          <w:tcPr>
            <w:tcW w:w="2760" w:type="dxa"/>
            <w:tcBorders>
              <w:top w:val="single" w:sz="4" w:space="0" w:color="808080" w:themeColor="background1" w:themeShade="80"/>
              <w:left w:val="single" w:sz="4" w:space="0" w:color="BFBFBF" w:themeColor="background1" w:themeShade="BF"/>
              <w:bottom w:val="single" w:sz="4" w:space="0" w:color="808080" w:themeColor="background1" w:themeShade="80"/>
            </w:tcBorders>
            <w:shd w:val="clear" w:color="auto" w:fill="D9D9D9" w:themeFill="background1" w:themeFillShade="D9"/>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0"/>
              </w:rPr>
            </w:pPr>
            <w:r>
              <w:rPr>
                <w:rFonts w:cs="Times New Roman"/>
                <w:noProof/>
                <w:color w:val="auto"/>
                <w:sz w:val="20"/>
                <w:szCs w:val="20"/>
              </w:rPr>
              <w:t>Senior and subordinated loans channelled primarily to non-bank financial intermediaries to boost their capacity to on-lend to micro- and social enterprises.</w:t>
            </w:r>
          </w:p>
        </w:tc>
        <w:tc>
          <w:tcPr>
            <w:tcW w:w="1080"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r>
              <w:rPr>
                <w:rFonts w:cs="Times New Roman"/>
                <w:noProof/>
                <w:color w:val="auto"/>
                <w:sz w:val="20"/>
                <w:szCs w:val="24"/>
              </w:rPr>
              <w:t>2018H1</w:t>
            </w:r>
          </w:p>
        </w:tc>
      </w:tr>
      <w:tr>
        <w:trPr>
          <w:trHeight w:val="353"/>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808080" w:themeColor="background1" w:themeShade="80"/>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EaSI Guarantee (uncapped)</w:t>
            </w:r>
          </w:p>
        </w:tc>
        <w:tc>
          <w:tcPr>
            <w:tcW w:w="590" w:type="dxa"/>
            <w:tcBorders>
              <w:top w:val="single" w:sz="4" w:space="0" w:color="808080" w:themeColor="background1" w:themeShade="80"/>
              <w:left w:val="single" w:sz="4" w:space="0" w:color="BFBFBF" w:themeColor="background1" w:themeShade="BF"/>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400</w:t>
            </w:r>
          </w:p>
        </w:tc>
        <w:tc>
          <w:tcPr>
            <w:tcW w:w="848" w:type="dxa"/>
            <w:gridSpan w:val="3"/>
            <w:tcBorders>
              <w:top w:val="single" w:sz="4" w:space="0" w:color="808080" w:themeColor="background1" w:themeShade="80"/>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20</w:t>
            </w:r>
          </w:p>
        </w:tc>
        <w:tc>
          <w:tcPr>
            <w:tcW w:w="824" w:type="dxa"/>
            <w:gridSpan w:val="2"/>
            <w:tcBorders>
              <w:top w:val="single" w:sz="4" w:space="0" w:color="808080" w:themeColor="background1" w:themeShade="80"/>
              <w:bottom w:val="single" w:sz="4" w:space="0" w:color="808080" w:themeColor="background1" w:themeShade="80"/>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100</w:t>
            </w:r>
          </w:p>
        </w:tc>
        <w:tc>
          <w:tcPr>
            <w:tcW w:w="765" w:type="dxa"/>
            <w:tcBorders>
              <w:top w:val="single" w:sz="4" w:space="0" w:color="808080" w:themeColor="background1" w:themeShade="80"/>
              <w:bottom w:val="single" w:sz="4" w:space="0" w:color="808080" w:themeColor="background1" w:themeShade="80"/>
              <w:right w:val="single" w:sz="4" w:space="0" w:color="BFBFBF" w:themeColor="background1" w:themeShade="BF"/>
            </w:tcBorders>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280</w:t>
            </w:r>
          </w:p>
        </w:tc>
        <w:tc>
          <w:tcPr>
            <w:tcW w:w="1173" w:type="dxa"/>
            <w:tcBorders>
              <w:top w:val="single" w:sz="4" w:space="0" w:color="808080" w:themeColor="background1" w:themeShade="80"/>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600</w:t>
            </w:r>
          </w:p>
        </w:tc>
        <w:tc>
          <w:tcPr>
            <w:tcW w:w="2760" w:type="dxa"/>
            <w:tcBorders>
              <w:top w:val="single" w:sz="4" w:space="0" w:color="808080" w:themeColor="background1" w:themeShade="80"/>
              <w:left w:val="single" w:sz="4" w:space="0" w:color="BFBFBF" w:themeColor="background1" w:themeShade="BF"/>
              <w:bottom w:val="single" w:sz="4" w:space="0" w:color="808080" w:themeColor="background1" w:themeShade="80"/>
            </w:tcBorders>
          </w:tcPr>
          <w:p>
            <w:pPr>
              <w:keepNext/>
              <w:keepLines/>
              <w:spacing w:after="120" w:line="264"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0"/>
              </w:rPr>
            </w:pPr>
            <w:r>
              <w:rPr>
                <w:rFonts w:cs="Times New Roman"/>
                <w:noProof/>
                <w:color w:val="auto"/>
                <w:sz w:val="20"/>
                <w:szCs w:val="20"/>
              </w:rPr>
              <w:t>Uncapped Guarantee providing capital relief to encourage mainstream banks to develop portfolios of loans for social enterprises.</w:t>
            </w:r>
          </w:p>
        </w:tc>
        <w:tc>
          <w:tcPr>
            <w:tcW w:w="108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pPr>
              <w:keepNext/>
              <w:keepLines/>
              <w:spacing w:after="120" w:line="264" w:lineRule="auto"/>
              <w:jc w:val="center"/>
              <w:cnfStyle w:val="000000000000" w:firstRow="0" w:lastRow="0" w:firstColumn="0" w:lastColumn="0" w:oddVBand="0" w:evenVBand="0" w:oddHBand="0" w:evenHBand="0" w:firstRowFirstColumn="0" w:firstRowLastColumn="0" w:lastRowFirstColumn="0" w:lastRowLastColumn="0"/>
              <w:rPr>
                <w:rFonts w:cs="Times New Roman"/>
                <w:noProof/>
                <w:color w:val="auto"/>
                <w:sz w:val="20"/>
                <w:szCs w:val="24"/>
              </w:rPr>
            </w:pPr>
            <w:r>
              <w:rPr>
                <w:rFonts w:cs="Times New Roman"/>
                <w:noProof/>
                <w:color w:val="auto"/>
                <w:sz w:val="20"/>
                <w:szCs w:val="24"/>
              </w:rPr>
              <w:t>EFSI 2.0 planned</w:t>
            </w:r>
          </w:p>
        </w:tc>
      </w:tr>
      <w:tr>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320" w:type="dxa"/>
            <w:tcBorders>
              <w:top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pPr>
              <w:keepNext/>
              <w:keepLines/>
              <w:spacing w:after="120" w:line="264" w:lineRule="auto"/>
              <w:rPr>
                <w:rFonts w:cs="Times New Roman"/>
                <w:noProof/>
                <w:color w:val="auto"/>
                <w:sz w:val="20"/>
                <w:szCs w:val="24"/>
              </w:rPr>
            </w:pPr>
            <w:r>
              <w:rPr>
                <w:rFonts w:cs="Times New Roman"/>
                <w:noProof/>
                <w:color w:val="auto"/>
                <w:sz w:val="20"/>
                <w:szCs w:val="24"/>
              </w:rPr>
              <w:t>TOTAL</w:t>
            </w:r>
          </w:p>
        </w:tc>
        <w:tc>
          <w:tcPr>
            <w:tcW w:w="590" w:type="dxa"/>
            <w:tcBorders>
              <w:top w:val="single" w:sz="4" w:space="0" w:color="808080" w:themeColor="background1" w:themeShade="80"/>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962</w:t>
            </w:r>
          </w:p>
        </w:tc>
        <w:tc>
          <w:tcPr>
            <w:tcW w:w="848" w:type="dxa"/>
            <w:gridSpan w:val="3"/>
            <w:tcBorders>
              <w:top w:val="single" w:sz="4" w:space="0" w:color="808080" w:themeColor="background1" w:themeShade="80"/>
              <w:bottom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226</w:t>
            </w:r>
          </w:p>
        </w:tc>
        <w:tc>
          <w:tcPr>
            <w:tcW w:w="824" w:type="dxa"/>
            <w:gridSpan w:val="2"/>
            <w:tcBorders>
              <w:top w:val="single" w:sz="4" w:space="0" w:color="808080" w:themeColor="background1" w:themeShade="80"/>
              <w:bottom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323</w:t>
            </w:r>
          </w:p>
        </w:tc>
        <w:tc>
          <w:tcPr>
            <w:tcW w:w="765" w:type="dxa"/>
            <w:tcBorders>
              <w:top w:val="single" w:sz="4" w:space="0" w:color="808080" w:themeColor="background1" w:themeShade="80"/>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413</w:t>
            </w:r>
          </w:p>
        </w:tc>
        <w:tc>
          <w:tcPr>
            <w:tcW w:w="117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pPr>
              <w:keepNext/>
              <w:keepLines/>
              <w:spacing w:after="120" w:line="264" w:lineRule="auto"/>
              <w:jc w:val="center"/>
              <w:cnfStyle w:val="000000100000" w:firstRow="0" w:lastRow="0" w:firstColumn="0" w:lastColumn="0" w:oddVBand="0" w:evenVBand="0" w:oddHBand="1" w:evenHBand="0" w:firstRowFirstColumn="0" w:firstRowLastColumn="0" w:lastRowFirstColumn="0" w:lastRowLastColumn="0"/>
              <w:rPr>
                <w:rFonts w:cs="Times New Roman"/>
                <w:b/>
                <w:noProof/>
                <w:color w:val="auto"/>
                <w:sz w:val="20"/>
                <w:szCs w:val="24"/>
              </w:rPr>
            </w:pPr>
            <w:r>
              <w:rPr>
                <w:rFonts w:cs="Times New Roman"/>
                <w:b/>
                <w:noProof/>
                <w:color w:val="auto"/>
                <w:sz w:val="20"/>
                <w:szCs w:val="24"/>
              </w:rPr>
              <w:t>2430</w:t>
            </w:r>
          </w:p>
        </w:tc>
        <w:tc>
          <w:tcPr>
            <w:tcW w:w="2760" w:type="dxa"/>
            <w:tcBorders>
              <w:top w:val="single" w:sz="4" w:space="0" w:color="808080" w:themeColor="background1" w:themeShade="80"/>
              <w:left w:val="single" w:sz="4" w:space="0" w:color="BFBFBF" w:themeColor="background1" w:themeShade="BF"/>
              <w:bottom w:val="single" w:sz="4" w:space="0" w:color="BFBFBF" w:themeColor="background1" w:themeShade="BF"/>
            </w:tcBorders>
            <w:shd w:val="clear" w:color="auto" w:fill="F2F2F2" w:themeFill="background1" w:themeFillShade="F2"/>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p>
        </w:tc>
        <w:tc>
          <w:tcPr>
            <w:tcW w:w="1080" w:type="dxa"/>
            <w:tcBorders>
              <w:top w:val="single" w:sz="4" w:space="0" w:color="808080" w:themeColor="background1" w:themeShade="80"/>
              <w:bottom w:val="single" w:sz="4" w:space="0" w:color="BFBFBF" w:themeColor="background1" w:themeShade="BF"/>
            </w:tcBorders>
            <w:shd w:val="clear" w:color="auto" w:fill="F2F2F2" w:themeFill="background1" w:themeFillShade="F2"/>
          </w:tcPr>
          <w:p>
            <w:pPr>
              <w:keepNext/>
              <w:keepLines/>
              <w:spacing w:after="120" w:line="264" w:lineRule="auto"/>
              <w:cnfStyle w:val="000000100000" w:firstRow="0" w:lastRow="0" w:firstColumn="0" w:lastColumn="0" w:oddVBand="0" w:evenVBand="0" w:oddHBand="1" w:evenHBand="0" w:firstRowFirstColumn="0" w:firstRowLastColumn="0" w:lastRowFirstColumn="0" w:lastRowLastColumn="0"/>
              <w:rPr>
                <w:rFonts w:cs="Times New Roman"/>
                <w:noProof/>
                <w:color w:val="auto"/>
                <w:sz w:val="20"/>
                <w:szCs w:val="24"/>
              </w:rPr>
            </w:pPr>
          </w:p>
        </w:tc>
      </w:tr>
    </w:tbl>
    <w:p>
      <w:pPr>
        <w:pStyle w:val="Text2"/>
        <w:spacing w:after="120" w:line="264" w:lineRule="auto"/>
        <w:ind w:left="0"/>
        <w:rPr>
          <w:noProof/>
          <w:szCs w:val="24"/>
        </w:rPr>
      </w:pPr>
    </w:p>
    <w:p>
      <w:pPr>
        <w:pStyle w:val="Text2"/>
        <w:spacing w:after="120" w:line="264" w:lineRule="auto"/>
        <w:ind w:left="0"/>
        <w:rPr>
          <w:noProof/>
          <w:szCs w:val="24"/>
        </w:rPr>
      </w:pPr>
      <w:r>
        <w:rPr>
          <w:noProof/>
          <w:szCs w:val="24"/>
        </w:rPr>
        <w:t xml:space="preserve">These initial experiences in a sector characterised by a relatively small size of projects and the related small average capital invested on, has raised the awareness on how social investment is </w:t>
      </w:r>
      <w:r>
        <w:rPr>
          <w:b/>
          <w:noProof/>
          <w:szCs w:val="24"/>
        </w:rPr>
        <w:t>an opportunity for portfolio diversification</w:t>
      </w:r>
      <w:r>
        <w:rPr>
          <w:noProof/>
          <w:szCs w:val="24"/>
        </w:rPr>
        <w:t xml:space="preserve">, as opposed to major economic infrastructure. </w:t>
      </w:r>
    </w:p>
    <w:p>
      <w:pPr>
        <w:pStyle w:val="Text2"/>
        <w:spacing w:after="120" w:line="264" w:lineRule="auto"/>
        <w:ind w:left="0"/>
        <w:rPr>
          <w:noProof/>
          <w:szCs w:val="24"/>
        </w:rPr>
      </w:pPr>
      <w:r>
        <w:rPr>
          <w:noProof/>
          <w:szCs w:val="24"/>
        </w:rPr>
        <w:t xml:space="preserve">The micro and social entrepreneurship sector responded well to financing opportunities, showing a </w:t>
      </w:r>
      <w:r>
        <w:rPr>
          <w:b/>
          <w:noProof/>
          <w:szCs w:val="24"/>
        </w:rPr>
        <w:t>strong demand for EU funding</w:t>
      </w:r>
      <w:r>
        <w:rPr>
          <w:noProof/>
          <w:szCs w:val="24"/>
        </w:rPr>
        <w:t>. Although the budget for the EaSI guarantee in support of microfinance was significantly increased in comparison with EPMF, it was fully used only in less than two years</w:t>
      </w:r>
      <w:r>
        <w:rPr>
          <w:b/>
          <w:noProof/>
          <w:szCs w:val="24"/>
        </w:rPr>
        <w:t>,</w:t>
      </w:r>
      <w:r>
        <w:rPr>
          <w:noProof/>
          <w:szCs w:val="24"/>
        </w:rPr>
        <w:t xml:space="preserve"> necessitating additional investment capacity (doubling of the guarantee being provided under EFSI). Higher average ticket size also contributed to the </w:t>
      </w:r>
      <w:r>
        <w:rPr>
          <w:b/>
          <w:noProof/>
          <w:szCs w:val="24"/>
        </w:rPr>
        <w:t>fast absorption of the facility</w:t>
      </w:r>
      <w:r>
        <w:rPr>
          <w:noProof/>
          <w:szCs w:val="24"/>
        </w:rPr>
        <w:t>. By comparison, the take-up of the social entrepreneurship guarantee has been more moderate due to the novelty of the instrument, while the deal flow of operations has grown positively and is expected to fully exhaust the initial budget earmarked. Therefore, the EaSI programme has proven the capacity of EU-level Financial Instruments to deliver the objectives envisaged by the EU Regulation for micro-finance and social entrepreneurship. Deploying the full potential shown by the results achieved in the period 2015-2017 therefore justify its continuity and need for additional firepower. For scaling up and assuring sustainability of project results, dissemination activities are essential</w:t>
      </w:r>
    </w:p>
    <w:p>
      <w:pPr>
        <w:spacing w:after="120" w:line="264" w:lineRule="auto"/>
        <w:rPr>
          <w:rFonts w:cs="Times New Roman"/>
          <w:noProof/>
          <w:szCs w:val="24"/>
        </w:rPr>
      </w:pPr>
      <w:r>
        <w:rPr>
          <w:rFonts w:cs="Times New Roman"/>
          <w:noProof/>
          <w:szCs w:val="24"/>
        </w:rPr>
        <w:t>In the realm of social infrastructures,</w:t>
      </w:r>
      <w:r>
        <w:rPr>
          <w:rFonts w:cs="Times New Roman"/>
          <w:b/>
          <w:noProof/>
          <w:szCs w:val="24"/>
        </w:rPr>
        <w:t xml:space="preserve"> </w:t>
      </w:r>
      <w:r>
        <w:rPr>
          <w:rFonts w:cs="Times New Roman"/>
          <w:noProof/>
          <w:szCs w:val="24"/>
        </w:rPr>
        <w:t xml:space="preserve">the </w:t>
      </w:r>
      <w:r>
        <w:rPr>
          <w:rFonts w:cs="Times New Roman"/>
          <w:b/>
          <w:noProof/>
          <w:szCs w:val="24"/>
        </w:rPr>
        <w:t>limit</w:t>
      </w:r>
      <w:r>
        <w:rPr>
          <w:rFonts w:cs="Times New Roman"/>
          <w:b/>
          <w:noProof/>
          <w:szCs w:val="24"/>
          <w:lang w:eastAsia="ja-JP"/>
        </w:rPr>
        <w:t>ed</w:t>
      </w:r>
      <w:r>
        <w:rPr>
          <w:rFonts w:cs="Times New Roman"/>
          <w:b/>
          <w:noProof/>
          <w:szCs w:val="24"/>
        </w:rPr>
        <w:t xml:space="preserve"> use of the present </w:t>
      </w:r>
      <w:r>
        <w:rPr>
          <w:rFonts w:cs="Times New Roman"/>
          <w:b/>
          <w:noProof/>
          <w:szCs w:val="24"/>
          <w:lang w:eastAsia="ja-JP"/>
        </w:rPr>
        <w:t xml:space="preserve">EFSI </w:t>
      </w:r>
      <w:r>
        <w:rPr>
          <w:rFonts w:cs="Times New Roman"/>
          <w:b/>
          <w:noProof/>
          <w:szCs w:val="24"/>
        </w:rPr>
        <w:t>EU guarantee</w:t>
      </w:r>
      <w:r>
        <w:rPr>
          <w:rFonts w:cs="Times New Roman"/>
          <w:noProof/>
          <w:szCs w:val="24"/>
        </w:rPr>
        <w:t xml:space="preserve"> for supporting an expanded range of social investments in the social sector, is owed to the: i) lower level of risk, and lower level of innovation and thus additionality of the EU guarantee in the context of PPP projects which are the primary method for engaging private finance for such developments</w:t>
      </w:r>
      <w:r>
        <w:rPr>
          <w:rFonts w:cs="Times New Roman"/>
          <w:noProof/>
          <w:szCs w:val="24"/>
          <w:lang w:eastAsia="ja-JP"/>
        </w:rPr>
        <w:t>,</w:t>
      </w:r>
      <w:r>
        <w:rPr>
          <w:rFonts w:cs="Times New Roman"/>
          <w:noProof/>
          <w:szCs w:val="24"/>
        </w:rPr>
        <w:t xml:space="preserve"> and ii) the immaturity of the overall social investment market associated with the development and design of interventions to deliver social outcomes using social or private finance. </w:t>
      </w:r>
    </w:p>
    <w:p>
      <w:pPr>
        <w:pStyle w:val="Text2"/>
        <w:spacing w:after="120" w:line="264" w:lineRule="auto"/>
        <w:ind w:left="0"/>
        <w:rPr>
          <w:rFonts w:eastAsia="MS Mincho"/>
          <w:noProof/>
          <w:szCs w:val="24"/>
          <w:lang w:eastAsia="ja-JP"/>
        </w:rPr>
      </w:pPr>
      <w:r>
        <w:rPr>
          <w:noProof/>
          <w:szCs w:val="24"/>
        </w:rPr>
        <w:t>The moderate pipeline development of the EFSI pilots signals a market segment still in development, with significant capacity building needs and long lead times to market in the absence of dedicated technical support made available alongside the Financial Instruments. At the same time the transactions approved under the EFSI social impact pilots represent the development of replicable models of access to finance for potentially excluded social ventures and future potential to scale</w:t>
      </w:r>
      <w:r>
        <w:rPr>
          <w:rStyle w:val="FootnoteReference"/>
          <w:noProof/>
          <w:szCs w:val="24"/>
        </w:rPr>
        <w:footnoteReference w:id="94"/>
      </w:r>
      <w:r>
        <w:rPr>
          <w:noProof/>
          <w:szCs w:val="24"/>
        </w:rPr>
        <w:t xml:space="preserve">. </w:t>
      </w:r>
    </w:p>
    <w:p>
      <w:pPr>
        <w:pStyle w:val="Text2"/>
        <w:spacing w:after="120" w:line="264" w:lineRule="auto"/>
        <w:ind w:left="0"/>
        <w:rPr>
          <w:noProof/>
          <w:szCs w:val="24"/>
          <w:lang w:eastAsia="ja-JP"/>
        </w:rPr>
      </w:pPr>
      <w:r>
        <w:rPr>
          <w:noProof/>
          <w:szCs w:val="24"/>
          <w:lang w:eastAsia="ja-JP"/>
        </w:rPr>
        <w:t>The experience over the period of EaSI implementation (2015-2017) as demonstrated by the quick absorption of the budgetary resources, coupled with a growing deal flow and increased absorption capacity of the sector as a whole, show there is a largely untapped demand. Building up the social finance market will continue with the resources currently available until 2020</w:t>
      </w:r>
      <w:r>
        <w:rPr>
          <w:noProof/>
          <w:szCs w:val="24"/>
          <w:vertAlign w:val="superscript"/>
          <w:lang w:eastAsia="ja-JP"/>
        </w:rPr>
        <w:footnoteReference w:id="95"/>
      </w:r>
      <w:r>
        <w:rPr>
          <w:noProof/>
          <w:szCs w:val="24"/>
          <w:lang w:eastAsia="ja-JP"/>
        </w:rPr>
        <w:t>. However, without a consequential allocation of resources for social EU-level Financial Instruments in the period 2021-2027, supporting ESF and other funding instruments, the EU efforts for building up market structures in support of microfinance and social enterprise needs would be seriously compromised.</w:t>
      </w:r>
    </w:p>
    <w:p>
      <w:pPr>
        <w:spacing w:after="120" w:line="264" w:lineRule="auto"/>
        <w:rPr>
          <w:rFonts w:cs="Times New Roman"/>
          <w:b/>
          <w:noProof/>
          <w:szCs w:val="24"/>
        </w:rPr>
      </w:pPr>
      <w:r>
        <w:rPr>
          <w:rFonts w:cs="Times New Roman"/>
          <w:b/>
          <w:noProof/>
          <w:szCs w:val="24"/>
        </w:rPr>
        <w:t>EaSI programme - the mid-term evaluation</w:t>
      </w:r>
    </w:p>
    <w:p>
      <w:pPr>
        <w:spacing w:after="120" w:line="264" w:lineRule="auto"/>
        <w:rPr>
          <w:rFonts w:cs="Times New Roman"/>
          <w:noProof/>
          <w:szCs w:val="24"/>
        </w:rPr>
      </w:pPr>
      <w:r>
        <w:rPr>
          <w:rFonts w:cs="Times New Roman"/>
          <w:noProof/>
          <w:szCs w:val="24"/>
        </w:rPr>
        <w:t>This section includes the main conclusions regarding Financial Instruments from the mid-term evaluation of the EaSI programme (2017):</w:t>
      </w:r>
    </w:p>
    <w:p>
      <w:pPr>
        <w:spacing w:after="120" w:line="264" w:lineRule="auto"/>
        <w:rPr>
          <w:rFonts w:cs="Times New Roman"/>
          <w:noProof/>
          <w:szCs w:val="24"/>
        </w:rPr>
      </w:pPr>
      <w:r>
        <w:rPr>
          <w:rFonts w:cs="Times New Roman"/>
          <w:noProof/>
          <w:szCs w:val="24"/>
        </w:rPr>
        <w:t>“</w:t>
      </w:r>
      <w:r>
        <w:rPr>
          <w:rFonts w:cs="Times New Roman"/>
          <w:i/>
          <w:noProof/>
          <w:szCs w:val="24"/>
        </w:rPr>
        <w:t>Financial Instruments under the EaSI Microfinance and Social Entrepreneurship axis have been relevant both in terms of its general objectives and the stakeholders’ needs. Existing market imperfections in both the Microfinance and Social Entrepreneurship markets, along with financial gaps between supply and demand of finance in a majority of Member States, suggest the need to continuously promote financial inclusion through increasing availability and accessibility of finance for vulnerable people</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Additionally, in some Member States, the market for lending to social enterprises remains undeveloped</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In order to reach the most vulnerable social enterprises, which should be a core target group according to the EaSI regulation, a recommendation is for the EIF to widen its reach by encouraging financial intermediaries to reach the social enterprises most in need of financial support</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In terms of relevance in the light of stakeholder needs, financial intermediaries benefitting from EaSI Microfinance and Social Entrepreneurship support can provide loans at better terms thanks to the instrument. The guarantees have helped to overcome previous barriers preventing final beneficiaries to access finance, suggesting it is well designed and fit for its purpose</w:t>
      </w:r>
      <w:r>
        <w:rPr>
          <w:rFonts w:cs="Times New Roman"/>
          <w:noProof/>
          <w:szCs w:val="24"/>
        </w:rPr>
        <w:t xml:space="preserve">." </w:t>
      </w:r>
    </w:p>
    <w:p>
      <w:pPr>
        <w:spacing w:after="120" w:line="264" w:lineRule="auto"/>
        <w:rPr>
          <w:rFonts w:cs="Times New Roman"/>
          <w:noProof/>
          <w:szCs w:val="24"/>
        </w:rPr>
      </w:pPr>
      <w:r>
        <w:rPr>
          <w:rFonts w:cs="Times New Roman"/>
          <w:noProof/>
          <w:szCs w:val="24"/>
        </w:rPr>
        <w:t xml:space="preserve">“[The] </w:t>
      </w:r>
      <w:r>
        <w:rPr>
          <w:rFonts w:cs="Times New Roman"/>
          <w:i/>
          <w:noProof/>
          <w:szCs w:val="24"/>
        </w:rPr>
        <w:t>amounts allocated to the axis are insufficient to meet demand and ensure a continuation of support beyond one cycle</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The EaSI Microfinance and Social Entrepreneurship axis has been efficient in increasing the availability of and access to finance as the supply of financing has increased. Clear quantitative changes are increased lending volume, number of loans and number of beneficiaries, in particular for microfinance. Moreover, these quantitative effects would not have materialised or done so at a slower pace in the absence of the EaSI Microfinance and Social Entrepreneurship axis, as financial intermediaries would not have been able to offer similar products without support from EaSI. Evidence of qualitative changes is however scarce. Moreover, financial intermediaries have not reported information of the provision of monitoring and training for more than half of the final beneficiaries at the end of 2016</w:t>
      </w:r>
      <w:r>
        <w:rPr>
          <w:rFonts w:cs="Times New Roman"/>
          <w:noProof/>
          <w:szCs w:val="24"/>
        </w:rPr>
        <w:t xml:space="preserve">”. </w:t>
      </w:r>
    </w:p>
    <w:p>
      <w:pPr>
        <w:spacing w:after="120" w:line="264" w:lineRule="auto"/>
        <w:rPr>
          <w:rFonts w:cs="Times New Roman"/>
          <w:noProof/>
          <w:szCs w:val="24"/>
        </w:rPr>
      </w:pPr>
      <w:r>
        <w:rPr>
          <w:rFonts w:cs="Times New Roman"/>
          <w:noProof/>
          <w:szCs w:val="24"/>
        </w:rPr>
        <w:t xml:space="preserve"> “</w:t>
      </w:r>
      <w:r>
        <w:rPr>
          <w:rFonts w:cs="Times New Roman"/>
          <w:i/>
          <w:noProof/>
          <w:szCs w:val="24"/>
        </w:rPr>
        <w:t>In addition, the overwhelming demand for the financial guarantee under EaSI Microfinance and Social Entrepreneurship has put pressure on the budget. As 2/3 of the allocated amount was used already after one year, the EIF will run out of funds for the Microfinance and Social Entrepreneurship axis before 2020. This suggests that the allocated budget for the axis is not optimal nor sufficient for EIF’s long-term goals to provide the financial guarantee for two or three cycles</w:t>
      </w:r>
      <w:r>
        <w:rPr>
          <w:rFonts w:cs="Times New Roman"/>
          <w:noProof/>
          <w:szCs w:val="24"/>
        </w:rPr>
        <w:t>”.</w:t>
      </w:r>
    </w:p>
    <w:p>
      <w:pPr>
        <w:spacing w:after="120" w:line="264" w:lineRule="auto"/>
        <w:rPr>
          <w:rFonts w:cs="Times New Roman"/>
          <w:noProof/>
          <w:szCs w:val="24"/>
        </w:rPr>
      </w:pPr>
      <w:r>
        <w:rPr>
          <w:rFonts w:cs="Times New Roman"/>
          <w:noProof/>
          <w:szCs w:val="24"/>
        </w:rPr>
        <w:t xml:space="preserve"> “</w:t>
      </w:r>
      <w:r>
        <w:rPr>
          <w:rFonts w:cs="Times New Roman"/>
          <w:i/>
          <w:noProof/>
          <w:szCs w:val="24"/>
        </w:rPr>
        <w:t>With regard to Microfinance and Social Entrepreneurship, there is not always coherence between the EaSI Financial Instrument and national and regional policies, as goals and actions of the EaSI Financial Instrument are not always aligned with national and regional policies or interests. To maintain complementarity, nevertheless, the EIF undertakes efforts to ensure their achievements do not interfere with programmes already implemented and that the EIF’s actions are complementary</w:t>
      </w:r>
      <w:r>
        <w:rPr>
          <w:rFonts w:cs="Times New Roman"/>
          <w:noProof/>
          <w:szCs w:val="24"/>
        </w:rPr>
        <w:t>”.</w:t>
      </w:r>
    </w:p>
    <w:p>
      <w:pPr>
        <w:spacing w:after="120" w:line="264" w:lineRule="auto"/>
        <w:rPr>
          <w:rFonts w:cs="Times New Roman"/>
          <w:noProof/>
          <w:szCs w:val="24"/>
        </w:rPr>
      </w:pPr>
      <w:r>
        <w:rPr>
          <w:rFonts w:cs="Times New Roman"/>
          <w:noProof/>
          <w:szCs w:val="24"/>
        </w:rPr>
        <w:t>“</w:t>
      </w:r>
      <w:r>
        <w:rPr>
          <w:rFonts w:cs="Times New Roman"/>
          <w:i/>
          <w:noProof/>
          <w:szCs w:val="24"/>
        </w:rPr>
        <w:t>The EaSI programme EU added value is widely acknowledged, in particular with regards to the cross border partnerships and the exchange of good practices. For example, one of the key features of PROGRESS is to be the most suitable to build EU wide networks and partnership as well as produce EU wide deliverables that are not top priority at other governance level, such as databases, studies, policy experimentations, capacity building and mutual learning activities or support for EU networks focused on social exclusion and poverty prevention</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The EaSI Financial Guarantee appears to fill a clear gap in the supply of microfinance. Should EaSI be discontinued this would have repercussion on many challenges, in particular in the employment field. In such a scenario it would be unlikely that other funding schemes at e.g. national level would be able to support policy experimentations across different Member States</w:t>
      </w:r>
      <w:r>
        <w:rPr>
          <w:rFonts w:cs="Times New Roman"/>
          <w:noProof/>
          <w:szCs w:val="24"/>
        </w:rPr>
        <w:t xml:space="preserve">”. </w:t>
      </w:r>
    </w:p>
    <w:p>
      <w:pPr>
        <w:spacing w:after="120" w:line="264" w:lineRule="auto"/>
        <w:rPr>
          <w:rFonts w:cs="Times New Roman"/>
          <w:noProof/>
          <w:szCs w:val="24"/>
        </w:rPr>
      </w:pPr>
      <w:r>
        <w:rPr>
          <w:rFonts w:cs="Times New Roman"/>
          <w:noProof/>
          <w:szCs w:val="24"/>
        </w:rPr>
        <w:t>“</w:t>
      </w:r>
      <w:r>
        <w:rPr>
          <w:rFonts w:cs="Times New Roman"/>
          <w:i/>
          <w:noProof/>
          <w:szCs w:val="24"/>
        </w:rPr>
        <w:t>With regard to Microfinance and Social Entrepreneurship, the support for the social investment market would most likely slow down without funding from EaSI, leading to fewer social business across the EU and thus fewer employment opportunities in these sectors</w:t>
      </w:r>
      <w:r>
        <w:rPr>
          <w:rFonts w:cs="Times New Roman"/>
          <w:noProof/>
          <w:szCs w:val="24"/>
        </w:rPr>
        <w:t>”.</w:t>
      </w:r>
    </w:p>
    <w:p>
      <w:pPr>
        <w:spacing w:after="120" w:line="264" w:lineRule="auto"/>
        <w:rPr>
          <w:rFonts w:cs="Times New Roman"/>
          <w:b/>
          <w:noProof/>
          <w:szCs w:val="24"/>
        </w:rPr>
      </w:pPr>
      <w:bookmarkStart w:id="9250" w:name="_Toc486606024"/>
      <w:bookmarkStart w:id="9251" w:name="_Toc476148430"/>
      <w:bookmarkStart w:id="9252" w:name="_Toc479576825"/>
      <w:r>
        <w:rPr>
          <w:rFonts w:cs="Times New Roman"/>
          <w:b/>
          <w:noProof/>
          <w:szCs w:val="24"/>
        </w:rPr>
        <w:t xml:space="preserve">Erasmus+ Student Loan Guarantee Facility - the mid-term evaluation </w:t>
      </w:r>
    </w:p>
    <w:p>
      <w:pPr>
        <w:spacing w:after="120" w:line="264" w:lineRule="auto"/>
        <w:rPr>
          <w:rFonts w:cs="Times New Roman"/>
          <w:noProof/>
          <w:szCs w:val="24"/>
        </w:rPr>
      </w:pPr>
      <w:r>
        <w:rPr>
          <w:rFonts w:cs="Times New Roman"/>
          <w:noProof/>
          <w:szCs w:val="24"/>
        </w:rPr>
        <w:t>The Erasmus+ Student Loan Guarantee Facility</w:t>
      </w:r>
      <w:r>
        <w:rPr>
          <w:rStyle w:val="FootnoteReference"/>
          <w:rFonts w:cs="Times New Roman"/>
          <w:noProof/>
          <w:szCs w:val="24"/>
        </w:rPr>
        <w:footnoteReference w:id="96"/>
      </w:r>
      <w:r>
        <w:rPr>
          <w:rFonts w:cs="Times New Roman"/>
          <w:noProof/>
          <w:szCs w:val="24"/>
        </w:rPr>
        <w:t xml:space="preserve"> is an EU-supported loan scheme for transnational studies at master level. The scheme has been developed in the context of the Erasmus+ Programme to facilitate access to finance for postgraduate students (regardless of their social background) to undertake a master degree at a university (or other higher education institution) abroad.</w:t>
      </w:r>
    </w:p>
    <w:p>
      <w:pPr>
        <w:spacing w:after="120" w:line="264" w:lineRule="auto"/>
        <w:rPr>
          <w:rFonts w:cs="Times New Roman"/>
          <w:noProof/>
          <w:szCs w:val="24"/>
        </w:rPr>
      </w:pPr>
      <w:r>
        <w:rPr>
          <w:rFonts w:cs="Times New Roman"/>
          <w:noProof/>
          <w:szCs w:val="24"/>
        </w:rPr>
        <w:t>By means of combined risk sharing at the individual level (90 % first loss guaranteed) and at the portfolio level (max. 18 % of the portfolio guaranteed), the facility limits the Commission's maximum risk exposure to 16.2 %, with a target leverage of 6.2. The individual loans are limited to EUR 12,000 for a one-year Master degree programme or EUR 18,000 for a Master degree of more than one year.</w:t>
      </w:r>
    </w:p>
    <w:p>
      <w:pPr>
        <w:spacing w:after="120" w:line="264" w:lineRule="auto"/>
        <w:rPr>
          <w:rFonts w:cs="Times New Roman"/>
          <w:noProof/>
          <w:szCs w:val="24"/>
        </w:rPr>
      </w:pPr>
      <w:r>
        <w:rPr>
          <w:rFonts w:cs="Times New Roman"/>
          <w:noProof/>
          <w:szCs w:val="24"/>
        </w:rPr>
        <w:t>By now up to EUR 160 million is available to students in Master loans via 6 financial intermediaries established in 6 Erasmus+ Programme Countries (ES, FR, UK, TR, LU &amp; CY), enabled through EUR 26.6 million in 7 EU guarantee agreements. The first Erasmus+-guaranteed Master loans were disbursed in June 2015. By end 2017 357 students have benefited from EUR 4.2 million in EU-guaranteed Master Loans.</w:t>
      </w:r>
    </w:p>
    <w:p>
      <w:pPr>
        <w:spacing w:after="120" w:line="264" w:lineRule="auto"/>
        <w:rPr>
          <w:rFonts w:cs="Times New Roman"/>
          <w:noProof/>
          <w:szCs w:val="24"/>
        </w:rPr>
      </w:pPr>
      <w:r>
        <w:rPr>
          <w:rFonts w:cs="Times New Roman"/>
          <w:noProof/>
          <w:szCs w:val="24"/>
        </w:rPr>
        <w:t>The section below summarises the main conclusions regarding the Student Loan Guarantee Facility from the mid-term evaluation of the Erasmus+ programme (2017):</w:t>
      </w:r>
    </w:p>
    <w:p>
      <w:pPr>
        <w:spacing w:line="264" w:lineRule="auto"/>
        <w:rPr>
          <w:rFonts w:cs="Times New Roman"/>
          <w:b/>
          <w:noProof/>
          <w:szCs w:val="24"/>
        </w:rPr>
      </w:pPr>
      <w:bookmarkStart w:id="9253" w:name="_Toc486606026"/>
      <w:bookmarkStart w:id="9254" w:name="_Toc486550522"/>
      <w:bookmarkStart w:id="9255" w:name="_Toc486550416"/>
      <w:bookmarkStart w:id="9256" w:name="_Toc486549538"/>
      <w:bookmarkStart w:id="9257" w:name="_Toc510517867"/>
      <w:bookmarkEnd w:id="9250"/>
      <w:bookmarkEnd w:id="9251"/>
      <w:bookmarkEnd w:id="9252"/>
      <w:r>
        <w:rPr>
          <w:rFonts w:cs="Times New Roman"/>
          <w:b/>
          <w:noProof/>
          <w:szCs w:val="24"/>
        </w:rPr>
        <w:t>Relevance</w:t>
      </w:r>
      <w:bookmarkEnd w:id="9253"/>
      <w:bookmarkEnd w:id="9254"/>
      <w:bookmarkEnd w:id="9255"/>
      <w:bookmarkEnd w:id="9256"/>
      <w:bookmarkEnd w:id="9257"/>
    </w:p>
    <w:p>
      <w:pPr>
        <w:spacing w:after="60" w:line="264" w:lineRule="auto"/>
        <w:rPr>
          <w:rFonts w:eastAsiaTheme="minorHAnsi" w:cs="Times New Roman"/>
          <w:noProof/>
          <w:szCs w:val="24"/>
        </w:rPr>
      </w:pPr>
      <w:r>
        <w:rPr>
          <w:rFonts w:cs="Times New Roman"/>
          <w:noProof/>
          <w:szCs w:val="24"/>
        </w:rPr>
        <w:t>“</w:t>
      </w:r>
      <w:r>
        <w:rPr>
          <w:rFonts w:cs="Times New Roman"/>
          <w:i/>
          <w:noProof/>
          <w:szCs w:val="24"/>
        </w:rPr>
        <w:t>After some delays in kicking-off the implementation and just two years of active launch of the facility, take-up rates are well below initial expectations. (…)</w:t>
      </w:r>
      <w:r>
        <w:rPr>
          <w:rFonts w:eastAsiaTheme="minorHAnsi" w:cs="Times New Roman"/>
          <w:i/>
          <w:noProof/>
          <w:szCs w:val="24"/>
        </w:rPr>
        <w:t>While the facility addresses a real problem and while there is a case to use Financial Instruments to address this problem, the facility is focused on a segment which has less potential, in terms of volumes, than initially anticipated</w:t>
      </w:r>
      <w:r>
        <w:rPr>
          <w:rFonts w:eastAsiaTheme="minorHAnsi" w:cs="Times New Roman"/>
          <w:noProof/>
          <w:szCs w:val="24"/>
        </w:rPr>
        <w:t>.</w:t>
      </w:r>
      <w:r>
        <w:rPr>
          <w:rFonts w:cs="Times New Roman"/>
          <w:noProof/>
          <w:szCs w:val="24"/>
        </w:rPr>
        <w:t>”</w:t>
      </w:r>
    </w:p>
    <w:p>
      <w:pPr>
        <w:spacing w:after="60" w:line="264" w:lineRule="auto"/>
        <w:rPr>
          <w:rFonts w:eastAsiaTheme="minorHAnsi" w:cs="Times New Roman"/>
          <w:noProof/>
          <w:szCs w:val="24"/>
        </w:rPr>
      </w:pPr>
      <w:r>
        <w:rPr>
          <w:rFonts w:cs="Times New Roman"/>
          <w:noProof/>
          <w:szCs w:val="24"/>
        </w:rPr>
        <w:t>“</w:t>
      </w:r>
      <w:r>
        <w:rPr>
          <w:rFonts w:eastAsiaTheme="minorHAnsi" w:cs="Times New Roman"/>
          <w:i/>
          <w:noProof/>
          <w:szCs w:val="24"/>
        </w:rPr>
        <w:t>Overall the facility has an added value / a gap to fill mostly in Southern, Central and Eastern European countries where a lot remains to be done to achieve full portability. (…) The design of the SLGF, whereby parental guarantee cannot be required by the financial intermediary is a welcome attempt to cover those from lower socio-economic background</w:t>
      </w:r>
      <w:r>
        <w:rPr>
          <w:rFonts w:eastAsiaTheme="minorHAnsi" w:cs="Times New Roman"/>
          <w:noProof/>
          <w:szCs w:val="24"/>
        </w:rPr>
        <w:t>.</w:t>
      </w:r>
      <w:r>
        <w:rPr>
          <w:rFonts w:cs="Times New Roman"/>
          <w:noProof/>
          <w:szCs w:val="24"/>
        </w:rPr>
        <w:t>”</w:t>
      </w:r>
    </w:p>
    <w:p>
      <w:pPr>
        <w:spacing w:after="60" w:line="264" w:lineRule="auto"/>
        <w:rPr>
          <w:rFonts w:eastAsiaTheme="minorHAnsi" w:cs="Times New Roman"/>
          <w:noProof/>
          <w:szCs w:val="24"/>
        </w:rPr>
      </w:pPr>
      <w:r>
        <w:rPr>
          <w:rFonts w:cs="Times New Roman"/>
          <w:noProof/>
          <w:szCs w:val="24"/>
        </w:rPr>
        <w:t>“</w:t>
      </w:r>
      <w:r>
        <w:rPr>
          <w:rFonts w:eastAsiaTheme="minorHAnsi" w:cs="Times New Roman"/>
          <w:i/>
          <w:noProof/>
          <w:szCs w:val="24"/>
        </w:rPr>
        <w:t>First data from Spain tend to indicate on the contrary that the SLGF is as effective as the Erasmus programme in promoting the participation of students from non-academic backgrounds</w:t>
      </w:r>
      <w:r>
        <w:rPr>
          <w:rFonts w:eastAsiaTheme="minorHAnsi" w:cs="Times New Roman"/>
          <w:noProof/>
          <w:szCs w:val="24"/>
        </w:rPr>
        <w:t>.</w:t>
      </w:r>
      <w:r>
        <w:rPr>
          <w:rFonts w:cs="Times New Roman"/>
          <w:noProof/>
          <w:szCs w:val="24"/>
        </w:rPr>
        <w:t>”</w:t>
      </w:r>
    </w:p>
    <w:p>
      <w:pPr>
        <w:spacing w:line="264" w:lineRule="auto"/>
        <w:rPr>
          <w:rFonts w:cs="Times New Roman"/>
          <w:b/>
          <w:noProof/>
          <w:szCs w:val="24"/>
        </w:rPr>
      </w:pPr>
      <w:bookmarkStart w:id="9258" w:name="_Toc486606027"/>
      <w:bookmarkStart w:id="9259" w:name="_Toc486550523"/>
      <w:bookmarkStart w:id="9260" w:name="_Toc486550417"/>
      <w:bookmarkStart w:id="9261" w:name="_Toc486549539"/>
      <w:bookmarkStart w:id="9262" w:name="_Toc510517868"/>
      <w:r>
        <w:rPr>
          <w:rFonts w:cs="Times New Roman"/>
          <w:b/>
          <w:noProof/>
          <w:szCs w:val="24"/>
        </w:rPr>
        <w:t>Coherence</w:t>
      </w:r>
      <w:bookmarkEnd w:id="9258"/>
      <w:bookmarkEnd w:id="9259"/>
      <w:bookmarkEnd w:id="9260"/>
      <w:bookmarkEnd w:id="9261"/>
      <w:bookmarkEnd w:id="9262"/>
    </w:p>
    <w:p>
      <w:pPr>
        <w:spacing w:after="60" w:line="264" w:lineRule="auto"/>
        <w:rPr>
          <w:rFonts w:eastAsiaTheme="minorHAnsi" w:cs="Times New Roman"/>
          <w:noProof/>
          <w:szCs w:val="24"/>
        </w:rPr>
      </w:pPr>
      <w:r>
        <w:rPr>
          <w:rFonts w:cs="Times New Roman"/>
          <w:noProof/>
          <w:szCs w:val="24"/>
        </w:rPr>
        <w:t>“</w:t>
      </w:r>
      <w:r>
        <w:rPr>
          <w:rFonts w:eastAsiaTheme="minorHAnsi" w:cs="Times New Roman"/>
          <w:i/>
          <w:noProof/>
          <w:szCs w:val="24"/>
        </w:rPr>
        <w:t>The SLGF complements the EU toolbox by focusing on the segment of degree mobile students. Synergies with national schemes, whereby the same financial intermediary implements both the national and the EU loan, have been observed only in the case of France. Some national schemes also seem to be attracted by the EFSI for the same purposes than the SLGF – even if it has not (yet) translated itself into actual projects being financed.</w:t>
      </w:r>
      <w:r>
        <w:rPr>
          <w:rFonts w:cs="Times New Roman"/>
          <w:noProof/>
          <w:szCs w:val="24"/>
        </w:rPr>
        <w:t xml:space="preserve"> ”</w:t>
      </w:r>
    </w:p>
    <w:p>
      <w:pPr>
        <w:spacing w:line="264" w:lineRule="auto"/>
        <w:rPr>
          <w:rFonts w:cs="Times New Roman"/>
          <w:b/>
          <w:noProof/>
          <w:szCs w:val="24"/>
        </w:rPr>
      </w:pPr>
      <w:bookmarkStart w:id="9263" w:name="_Toc486606028"/>
      <w:bookmarkStart w:id="9264" w:name="_Toc486550524"/>
      <w:bookmarkStart w:id="9265" w:name="_Toc486550418"/>
      <w:bookmarkStart w:id="9266" w:name="_Toc486549540"/>
      <w:bookmarkStart w:id="9267" w:name="_Toc510517869"/>
      <w:r>
        <w:rPr>
          <w:rFonts w:cs="Times New Roman"/>
          <w:b/>
          <w:noProof/>
          <w:szCs w:val="24"/>
        </w:rPr>
        <w:t>Effectiveness</w:t>
      </w:r>
      <w:bookmarkEnd w:id="9263"/>
      <w:bookmarkEnd w:id="9264"/>
      <w:bookmarkEnd w:id="9265"/>
      <w:bookmarkEnd w:id="9266"/>
      <w:bookmarkEnd w:id="9267"/>
    </w:p>
    <w:p>
      <w:pPr>
        <w:spacing w:after="60" w:line="264" w:lineRule="auto"/>
        <w:rPr>
          <w:rFonts w:cs="Times New Roman"/>
          <w:noProof/>
          <w:szCs w:val="24"/>
        </w:rPr>
      </w:pPr>
      <w:r>
        <w:rPr>
          <w:rFonts w:cs="Times New Roman"/>
          <w:noProof/>
          <w:szCs w:val="24"/>
        </w:rPr>
        <w:t xml:space="preserve"> “</w:t>
      </w:r>
      <w:r>
        <w:rPr>
          <w:rFonts w:cs="Times New Roman"/>
          <w:i/>
          <w:noProof/>
          <w:szCs w:val="24"/>
        </w:rPr>
        <w:t>The scheme has so far not been especially effective at attracting financial intermediaries. Aside from the narrow focus of the facility and some national schemes already covering their market, financial intermediaries note the riskiness of the segment despite the EU guarantee (since it is capped), especially when it comes to incoming students.</w:t>
      </w:r>
      <w:r>
        <w:rPr>
          <w:rFonts w:cs="Times New Roman"/>
          <w:noProof/>
          <w:szCs w:val="24"/>
        </w:rPr>
        <w:t xml:space="preserve"> ”</w:t>
      </w:r>
    </w:p>
    <w:p>
      <w:pPr>
        <w:spacing w:after="60" w:line="264" w:lineRule="auto"/>
        <w:rPr>
          <w:rFonts w:cs="Times New Roman"/>
          <w:noProof/>
          <w:szCs w:val="24"/>
        </w:rPr>
      </w:pPr>
      <w:r>
        <w:rPr>
          <w:rFonts w:cs="Times New Roman"/>
          <w:noProof/>
          <w:szCs w:val="24"/>
        </w:rPr>
        <w:t xml:space="preserve"> “</w:t>
      </w:r>
      <w:r>
        <w:rPr>
          <w:rFonts w:cs="Times New Roman"/>
          <w:i/>
          <w:noProof/>
          <w:szCs w:val="24"/>
        </w:rPr>
        <w:t>In many countries, higher education institutions would not have incentives to act as financial intermediaries (…) because fee levels are low or because they have limited financial autonomy. (…) A lot remains to be done to raise awareness levels all the way throughout the supply chain (among financial intermediaries and students, but also among the multipliers – e.g. universities).</w:t>
      </w:r>
      <w:r>
        <w:rPr>
          <w:rFonts w:cs="Times New Roman"/>
          <w:noProof/>
          <w:szCs w:val="24"/>
        </w:rPr>
        <w:t>”</w:t>
      </w:r>
    </w:p>
    <w:p>
      <w:pPr>
        <w:spacing w:after="60" w:line="264" w:lineRule="auto"/>
        <w:rPr>
          <w:rFonts w:cs="Times New Roman"/>
          <w:noProof/>
          <w:szCs w:val="24"/>
        </w:rPr>
      </w:pPr>
      <w:r>
        <w:rPr>
          <w:rFonts w:cs="Times New Roman"/>
          <w:noProof/>
          <w:szCs w:val="24"/>
        </w:rPr>
        <w:t>“</w:t>
      </w:r>
      <w:r>
        <w:rPr>
          <w:rFonts w:cs="Times New Roman"/>
          <w:i/>
          <w:noProof/>
          <w:szCs w:val="24"/>
        </w:rPr>
        <w:t xml:space="preserve">First final beneficiaries are generally satisfied with the loan, which has been instrumental in triggering their mobility. In total, 70% of the first beneficiaries (n=44) said they would not have been able to study for their Master abroad without the E+ loan. </w:t>
      </w:r>
      <w:r>
        <w:rPr>
          <w:rFonts w:cs="Times New Roman"/>
          <w:noProof/>
          <w:szCs w:val="24"/>
        </w:rPr>
        <w:t>”</w:t>
      </w:r>
    </w:p>
    <w:p>
      <w:pPr>
        <w:spacing w:line="264" w:lineRule="auto"/>
        <w:rPr>
          <w:rFonts w:cs="Times New Roman"/>
          <w:b/>
          <w:noProof/>
          <w:szCs w:val="24"/>
        </w:rPr>
      </w:pPr>
      <w:bookmarkStart w:id="9268" w:name="_Toc486606029"/>
      <w:bookmarkStart w:id="9269" w:name="_Toc486550525"/>
      <w:bookmarkStart w:id="9270" w:name="_Toc486550419"/>
      <w:bookmarkStart w:id="9271" w:name="_Toc486549541"/>
      <w:bookmarkStart w:id="9272" w:name="_Toc510517870"/>
      <w:r>
        <w:rPr>
          <w:rFonts w:cs="Times New Roman"/>
          <w:b/>
          <w:noProof/>
          <w:szCs w:val="24"/>
        </w:rPr>
        <w:t>EU added value</w:t>
      </w:r>
      <w:bookmarkEnd w:id="9268"/>
      <w:bookmarkEnd w:id="9269"/>
      <w:bookmarkEnd w:id="9270"/>
      <w:bookmarkEnd w:id="9271"/>
      <w:bookmarkEnd w:id="9272"/>
    </w:p>
    <w:p>
      <w:pPr>
        <w:spacing w:line="264" w:lineRule="auto"/>
        <w:rPr>
          <w:rFonts w:eastAsiaTheme="minorHAnsi" w:cs="Times New Roman"/>
          <w:noProof/>
          <w:szCs w:val="24"/>
        </w:rPr>
      </w:pPr>
      <w:r>
        <w:rPr>
          <w:rFonts w:cs="Times New Roman"/>
          <w:noProof/>
          <w:szCs w:val="24"/>
        </w:rPr>
        <w:t>“</w:t>
      </w:r>
      <w:r>
        <w:rPr>
          <w:rFonts w:eastAsiaTheme="minorHAnsi" w:cs="Times New Roman"/>
          <w:i/>
          <w:noProof/>
          <w:szCs w:val="24"/>
        </w:rPr>
        <w:t>In countries covered and for the limited number of final beneficiaries concerned, the main EU added value is to lead to reduction in interest rates, the removal of the guarantor/ collateral / resource requirement or the opening of new product lines</w:t>
      </w:r>
      <w:r>
        <w:rPr>
          <w:rFonts w:eastAsiaTheme="minorHAnsi" w:cs="Times New Roman"/>
          <w:noProof/>
          <w:szCs w:val="24"/>
        </w:rPr>
        <w:t>.</w:t>
      </w:r>
      <w:r>
        <w:rPr>
          <w:rFonts w:cs="Times New Roman"/>
          <w:noProof/>
          <w:szCs w:val="24"/>
        </w:rPr>
        <w:t xml:space="preserve"> ”</w:t>
      </w:r>
    </w:p>
    <w:p>
      <w:pPr>
        <w:spacing w:line="264" w:lineRule="auto"/>
        <w:rPr>
          <w:rFonts w:eastAsiaTheme="minorHAnsi" w:cs="Times New Roman"/>
          <w:noProof/>
          <w:szCs w:val="24"/>
        </w:rPr>
      </w:pPr>
      <w:r>
        <w:rPr>
          <w:rFonts w:cs="Times New Roman"/>
          <w:noProof/>
          <w:szCs w:val="24"/>
        </w:rPr>
        <w:t>“</w:t>
      </w:r>
      <w:r>
        <w:rPr>
          <w:rFonts w:eastAsiaTheme="minorHAnsi" w:cs="Times New Roman"/>
          <w:i/>
          <w:noProof/>
          <w:szCs w:val="24"/>
        </w:rPr>
        <w:t>The benefits of the EU guarantee are thus adequately passed on to students when comparing to market rates, even if some beneficiaries did complain about the interest rate.</w:t>
      </w:r>
      <w:r>
        <w:rPr>
          <w:rFonts w:cs="Times New Roman"/>
          <w:noProof/>
          <w:szCs w:val="24"/>
        </w:rPr>
        <w:t>”</w:t>
      </w:r>
    </w:p>
    <w:p>
      <w:pPr>
        <w:spacing w:line="264" w:lineRule="auto"/>
        <w:rPr>
          <w:rFonts w:cs="Times New Roman"/>
          <w:b/>
          <w:noProof/>
          <w:szCs w:val="24"/>
        </w:rPr>
      </w:pPr>
      <w:bookmarkStart w:id="9273" w:name="_Toc486606030"/>
      <w:bookmarkStart w:id="9274" w:name="_Toc486550526"/>
      <w:bookmarkStart w:id="9275" w:name="_Toc486550420"/>
      <w:bookmarkStart w:id="9276" w:name="_Toc486549542"/>
      <w:bookmarkStart w:id="9277" w:name="_Toc510517871"/>
      <w:r>
        <w:rPr>
          <w:rFonts w:cs="Times New Roman"/>
          <w:b/>
          <w:noProof/>
          <w:szCs w:val="24"/>
        </w:rPr>
        <w:t>Efficiency</w:t>
      </w:r>
      <w:bookmarkEnd w:id="9273"/>
      <w:bookmarkEnd w:id="9274"/>
      <w:bookmarkEnd w:id="9275"/>
      <w:bookmarkEnd w:id="9276"/>
      <w:bookmarkEnd w:id="9277"/>
    </w:p>
    <w:p>
      <w:pPr>
        <w:spacing w:line="264" w:lineRule="auto"/>
        <w:rPr>
          <w:rFonts w:eastAsiaTheme="minorHAnsi" w:cs="Times New Roman"/>
          <w:noProof/>
          <w:szCs w:val="24"/>
        </w:rPr>
      </w:pPr>
      <w:r>
        <w:rPr>
          <w:rFonts w:cs="Times New Roman"/>
          <w:noProof/>
          <w:szCs w:val="24"/>
        </w:rPr>
        <w:t>“</w:t>
      </w:r>
      <w:r>
        <w:rPr>
          <w:rFonts w:eastAsiaTheme="minorHAnsi" w:cs="Times New Roman"/>
          <w:i/>
          <w:noProof/>
          <w:szCs w:val="24"/>
        </w:rPr>
        <w:t>The option of creating a financial instrument with a leverage effect of 6.2 minimum is cost-efficient – especially compared with the alternative of directly administering the loans.</w:t>
      </w:r>
      <w:r>
        <w:rPr>
          <w:rFonts w:cs="Times New Roman"/>
          <w:noProof/>
          <w:szCs w:val="24"/>
        </w:rPr>
        <w:t>”</w:t>
      </w:r>
    </w:p>
    <w:p>
      <w:pPr>
        <w:pStyle w:val="Text1"/>
        <w:spacing w:line="264" w:lineRule="auto"/>
        <w:rPr>
          <w:noProof/>
          <w:szCs w:val="24"/>
        </w:rPr>
      </w:pPr>
    </w:p>
    <w:p>
      <w:pPr>
        <w:spacing w:line="264" w:lineRule="auto"/>
        <w:rPr>
          <w:rFonts w:cs="Times New Roman"/>
          <w:noProof/>
          <w:szCs w:val="24"/>
        </w:rPr>
      </w:pPr>
    </w:p>
    <w:p>
      <w:pPr>
        <w:spacing w:after="200" w:line="264" w:lineRule="auto"/>
        <w:jc w:val="left"/>
        <w:rPr>
          <w:rFonts w:cs="Times New Roman"/>
          <w:noProof/>
          <w:szCs w:val="24"/>
        </w:rPr>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418" w:header="601" w:footer="1077" w:gutter="0"/>
          <w:cols w:space="720"/>
          <w:titlePg/>
          <w:docGrid w:linePitch="326"/>
        </w:sectPr>
      </w:pPr>
      <w:r>
        <w:rPr>
          <w:rFonts w:cs="Times New Roman"/>
          <w:noProof/>
          <w:szCs w:val="24"/>
        </w:rPr>
        <w:br w:type="page"/>
      </w:r>
    </w:p>
    <w:p>
      <w:pPr>
        <w:pStyle w:val="Heading1"/>
        <w:numPr>
          <w:ilvl w:val="0"/>
          <w:numId w:val="0"/>
        </w:numPr>
        <w:spacing w:before="0" w:after="120" w:line="264" w:lineRule="auto"/>
        <w:ind w:left="432"/>
        <w:rPr>
          <w:noProof/>
          <w:szCs w:val="24"/>
        </w:rPr>
      </w:pPr>
      <w:bookmarkStart w:id="9278" w:name="_Toc509335808"/>
      <w:bookmarkStart w:id="9279" w:name="_Toc509336751"/>
      <w:bookmarkStart w:id="9280" w:name="_Toc509335810"/>
      <w:bookmarkStart w:id="9281" w:name="_Toc509336753"/>
      <w:bookmarkStart w:id="9282" w:name="_Toc508724949"/>
      <w:bookmarkStart w:id="9283" w:name="_Toc508733492"/>
      <w:bookmarkStart w:id="9284" w:name="_Toc508735125"/>
      <w:bookmarkStart w:id="9285" w:name="_Toc508809748"/>
      <w:bookmarkStart w:id="9286" w:name="_Toc509069283"/>
      <w:bookmarkStart w:id="9287" w:name="_Toc509313302"/>
      <w:bookmarkStart w:id="9288" w:name="_Toc509323909"/>
      <w:bookmarkStart w:id="9289" w:name="_Toc509327525"/>
      <w:bookmarkStart w:id="9290" w:name="_Toc509333067"/>
      <w:bookmarkStart w:id="9291" w:name="_Toc509334738"/>
      <w:bookmarkStart w:id="9292" w:name="_Toc509338035"/>
      <w:bookmarkStart w:id="9293" w:name="_Toc510517872"/>
      <w:bookmarkStart w:id="9294" w:name="_Toc510613015"/>
      <w:bookmarkStart w:id="9295" w:name="_Toc510683731"/>
      <w:bookmarkStart w:id="9296" w:name="_Toc515348902"/>
      <w:bookmarkEnd w:id="9278"/>
      <w:bookmarkEnd w:id="9279"/>
      <w:bookmarkEnd w:id="9280"/>
      <w:bookmarkEnd w:id="9281"/>
      <w:r>
        <w:rPr>
          <w:noProof/>
          <w:szCs w:val="24"/>
        </w:rPr>
        <w:t xml:space="preserve">Annex 4: </w:t>
      </w:r>
      <w:bookmarkEnd w:id="9282"/>
      <w:bookmarkEnd w:id="9283"/>
      <w:bookmarkEnd w:id="9284"/>
      <w:bookmarkEnd w:id="9285"/>
      <w:bookmarkEnd w:id="9286"/>
      <w:bookmarkEnd w:id="9287"/>
      <w:bookmarkEnd w:id="9288"/>
      <w:bookmarkEnd w:id="9289"/>
      <w:bookmarkEnd w:id="9290"/>
      <w:bookmarkEnd w:id="9291"/>
      <w:bookmarkEnd w:id="9292"/>
      <w:r>
        <w:rPr>
          <w:noProof/>
          <w:szCs w:val="24"/>
        </w:rPr>
        <w:t>Scoping papers</w:t>
      </w:r>
      <w:bookmarkEnd w:id="9293"/>
      <w:bookmarkEnd w:id="9294"/>
      <w:bookmarkEnd w:id="9295"/>
      <w:bookmarkEnd w:id="9296"/>
    </w:p>
    <w:p>
      <w:pPr>
        <w:spacing w:after="120" w:line="264" w:lineRule="auto"/>
        <w:rPr>
          <w:rFonts w:eastAsia="Times New Roman" w:cs="Times New Roman"/>
          <w:bCs/>
          <w:noProof/>
          <w:color w:val="000000"/>
          <w:szCs w:val="24"/>
        </w:rPr>
      </w:pPr>
      <w:r>
        <w:rPr>
          <w:rFonts w:eastAsia="Times New Roman" w:cs="Times New Roman"/>
          <w:bCs/>
          <w:noProof/>
          <w:color w:val="000000"/>
          <w:szCs w:val="24"/>
        </w:rPr>
        <w:t xml:space="preserve">This section includes scoping papers for all proposed policy Windows approved by the Financial Instruments Interservice Expert Group. </w:t>
      </w:r>
    </w:p>
    <w:p>
      <w:pPr>
        <w:spacing w:line="264" w:lineRule="auto"/>
        <w:rPr>
          <w:rFonts w:cs="Times New Roman"/>
          <w:b/>
          <w:noProof/>
          <w:szCs w:val="24"/>
          <w:u w:val="single"/>
        </w:rPr>
      </w:pPr>
      <w:r>
        <w:rPr>
          <w:rFonts w:cs="Times New Roman"/>
          <w:b/>
          <w:noProof/>
          <w:szCs w:val="24"/>
          <w:u w:val="single"/>
        </w:rPr>
        <w:t>1. Sustainable Infrastructure Window</w:t>
      </w:r>
    </w:p>
    <w:p>
      <w:pPr>
        <w:pStyle w:val="Text2"/>
        <w:numPr>
          <w:ilvl w:val="0"/>
          <w:numId w:val="49"/>
        </w:numPr>
        <w:spacing w:before="240" w:line="264" w:lineRule="auto"/>
        <w:rPr>
          <w:b/>
          <w:noProof/>
          <w:szCs w:val="24"/>
        </w:rPr>
      </w:pPr>
      <w:r>
        <w:rPr>
          <w:b/>
          <w:noProof/>
          <w:szCs w:val="24"/>
        </w:rPr>
        <w:t>Policy Drivers, Scope and Context</w:t>
      </w:r>
    </w:p>
    <w:p>
      <w:pPr>
        <w:pStyle w:val="Text2"/>
        <w:spacing w:after="120" w:line="264" w:lineRule="auto"/>
        <w:ind w:left="0"/>
        <w:rPr>
          <w:b/>
          <w:noProof/>
          <w:szCs w:val="24"/>
        </w:rPr>
      </w:pPr>
      <w:r>
        <w:rPr>
          <w:bCs/>
          <w:noProof/>
          <w:szCs w:val="24"/>
        </w:rPr>
        <w:t>Sustainable investment in infrastructure</w:t>
      </w:r>
      <w:r>
        <w:rPr>
          <w:bCs/>
          <w:noProof/>
          <w:szCs w:val="24"/>
          <w:vertAlign w:val="superscript"/>
        </w:rPr>
        <w:footnoteReference w:id="97"/>
      </w:r>
      <w:r>
        <w:rPr>
          <w:bCs/>
          <w:noProof/>
          <w:szCs w:val="24"/>
        </w:rPr>
        <w:t xml:space="preserve"> will be fundamental in order to fulfil the UN Agenda 2030 and its SDG and the subsequent objectives of the Paris Agreement adopted by the EU and the rest of the world in 2015, and as such will have to be well-reflected in and supported by the EU's main centrally managed fund. These commitments link directly with the sustainability policies and targets set out in the EU, including the 2030 Climate and Energy Framework.</w:t>
      </w:r>
      <w:r>
        <w:rPr>
          <w:bCs/>
          <w:noProof/>
          <w:szCs w:val="24"/>
          <w:vertAlign w:val="superscript"/>
        </w:rPr>
        <w:footnoteReference w:id="98"/>
      </w:r>
      <w:r>
        <w:rPr>
          <w:bCs/>
          <w:noProof/>
          <w:szCs w:val="24"/>
        </w:rPr>
        <w:t xml:space="preserve"> To that end, EU will have to draw on its policy framework embedded within the ETS, the Effort Sharing Regulation, the Clean Energy for All Europeans Package, the Clean Mobility package, the EU environmental acquis and the recently adopted framework on the Circular Economy, Clean Air, and Nature, as well as the EU financial framework</w:t>
      </w:r>
      <w:r>
        <w:rPr>
          <w:bCs/>
          <w:noProof/>
          <w:szCs w:val="24"/>
          <w:vertAlign w:val="superscript"/>
        </w:rPr>
        <w:footnoteReference w:id="99"/>
      </w:r>
      <w:r>
        <w:rPr>
          <w:bCs/>
          <w:noProof/>
          <w:szCs w:val="24"/>
        </w:rPr>
        <w:t>.</w:t>
      </w:r>
    </w:p>
    <w:p>
      <w:pPr>
        <w:pStyle w:val="Text2"/>
        <w:spacing w:after="120" w:line="264" w:lineRule="auto"/>
        <w:ind w:left="0"/>
        <w:rPr>
          <w:b/>
          <w:noProof/>
          <w:szCs w:val="24"/>
        </w:rPr>
      </w:pPr>
      <w:r>
        <w:rPr>
          <w:bCs/>
          <w:noProof/>
          <w:szCs w:val="24"/>
        </w:rPr>
        <w:t>Contributing to these objectives is targeted implementation of trans-European networks (TENs) and the Gigabit Society Strategy in the sectors of transport, energy and telecommunications, which set out EU's long-term policy objectives to connect Europe in a sustainable and innovative manner. Focus on environmentally friendly, intelligent infrastructure, modes and systems as well as alternative fuel deployment is expected to stimulate EU-wide markets and contribute decisively to facilitating the EU's transition to low-emission economy.</w:t>
      </w:r>
    </w:p>
    <w:p>
      <w:pPr>
        <w:pStyle w:val="Text2"/>
        <w:spacing w:after="120" w:line="264" w:lineRule="auto"/>
        <w:ind w:left="0"/>
        <w:rPr>
          <w:bCs/>
          <w:noProof/>
          <w:szCs w:val="24"/>
        </w:rPr>
      </w:pPr>
      <w:r>
        <w:rPr>
          <w:bCs/>
          <w:noProof/>
          <w:szCs w:val="24"/>
        </w:rPr>
        <w:t>Sizeable investment needs in EU infrastructure will be required to meet the EU's sustainability targets. These include those embedded in the UN Agenda 2030 and its SDGs as well as the Paris Agreement and related EU targets such as the 2030 relating to energy and climate, air pollution, nature</w:t>
      </w:r>
      <w:r>
        <w:rPr>
          <w:bCs/>
          <w:noProof/>
          <w:szCs w:val="24"/>
          <w:vertAlign w:val="superscript"/>
        </w:rPr>
        <w:footnoteReference w:id="100"/>
      </w:r>
      <w:r>
        <w:rPr>
          <w:bCs/>
          <w:noProof/>
          <w:szCs w:val="24"/>
        </w:rPr>
        <w:t>, and the circular economy as well as related TEN policy objectives. T</w:t>
      </w:r>
      <w:r>
        <w:rPr>
          <w:noProof/>
          <w:szCs w:val="24"/>
        </w:rPr>
        <w:t>o reach the EU's 2030 energy and climate targets, EUR 379 billion of average annual investment will be needed between 2021 and 2030, mostly in energy efficiency, renewable energy sources, and infrastructure – excluding transport infrastructure and recharging infrastructure.</w:t>
      </w:r>
      <w:r>
        <w:rPr>
          <w:bCs/>
          <w:noProof/>
          <w:szCs w:val="24"/>
        </w:rPr>
        <w:t xml:space="preserve"> Circa EUR 500 billion will be necessitated to complete TEN-T core network</w:t>
      </w:r>
      <w:r>
        <w:rPr>
          <w:bCs/>
          <w:noProof/>
          <w:szCs w:val="24"/>
          <w:vertAlign w:val="superscript"/>
        </w:rPr>
        <w:footnoteReference w:id="101"/>
      </w:r>
      <w:r>
        <w:rPr>
          <w:bCs/>
          <w:noProof/>
          <w:szCs w:val="24"/>
        </w:rPr>
        <w:t xml:space="preserve"> over 2021-30 and up to EUR 1.5 trillion if TEN-T comprehensive network and other transport investments are included. In the field of telecommunications, </w:t>
      </w:r>
      <w:r>
        <w:rPr>
          <w:noProof/>
          <w:szCs w:val="24"/>
        </w:rPr>
        <w:t>an investment gap is in the order of EUR 70 billion in the areas of cross-border networks, but also rural, middle and low income isolated areas across the EU.</w:t>
      </w:r>
      <w:r>
        <w:rPr>
          <w:rStyle w:val="FootnoteReference"/>
          <w:noProof/>
          <w:szCs w:val="24"/>
        </w:rPr>
        <w:footnoteReference w:id="102"/>
      </w:r>
      <w:r>
        <w:rPr>
          <w:noProof/>
          <w:szCs w:val="24"/>
        </w:rPr>
        <w:t xml:space="preserve"> </w:t>
      </w:r>
      <w:r>
        <w:rPr>
          <w:bCs/>
          <w:noProof/>
          <w:color w:val="000000"/>
          <w:szCs w:val="24"/>
        </w:rPr>
        <w:t>These include investments that can enable important reductions CO2 as well as other priority air pollutants</w:t>
      </w:r>
      <w:r>
        <w:rPr>
          <w:rStyle w:val="FootnoteReference"/>
          <w:bCs/>
          <w:noProof/>
          <w:color w:val="000000"/>
          <w:szCs w:val="24"/>
        </w:rPr>
        <w:footnoteReference w:id="103"/>
      </w:r>
      <w:r>
        <w:rPr>
          <w:bCs/>
          <w:noProof/>
          <w:color w:val="000000"/>
          <w:szCs w:val="24"/>
        </w:rPr>
        <w:t xml:space="preserve">, and/or provide alternatives for infrastructure with large impacts on natural capital. </w:t>
      </w:r>
      <w:r>
        <w:rPr>
          <w:bCs/>
          <w:noProof/>
          <w:szCs w:val="24"/>
        </w:rPr>
        <w:t>Approximately EUR 22 billion investment are required to achieve the objectives stated in the EU Urban Waste Water Directive according to the information gathered under the last </w:t>
      </w:r>
      <w:hyperlink r:id="rId105" w:history="1">
        <w:r>
          <w:rPr>
            <w:bCs/>
            <w:noProof/>
            <w:szCs w:val="24"/>
          </w:rPr>
          <w:t>article 17</w:t>
        </w:r>
      </w:hyperlink>
      <w:r>
        <w:rPr>
          <w:bCs/>
          <w:noProof/>
          <w:szCs w:val="24"/>
        </w:rPr>
        <w:t> Report from EU Member States forecasts. Forecasts include an approximate distribution of the investment needs as reported by the Member States. Investments are forecasted also increasingly relate to the renewal, improvement and extension of the existing infrastructure. The total EU yearly investments in waste water infrastructure (in general) are expected to reach EUR 25 billion per year between 2015 and 2018.</w:t>
      </w:r>
    </w:p>
    <w:p>
      <w:pPr>
        <w:tabs>
          <w:tab w:val="left" w:pos="426"/>
        </w:tabs>
        <w:spacing w:after="120" w:line="264" w:lineRule="auto"/>
        <w:rPr>
          <w:rFonts w:eastAsia="Times New Roman" w:cs="Times New Roman"/>
          <w:bCs/>
          <w:noProof/>
          <w:color w:val="000000"/>
          <w:szCs w:val="24"/>
        </w:rPr>
      </w:pPr>
      <w:r>
        <w:rPr>
          <w:rFonts w:eastAsia="Times New Roman" w:cs="Times New Roman"/>
          <w:bCs/>
          <w:noProof/>
          <w:color w:val="000000"/>
          <w:szCs w:val="24"/>
        </w:rPr>
        <w:t>The European space industry is facing tougher global competition. Space activities are increasingly open to private investment in the areas of satellite communications, earth observation and even launchers. Space is now part of a global value chain that increasingly attracts new companies and entrepreneurs, so-called 'New Space', which are pushing the traditional boundaries in the space sector. This opens up new opportunities to develop innovative products, services and processes which can benefit industry in all Member States, creating new capacities and adding value in and outside the space sector. In this context, Europe needs to act now to maintain and further strengthen its world-class capacity in space value chain and to optimise the benefits that space brings to society and the wider EU economy.</w:t>
      </w:r>
    </w:p>
    <w:p>
      <w:pPr>
        <w:tabs>
          <w:tab w:val="left" w:pos="426"/>
        </w:tabs>
        <w:spacing w:after="120" w:line="264" w:lineRule="auto"/>
        <w:contextualSpacing/>
        <w:rPr>
          <w:rFonts w:eastAsia="Times New Roman" w:cs="Times New Roman"/>
          <w:bCs/>
          <w:noProof/>
          <w:color w:val="000000"/>
          <w:szCs w:val="24"/>
        </w:rPr>
      </w:pPr>
      <w:r>
        <w:rPr>
          <w:rFonts w:eastAsia="Times New Roman" w:cs="Times New Roman"/>
          <w:bCs/>
          <w:noProof/>
          <w:color w:val="000000"/>
          <w:szCs w:val="24"/>
        </w:rPr>
        <w:t>Low infrastructure investment rates in the EU during the financial crisis undermined the EU's ability to boost sustainable growth and competitiveness</w:t>
      </w:r>
      <w:r>
        <w:rPr>
          <w:rStyle w:val="FootnoteReference"/>
          <w:rFonts w:eastAsia="Times New Roman" w:cs="Times New Roman"/>
          <w:bCs/>
          <w:noProof/>
          <w:color w:val="000000"/>
          <w:szCs w:val="24"/>
        </w:rPr>
        <w:footnoteReference w:id="104"/>
      </w:r>
      <w:r>
        <w:rPr>
          <w:rFonts w:eastAsia="Times New Roman" w:cs="Times New Roman"/>
          <w:bCs/>
          <w:noProof/>
          <w:color w:val="000000"/>
          <w:szCs w:val="24"/>
        </w:rPr>
        <w:t>. This was also caused by a reduction in investment by the governments</w:t>
      </w:r>
      <w:r>
        <w:rPr>
          <w:rStyle w:val="FootnoteReference"/>
          <w:rFonts w:eastAsia="Times New Roman" w:cs="Times New Roman"/>
          <w:bCs/>
          <w:noProof/>
          <w:color w:val="000000"/>
          <w:szCs w:val="24"/>
        </w:rPr>
        <w:footnoteReference w:id="105"/>
      </w:r>
      <w:r>
        <w:rPr>
          <w:rFonts w:eastAsia="Times New Roman" w:cs="Times New Roman"/>
          <w:bCs/>
          <w:noProof/>
          <w:color w:val="000000"/>
          <w:szCs w:val="24"/>
        </w:rPr>
        <w:t>. Differences with regard to infrastructure investment across Member States further undermine European cohesion; a problem partially addressed by ESI Funds. Additional complicating factors affect investment from environmental, maritime and climate policy perspectives, related inter alia to the failure to reflect environmental costs or value in market prices, thus making sustainable investment less attractive notably in terms of risk vs short-term gains, market fragmentation for environmental (public) goods and related commodities, risk avoidance and/or lack of knowledge of investors in certain areas such as the blue economy, poor or no access to adequate combined environmental and financial structuring expertise and/or SPVs that can enhance the attractiveness of sustainable infrastructure pipeline and make it more suitable for commercial investors' uptake</w:t>
      </w:r>
      <w:r>
        <w:rPr>
          <w:rStyle w:val="FootnoteReference"/>
          <w:rFonts w:eastAsia="Times New Roman" w:cs="Times New Roman"/>
          <w:bCs/>
          <w:noProof/>
          <w:color w:val="000000"/>
          <w:szCs w:val="24"/>
        </w:rPr>
        <w:footnoteReference w:id="106"/>
      </w:r>
      <w:r>
        <w:rPr>
          <w:rFonts w:eastAsia="Times New Roman" w:cs="Times New Roman"/>
          <w:bCs/>
          <w:noProof/>
          <w:color w:val="000000"/>
          <w:szCs w:val="24"/>
        </w:rPr>
        <w:t xml:space="preserve">. </w:t>
      </w:r>
    </w:p>
    <w:p>
      <w:pPr>
        <w:pStyle w:val="Text2"/>
        <w:spacing w:after="120" w:line="264" w:lineRule="auto"/>
        <w:ind w:left="0"/>
        <w:rPr>
          <w:noProof/>
          <w:szCs w:val="24"/>
        </w:rPr>
      </w:pPr>
      <w:r>
        <w:rPr>
          <w:noProof/>
          <w:szCs w:val="24"/>
        </w:rPr>
        <w:t xml:space="preserve">Against this backdrop, the InvestEU Fund must fully reflect the policy priorities to reach the EU’s targets. Thus, investments should comply with the Paris Agreement and complementary to EU objectives and deliver high EU-added value rather than solely a high investment volume. The investment focus should also allow a certain degree of flexibility to react to new investment needs that are today not yet visible. </w:t>
      </w:r>
    </w:p>
    <w:p>
      <w:pPr>
        <w:pStyle w:val="Text2"/>
        <w:numPr>
          <w:ilvl w:val="0"/>
          <w:numId w:val="49"/>
        </w:numPr>
        <w:spacing w:before="240" w:line="264" w:lineRule="auto"/>
        <w:rPr>
          <w:b/>
          <w:noProof/>
          <w:szCs w:val="24"/>
        </w:rPr>
      </w:pPr>
      <w:r>
        <w:rPr>
          <w:b/>
          <w:noProof/>
          <w:szCs w:val="24"/>
        </w:rPr>
        <w:t>Rationale for an EU level investment instrument; is subsidiarity respected?</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Challenges and drivers justifying EU level support (including financial instruments) in EU infrastructure can vary significantly depending on the sectors or areas under consideration. Common challenges and drivers in light of subsidiarity are:</w:t>
      </w:r>
    </w:p>
    <w:p>
      <w:pPr>
        <w:pStyle w:val="ListParagraph"/>
        <w:numPr>
          <w:ilvl w:val="0"/>
          <w:numId w:val="28"/>
        </w:numPr>
        <w:spacing w:after="200" w:line="264" w:lineRule="auto"/>
        <w:rPr>
          <w:rFonts w:cs="Times New Roman"/>
          <w:noProof/>
          <w:szCs w:val="24"/>
        </w:rPr>
      </w:pPr>
      <w:r>
        <w:rPr>
          <w:rFonts w:cs="Times New Roman"/>
          <w:noProof/>
          <w:szCs w:val="24"/>
        </w:rPr>
        <w:t>policy targets (particularly in the case of the energy sector) are defined in a collective manner on European scale instead of national binding targets;</w:t>
      </w:r>
    </w:p>
    <w:p>
      <w:pPr>
        <w:pStyle w:val="ListParagraph"/>
        <w:numPr>
          <w:ilvl w:val="0"/>
          <w:numId w:val="28"/>
        </w:numPr>
        <w:spacing w:after="200" w:line="264" w:lineRule="auto"/>
        <w:rPr>
          <w:rFonts w:cs="Times New Roman"/>
          <w:noProof/>
          <w:szCs w:val="24"/>
        </w:rPr>
      </w:pPr>
      <w:r>
        <w:rPr>
          <w:rFonts w:cs="Times New Roman"/>
          <w:noProof/>
          <w:szCs w:val="24"/>
        </w:rPr>
        <w:t>costs occur at national/local level while benefits are realised transboundary / EU scale;</w:t>
      </w:r>
    </w:p>
    <w:p>
      <w:pPr>
        <w:pStyle w:val="ListParagraph"/>
        <w:numPr>
          <w:ilvl w:val="0"/>
          <w:numId w:val="28"/>
        </w:numPr>
        <w:spacing w:after="200" w:line="264" w:lineRule="auto"/>
        <w:rPr>
          <w:rFonts w:cs="Times New Roman"/>
          <w:noProof/>
          <w:szCs w:val="24"/>
        </w:rPr>
      </w:pPr>
      <w:r>
        <w:rPr>
          <w:rFonts w:cs="Times New Roman"/>
          <w:noProof/>
          <w:szCs w:val="24"/>
        </w:rPr>
        <w:t>costs and benefits of projects involving several Member States are asymmetrically distributed among them, coordination failures;</w:t>
      </w:r>
    </w:p>
    <w:p>
      <w:pPr>
        <w:pStyle w:val="ListParagraph"/>
        <w:numPr>
          <w:ilvl w:val="0"/>
          <w:numId w:val="28"/>
        </w:numPr>
        <w:spacing w:after="200" w:line="264" w:lineRule="auto"/>
        <w:rPr>
          <w:rFonts w:cs="Times New Roman"/>
          <w:noProof/>
          <w:szCs w:val="24"/>
        </w:rPr>
      </w:pPr>
      <w:r>
        <w:rPr>
          <w:rFonts w:cs="Times New Roman"/>
          <w:noProof/>
          <w:szCs w:val="24"/>
        </w:rPr>
        <w:t>network infrastructures serve as a 'public good' for the entire energy and transport system and are a key enabler for e.g. higher levels of renewables, efficiency and demand response, and e-mobility.</w:t>
      </w:r>
    </w:p>
    <w:p>
      <w:pPr>
        <w:pStyle w:val="ListParagraph"/>
        <w:numPr>
          <w:ilvl w:val="0"/>
          <w:numId w:val="28"/>
        </w:numPr>
        <w:spacing w:after="200" w:line="264" w:lineRule="auto"/>
        <w:rPr>
          <w:rFonts w:cs="Times New Roman"/>
          <w:noProof/>
          <w:szCs w:val="24"/>
        </w:rPr>
      </w:pPr>
      <w:r>
        <w:rPr>
          <w:rFonts w:cs="Times New Roman"/>
          <w:noProof/>
          <w:szCs w:val="24"/>
        </w:rPr>
        <w:t>benefits are dependent on other investments in the supply / value chain or network and/or entail a high first mover risk;</w:t>
      </w:r>
    </w:p>
    <w:p>
      <w:pPr>
        <w:pStyle w:val="ListParagraph"/>
        <w:numPr>
          <w:ilvl w:val="0"/>
          <w:numId w:val="28"/>
        </w:numPr>
        <w:spacing w:after="200" w:line="264" w:lineRule="auto"/>
        <w:rPr>
          <w:rFonts w:cs="Times New Roman"/>
          <w:noProof/>
          <w:szCs w:val="24"/>
        </w:rPr>
      </w:pPr>
      <w:r>
        <w:rPr>
          <w:rFonts w:cs="Times New Roman"/>
          <w:noProof/>
          <w:szCs w:val="24"/>
        </w:rPr>
        <w:t>environmental and socio-economic costs and benefits are not (sufficiently) internalised due for example to pricing related market failures and/or poorly designed or conflicting policy frameworks (for instance simultaneously subsidizing green and grey or brown activities, contribution to modal shift, air quality improvements, long term biodiversity benefits, GHG emissions reductions</w:t>
      </w:r>
      <w:r>
        <w:rPr>
          <w:rFonts w:cs="Times New Roman"/>
          <w:noProof/>
          <w:szCs w:val="24"/>
          <w:vertAlign w:val="superscript"/>
        </w:rPr>
        <w:footnoteReference w:id="107"/>
      </w:r>
      <w:r>
        <w:rPr>
          <w:rFonts w:cs="Times New Roman"/>
          <w:noProof/>
          <w:szCs w:val="24"/>
        </w:rPr>
        <w:t>);</w:t>
      </w:r>
    </w:p>
    <w:p>
      <w:pPr>
        <w:pStyle w:val="ListParagraph"/>
        <w:numPr>
          <w:ilvl w:val="0"/>
          <w:numId w:val="28"/>
        </w:numPr>
        <w:spacing w:after="200" w:line="264" w:lineRule="auto"/>
        <w:rPr>
          <w:rFonts w:cs="Times New Roman"/>
          <w:noProof/>
          <w:szCs w:val="24"/>
        </w:rPr>
      </w:pPr>
      <w:r>
        <w:rPr>
          <w:rFonts w:cs="Times New Roman"/>
          <w:noProof/>
          <w:szCs w:val="24"/>
        </w:rPr>
        <w:t>lack of interoperability in cross-border services and similar obstacles preventing enhanced cross-border co-operation to solve transboundary (environmental) problems;</w:t>
      </w:r>
    </w:p>
    <w:p>
      <w:pPr>
        <w:pStyle w:val="ListParagraph"/>
        <w:numPr>
          <w:ilvl w:val="0"/>
          <w:numId w:val="28"/>
        </w:numPr>
        <w:spacing w:after="200" w:line="264" w:lineRule="auto"/>
        <w:rPr>
          <w:rFonts w:cs="Times New Roman"/>
          <w:noProof/>
          <w:szCs w:val="24"/>
        </w:rPr>
      </w:pPr>
      <w:r>
        <w:rPr>
          <w:rFonts w:cs="Times New Roman"/>
          <w:noProof/>
          <w:szCs w:val="24"/>
        </w:rPr>
        <w:t xml:space="preserve">incomplete internal markets where differing national regulatory regimes and regulatory risk still create barriers to market-based funding, market entry, weaken enforcement of environmental standards leading to free riding, etc. </w:t>
      </w:r>
    </w:p>
    <w:p>
      <w:pPr>
        <w:pStyle w:val="ListParagraph"/>
        <w:numPr>
          <w:ilvl w:val="0"/>
          <w:numId w:val="28"/>
        </w:numPr>
        <w:spacing w:after="200" w:line="264" w:lineRule="auto"/>
        <w:rPr>
          <w:rFonts w:cs="Times New Roman"/>
          <w:noProof/>
          <w:szCs w:val="24"/>
        </w:rPr>
      </w:pPr>
      <w:r>
        <w:rPr>
          <w:rFonts w:cs="Times New Roman"/>
          <w:noProof/>
          <w:szCs w:val="24"/>
        </w:rPr>
        <w:t>market size: individual countries may lack sufficient scale to be attractive to private operators, and others are so large that regional fragmentation becomes an issue;</w:t>
      </w:r>
    </w:p>
    <w:p>
      <w:pPr>
        <w:pStyle w:val="ListParagraph"/>
        <w:numPr>
          <w:ilvl w:val="0"/>
          <w:numId w:val="28"/>
        </w:numPr>
        <w:spacing w:after="200" w:line="264" w:lineRule="auto"/>
        <w:rPr>
          <w:rFonts w:cs="Times New Roman"/>
          <w:noProof/>
          <w:szCs w:val="24"/>
        </w:rPr>
      </w:pPr>
      <w:r>
        <w:rPr>
          <w:rFonts w:cs="Times New Roman"/>
          <w:noProof/>
          <w:szCs w:val="24"/>
        </w:rPr>
        <w:t>sub-optimal technical assistance and project development capacity preventing investment in sustainable infrastructure: "Sustainability infrastructure is a new development area and support is needed to transfer lessons from one member state to another, as well as to advise member states and local authorities on how best to develop projects in this space"</w:t>
      </w:r>
      <w:r>
        <w:rPr>
          <w:rFonts w:cs="Times New Roman"/>
          <w:noProof/>
          <w:szCs w:val="24"/>
          <w:vertAlign w:val="superscript"/>
        </w:rPr>
        <w:footnoteReference w:id="108"/>
      </w:r>
    </w:p>
    <w:p>
      <w:pPr>
        <w:pStyle w:val="ListParagraph"/>
        <w:numPr>
          <w:ilvl w:val="0"/>
          <w:numId w:val="28"/>
        </w:numPr>
        <w:spacing w:after="200" w:line="264" w:lineRule="auto"/>
        <w:rPr>
          <w:rFonts w:cs="Times New Roman"/>
          <w:noProof/>
          <w:szCs w:val="24"/>
        </w:rPr>
      </w:pPr>
      <w:r>
        <w:rPr>
          <w:rFonts w:cs="Times New Roman"/>
          <w:noProof/>
          <w:szCs w:val="24"/>
        </w:rPr>
        <w:t>the value of some services is proportional to the number of users, thus it is necessary to achieve a critical mass before having the possibility to attract private operators</w:t>
      </w:r>
    </w:p>
    <w:p>
      <w:pPr>
        <w:spacing w:after="120" w:line="264" w:lineRule="auto"/>
        <w:rPr>
          <w:rFonts w:eastAsia="Times New Roman" w:cs="Times New Roman"/>
          <w:b/>
          <w:bCs/>
          <w:noProof/>
          <w:color w:val="000000"/>
          <w:szCs w:val="24"/>
        </w:rPr>
      </w:pPr>
    </w:p>
    <w:p>
      <w:pPr>
        <w:spacing w:after="120" w:line="264" w:lineRule="auto"/>
        <w:rPr>
          <w:rFonts w:eastAsia="Times New Roman" w:cs="Times New Roman"/>
          <w:b/>
          <w:bCs/>
          <w:noProof/>
          <w:color w:val="000000"/>
          <w:szCs w:val="24"/>
        </w:rPr>
      </w:pPr>
      <w:r>
        <w:rPr>
          <w:rFonts w:eastAsia="Times New Roman" w:cs="Times New Roman"/>
          <w:b/>
          <w:bCs/>
          <w:noProof/>
          <w:color w:val="000000"/>
          <w:szCs w:val="24"/>
        </w:rPr>
        <w:t>Articulation between EU programmes and EIB overall support</w:t>
      </w:r>
    </w:p>
    <w:p>
      <w:pPr>
        <w:spacing w:before="240" w:after="0" w:line="264" w:lineRule="auto"/>
        <w:rPr>
          <w:rFonts w:eastAsia="Times New Roman" w:cs="Times New Roman"/>
          <w:noProof/>
          <w:color w:val="000000"/>
          <w:szCs w:val="24"/>
        </w:rPr>
      </w:pPr>
      <w:r>
        <w:rPr>
          <w:rFonts w:eastAsia="Times New Roman" w:cs="Times New Roman"/>
          <w:bCs/>
          <w:noProof/>
          <w:color w:val="000000"/>
          <w:szCs w:val="24"/>
        </w:rPr>
        <w:t xml:space="preserve">The </w:t>
      </w:r>
      <w:r>
        <w:rPr>
          <w:rFonts w:eastAsia="Times New Roman" w:cs="Times New Roman"/>
          <w:bCs/>
          <w:i/>
          <w:noProof/>
          <w:color w:val="000000"/>
          <w:szCs w:val="24"/>
        </w:rPr>
        <w:t>overall</w:t>
      </w:r>
      <w:r>
        <w:rPr>
          <w:rFonts w:eastAsia="Times New Roman" w:cs="Times New Roman"/>
          <w:bCs/>
          <w:noProof/>
          <w:color w:val="000000"/>
          <w:szCs w:val="24"/>
        </w:rPr>
        <w:t xml:space="preserve"> lending by the EIB, including EFSI, 2013-2017, has been stable at around EUR 70 billion per year</w:t>
      </w:r>
      <w:r>
        <w:rPr>
          <w:rFonts w:eastAsia="Times New Roman" w:cs="Times New Roman"/>
          <w:bCs/>
          <w:noProof/>
          <w:color w:val="000000"/>
          <w:szCs w:val="24"/>
          <w:vertAlign w:val="superscript"/>
        </w:rPr>
        <w:footnoteReference w:id="109"/>
      </w:r>
      <w:r>
        <w:rPr>
          <w:rFonts w:eastAsia="Times New Roman" w:cs="Times New Roman"/>
          <w:bCs/>
          <w:noProof/>
          <w:color w:val="000000"/>
          <w:szCs w:val="24"/>
        </w:rPr>
        <w:t>. However infrastructure and environment EIB lending was less than half this (EUR 30billion in 2015) and has been declining.</w:t>
      </w:r>
      <w:r>
        <w:rPr>
          <w:rFonts w:eastAsia="Times New Roman" w:cs="Times New Roman"/>
          <w:bCs/>
          <w:noProof/>
          <w:color w:val="000000"/>
          <w:szCs w:val="24"/>
          <w:vertAlign w:val="superscript"/>
        </w:rPr>
        <w:footnoteReference w:id="110"/>
      </w:r>
      <w:r>
        <w:rPr>
          <w:rFonts w:eastAsia="Times New Roman" w:cs="Times New Roman"/>
          <w:bCs/>
          <w:noProof/>
          <w:color w:val="000000"/>
          <w:szCs w:val="24"/>
        </w:rPr>
        <w:t xml:space="preserve"> In the same period, a substantial contribution in the form of grants from EU programmes, including in the frameworks of the CEF, ESIF, and LIFE</w:t>
      </w:r>
      <w:r>
        <w:rPr>
          <w:rFonts w:eastAsia="Times New Roman" w:cs="Times New Roman"/>
          <w:bCs/>
          <w:noProof/>
          <w:color w:val="000000"/>
          <w:szCs w:val="24"/>
          <w:vertAlign w:val="superscript"/>
        </w:rPr>
        <w:footnoteReference w:id="111"/>
      </w:r>
      <w:r>
        <w:rPr>
          <w:rFonts w:eastAsia="Times New Roman" w:cs="Times New Roman"/>
          <w:bCs/>
          <w:noProof/>
          <w:color w:val="000000"/>
          <w:szCs w:val="24"/>
        </w:rPr>
        <w:t>, will contribute to increase the level of investment in infrastructure in the current MFF albeit the share of environmentally sustainable spending remains (very) low here too.</w:t>
      </w:r>
      <w:r>
        <w:rPr>
          <w:rStyle w:val="FootnoteReference"/>
          <w:rFonts w:eastAsia="Times New Roman" w:cs="Times New Roman"/>
          <w:bCs/>
          <w:noProof/>
          <w:color w:val="000000"/>
          <w:szCs w:val="24"/>
        </w:rPr>
        <w:footnoteReference w:id="112"/>
      </w:r>
      <w:r>
        <w:rPr>
          <w:rFonts w:eastAsia="Times New Roman" w:cs="Times New Roman"/>
          <w:bCs/>
          <w:noProof/>
          <w:color w:val="000000"/>
          <w:szCs w:val="24"/>
        </w:rPr>
        <w:t xml:space="preserve"> In a span </w:t>
      </w:r>
      <w:r>
        <w:rPr>
          <w:rFonts w:eastAsia="Times New Roman" w:cs="Times New Roman"/>
          <w:noProof/>
          <w:color w:val="000000"/>
          <w:szCs w:val="24"/>
        </w:rPr>
        <w:t>of 4 years under direct management the CEF</w:t>
      </w:r>
      <w:r>
        <w:rPr>
          <w:rStyle w:val="FootnoteReference"/>
          <w:rFonts w:eastAsia="Times New Roman" w:cs="Times New Roman"/>
          <w:noProof/>
          <w:color w:val="000000"/>
          <w:szCs w:val="24"/>
        </w:rPr>
        <w:footnoteReference w:id="113"/>
      </w:r>
      <w:r>
        <w:rPr>
          <w:rFonts w:eastAsia="Times New Roman" w:cs="Times New Roman"/>
          <w:noProof/>
          <w:color w:val="000000"/>
          <w:szCs w:val="24"/>
        </w:rPr>
        <w:t xml:space="preserve"> has committed around EUR 24 billion to mobilise over EUR 50 billion of investment out of which over 10% through blending, in sustainable infrastructure and core trans-European networks (TENs).</w:t>
      </w:r>
    </w:p>
    <w:p>
      <w:pPr>
        <w:spacing w:before="240" w:after="0" w:line="264" w:lineRule="auto"/>
        <w:rPr>
          <w:rFonts w:eastAsia="Times New Roman" w:cs="Times New Roman"/>
          <w:noProof/>
          <w:color w:val="000000"/>
          <w:szCs w:val="24"/>
        </w:rPr>
      </w:pPr>
    </w:p>
    <w:p>
      <w:pPr>
        <w:spacing w:after="120" w:line="264" w:lineRule="auto"/>
        <w:rPr>
          <w:rFonts w:eastAsia="Times New Roman" w:cs="Times New Roman"/>
          <w:b/>
          <w:bCs/>
          <w:noProof/>
          <w:color w:val="000000"/>
          <w:szCs w:val="24"/>
        </w:rPr>
      </w:pPr>
      <w:r>
        <w:rPr>
          <w:rFonts w:eastAsia="Times New Roman" w:cs="Times New Roman"/>
          <w:b/>
          <w:bCs/>
          <w:noProof/>
          <w:color w:val="000000"/>
          <w:szCs w:val="24"/>
        </w:rPr>
        <w:t>EU support mechanism</w:t>
      </w:r>
    </w:p>
    <w:p>
      <w:pPr>
        <w:spacing w:after="120" w:line="264" w:lineRule="auto"/>
        <w:rPr>
          <w:rFonts w:eastAsia="Times New Roman" w:cs="Times New Roman"/>
          <w:noProof/>
          <w:color w:val="000000"/>
          <w:szCs w:val="24"/>
        </w:rPr>
      </w:pPr>
      <w:r>
        <w:rPr>
          <w:rFonts w:eastAsia="Times New Roman" w:cs="Times New Roman"/>
          <w:noProof/>
          <w:color w:val="000000"/>
          <w:szCs w:val="24"/>
        </w:rPr>
        <w:t xml:space="preserve">For infrastructure projects that have positive expected environmental and socio-economic values in support of EU policy objectives, there exists a full spectrum of financing needs (in terms of the financial viability of the investment): from financially viable projects based on the income stream generated by users and concession fees in regulated sectors, to projects not generating revenues to cover investment and therefore being highly dependent on public sector/government support, typically in the so called "public goods" sector. </w:t>
      </w:r>
    </w:p>
    <w:p>
      <w:pPr>
        <w:pStyle w:val="PlainText"/>
        <w:spacing w:after="120" w:line="264"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Therefore a full range of support mechanisms continue to be appropriate for infrastructure including a continuation of EU-backed budgetary guarantees and financial instruments, delivered through the InvestEU Fund, to complement the bulk of EU support to the sector delivered through calls for grants and blending, by the CEF, LIFE and ESIF programmes</w:t>
      </w:r>
      <w:r>
        <w:rPr>
          <w:rFonts w:ascii="Times New Roman" w:hAnsi="Times New Roman" w:cs="Times New Roman"/>
          <w:noProof/>
          <w:sz w:val="24"/>
          <w:szCs w:val="24"/>
          <w:vertAlign w:val="superscript"/>
        </w:rPr>
        <w:footnoteReference w:id="114"/>
      </w:r>
      <w:r>
        <w:rPr>
          <w:rFonts w:ascii="Times New Roman" w:eastAsia="Times New Roman" w:hAnsi="Times New Roman" w:cs="Times New Roman"/>
          <w:noProof/>
          <w:color w:val="000000"/>
          <w:sz w:val="24"/>
          <w:szCs w:val="24"/>
        </w:rPr>
        <w:t>, and by the EIB standard lending.</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56"/>
        <w:gridCol w:w="5224"/>
      </w:tblGrid>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
                <w:bCs/>
                <w:noProof/>
                <w:color w:val="000000"/>
                <w:szCs w:val="24"/>
              </w:rPr>
            </w:pPr>
            <w:r>
              <w:rPr>
                <w:rFonts w:ascii="Times New Roman" w:eastAsia="Times New Roman" w:hAnsi="Times New Roman" w:cs="Times New Roman"/>
                <w:b/>
                <w:bCs/>
                <w:noProof/>
                <w:color w:val="000000"/>
                <w:szCs w:val="24"/>
              </w:rPr>
              <w:t>Environment and</w:t>
            </w:r>
          </w:p>
          <w:p>
            <w:pPr>
              <w:pStyle w:val="PlainText"/>
              <w:spacing w:after="120" w:line="264" w:lineRule="auto"/>
              <w:rPr>
                <w:rFonts w:ascii="Times New Roman" w:eastAsia="Times New Roman" w:hAnsi="Times New Roman" w:cs="Times New Roman"/>
                <w:b/>
                <w:bCs/>
                <w:noProof/>
                <w:color w:val="000000"/>
                <w:szCs w:val="24"/>
              </w:rPr>
            </w:pPr>
            <w:r>
              <w:rPr>
                <w:rFonts w:ascii="Times New Roman" w:eastAsia="Times New Roman" w:hAnsi="Times New Roman" w:cs="Times New Roman"/>
                <w:b/>
                <w:bCs/>
                <w:noProof/>
                <w:color w:val="000000"/>
                <w:szCs w:val="24"/>
              </w:rPr>
              <w:t>(socio)economic benefits</w:t>
            </w:r>
          </w:p>
        </w:tc>
        <w:tc>
          <w:tcPr>
            <w:tcW w:w="1256" w:type="dxa"/>
            <w:shd w:val="clear" w:color="auto" w:fill="auto"/>
          </w:tcPr>
          <w:p>
            <w:pPr>
              <w:pStyle w:val="PlainText"/>
              <w:spacing w:after="120" w:line="264" w:lineRule="auto"/>
              <w:rPr>
                <w:rFonts w:ascii="Times New Roman" w:eastAsia="Times New Roman" w:hAnsi="Times New Roman" w:cs="Times New Roman"/>
                <w:b/>
                <w:bCs/>
                <w:noProof/>
                <w:color w:val="000000"/>
                <w:szCs w:val="24"/>
              </w:rPr>
            </w:pPr>
            <w:r>
              <w:rPr>
                <w:rFonts w:ascii="Times New Roman" w:eastAsia="Times New Roman" w:hAnsi="Times New Roman" w:cs="Times New Roman"/>
                <w:b/>
                <w:bCs/>
                <w:noProof/>
                <w:color w:val="000000"/>
                <w:szCs w:val="24"/>
              </w:rPr>
              <w:t>Financial viability</w:t>
            </w:r>
          </w:p>
        </w:tc>
        <w:tc>
          <w:tcPr>
            <w:tcW w:w="5224" w:type="dxa"/>
            <w:shd w:val="clear" w:color="auto" w:fill="auto"/>
          </w:tcPr>
          <w:p>
            <w:pPr>
              <w:pStyle w:val="PlainText"/>
              <w:spacing w:after="120" w:line="264" w:lineRule="auto"/>
              <w:jc w:val="both"/>
              <w:rPr>
                <w:rFonts w:ascii="Times New Roman" w:eastAsia="Times New Roman" w:hAnsi="Times New Roman" w:cs="Times New Roman"/>
                <w:b/>
                <w:bCs/>
                <w:noProof/>
                <w:color w:val="000000"/>
                <w:szCs w:val="24"/>
              </w:rPr>
            </w:pPr>
            <w:r>
              <w:rPr>
                <w:rFonts w:ascii="Times New Roman" w:eastAsia="Times New Roman" w:hAnsi="Times New Roman" w:cs="Times New Roman"/>
                <w:b/>
                <w:bCs/>
                <w:noProof/>
                <w:color w:val="000000"/>
                <w:szCs w:val="24"/>
              </w:rPr>
              <w:t>Approach</w:t>
            </w:r>
          </w:p>
        </w:tc>
      </w:tr>
      <w:tr>
        <w:trPr>
          <w:jc w:val="center"/>
        </w:trPr>
        <w:tc>
          <w:tcPr>
            <w:tcW w:w="8640" w:type="dxa"/>
            <w:gridSpan w:val="3"/>
            <w:shd w:val="clear" w:color="auto" w:fill="auto"/>
          </w:tcPr>
          <w:p>
            <w:pPr>
              <w:pStyle w:val="PlainText"/>
              <w:spacing w:after="120" w:line="264" w:lineRule="auto"/>
              <w:jc w:val="both"/>
              <w:rPr>
                <w:rFonts w:ascii="Times New Roman" w:eastAsia="Times New Roman" w:hAnsi="Times New Roman" w:cs="Times New Roman"/>
                <w:b/>
                <w:bCs/>
                <w:i/>
                <w:noProof/>
                <w:color w:val="000000"/>
                <w:szCs w:val="24"/>
              </w:rPr>
            </w:pPr>
            <w:r>
              <w:rPr>
                <w:rFonts w:ascii="Times New Roman" w:eastAsia="Times New Roman" w:hAnsi="Times New Roman" w:cs="Times New Roman"/>
                <w:b/>
                <w:bCs/>
                <w:i/>
                <w:noProof/>
                <w:color w:val="000000"/>
                <w:szCs w:val="24"/>
              </w:rPr>
              <w:t>Market</w:t>
            </w:r>
          </w:p>
        </w:tc>
      </w:tr>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1256"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5224"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Private finance exclusively, commercial banks</w:t>
            </w:r>
          </w:p>
        </w:tc>
      </w:tr>
      <w:tr>
        <w:trPr>
          <w:jc w:val="center"/>
        </w:trPr>
        <w:tc>
          <w:tcPr>
            <w:tcW w:w="8640" w:type="dxa"/>
            <w:gridSpan w:val="3"/>
            <w:shd w:val="clear" w:color="auto" w:fill="auto"/>
          </w:tcPr>
          <w:p>
            <w:pPr>
              <w:pStyle w:val="PlainText"/>
              <w:spacing w:after="120" w:line="264" w:lineRule="auto"/>
              <w:jc w:val="both"/>
              <w:rPr>
                <w:rFonts w:ascii="Times New Roman" w:eastAsia="Times New Roman" w:hAnsi="Times New Roman" w:cs="Times New Roman"/>
                <w:b/>
                <w:bCs/>
                <w:i/>
                <w:noProof/>
                <w:color w:val="000000"/>
                <w:szCs w:val="24"/>
              </w:rPr>
            </w:pPr>
            <w:r>
              <w:rPr>
                <w:rFonts w:ascii="Times New Roman" w:eastAsia="Times New Roman" w:hAnsi="Times New Roman" w:cs="Times New Roman"/>
                <w:b/>
                <w:bCs/>
                <w:i/>
                <w:noProof/>
                <w:color w:val="000000"/>
                <w:szCs w:val="24"/>
              </w:rPr>
              <w:t>Public and promotional banks</w:t>
            </w:r>
          </w:p>
        </w:tc>
      </w:tr>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1256"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5224"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EIB, NPBs, etc. standard lending</w:t>
            </w:r>
          </w:p>
        </w:tc>
      </w:tr>
      <w:tr>
        <w:trPr>
          <w:jc w:val="center"/>
        </w:trPr>
        <w:tc>
          <w:tcPr>
            <w:tcW w:w="8640" w:type="dxa"/>
            <w:gridSpan w:val="3"/>
            <w:shd w:val="clear" w:color="auto" w:fill="auto"/>
          </w:tcPr>
          <w:p>
            <w:pPr>
              <w:pStyle w:val="PlainText"/>
              <w:spacing w:after="120" w:line="264" w:lineRule="auto"/>
              <w:jc w:val="both"/>
              <w:rPr>
                <w:rFonts w:ascii="Times New Roman" w:eastAsia="Times New Roman" w:hAnsi="Times New Roman" w:cs="Times New Roman"/>
                <w:b/>
                <w:bCs/>
                <w:i/>
                <w:noProof/>
                <w:color w:val="000000"/>
                <w:szCs w:val="24"/>
              </w:rPr>
            </w:pPr>
            <w:r>
              <w:rPr>
                <w:rFonts w:ascii="Times New Roman" w:eastAsia="Times New Roman" w:hAnsi="Times New Roman" w:cs="Times New Roman"/>
                <w:b/>
                <w:bCs/>
                <w:i/>
                <w:noProof/>
                <w:color w:val="000000"/>
                <w:szCs w:val="24"/>
              </w:rPr>
              <w:t>InvestEU Fund</w:t>
            </w:r>
          </w:p>
        </w:tc>
      </w:tr>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1256"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5224"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EU-backed (including through budgetary guarantees) financial instruments plus private finance</w:t>
            </w:r>
          </w:p>
        </w:tc>
      </w:tr>
      <w:tr>
        <w:trPr>
          <w:jc w:val="center"/>
        </w:trPr>
        <w:tc>
          <w:tcPr>
            <w:tcW w:w="8640" w:type="dxa"/>
            <w:gridSpan w:val="3"/>
            <w:shd w:val="clear" w:color="auto" w:fill="auto"/>
          </w:tcPr>
          <w:p>
            <w:pPr>
              <w:pStyle w:val="PlainText"/>
              <w:spacing w:after="120" w:line="264" w:lineRule="auto"/>
              <w:jc w:val="both"/>
              <w:rPr>
                <w:rFonts w:ascii="Times New Roman" w:eastAsia="Times New Roman" w:hAnsi="Times New Roman" w:cs="Times New Roman"/>
                <w:b/>
                <w:bCs/>
                <w:i/>
                <w:noProof/>
                <w:color w:val="000000"/>
                <w:szCs w:val="24"/>
              </w:rPr>
            </w:pPr>
            <w:r>
              <w:rPr>
                <w:rFonts w:ascii="Times New Roman" w:eastAsia="Times New Roman" w:hAnsi="Times New Roman" w:cs="Times New Roman"/>
                <w:b/>
                <w:bCs/>
                <w:i/>
                <w:noProof/>
                <w:color w:val="000000"/>
                <w:szCs w:val="24"/>
              </w:rPr>
              <w:t>CEF, LIFE and ESIF grants</w:t>
            </w:r>
          </w:p>
        </w:tc>
      </w:tr>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1256"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5224"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 xml:space="preserve">"Blending" : EU grants plus private finance from EIB (including EU-backed FIs), NPBs, or private investors </w:t>
            </w:r>
          </w:p>
        </w:tc>
      </w:tr>
      <w:tr>
        <w:trPr>
          <w:jc w:val="center"/>
        </w:trPr>
        <w:tc>
          <w:tcPr>
            <w:tcW w:w="2160"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1256" w:type="dxa"/>
            <w:shd w:val="clear" w:color="auto" w:fill="auto"/>
          </w:tcPr>
          <w:p>
            <w:pPr>
              <w:pStyle w:val="PlainText"/>
              <w:spacing w:after="120" w:line="264" w:lineRule="auto"/>
              <w:rPr>
                <w:rFonts w:ascii="Times New Roman" w:eastAsia="Times New Roman" w:hAnsi="Times New Roman" w:cs="Times New Roman"/>
                <w:bCs/>
                <w:noProof/>
                <w:color w:val="000000"/>
                <w:szCs w:val="24"/>
              </w:rPr>
            </w:pPr>
            <w:r>
              <w:rPr>
                <w:rFonts w:ascii="Times New Roman" w:eastAsia="Times New Roman" w:hAnsi="Times New Roman" w:cs="Times New Roman"/>
                <w:bCs/>
                <w:noProof/>
                <w:color w:val="000000"/>
                <w:szCs w:val="24"/>
              </w:rPr>
              <w:t>-</w:t>
            </w:r>
          </w:p>
        </w:tc>
        <w:tc>
          <w:tcPr>
            <w:tcW w:w="5224" w:type="dxa"/>
            <w:shd w:val="clear" w:color="auto" w:fill="auto"/>
          </w:tcPr>
          <w:p>
            <w:pPr>
              <w:pStyle w:val="PlainText"/>
              <w:spacing w:after="120" w:line="264" w:lineRule="auto"/>
              <w:rPr>
                <w:rFonts w:ascii="Times New Roman" w:eastAsia="Times New Roman" w:hAnsi="Times New Roman" w:cs="Times New Roman"/>
                <w:bCs/>
                <w:noProof/>
                <w:color w:val="000000"/>
                <w:szCs w:val="24"/>
                <w:lang w:val="fr-BE"/>
              </w:rPr>
            </w:pPr>
            <w:r>
              <w:rPr>
                <w:rFonts w:ascii="Times New Roman" w:eastAsia="Times New Roman" w:hAnsi="Times New Roman" w:cs="Times New Roman"/>
                <w:bCs/>
                <w:noProof/>
                <w:color w:val="000000"/>
                <w:szCs w:val="24"/>
                <w:lang w:val="fr-BE"/>
              </w:rPr>
              <w:t>EU grants plus public sector finance</w:t>
            </w:r>
          </w:p>
        </w:tc>
      </w:tr>
    </w:tbl>
    <w:p>
      <w:pPr>
        <w:spacing w:after="120" w:line="264" w:lineRule="auto"/>
        <w:rPr>
          <w:rFonts w:eastAsia="Times New Roman" w:cs="Times New Roman"/>
          <w:noProof/>
          <w:color w:val="000000"/>
          <w:szCs w:val="24"/>
          <w:lang w:val="fr-BE"/>
        </w:rPr>
      </w:pPr>
    </w:p>
    <w:p>
      <w:pPr>
        <w:spacing w:after="120" w:line="264" w:lineRule="auto"/>
        <w:rPr>
          <w:rFonts w:cs="Times New Roman"/>
          <w:noProof/>
          <w:szCs w:val="24"/>
        </w:rPr>
      </w:pPr>
      <w:r>
        <w:rPr>
          <w:rFonts w:eastAsia="Times New Roman" w:cs="Times New Roman"/>
          <w:bCs/>
          <w:noProof/>
          <w:color w:val="000000"/>
          <w:szCs w:val="24"/>
        </w:rPr>
        <w:t xml:space="preserve">The above table illustrates an already available structured approach to assess the appropriate use of EU instruments or complementary combinations of instruments, to support investment appropriate at the EU level. Full flexibility should be maintained to allow for establishing bundling and blending instruments throughout the next MFF following evolving needs and maturities. There may be case in </w:t>
      </w:r>
      <w:r>
        <w:rPr>
          <w:rFonts w:cs="Times New Roman"/>
          <w:noProof/>
          <w:szCs w:val="24"/>
        </w:rPr>
        <w:t>terms of economy of scale for establishing larger blending facilities within or connected to the Single Investment Fund for small instruments such as LIFE.</w:t>
      </w:r>
    </w:p>
    <w:p>
      <w:pPr>
        <w:spacing w:before="240" w:after="0" w:line="264" w:lineRule="auto"/>
        <w:rPr>
          <w:rFonts w:cs="Times New Roman"/>
          <w:b/>
          <w:bCs/>
          <w:noProof/>
          <w:szCs w:val="24"/>
        </w:rPr>
      </w:pPr>
      <w:r>
        <w:rPr>
          <w:rFonts w:cs="Times New Roman"/>
          <w:b/>
          <w:bCs/>
          <w:noProof/>
          <w:szCs w:val="24"/>
        </w:rPr>
        <w:t>Lessons learned from previous "financial instruments" programmes</w:t>
      </w:r>
    </w:p>
    <w:p>
      <w:pPr>
        <w:spacing w:after="120" w:line="264" w:lineRule="auto"/>
        <w:rPr>
          <w:rFonts w:cs="Times New Roman"/>
          <w:b/>
          <w:bCs/>
          <w:noProof/>
          <w:szCs w:val="24"/>
        </w:rPr>
      </w:pPr>
      <w:r>
        <w:rPr>
          <w:rFonts w:eastAsia="Times New Roman" w:cs="Times New Roman"/>
          <w:bCs/>
          <w:noProof/>
          <w:color w:val="000000"/>
          <w:szCs w:val="24"/>
        </w:rPr>
        <w:t>A variety of EU-backed financial instruments to support investments in infrastructure have been developed, notably the CEF Debt Instrument, PF4EE, EEEF, NCFF, and on equity side, the Global Energy Efficiency and Renewable Energy Fund</w:t>
      </w:r>
      <w:r>
        <w:rPr>
          <w:rFonts w:eastAsia="Times New Roman" w:cs="Times New Roman"/>
          <w:bCs/>
          <w:noProof/>
          <w:color w:val="000000"/>
          <w:szCs w:val="24"/>
          <w:vertAlign w:val="superscript"/>
        </w:rPr>
        <w:footnoteReference w:id="115"/>
      </w:r>
      <w:r>
        <w:rPr>
          <w:rFonts w:eastAsia="Times New Roman" w:cs="Times New Roman"/>
          <w:bCs/>
          <w:noProof/>
          <w:color w:val="000000"/>
          <w:szCs w:val="24"/>
        </w:rPr>
        <w:t xml:space="preserve">, Broadband Fund as well as the Marguerite Fund. Each of the instruments helped address specific market failures in their respective infrastructure areas (see Annex I). Use of such targeted instruments was reduced by the creation of EFSI in 2015 (demonstrating the need for and virtues of a horizontal, market driven financial instrument). However, their use continues to demonstrate the need for a broad and flexible </w:t>
      </w:r>
      <w:r>
        <w:rPr>
          <w:rFonts w:eastAsia="Times New Roman" w:cs="Times New Roman"/>
          <w:bCs/>
          <w:i/>
          <w:noProof/>
          <w:color w:val="000000"/>
          <w:szCs w:val="24"/>
        </w:rPr>
        <w:t>range</w:t>
      </w:r>
      <w:r>
        <w:rPr>
          <w:rFonts w:eastAsia="Times New Roman" w:cs="Times New Roman"/>
          <w:bCs/>
          <w:noProof/>
          <w:color w:val="000000"/>
          <w:szCs w:val="24"/>
        </w:rPr>
        <w:t xml:space="preserve"> of instruments specifically tailored to (very different) market sub segments, particularly when there is an EU policy objective related to sustainability and/or public goods for which investment levels beyond those delivered through normal commercially viable projects or with purely national public support.</w:t>
      </w:r>
    </w:p>
    <w:p>
      <w:pPr>
        <w:spacing w:after="120" w:line="264" w:lineRule="auto"/>
        <w:rPr>
          <w:rFonts w:cs="Times New Roman"/>
          <w:b/>
          <w:noProof/>
          <w:szCs w:val="24"/>
        </w:rPr>
      </w:pPr>
      <w:r>
        <w:rPr>
          <w:rFonts w:eastAsia="Times New Roman" w:cs="Times New Roman"/>
          <w:bCs/>
          <w:noProof/>
          <w:color w:val="000000"/>
          <w:szCs w:val="24"/>
        </w:rPr>
        <w:t xml:space="preserve">In general, the take up of the EFSI and CEF DI in the TENs is a delicate operation. Strong public good issues (e.g. for railways), complex cross border arrangements, differing national regulatory regimes, complex national planning and impact assessment processes, and technology uncertainties can all raise project risks and thus cost of capital. The recent use of EFSI, as well as existing pilot instruments show that there are instances where project risk or complexity (and consequent non-viability) may warrant support beyond financial instruments including advanced technical assistance available over a long period from pre-investment onwards and grant financing in various modalities (e.g. including "blending"). The latter components are critical to step up the ESG credentials of EU supported investments in line with the EU and international commitments, notably the 2015 UN Agenda and Paris Agreements. </w:t>
      </w:r>
    </w:p>
    <w:p>
      <w:pPr>
        <w:spacing w:after="120" w:line="264" w:lineRule="auto"/>
        <w:rPr>
          <w:rFonts w:cs="Times New Roman"/>
          <w:b/>
          <w:noProof/>
          <w:szCs w:val="24"/>
        </w:rPr>
      </w:pPr>
      <w:r>
        <w:rPr>
          <w:rFonts w:eastAsia="Times New Roman" w:cs="Times New Roman"/>
          <w:bCs/>
          <w:noProof/>
          <w:color w:val="000000"/>
          <w:szCs w:val="24"/>
        </w:rPr>
        <w:t xml:space="preserve">EU-backed financial instruments and EFSI still in some regards differ. For example, the </w:t>
      </w:r>
      <w:r>
        <w:rPr>
          <w:rFonts w:cs="Times New Roman"/>
          <w:bCs/>
          <w:noProof/>
          <w:szCs w:val="24"/>
        </w:rPr>
        <w:t>fact that the CEF DI is delivered via products, some of which were tested under the previous instruments (LGTT and PBI) has meant that the CEF DI support took the form of subordinated products in the case of a high proportion of projects, or targeted instruments to address specific market failures (e.g. the Green Shipping Guarantee)</w:t>
      </w:r>
      <w:r>
        <w:rPr>
          <w:rFonts w:cs="Times New Roman"/>
          <w:bCs/>
          <w:noProof/>
          <w:szCs w:val="24"/>
          <w:vertAlign w:val="superscript"/>
        </w:rPr>
        <w:footnoteReference w:id="116"/>
      </w:r>
      <w:r>
        <w:rPr>
          <w:rFonts w:cs="Times New Roman"/>
          <w:bCs/>
          <w:noProof/>
          <w:szCs w:val="24"/>
        </w:rPr>
        <w:t xml:space="preserve">. </w:t>
      </w:r>
    </w:p>
    <w:p>
      <w:pPr>
        <w:spacing w:after="120" w:line="264" w:lineRule="auto"/>
        <w:rPr>
          <w:rFonts w:cs="Times New Roman"/>
          <w:b/>
          <w:noProof/>
          <w:szCs w:val="24"/>
        </w:rPr>
      </w:pPr>
      <w:r>
        <w:rPr>
          <w:rFonts w:eastAsia="Times New Roman" w:cs="Times New Roman"/>
          <w:bCs/>
          <w:noProof/>
          <w:color w:val="000000"/>
          <w:szCs w:val="24"/>
        </w:rPr>
        <w:t>These complementary elements: targeted instruments and general support to investments are both important and should be maintained in the InvestEU fund.</w:t>
      </w:r>
    </w:p>
    <w:p>
      <w:pPr>
        <w:pStyle w:val="Text2"/>
        <w:numPr>
          <w:ilvl w:val="0"/>
          <w:numId w:val="49"/>
        </w:numPr>
        <w:spacing w:before="240" w:line="264" w:lineRule="auto"/>
        <w:rPr>
          <w:b/>
          <w:noProof/>
          <w:szCs w:val="24"/>
        </w:rPr>
      </w:pPr>
      <w:r>
        <w:rPr>
          <w:b/>
          <w:noProof/>
          <w:szCs w:val="24"/>
        </w:rPr>
        <w:t>InvestEU Fund support: Type of final beneficiaries and target groups (large corporates, small beneficiaries, public or private sector entities, SPVs)</w:t>
      </w:r>
    </w:p>
    <w:p>
      <w:pPr>
        <w:pStyle w:val="ListParagraph"/>
        <w:spacing w:after="120" w:line="264" w:lineRule="auto"/>
        <w:ind w:left="0"/>
        <w:contextualSpacing w:val="0"/>
        <w:rPr>
          <w:rFonts w:cs="Times New Roman"/>
          <w:noProof/>
          <w:szCs w:val="24"/>
        </w:rPr>
      </w:pPr>
      <w:r>
        <w:rPr>
          <w:rFonts w:cs="Times New Roman"/>
          <w:noProof/>
          <w:szCs w:val="24"/>
        </w:rPr>
        <w:t xml:space="preserve">The type of final beneficiaries and target groups relating to sustainable infrastructure window of the future InvestEU fund will vary significant depending on the sector under consideration, is dependent on a number of factors including their creditworthiness and project financing structure, in addition to the European level net benefits (e.g. market integration, industrial scaling, environmental/GHG benefits). </w:t>
      </w:r>
    </w:p>
    <w:p>
      <w:pPr>
        <w:pStyle w:val="ListParagraph"/>
        <w:spacing w:after="120" w:line="264" w:lineRule="auto"/>
        <w:ind w:left="0"/>
        <w:contextualSpacing w:val="0"/>
        <w:rPr>
          <w:rFonts w:cs="Times New Roman"/>
          <w:noProof/>
          <w:szCs w:val="24"/>
        </w:rPr>
      </w:pPr>
      <w:r>
        <w:rPr>
          <w:rFonts w:eastAsia="Times New Roman" w:cs="Times New Roman"/>
          <w:bCs/>
          <w:noProof/>
          <w:color w:val="000000"/>
          <w:szCs w:val="24"/>
        </w:rPr>
        <w:t xml:space="preserve">In the utility sectors, notably in the energy sector, project promoters would mostly come from a mix of public (cities, municipalities), semi-public and private sector, such as transmission and distribution system network operators, electricity suppliers and retailers, energy, water and waste service companies (potentially including IT companies), generation companies, energy communities, large property owners etc. These entities may be public sector by tradition operating on commercial or non-commercial basis, privatised with or without public service objective, or recently created public entities in nascent markets (e.g. for energy services). The </w:t>
      </w:r>
      <w:r>
        <w:rPr>
          <w:rFonts w:cs="Times New Roman"/>
          <w:bCs/>
          <w:noProof/>
          <w:szCs w:val="24"/>
        </w:rPr>
        <w:t xml:space="preserve">InvestEU Fund is well placed to realise cross-sectoral synergies, e.g. between energy, transport and digitalisation. </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Likewise in transport and mobility sector, promoters range from public and semi-public corporates operating on rail infrastructures to SMEs providing infrastructure and mobility services for instance in the areas of alternative fuels and inland navigation. Large and medium private or public entities or SPVs also operate under concession or PPP such as in ports, airports and motorways projects, and as well to deliver water and waste water services. Large, midcap companies and SMEs operate mobile assets in all modes of transport, notably in shipping and rail freight operations.</w:t>
      </w:r>
    </w:p>
    <w:p>
      <w:pPr>
        <w:spacing w:after="120" w:line="264" w:lineRule="auto"/>
        <w:rPr>
          <w:rFonts w:eastAsia="Times New Roman" w:cs="Times New Roman"/>
          <w:bCs/>
          <w:noProof/>
          <w:color w:val="000000"/>
          <w:szCs w:val="24"/>
        </w:rPr>
      </w:pPr>
      <w:r>
        <w:rPr>
          <w:rFonts w:cs="Times New Roman"/>
          <w:noProof/>
          <w:szCs w:val="24"/>
        </w:rPr>
        <w:t>In the sector of telecommunications, project promoters can be private and public and vary significantly in size. It is of particular importance that smaller promoters have adequate access to such instruments. On the other hand, strict eligibility criteria should be imposed in relation to the projects deployed (contribution to EU's connectivity targets/increasing coverage, state of the art technology, innovative business model, etc.).</w:t>
      </w:r>
    </w:p>
    <w:p>
      <w:pPr>
        <w:pStyle w:val="ListParagraph"/>
        <w:spacing w:after="120" w:line="264" w:lineRule="auto"/>
        <w:ind w:left="0"/>
        <w:contextualSpacing w:val="0"/>
        <w:rPr>
          <w:rFonts w:cs="Times New Roman"/>
          <w:noProof/>
          <w:szCs w:val="24"/>
        </w:rPr>
      </w:pPr>
      <w:r>
        <w:rPr>
          <w:rFonts w:cs="Times New Roman"/>
          <w:noProof/>
          <w:szCs w:val="24"/>
        </w:rPr>
        <w:t>In the sector of telecommunications, project promoters can be private and public and vary significantly in size. It is of particular importance that smaller promoters have adequate access to such instruments. On the other hand, strict eligibility criteria should be imposed in relation to the projects deployed (contribution to EU's connectivity targets/increasing coverage, state of the art technology, innovative business model, etc.).</w:t>
      </w:r>
    </w:p>
    <w:p>
      <w:pPr>
        <w:pStyle w:val="ListParagraph"/>
        <w:spacing w:after="120" w:line="264" w:lineRule="auto"/>
        <w:ind w:left="0"/>
        <w:contextualSpacing w:val="0"/>
        <w:rPr>
          <w:rFonts w:cs="Times New Roman"/>
          <w:noProof/>
          <w:szCs w:val="24"/>
        </w:rPr>
      </w:pPr>
      <w:r>
        <w:rPr>
          <w:rFonts w:cs="Times New Roman"/>
          <w:noProof/>
          <w:szCs w:val="24"/>
        </w:rPr>
        <w:t>In the blue economy, project promotors cover the whole value chain, ranging from public, to semi-public and private entities varying from multinational, medium size maritime businesses to SMEs.</w:t>
      </w:r>
    </w:p>
    <w:p>
      <w:pPr>
        <w:pStyle w:val="ListParagraph"/>
        <w:spacing w:after="120" w:line="264" w:lineRule="auto"/>
        <w:ind w:left="0"/>
        <w:contextualSpacing w:val="0"/>
        <w:rPr>
          <w:rFonts w:cs="Times New Roman"/>
          <w:noProof/>
          <w:szCs w:val="24"/>
        </w:rPr>
      </w:pPr>
      <w:r>
        <w:rPr>
          <w:rFonts w:cs="Times New Roman"/>
          <w:noProof/>
          <w:szCs w:val="24"/>
        </w:rPr>
        <w:t>The major public stakeholders to be involved include national space agencies, the European Space Agency (ESA) and public authorities involved in the implementation of European space programmes, space manufacturing and services industry trade associations at European and national level, and intergovernmental organisations active in climate monitoring (EUMETSAT, ECMWF).</w:t>
      </w:r>
    </w:p>
    <w:p>
      <w:pPr>
        <w:spacing w:after="120" w:line="264" w:lineRule="auto"/>
        <w:rPr>
          <w:rFonts w:cs="Times New Roman"/>
          <w:noProof/>
          <w:szCs w:val="24"/>
        </w:rPr>
      </w:pPr>
      <w:r>
        <w:rPr>
          <w:rFonts w:cs="Times New Roman"/>
          <w:noProof/>
          <w:szCs w:val="24"/>
        </w:rPr>
        <w:t>Innovative approaches driven by EU policies or new and emerging market trends are likely to lead to the involvement of new categories of beneficiaries</w:t>
      </w:r>
      <w:r>
        <w:rPr>
          <w:rStyle w:val="FootnoteReference"/>
          <w:rFonts w:cs="Times New Roman"/>
          <w:noProof/>
          <w:szCs w:val="24"/>
        </w:rPr>
        <w:footnoteReference w:id="117"/>
      </w:r>
      <w:r>
        <w:rPr>
          <w:rFonts w:cs="Times New Roman"/>
          <w:noProof/>
          <w:szCs w:val="24"/>
        </w:rPr>
        <w:t>, lacking in same case track records in these new business, which affects access to finance. Therefore flexible arrangements will be needed in terms of blending and bundling of different means of support. This will allow building EU experience and best practice with effective and efficient cost-sharing.</w:t>
      </w:r>
    </w:p>
    <w:p>
      <w:pPr>
        <w:spacing w:after="120" w:line="264" w:lineRule="auto"/>
        <w:rPr>
          <w:rFonts w:eastAsia="Times New Roman" w:cs="Times New Roman"/>
          <w:bCs/>
          <w:noProof/>
          <w:color w:val="000000"/>
          <w:szCs w:val="24"/>
        </w:rPr>
      </w:pPr>
    </w:p>
    <w:p>
      <w:pPr>
        <w:spacing w:after="120" w:line="264" w:lineRule="auto"/>
        <w:rPr>
          <w:rFonts w:eastAsia="Times New Roman" w:cs="Times New Roman"/>
          <w:bCs/>
          <w:noProof/>
          <w:color w:val="000000"/>
          <w:szCs w:val="24"/>
        </w:rPr>
      </w:pPr>
    </w:p>
    <w:p>
      <w:pPr>
        <w:spacing w:after="120" w:line="264" w:lineRule="auto"/>
        <w:rPr>
          <w:rFonts w:eastAsia="Times New Roman" w:cs="Times New Roman"/>
          <w:bCs/>
          <w:noProof/>
          <w:color w:val="000000"/>
          <w:szCs w:val="24"/>
        </w:rPr>
      </w:pPr>
    </w:p>
    <w:p>
      <w:pPr>
        <w:pStyle w:val="Text2"/>
        <w:numPr>
          <w:ilvl w:val="0"/>
          <w:numId w:val="49"/>
        </w:numPr>
        <w:spacing w:before="240" w:line="264" w:lineRule="auto"/>
        <w:rPr>
          <w:b/>
          <w:noProof/>
          <w:szCs w:val="24"/>
        </w:rPr>
      </w:pPr>
      <w:r>
        <w:rPr>
          <w:b/>
          <w:noProof/>
          <w:szCs w:val="24"/>
        </w:rPr>
        <w:t>Sectors to be targeted by the support provided under this window</w:t>
      </w:r>
    </w:p>
    <w:p>
      <w:pPr>
        <w:spacing w:after="120" w:line="264" w:lineRule="auto"/>
        <w:rPr>
          <w:rFonts w:cs="Times New Roman"/>
          <w:noProof/>
          <w:szCs w:val="24"/>
        </w:rPr>
      </w:pPr>
      <w:r>
        <w:rPr>
          <w:rFonts w:cs="Times New Roman"/>
          <w:noProof/>
          <w:szCs w:val="24"/>
        </w:rPr>
        <w:t>For transport and energy, relevant large infrastructure projects are typically single transactions supported through debt. However for small(er) projects and category of promoters, the use of intermediation is appropriate. EFSI and the CEF DI have developed a number of investment platforms</w:t>
      </w:r>
      <w:r>
        <w:rPr>
          <w:rFonts w:cs="Times New Roman"/>
          <w:noProof/>
          <w:szCs w:val="24"/>
          <w:vertAlign w:val="superscript"/>
        </w:rPr>
        <w:footnoteReference w:id="118"/>
      </w:r>
      <w:r>
        <w:rPr>
          <w:rFonts w:cs="Times New Roman"/>
          <w:noProof/>
          <w:szCs w:val="24"/>
        </w:rPr>
        <w:t xml:space="preserve">. Other models successfully used Fund of Fund Approaches with specialized investment teams capable of structuring and bundling smaller and/or complex or riskier pipeline. </w:t>
      </w:r>
    </w:p>
    <w:p>
      <w:pPr>
        <w:spacing w:after="120" w:line="264" w:lineRule="auto"/>
        <w:rPr>
          <w:rFonts w:cs="Times New Roman"/>
          <w:noProof/>
          <w:szCs w:val="24"/>
        </w:rPr>
      </w:pPr>
      <w:r>
        <w:rPr>
          <w:rFonts w:cs="Times New Roman"/>
          <w:noProof/>
          <w:szCs w:val="24"/>
        </w:rPr>
        <w:t>InvestEU Fund should build on these initiatives and contribute to investing in developing such and similar platforms more widely across the different markets whilst focusing more on quality-related instead of volume based additionality. In particular, there is widespread successful practice amongst NPBs and several IFIs. There is thus a clear benefit to draw on greater range of experience and expertise than available in the EIB.</w:t>
      </w:r>
    </w:p>
    <w:p>
      <w:pPr>
        <w:spacing w:after="120" w:line="264" w:lineRule="auto"/>
        <w:rPr>
          <w:rFonts w:cs="Times New Roman"/>
          <w:noProof/>
          <w:szCs w:val="24"/>
        </w:rPr>
      </w:pPr>
      <w:r>
        <w:rPr>
          <w:rFonts w:cs="Times New Roman"/>
          <w:noProof/>
          <w:szCs w:val="24"/>
        </w:rPr>
        <w:t>While maturing renewable technologies would require less support (provided currently mainly at national level), the changing EU regulatory environment may need to be complemented by financial incentives to ensure that the 2030 RES target is met. Energy efficiency will remain among key challenges, where investment needs are highest while significant barriers to investments persist.</w:t>
      </w:r>
    </w:p>
    <w:p>
      <w:pPr>
        <w:spacing w:after="120" w:line="264" w:lineRule="auto"/>
        <w:rPr>
          <w:rFonts w:cs="Times New Roman"/>
          <w:noProof/>
          <w:szCs w:val="24"/>
        </w:rPr>
      </w:pPr>
      <w:r>
        <w:rPr>
          <w:rFonts w:cs="Times New Roman"/>
          <w:noProof/>
          <w:szCs w:val="24"/>
        </w:rPr>
        <w:t>The Fund should also cover all environmental investment sectors (waste, water, air, circular economy), including innovative sectors such as green infrastructure and other natural-capital related projects.</w:t>
      </w:r>
      <w:r>
        <w:rPr>
          <w:rStyle w:val="FootnoteReference"/>
          <w:rFonts w:cs="Times New Roman"/>
          <w:noProof/>
          <w:szCs w:val="24"/>
        </w:rPr>
        <w:footnoteReference w:id="119"/>
      </w:r>
    </w:p>
    <w:p>
      <w:pPr>
        <w:spacing w:after="120" w:line="264" w:lineRule="auto"/>
        <w:rPr>
          <w:rFonts w:cs="Times New Roman"/>
          <w:noProof/>
          <w:szCs w:val="24"/>
        </w:rPr>
      </w:pPr>
      <w:r>
        <w:rPr>
          <w:rFonts w:cs="Times New Roman"/>
          <w:noProof/>
          <w:szCs w:val="24"/>
        </w:rPr>
        <w:t>Furthermore, new priorities for investment are emerging in areas such as urban mobility, energy storage, electrification, digital service/broadband infrastructures. Achieving such priorities requires efficient allocation and an adequate level of resources.</w:t>
      </w:r>
    </w:p>
    <w:p>
      <w:pPr>
        <w:spacing w:after="120" w:line="264" w:lineRule="auto"/>
        <w:rPr>
          <w:rFonts w:cs="Times New Roman"/>
          <w:noProof/>
          <w:szCs w:val="24"/>
        </w:rPr>
      </w:pPr>
      <w:r>
        <w:rPr>
          <w:rFonts w:cs="Times New Roman"/>
          <w:noProof/>
          <w:szCs w:val="24"/>
        </w:rPr>
        <w:t>The Fund and different instruments could be directly available to all eligible financial institutions, as self-selection would lead each to concentrate on their areas of sectoral or financial expertise.</w:t>
      </w:r>
    </w:p>
    <w:p>
      <w:pPr>
        <w:spacing w:after="120" w:line="264" w:lineRule="auto"/>
        <w:rPr>
          <w:rFonts w:eastAsia="Times New Roman" w:cs="Times New Roman"/>
          <w:bCs/>
          <w:noProof/>
          <w:color w:val="000000"/>
          <w:szCs w:val="24"/>
        </w:rPr>
      </w:pPr>
    </w:p>
    <w:p>
      <w:pPr>
        <w:pStyle w:val="Text2"/>
        <w:numPr>
          <w:ilvl w:val="0"/>
          <w:numId w:val="49"/>
        </w:numPr>
        <w:spacing w:before="240" w:line="264" w:lineRule="auto"/>
        <w:rPr>
          <w:b/>
          <w:noProof/>
          <w:szCs w:val="24"/>
        </w:rPr>
      </w:pPr>
      <w:r>
        <w:rPr>
          <w:b/>
          <w:noProof/>
          <w:szCs w:val="24"/>
        </w:rPr>
        <w:t>Financial intermediaries and private sector stakeholders to be involved and their role</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For transport and energy, relevant large infrastructure projects are typically single transactions supported through debt. However for small projects and category of promoters, the use of intermediation is appropriate. EFSI and the CEF DI have developed a number of investment platforms. InvestEU Fund should build on these initiatives and contribute to investing in developing such and similar platforms more widely across the different markets. In particular, there is widespread successful practice amongst NPBs and several IFIs. There is thus a clear benefit to draw on greater range of experience and expertise than available in the EIB. The Fund and different instruments could be directly available to all eligible financial institutions, as self-selection would lead each to concentrate on their areas of sectoral or financial expertise.</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Given the strategic dimension of space, there will always be a need for a strong engagement of the public sector. However, private investment is expected to drive entrepreneurship in some areas. Therefore, the role of the financial intermediaries would be to invest in equity or blended finance with terms and conditions adequate to the space sector (e.g. high risk, long infrastructure cycles); and to accompany the paradigm change in the European space sector.</w:t>
      </w:r>
    </w:p>
    <w:p>
      <w:pPr>
        <w:spacing w:after="120" w:line="264" w:lineRule="auto"/>
        <w:rPr>
          <w:rFonts w:cs="Times New Roman"/>
          <w:bCs/>
          <w:noProof/>
          <w:szCs w:val="24"/>
        </w:rPr>
      </w:pPr>
      <w:r>
        <w:rPr>
          <w:rFonts w:eastAsia="Times New Roman" w:cs="Times New Roman"/>
          <w:bCs/>
          <w:noProof/>
          <w:color w:val="000000"/>
          <w:szCs w:val="24"/>
        </w:rPr>
        <w:t xml:space="preserve">Good articulation with support provided under the "SMEs window" and </w:t>
      </w:r>
      <w:r>
        <w:rPr>
          <w:rFonts w:cs="Times New Roman"/>
          <w:bCs/>
          <w:noProof/>
          <w:szCs w:val="24"/>
        </w:rPr>
        <w:t xml:space="preserve">"RDI window" </w:t>
      </w:r>
      <w:r>
        <w:rPr>
          <w:rFonts w:eastAsia="Times New Roman" w:cs="Times New Roman"/>
          <w:bCs/>
          <w:noProof/>
          <w:color w:val="000000"/>
          <w:szCs w:val="24"/>
        </w:rPr>
        <w:t xml:space="preserve">is also needed, for instance to support SMEs, and </w:t>
      </w:r>
      <w:r>
        <w:rPr>
          <w:rFonts w:cs="Times New Roman"/>
          <w:bCs/>
          <w:noProof/>
          <w:szCs w:val="24"/>
        </w:rPr>
        <w:t>projects aiming at deployment of new and mature technologies (e-charging), which should typically be supported by the "Sustainable Infrastructure " window. As for the space sector, improved access to finance for small-scale equity investments to get the ideas off the ground (e.g. Euro 0.5-5 million) and for adequate equity investments for scaling up (e.g. EUR 5-25 million); some venture capital funds also argued that injecting EUR 1 billion in equity would mark a big difference for the European space industry. This action can be also addressed within the "SMEs window" and "RDI window".</w:t>
      </w:r>
    </w:p>
    <w:p>
      <w:pPr>
        <w:spacing w:after="120" w:line="264" w:lineRule="auto"/>
        <w:rPr>
          <w:rFonts w:eastAsia="Times New Roman" w:cs="Times New Roman"/>
          <w:bCs/>
          <w:noProof/>
          <w:color w:val="000000"/>
          <w:szCs w:val="24"/>
        </w:rPr>
      </w:pPr>
      <w:r>
        <w:rPr>
          <w:rFonts w:cs="Times New Roman"/>
          <w:bCs/>
          <w:noProof/>
          <w:szCs w:val="24"/>
        </w:rPr>
        <w:t>As with the initial determination of the FI/grant/instruments election eligibility, a structured project assessment approach based on project risk assessment and EU net socio-economic benefits will need to be developed.</w:t>
      </w:r>
    </w:p>
    <w:p>
      <w:pPr>
        <w:pStyle w:val="ListParagraph"/>
        <w:spacing w:after="120" w:line="264" w:lineRule="auto"/>
        <w:ind w:left="0"/>
        <w:contextualSpacing w:val="0"/>
        <w:rPr>
          <w:rFonts w:cs="Times New Roman"/>
          <w:noProof/>
          <w:szCs w:val="24"/>
        </w:rPr>
      </w:pPr>
      <w:r>
        <w:rPr>
          <w:rFonts w:cs="Times New Roman"/>
          <w:noProof/>
          <w:szCs w:val="24"/>
        </w:rPr>
        <w:t>In the sector of digital infrastructures, current analyses indicate that there is a greater need for equity and hybrid products for such deployments, and that smaller players continue to have more difficult access to capital markets. In this respect, guarantees for "mainstream" broadband investments under the Single Instrument would be needed to steer, de-risk and accelerate investments in the newest technologies. Another category of support involve niche financial products (SPVs), with a higher risk profile and more intensive capital use, where a direct participation is foreseen, together with private capital to ensure leverage, in order to cover specific areas where mild market failures exist (e.g. equity investment fund, project bonds, etc.).</w:t>
      </w:r>
    </w:p>
    <w:p>
      <w:pPr>
        <w:spacing w:after="120" w:line="264" w:lineRule="auto"/>
        <w:rPr>
          <w:rFonts w:eastAsia="Times New Roman" w:cs="Times New Roman"/>
          <w:bCs/>
          <w:noProof/>
          <w:color w:val="000000"/>
          <w:szCs w:val="24"/>
        </w:rPr>
      </w:pPr>
    </w:p>
    <w:p>
      <w:pPr>
        <w:spacing w:after="120" w:line="264" w:lineRule="auto"/>
        <w:rPr>
          <w:rFonts w:eastAsia="Times New Roman" w:cs="Times New Roman"/>
          <w:b/>
          <w:bCs/>
          <w:noProof/>
          <w:color w:val="000000"/>
          <w:szCs w:val="24"/>
        </w:rPr>
      </w:pPr>
      <w:r>
        <w:rPr>
          <w:rFonts w:eastAsia="Times New Roman" w:cs="Times New Roman"/>
          <w:b/>
          <w:bCs/>
          <w:noProof/>
          <w:color w:val="000000"/>
          <w:szCs w:val="24"/>
        </w:rPr>
        <w:t>Annex I</w:t>
      </w:r>
    </w:p>
    <w:p>
      <w:pPr>
        <w:spacing w:before="100" w:beforeAutospacing="1" w:afterAutospacing="1" w:line="264" w:lineRule="auto"/>
        <w:rPr>
          <w:rFonts w:eastAsia="Times New Roman" w:cs="Times New Roman"/>
          <w:b/>
          <w:bCs/>
          <w:noProof/>
          <w:color w:val="000000"/>
          <w:szCs w:val="24"/>
        </w:rPr>
      </w:pPr>
      <w:r>
        <w:rPr>
          <w:rFonts w:cs="Times New Roman"/>
          <w:b/>
          <w:noProof/>
          <w:szCs w:val="24"/>
        </w:rPr>
        <w:t xml:space="preserve">Lessons learned from </w:t>
      </w:r>
      <w:r>
        <w:rPr>
          <w:rFonts w:eastAsia="Times New Roman" w:cs="Times New Roman"/>
          <w:b/>
          <w:bCs/>
          <w:noProof/>
          <w:color w:val="000000"/>
          <w:szCs w:val="24"/>
        </w:rPr>
        <w:t>EU-backed financial instruments in the current programme:</w:t>
      </w:r>
    </w:p>
    <w:p>
      <w:pPr>
        <w:pStyle w:val="ListParagraph"/>
        <w:numPr>
          <w:ilvl w:val="0"/>
          <w:numId w:val="19"/>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 xml:space="preserve">From 2015 to 2017, the EIB group approved EUR 51.3bn under EFSI, 20% in energy </w:t>
      </w:r>
      <w:r>
        <w:rPr>
          <w:rStyle w:val="FootnoteReference"/>
          <w:rFonts w:eastAsia="Times New Roman" w:cs="Times New Roman"/>
          <w:bCs/>
          <w:noProof/>
          <w:color w:val="000000"/>
          <w:szCs w:val="24"/>
        </w:rPr>
        <w:footnoteReference w:id="120"/>
      </w:r>
      <w:r>
        <w:rPr>
          <w:rFonts w:eastAsia="Times New Roman" w:cs="Times New Roman"/>
          <w:bCs/>
          <w:noProof/>
          <w:color w:val="000000"/>
          <w:szCs w:val="24"/>
        </w:rPr>
        <w:t xml:space="preserve"> (11% in digital, 9% in transport</w:t>
      </w:r>
      <w:r>
        <w:rPr>
          <w:rStyle w:val="FootnoteReference"/>
          <w:rFonts w:eastAsia="Times New Roman" w:cs="Times New Roman"/>
          <w:bCs/>
          <w:noProof/>
          <w:color w:val="000000"/>
          <w:szCs w:val="24"/>
        </w:rPr>
        <w:footnoteReference w:id="121"/>
      </w:r>
      <w:r>
        <w:rPr>
          <w:rFonts w:eastAsia="Times New Roman" w:cs="Times New Roman"/>
          <w:bCs/>
          <w:noProof/>
          <w:color w:val="000000"/>
          <w:szCs w:val="24"/>
        </w:rPr>
        <w:t xml:space="preserve"> and 4% on environment and resource efficiency infrastructure. A substantial volume of finance is to be delivered through funds.</w:t>
      </w:r>
    </w:p>
    <w:p>
      <w:pPr>
        <w:pStyle w:val="ListParagraph"/>
        <w:numPr>
          <w:ilvl w:val="0"/>
          <w:numId w:val="19"/>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CEF Debt Instrument (CEF DI) to date manages a portfolio exceeding EUR 14 billion and 12 projects in the transport sector, ranging from PPP in the road and rail infrastructure sectors to maritime and inland ports and green shipping. The up-take of the CEF DI in the energy and broad band sectors has so far been more limited.</w:t>
      </w:r>
    </w:p>
    <w:p>
      <w:pPr>
        <w:spacing w:after="120" w:line="264" w:lineRule="auto"/>
        <w:ind w:left="720"/>
        <w:rPr>
          <w:rFonts w:cs="Times New Roman"/>
          <w:bCs/>
          <w:noProof/>
          <w:szCs w:val="24"/>
        </w:rPr>
      </w:pPr>
      <w:r>
        <w:rPr>
          <w:rFonts w:cs="Times New Roman"/>
          <w:bCs/>
          <w:noProof/>
          <w:szCs w:val="24"/>
        </w:rPr>
        <w:t>CEF DI</w:t>
      </w:r>
      <w:r>
        <w:rPr>
          <w:rStyle w:val="FootnoteReference"/>
          <w:rFonts w:eastAsia="Times New Roman" w:cs="Times New Roman"/>
          <w:bCs/>
          <w:noProof/>
          <w:color w:val="000000"/>
          <w:szCs w:val="24"/>
        </w:rPr>
        <w:footnoteReference w:id="122"/>
      </w:r>
      <w:r>
        <w:rPr>
          <w:rFonts w:cs="Times New Roman"/>
          <w:bCs/>
          <w:noProof/>
          <w:szCs w:val="24"/>
        </w:rPr>
        <w:t xml:space="preserve"> and EFSI have mobilised a comparable volume of investment so far, but have to some extent addressed different market failures. The fact that the CEF DI is delivered via products, some of which were tested under the previous instruments (LGTT and PBI) has meant that the CEF DI support took the form of subordinated products in the case of a high proportion of projects, or targeted instruments to address specific market failures (e.g. the Green Shipping Guarantee)</w:t>
      </w:r>
      <w:r>
        <w:rPr>
          <w:rFonts w:cs="Times New Roman"/>
          <w:bCs/>
          <w:noProof/>
          <w:szCs w:val="24"/>
          <w:vertAlign w:val="superscript"/>
        </w:rPr>
        <w:footnoteReference w:id="123"/>
      </w:r>
      <w:r>
        <w:rPr>
          <w:rFonts w:cs="Times New Roman"/>
          <w:bCs/>
          <w:noProof/>
          <w:szCs w:val="24"/>
        </w:rPr>
        <w:t xml:space="preserve">. </w:t>
      </w:r>
    </w:p>
    <w:p>
      <w:pPr>
        <w:spacing w:after="120" w:line="264" w:lineRule="auto"/>
        <w:ind w:left="720"/>
        <w:rPr>
          <w:rFonts w:cs="Times New Roman"/>
          <w:bCs/>
          <w:noProof/>
          <w:szCs w:val="24"/>
        </w:rPr>
      </w:pPr>
      <w:r>
        <w:rPr>
          <w:rFonts w:cs="Times New Roman"/>
          <w:bCs/>
          <w:noProof/>
          <w:szCs w:val="24"/>
        </w:rPr>
        <w:t>In general, the take up of the EFSI and CEF DI in the TEN-T rail infrastructure and cross-border infrastructure is still below expectations, mainly because the projects in the rail infrastructure struggle to show bankable business cases and the promoters are in general semi-public entities, and due to the complexities of projects to be implemented in cross-border jurisdictions.</w:t>
      </w:r>
    </w:p>
    <w:p>
      <w:pPr>
        <w:spacing w:after="120" w:line="264" w:lineRule="auto"/>
        <w:ind w:left="720"/>
        <w:rPr>
          <w:rFonts w:cs="Times New Roman"/>
          <w:bCs/>
          <w:noProof/>
          <w:szCs w:val="24"/>
        </w:rPr>
      </w:pPr>
      <w:r>
        <w:rPr>
          <w:rFonts w:cs="Times New Roman"/>
          <w:bCs/>
          <w:noProof/>
          <w:szCs w:val="24"/>
        </w:rPr>
        <w:t xml:space="preserve">There has been some level of substitution effect by EFSI of projects that would have been suitable for the CEF DI. EFSI has a wider scope than CEF DIs (and arguably less emphasis on projects of highest EU added value) as it does not specifically focus on the TEN networks or on infrastructure (for instance several operations relate to the purchase of aircraft, trains, buses which cannot be supported by the CEF DIs). </w:t>
      </w:r>
    </w:p>
    <w:p>
      <w:pPr>
        <w:spacing w:after="120" w:line="264" w:lineRule="auto"/>
        <w:ind w:left="720"/>
        <w:rPr>
          <w:rFonts w:cs="Times New Roman"/>
          <w:bCs/>
          <w:noProof/>
          <w:szCs w:val="24"/>
        </w:rPr>
      </w:pPr>
      <w:r>
        <w:rPr>
          <w:rFonts w:cs="Times New Roman"/>
          <w:bCs/>
          <w:noProof/>
          <w:szCs w:val="24"/>
        </w:rPr>
        <w:t>However, most operations eligible under the CEF DI are also eligible under EFSI and several important transport projects initially envisaged for the CEF DI were eventually financed through EFSI</w:t>
      </w:r>
      <w:r>
        <w:rPr>
          <w:rFonts w:cs="Times New Roman"/>
          <w:bCs/>
          <w:noProof/>
          <w:szCs w:val="24"/>
        </w:rPr>
        <w:footnoteReference w:id="124"/>
      </w:r>
      <w:r>
        <w:rPr>
          <w:rFonts w:cs="Times New Roman"/>
          <w:bCs/>
          <w:noProof/>
          <w:szCs w:val="24"/>
        </w:rPr>
        <w:t>. The approach taken for EFSI, whereby EU budget is used to provide a guarantee to the EIB or other financial institutions financing is the same approach as was taken by the CEF legacy financial instruments (i.e. PBI and LGTT) and the CEF FIs.</w:t>
      </w:r>
    </w:p>
    <w:p>
      <w:pPr>
        <w:pStyle w:val="PlainText"/>
        <w:spacing w:after="120" w:line="264"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The use of the CEF financial instruments is expected to take up during the second half of the programme when complementarity between the CEF specific financial instruments and EFSI have been ensured by the agreement in July 2016 on a policy note refocusing the sole of the CEF DI on clean transport, with an expected pipeline of 2.4bn. CEF DI will be focused on piloting thematic products and platforms such as green shipping</w:t>
      </w:r>
      <w:r>
        <w:rPr>
          <w:rStyle w:val="FootnoteReference"/>
          <w:rFonts w:ascii="Times New Roman" w:hAnsi="Times New Roman" w:cs="Times New Roman"/>
          <w:bCs/>
          <w:noProof/>
          <w:sz w:val="24"/>
          <w:szCs w:val="24"/>
        </w:rPr>
        <w:footnoteReference w:id="125"/>
      </w:r>
      <w:r>
        <w:rPr>
          <w:rFonts w:ascii="Times New Roman" w:hAnsi="Times New Roman" w:cs="Times New Roman"/>
          <w:bCs/>
          <w:noProof/>
          <w:sz w:val="24"/>
          <w:szCs w:val="24"/>
        </w:rPr>
        <w:t xml:space="preserve"> to be scaled up by EFSI, within the scope of the Cleaner Transport facility</w:t>
      </w:r>
      <w:r>
        <w:rPr>
          <w:rStyle w:val="FootnoteReference"/>
          <w:rFonts w:ascii="Times New Roman" w:hAnsi="Times New Roman" w:cs="Times New Roman"/>
          <w:bCs/>
          <w:noProof/>
          <w:sz w:val="24"/>
          <w:szCs w:val="24"/>
        </w:rPr>
        <w:footnoteReference w:id="126"/>
      </w:r>
      <w:r>
        <w:rPr>
          <w:rFonts w:ascii="Times New Roman" w:hAnsi="Times New Roman" w:cs="Times New Roman"/>
          <w:bCs/>
          <w:noProof/>
          <w:sz w:val="24"/>
          <w:szCs w:val="24"/>
        </w:rPr>
        <w:t>, and on transaction involving third countries, notably in the energy sector.</w:t>
      </w:r>
    </w:p>
    <w:p>
      <w:pPr>
        <w:pStyle w:val="PlainText"/>
        <w:spacing w:after="120" w:line="264"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In 2017 the CEF DI capacity to support the rolling out of renewable technologies in the transport sector have been reinforced by the Commission Decision (C(2017) 7656 final) to allow the use of up to 450M of NER300 funds thought the CEF DI and InnovFin EDP.</w:t>
      </w:r>
    </w:p>
    <w:p>
      <w:pPr>
        <w:pStyle w:val="ListParagraph"/>
        <w:numPr>
          <w:ilvl w:val="0"/>
          <w:numId w:val="19"/>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On energy efficiency, the PF4EE instrument targets projects which support the implementation of National Energy Efficiency Action Plans or other energy efficiency programmes of EU Member States. To date the EIB have signed operations in The Czech Republic, Spain, France, Belgium, Italy, Portugal, Croatia, Greece and Cyprus, generating a portfolio worth of EUR 713M of investment. The final recipient leverage effect would be 14.5 against an initial target of 8.</w:t>
      </w:r>
      <w:r>
        <w:rPr>
          <w:rFonts w:eastAsia="Times New Roman" w:cs="Times New Roman"/>
          <w:bCs/>
          <w:noProof/>
          <w:szCs w:val="24"/>
        </w:rPr>
        <w:t xml:space="preserve"> EEEF with </w:t>
      </w:r>
      <w:r>
        <w:rPr>
          <w:rFonts w:cs="Times New Roman"/>
          <w:noProof/>
          <w:szCs w:val="24"/>
        </w:rPr>
        <w:t xml:space="preserve">EUR 130.3 million in 12 projects, in 7 Member states </w:t>
      </w:r>
      <w:r>
        <w:rPr>
          <w:rFonts w:eastAsia="Times New Roman" w:cs="Times New Roman"/>
          <w:bCs/>
          <w:noProof/>
          <w:szCs w:val="24"/>
        </w:rPr>
        <w:t xml:space="preserve">has worked with municipalities, as it is setup to finance EER and </w:t>
      </w:r>
      <w:r>
        <w:rPr>
          <w:rFonts w:eastAsia="Times New Roman" w:cs="Times New Roman"/>
          <w:bCs/>
          <w:noProof/>
          <w:color w:val="000000"/>
          <w:szCs w:val="24"/>
        </w:rPr>
        <w:t>RES projects for public entities at local government level. The Fund has faced is the limited number of ongoing projects and the difficulty to attract a substantial number of new ones. EEEF also helped the Commission learn that the closing of projects is facilitated if technical support is tied to use of the fund.</w:t>
      </w:r>
    </w:p>
    <w:p>
      <w:pPr>
        <w:spacing w:after="120" w:line="264" w:lineRule="auto"/>
        <w:rPr>
          <w:rFonts w:eastAsia="Times New Roman" w:cs="Times New Roman"/>
          <w:bCs/>
          <w:noProof/>
          <w:color w:val="000000"/>
          <w:szCs w:val="24"/>
        </w:rPr>
      </w:pPr>
      <w:r>
        <w:rPr>
          <w:rFonts w:cs="Times New Roman"/>
          <w:noProof/>
          <w:szCs w:val="24"/>
        </w:rPr>
        <w:t xml:space="preserve">Under the NCFF, LIFE provides 10M EUR of technical assistance, and a guarantee of 50M EUR to support EIB investments (loans and equity) of up to 125M EUR that contribute to biodiversity and/or climate change adaptation objectives. </w:t>
      </w:r>
    </w:p>
    <w:p>
      <w:pPr>
        <w:spacing w:after="120" w:line="264" w:lineRule="auto"/>
        <w:rPr>
          <w:rFonts w:eastAsia="Times New Roman" w:cs="Times New Roman"/>
          <w:noProof/>
          <w:color w:val="000000"/>
          <w:szCs w:val="24"/>
        </w:rPr>
      </w:pPr>
      <w:r>
        <w:rPr>
          <w:rFonts w:cs="Times New Roman"/>
          <w:noProof/>
          <w:color w:val="000000" w:themeColor="text1"/>
          <w:szCs w:val="24"/>
        </w:rPr>
        <w:t xml:space="preserve">It aims at establishing a pipeline of some 9 to 12 replicable, bankable operations that will serve as a "proof of concept" and demonstrate to private and public investors the attractiveness of such investments. This represents an innovation which, if successful, could drive the architecture of natural capital financing. Although development of the pipeline has been slow, the pace is picking up with three operations now signed, 5 additional ones in the pipeline, and 9 more currently under scrutiny by EIB. </w:t>
      </w:r>
    </w:p>
    <w:p>
      <w:pPr>
        <w:spacing w:after="120" w:line="264" w:lineRule="auto"/>
        <w:rPr>
          <w:rFonts w:eastAsia="Times New Roman" w:cs="Times New Roman"/>
          <w:noProof/>
          <w:color w:val="000000"/>
          <w:szCs w:val="24"/>
        </w:rPr>
      </w:pPr>
      <w:r>
        <w:rPr>
          <w:rFonts w:cs="Times New Roman"/>
          <w:noProof/>
          <w:color w:val="000000" w:themeColor="text1"/>
          <w:szCs w:val="24"/>
        </w:rPr>
        <w:t>Recommendations from the LIFE mid-term review have been implemented including increasing visibility and promotion, and operationalisation of the support facility. The implementation period had been extended until 2021 and the 2018-2020 LIFE programme foresees a new guarantee window. Experience so far with NCFF shows that there is a niche for investments in ecosystem-based natural capital investments, though it is important to develop a pipeline to share the experience and demonstrate the opportunities more widely. The LIFE mid-term evaluation also recommended to consider options for blending.</w:t>
      </w:r>
    </w:p>
    <w:p>
      <w:pPr>
        <w:pStyle w:val="ListParagraph"/>
        <w:numPr>
          <w:ilvl w:val="0"/>
          <w:numId w:val="19"/>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On the equity side, the Marguerite Fund has invested 31% to the TEN-T eligible projects, in the areas of road PPP and airport, 55% in the energy sector including renewable 14% in ICT. Marguerite II will continue focusing on both new (“greenfield”) and expansion to existing (“brownfield”) infrastructure investments in renewables, energy, transport and digital infrastructure. At the end of the investment period of the Marguerite Fund, the Fund invested EUR 745m in 13 Member States.</w:t>
      </w:r>
    </w:p>
    <w:p>
      <w:pPr>
        <w:pStyle w:val="ListParagraph"/>
        <w:numPr>
          <w:ilvl w:val="0"/>
          <w:numId w:val="19"/>
        </w:numPr>
        <w:spacing w:after="120" w:line="264" w:lineRule="auto"/>
        <w:contextualSpacing w:val="0"/>
        <w:rPr>
          <w:rFonts w:eastAsia="Times New Roman" w:cs="Times New Roman"/>
          <w:noProof/>
          <w:color w:val="000000"/>
          <w:szCs w:val="24"/>
        </w:rPr>
      </w:pPr>
      <w:r>
        <w:rPr>
          <w:rFonts w:eastAsia="Times New Roman" w:cs="Times New Roman"/>
          <w:bCs/>
          <w:noProof/>
          <w:color w:val="000000"/>
          <w:szCs w:val="24"/>
        </w:rPr>
        <w:t xml:space="preserve">The Connecting Europe Broadband Fund is expected to set a good precedent as regards the governance structure - where the lack of control by public shareholders over individual investment decisions is set off against strict eligibility criteria. On the other hand, the layered structure of the Fund, while maximising leverage, generated protracted negotiations and a relatively unattractive remuneration for private investors. In general, the experience of the current MFF shows that we need to be able to adjust the instruments, throughout a programming period, to the overall economic environment and, if possible, to market fluctuations. </w:t>
      </w:r>
    </w:p>
    <w:p>
      <w:pPr>
        <w:spacing w:after="0" w:line="264" w:lineRule="auto"/>
        <w:rPr>
          <w:rFonts w:cs="Times New Roman"/>
          <w:b/>
          <w:bCs/>
          <w:noProof/>
          <w:szCs w:val="24"/>
        </w:rPr>
      </w:pPr>
    </w:p>
    <w:p>
      <w:pPr>
        <w:spacing w:after="0" w:line="264" w:lineRule="auto"/>
        <w:rPr>
          <w:rFonts w:cs="Times New Roman"/>
          <w:b/>
          <w:bCs/>
          <w:noProof/>
          <w:szCs w:val="24"/>
        </w:rPr>
      </w:pPr>
      <w:r>
        <w:rPr>
          <w:rFonts w:cs="Times New Roman"/>
          <w:b/>
          <w:bCs/>
          <w:noProof/>
          <w:szCs w:val="24"/>
        </w:rPr>
        <w:t xml:space="preserve">Annex II </w:t>
      </w:r>
    </w:p>
    <w:p>
      <w:pPr>
        <w:spacing w:after="120" w:line="264" w:lineRule="auto"/>
        <w:rPr>
          <w:rFonts w:cs="Times New Roman"/>
          <w:bCs/>
          <w:noProof/>
          <w:szCs w:val="24"/>
        </w:rPr>
      </w:pPr>
      <w:r>
        <w:rPr>
          <w:rFonts w:cs="Times New Roman"/>
          <w:bCs/>
          <w:noProof/>
          <w:szCs w:val="24"/>
        </w:rPr>
        <w:t xml:space="preserve">Whilst progress has been made in supporting sustainable infrastructures, including for example low carbon network related investments in the framework of the CEF, EU support is expected to be scaled up if significantly in line with its commitments under the Un Agenda 2030 and the Paris Agreement as the related EU objectives embedded in the environmental acquis such as the energy and climate objectives for 2030 are to be fulfilled. </w:t>
      </w:r>
    </w:p>
    <w:p>
      <w:pPr>
        <w:spacing w:after="120" w:line="264" w:lineRule="auto"/>
        <w:rPr>
          <w:rFonts w:cs="Times New Roman"/>
          <w:bCs/>
          <w:noProof/>
          <w:szCs w:val="24"/>
        </w:rPr>
      </w:pPr>
      <w:r>
        <w:rPr>
          <w:rFonts w:cs="Times New Roman"/>
          <w:bCs/>
          <w:noProof/>
          <w:szCs w:val="24"/>
        </w:rPr>
        <w:t>In this regard, and whilst mainstreaming environmental and climate objectives are expected to remain a standing of not reinforced requirement, the following areas are identified:</w:t>
      </w:r>
    </w:p>
    <w:p>
      <w:pPr>
        <w:numPr>
          <w:ilvl w:val="0"/>
          <w:numId w:val="20"/>
        </w:numPr>
        <w:spacing w:after="120" w:line="264" w:lineRule="auto"/>
        <w:rPr>
          <w:rFonts w:cs="Times New Roman"/>
          <w:bCs/>
          <w:noProof/>
          <w:szCs w:val="24"/>
        </w:rPr>
      </w:pPr>
      <w:r>
        <w:rPr>
          <w:rFonts w:cs="Times New Roman"/>
          <w:bCs/>
          <w:noProof/>
          <w:szCs w:val="24"/>
        </w:rPr>
        <w:t>Transmission infrastructure, including interconnectors and distribution networks</w:t>
      </w:r>
    </w:p>
    <w:p>
      <w:pPr>
        <w:numPr>
          <w:ilvl w:val="0"/>
          <w:numId w:val="20"/>
        </w:numPr>
        <w:spacing w:after="120" w:line="264" w:lineRule="auto"/>
        <w:rPr>
          <w:rFonts w:cs="Times New Roman"/>
          <w:bCs/>
          <w:noProof/>
          <w:szCs w:val="24"/>
        </w:rPr>
      </w:pPr>
      <w:r>
        <w:rPr>
          <w:rFonts w:cs="Times New Roman"/>
          <w:bCs/>
          <w:noProof/>
          <w:szCs w:val="24"/>
        </w:rPr>
        <w:t>Smart grids (with close links to digitalisation and cybersecurity)</w:t>
      </w:r>
    </w:p>
    <w:p>
      <w:pPr>
        <w:numPr>
          <w:ilvl w:val="0"/>
          <w:numId w:val="20"/>
        </w:numPr>
        <w:spacing w:after="120" w:line="264" w:lineRule="auto"/>
        <w:rPr>
          <w:rFonts w:cs="Times New Roman"/>
          <w:bCs/>
          <w:noProof/>
          <w:szCs w:val="24"/>
        </w:rPr>
      </w:pPr>
      <w:r>
        <w:rPr>
          <w:rFonts w:cs="Times New Roman"/>
          <w:bCs/>
          <w:noProof/>
          <w:szCs w:val="24"/>
        </w:rPr>
        <w:t xml:space="preserve">Renewable energy (eg all forms of offshore energy, regionally important) </w:t>
      </w:r>
    </w:p>
    <w:p>
      <w:pPr>
        <w:numPr>
          <w:ilvl w:val="0"/>
          <w:numId w:val="20"/>
        </w:numPr>
        <w:spacing w:after="120" w:line="264" w:lineRule="auto"/>
        <w:rPr>
          <w:rFonts w:cs="Times New Roman"/>
          <w:bCs/>
          <w:noProof/>
          <w:szCs w:val="24"/>
        </w:rPr>
      </w:pPr>
      <w:r>
        <w:rPr>
          <w:rFonts w:cs="Times New Roman"/>
          <w:bCs/>
          <w:noProof/>
          <w:szCs w:val="24"/>
        </w:rPr>
        <w:t>Energy efficiency projects (developing embryonic markets and integrating the sector into the mainstream capital market)</w:t>
      </w:r>
    </w:p>
    <w:p>
      <w:pPr>
        <w:numPr>
          <w:ilvl w:val="0"/>
          <w:numId w:val="20"/>
        </w:numPr>
        <w:spacing w:after="120" w:line="264" w:lineRule="auto"/>
        <w:rPr>
          <w:rFonts w:cs="Times New Roman"/>
          <w:bCs/>
          <w:noProof/>
          <w:szCs w:val="24"/>
        </w:rPr>
      </w:pPr>
      <w:r>
        <w:rPr>
          <w:rFonts w:cs="Times New Roman"/>
          <w:bCs/>
          <w:noProof/>
          <w:szCs w:val="24"/>
        </w:rPr>
        <w:t>Storage technologies (including power-to-gas,)</w:t>
      </w:r>
    </w:p>
    <w:p>
      <w:pPr>
        <w:numPr>
          <w:ilvl w:val="0"/>
          <w:numId w:val="20"/>
        </w:numPr>
        <w:spacing w:after="120" w:line="264" w:lineRule="auto"/>
        <w:rPr>
          <w:rFonts w:cs="Times New Roman"/>
          <w:bCs/>
          <w:noProof/>
          <w:szCs w:val="24"/>
        </w:rPr>
      </w:pPr>
      <w:r>
        <w:rPr>
          <w:rFonts w:cs="Times New Roman"/>
          <w:bCs/>
          <w:noProof/>
          <w:szCs w:val="24"/>
        </w:rPr>
        <w:t xml:space="preserve">Hydrogen infrastructure (with ,links to alternative fuels) </w:t>
      </w:r>
    </w:p>
    <w:p>
      <w:pPr>
        <w:numPr>
          <w:ilvl w:val="0"/>
          <w:numId w:val="20"/>
        </w:numPr>
        <w:spacing w:after="120" w:line="264" w:lineRule="auto"/>
        <w:rPr>
          <w:rFonts w:cs="Times New Roman"/>
          <w:bCs/>
          <w:noProof/>
          <w:szCs w:val="24"/>
        </w:rPr>
      </w:pPr>
      <w:r>
        <w:rPr>
          <w:rFonts w:cs="Times New Roman"/>
          <w:bCs/>
          <w:noProof/>
          <w:szCs w:val="24"/>
        </w:rPr>
        <w:t>CCS/U infrastructure</w:t>
      </w:r>
    </w:p>
    <w:p>
      <w:pPr>
        <w:spacing w:after="120" w:line="264" w:lineRule="auto"/>
        <w:rPr>
          <w:rFonts w:cs="Times New Roman"/>
          <w:bCs/>
          <w:noProof/>
          <w:szCs w:val="24"/>
        </w:rPr>
      </w:pPr>
      <w:r>
        <w:rPr>
          <w:rFonts w:cs="Times New Roman"/>
          <w:bCs/>
          <w:noProof/>
          <w:szCs w:val="24"/>
        </w:rPr>
        <w:t>In transport specifically, the following areas are identified inter alia:</w:t>
      </w:r>
    </w:p>
    <w:p>
      <w:pPr>
        <w:numPr>
          <w:ilvl w:val="0"/>
          <w:numId w:val="21"/>
        </w:numPr>
        <w:spacing w:after="120" w:line="264" w:lineRule="auto"/>
        <w:ind w:left="760" w:hanging="357"/>
        <w:rPr>
          <w:rFonts w:cs="Times New Roman"/>
          <w:bCs/>
          <w:noProof/>
          <w:szCs w:val="24"/>
        </w:rPr>
      </w:pPr>
      <w:r>
        <w:rPr>
          <w:rFonts w:cs="Times New Roman"/>
          <w:bCs/>
          <w:noProof/>
          <w:szCs w:val="24"/>
        </w:rPr>
        <w:t>Mobile assets for the land, inland navigation, and maritime sector (e.g. scale up current projects and schemes in the scope of Cleaner Transport Facility and green shipping including zero emission for ships, e-navigation) and the rail sector (e.g. rolling stocks)</w:t>
      </w:r>
    </w:p>
    <w:p>
      <w:pPr>
        <w:numPr>
          <w:ilvl w:val="0"/>
          <w:numId w:val="21"/>
        </w:numPr>
        <w:spacing w:after="120" w:line="264" w:lineRule="auto"/>
        <w:ind w:left="760" w:hanging="357"/>
        <w:rPr>
          <w:rFonts w:cs="Times New Roman"/>
          <w:bCs/>
          <w:noProof/>
          <w:szCs w:val="24"/>
        </w:rPr>
      </w:pPr>
      <w:r>
        <w:rPr>
          <w:rFonts w:cs="Times New Roman"/>
          <w:bCs/>
          <w:noProof/>
          <w:szCs w:val="24"/>
        </w:rPr>
        <w:t>Deployment of alternative fuels infrastructures (e.g. e-charging, with close links to need for reinforced and smart grid infrastructure)</w:t>
      </w:r>
    </w:p>
    <w:p>
      <w:pPr>
        <w:numPr>
          <w:ilvl w:val="0"/>
          <w:numId w:val="21"/>
        </w:numPr>
        <w:spacing w:after="120" w:line="264" w:lineRule="auto"/>
        <w:rPr>
          <w:rFonts w:cs="Times New Roman"/>
          <w:bCs/>
          <w:noProof/>
          <w:szCs w:val="24"/>
        </w:rPr>
      </w:pPr>
      <w:r>
        <w:rPr>
          <w:rFonts w:cs="Times New Roman"/>
          <w:bCs/>
          <w:noProof/>
          <w:szCs w:val="24"/>
        </w:rPr>
        <w:t>New and upgrading of TEN-T infrastructure, including in rail, inland navigation and maritime, and urban nodes,</w:t>
      </w:r>
      <w:r>
        <w:rPr>
          <w:rFonts w:cs="Times New Roman"/>
          <w:noProof/>
          <w:szCs w:val="24"/>
        </w:rPr>
        <w:t xml:space="preserve"> </w:t>
      </w:r>
      <w:r>
        <w:rPr>
          <w:rFonts w:cs="Times New Roman"/>
          <w:bCs/>
          <w:noProof/>
          <w:szCs w:val="24"/>
        </w:rPr>
        <w:t>and traffic management systems (e.g. ERTMS, SESAR, ITS), notably for investments that make use of private financing in their financial structure.</w:t>
      </w:r>
    </w:p>
    <w:p>
      <w:pPr>
        <w:spacing w:after="120" w:line="264" w:lineRule="auto"/>
        <w:rPr>
          <w:rFonts w:cs="Times New Roman"/>
          <w:bCs/>
          <w:noProof/>
          <w:szCs w:val="24"/>
        </w:rPr>
      </w:pPr>
      <w:r>
        <w:rPr>
          <w:rFonts w:cs="Times New Roman"/>
          <w:bCs/>
          <w:noProof/>
          <w:szCs w:val="24"/>
        </w:rPr>
        <w:t>In specific "environment" sectors eligible investment should include support to investments that are compatible with the circular economy such as:</w:t>
      </w:r>
    </w:p>
    <w:p>
      <w:pPr>
        <w:numPr>
          <w:ilvl w:val="0"/>
          <w:numId w:val="22"/>
        </w:numPr>
        <w:spacing w:after="120" w:line="264" w:lineRule="auto"/>
        <w:rPr>
          <w:rFonts w:cs="Times New Roman"/>
          <w:bCs/>
          <w:noProof/>
          <w:szCs w:val="24"/>
        </w:rPr>
      </w:pPr>
      <w:r>
        <w:rPr>
          <w:rFonts w:cs="Times New Roman"/>
          <w:bCs/>
          <w:noProof/>
          <w:szCs w:val="24"/>
        </w:rPr>
        <w:t>Water infrastructure, including flood management</w:t>
      </w:r>
    </w:p>
    <w:p>
      <w:pPr>
        <w:numPr>
          <w:ilvl w:val="0"/>
          <w:numId w:val="22"/>
        </w:numPr>
        <w:spacing w:after="120" w:line="264" w:lineRule="auto"/>
        <w:rPr>
          <w:rFonts w:cs="Times New Roman"/>
          <w:bCs/>
          <w:noProof/>
          <w:szCs w:val="24"/>
        </w:rPr>
      </w:pPr>
      <w:r>
        <w:rPr>
          <w:rFonts w:cs="Times New Roman"/>
          <w:bCs/>
          <w:noProof/>
          <w:szCs w:val="24"/>
        </w:rPr>
        <w:t>Waste, including recycling and re-use businesses</w:t>
      </w:r>
    </w:p>
    <w:p>
      <w:pPr>
        <w:numPr>
          <w:ilvl w:val="0"/>
          <w:numId w:val="22"/>
        </w:numPr>
        <w:spacing w:after="120" w:line="264" w:lineRule="auto"/>
        <w:rPr>
          <w:rFonts w:cs="Times New Roman"/>
          <w:bCs/>
          <w:noProof/>
          <w:szCs w:val="24"/>
        </w:rPr>
      </w:pPr>
      <w:r>
        <w:rPr>
          <w:rFonts w:cs="Times New Roman"/>
          <w:bCs/>
          <w:noProof/>
          <w:szCs w:val="24"/>
        </w:rPr>
        <w:t xml:space="preserve">Construction (new circular economy business models also based on extended producer responsibility, full re-use design and zero waste, non-toxic material) </w:t>
      </w:r>
    </w:p>
    <w:p>
      <w:pPr>
        <w:numPr>
          <w:ilvl w:val="0"/>
          <w:numId w:val="22"/>
        </w:numPr>
        <w:spacing w:after="120" w:line="264" w:lineRule="auto"/>
        <w:rPr>
          <w:rFonts w:cs="Times New Roman"/>
          <w:bCs/>
          <w:noProof/>
          <w:szCs w:val="24"/>
        </w:rPr>
      </w:pPr>
      <w:r>
        <w:rPr>
          <w:rFonts w:cs="Times New Roman"/>
          <w:bCs/>
          <w:noProof/>
          <w:szCs w:val="24"/>
        </w:rPr>
        <w:t>Environmentally sustainable investment solution related to agriculture, forestry, and fisheries.</w:t>
      </w:r>
    </w:p>
    <w:p>
      <w:pPr>
        <w:numPr>
          <w:ilvl w:val="0"/>
          <w:numId w:val="22"/>
        </w:numPr>
        <w:spacing w:after="120" w:line="264" w:lineRule="auto"/>
        <w:rPr>
          <w:rFonts w:cs="Times New Roman"/>
          <w:bCs/>
          <w:noProof/>
          <w:szCs w:val="24"/>
        </w:rPr>
      </w:pPr>
      <w:r>
        <w:rPr>
          <w:rFonts w:cs="Times New Roman"/>
          <w:bCs/>
          <w:noProof/>
          <w:szCs w:val="24"/>
        </w:rPr>
        <w:t>New emerging assets: nature and nature-based solutions, and/or other than project financing</w:t>
      </w:r>
      <w:r>
        <w:rPr>
          <w:rFonts w:cs="Times New Roman"/>
          <w:bCs/>
          <w:noProof/>
          <w:szCs w:val="24"/>
          <w:vertAlign w:val="superscript"/>
        </w:rPr>
        <w:footnoteReference w:id="127"/>
      </w:r>
    </w:p>
    <w:p>
      <w:pPr>
        <w:numPr>
          <w:ilvl w:val="0"/>
          <w:numId w:val="22"/>
        </w:numPr>
        <w:spacing w:after="120" w:line="264" w:lineRule="auto"/>
        <w:rPr>
          <w:rFonts w:cs="Times New Roman"/>
          <w:bCs/>
          <w:noProof/>
          <w:szCs w:val="24"/>
        </w:rPr>
      </w:pPr>
      <w:r>
        <w:rPr>
          <w:rFonts w:eastAsia="Times New Roman" w:cs="Times New Roman"/>
          <w:bCs/>
          <w:noProof/>
          <w:color w:val="000000"/>
          <w:szCs w:val="24"/>
        </w:rPr>
        <w:t>Projects in the area of natural capital tend to have a largely public benefit dimension, delivering public goods In this respect, offering a broad range of 'patient capital' instruments at EU level can help. "Fund of Fund" type solutions may also be considered</w:t>
      </w:r>
      <w:r>
        <w:rPr>
          <w:rFonts w:eastAsia="Times New Roman" w:cs="Times New Roman"/>
          <w:bCs/>
          <w:noProof/>
          <w:color w:val="000000"/>
          <w:szCs w:val="24"/>
          <w:vertAlign w:val="superscript"/>
        </w:rPr>
        <w:footnoteReference w:id="128"/>
      </w:r>
    </w:p>
    <w:p>
      <w:pPr>
        <w:spacing w:after="120" w:line="264" w:lineRule="auto"/>
        <w:rPr>
          <w:rFonts w:cs="Times New Roman"/>
          <w:bCs/>
          <w:noProof/>
          <w:szCs w:val="24"/>
        </w:rPr>
      </w:pPr>
      <w:r>
        <w:rPr>
          <w:rFonts w:cs="Times New Roman"/>
          <w:bCs/>
          <w:noProof/>
          <w:szCs w:val="24"/>
        </w:rPr>
        <w:t>In blue economy specifically, the following areas are identified inter alia:</w:t>
      </w:r>
    </w:p>
    <w:p>
      <w:pPr>
        <w:numPr>
          <w:ilvl w:val="0"/>
          <w:numId w:val="24"/>
        </w:numPr>
        <w:spacing w:after="120" w:line="264" w:lineRule="auto"/>
        <w:jc w:val="left"/>
        <w:rPr>
          <w:rFonts w:cs="Times New Roman"/>
          <w:noProof/>
          <w:szCs w:val="24"/>
        </w:rPr>
      </w:pPr>
      <w:r>
        <w:rPr>
          <w:rFonts w:cs="Times New Roman"/>
          <w:noProof/>
          <w:szCs w:val="24"/>
        </w:rPr>
        <w:t xml:space="preserve">Multiple use infrastructure - e.g. newly build port infrastructure need to be climate proof, </w:t>
      </w:r>
    </w:p>
    <w:p>
      <w:pPr>
        <w:numPr>
          <w:ilvl w:val="0"/>
          <w:numId w:val="24"/>
        </w:numPr>
        <w:spacing w:after="120" w:line="264" w:lineRule="auto"/>
        <w:jc w:val="left"/>
        <w:rPr>
          <w:rFonts w:cs="Times New Roman"/>
          <w:noProof/>
          <w:szCs w:val="24"/>
        </w:rPr>
      </w:pPr>
      <w:r>
        <w:rPr>
          <w:rFonts w:cs="Times New Roman"/>
          <w:noProof/>
          <w:szCs w:val="24"/>
        </w:rPr>
        <w:t xml:space="preserve">Maritime equipment and technologies: smart infrastructure maintenance – e.g. UAV </w:t>
      </w:r>
    </w:p>
    <w:p>
      <w:pPr>
        <w:numPr>
          <w:ilvl w:val="0"/>
          <w:numId w:val="24"/>
        </w:numPr>
        <w:spacing w:after="120" w:line="264" w:lineRule="auto"/>
        <w:jc w:val="left"/>
        <w:rPr>
          <w:rFonts w:cs="Times New Roman"/>
          <w:noProof/>
          <w:szCs w:val="24"/>
        </w:rPr>
      </w:pPr>
      <w:r>
        <w:rPr>
          <w:rFonts w:cs="Times New Roman"/>
          <w:noProof/>
          <w:szCs w:val="24"/>
        </w:rPr>
        <w:t>Coastal protection &amp; resilience, coastal and maritime engineering - e.g. building with nature</w:t>
      </w:r>
    </w:p>
    <w:p>
      <w:pPr>
        <w:numPr>
          <w:ilvl w:val="0"/>
          <w:numId w:val="24"/>
        </w:numPr>
        <w:spacing w:after="120" w:line="264" w:lineRule="auto"/>
        <w:jc w:val="left"/>
        <w:rPr>
          <w:rFonts w:cs="Times New Roman"/>
          <w:noProof/>
          <w:szCs w:val="24"/>
        </w:rPr>
      </w:pPr>
      <w:r>
        <w:rPr>
          <w:rFonts w:cs="Times New Roman"/>
          <w:noProof/>
          <w:szCs w:val="24"/>
        </w:rPr>
        <w:t>Measures to tackle invasive species including related port facilities</w:t>
      </w:r>
    </w:p>
    <w:p>
      <w:pPr>
        <w:numPr>
          <w:ilvl w:val="0"/>
          <w:numId w:val="24"/>
        </w:numPr>
        <w:spacing w:after="120" w:line="264" w:lineRule="auto"/>
        <w:jc w:val="left"/>
        <w:rPr>
          <w:rFonts w:cs="Times New Roman"/>
          <w:noProof/>
          <w:szCs w:val="24"/>
        </w:rPr>
      </w:pPr>
      <w:r>
        <w:rPr>
          <w:rFonts w:cs="Times New Roman"/>
          <w:noProof/>
          <w:szCs w:val="24"/>
        </w:rPr>
        <w:t>Coastal and maritime tourism – e.g. sustainable and eco- tourism infrastructure, sustainable cruise ships</w:t>
      </w:r>
    </w:p>
    <w:p>
      <w:pPr>
        <w:pStyle w:val="ListParagraph"/>
        <w:spacing w:after="120" w:line="264" w:lineRule="auto"/>
        <w:ind w:left="0"/>
        <w:contextualSpacing w:val="0"/>
        <w:rPr>
          <w:rFonts w:cs="Times New Roman"/>
          <w:noProof/>
          <w:szCs w:val="24"/>
        </w:rPr>
      </w:pPr>
      <w:r>
        <w:rPr>
          <w:rFonts w:cs="Times New Roman"/>
          <w:noProof/>
          <w:szCs w:val="24"/>
        </w:rPr>
        <w:t>In telecommunications specifically, the following areas are identified:</w:t>
      </w:r>
    </w:p>
    <w:p>
      <w:pPr>
        <w:pStyle w:val="ListParagraph"/>
        <w:numPr>
          <w:ilvl w:val="0"/>
          <w:numId w:val="23"/>
        </w:numPr>
        <w:spacing w:after="120" w:line="264" w:lineRule="auto"/>
        <w:contextualSpacing w:val="0"/>
        <w:rPr>
          <w:rFonts w:cs="Times New Roman"/>
          <w:noProof/>
          <w:szCs w:val="24"/>
        </w:rPr>
      </w:pPr>
      <w:r>
        <w:rPr>
          <w:rFonts w:cs="Times New Roman"/>
          <w:noProof/>
          <w:szCs w:val="24"/>
        </w:rPr>
        <w:t>Deployment of very high capacity networks in areas with milder market failures (e.g. low income urban areas, middle income peri-urban and rural areas)</w:t>
      </w:r>
    </w:p>
    <w:p>
      <w:pPr>
        <w:pStyle w:val="ListParagraph"/>
        <w:numPr>
          <w:ilvl w:val="0"/>
          <w:numId w:val="23"/>
        </w:numPr>
        <w:spacing w:after="120" w:line="264" w:lineRule="auto"/>
        <w:contextualSpacing w:val="0"/>
        <w:rPr>
          <w:rFonts w:cs="Times New Roman"/>
          <w:noProof/>
          <w:szCs w:val="24"/>
        </w:rPr>
      </w:pPr>
      <w:r>
        <w:rPr>
          <w:rFonts w:cs="Times New Roman"/>
          <w:noProof/>
          <w:szCs w:val="24"/>
        </w:rPr>
        <w:t>Full coverage with 5G networks along major terrestrial transport paths.</w:t>
      </w:r>
    </w:p>
    <w:p>
      <w:pPr>
        <w:spacing w:after="120" w:line="264" w:lineRule="auto"/>
        <w:rPr>
          <w:rFonts w:eastAsia="Times New Roman" w:cs="Times New Roman"/>
          <w:bCs/>
          <w:noProof/>
          <w:color w:val="000000"/>
          <w:szCs w:val="24"/>
        </w:rPr>
      </w:pPr>
      <w:r>
        <w:rPr>
          <w:rFonts w:eastAsia="Times New Roman" w:cs="Times New Roman"/>
          <w:bCs/>
          <w:noProof/>
          <w:color w:val="000000"/>
          <w:szCs w:val="24"/>
        </w:rPr>
        <w:t>In the Space sector:</w:t>
      </w:r>
    </w:p>
    <w:p>
      <w:pPr>
        <w:pStyle w:val="ListParagraph"/>
        <w:numPr>
          <w:ilvl w:val="0"/>
          <w:numId w:val="25"/>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 xml:space="preserve">regarding the infrastructure the target sector would be the upstream part of the space value chain (e.g. equipment/component supply, large-scale integration of satellite/launchers). </w:t>
      </w:r>
    </w:p>
    <w:p>
      <w:pPr>
        <w:pStyle w:val="ListParagraph"/>
        <w:numPr>
          <w:ilvl w:val="0"/>
          <w:numId w:val="25"/>
        </w:numPr>
        <w:spacing w:after="120" w:line="264" w:lineRule="auto"/>
        <w:contextualSpacing w:val="0"/>
        <w:rPr>
          <w:rFonts w:eastAsia="Times New Roman" w:cs="Times New Roman"/>
          <w:bCs/>
          <w:noProof/>
          <w:color w:val="000000"/>
          <w:szCs w:val="24"/>
        </w:rPr>
      </w:pPr>
      <w:r>
        <w:rPr>
          <w:rFonts w:eastAsia="Times New Roman" w:cs="Times New Roman"/>
          <w:bCs/>
          <w:noProof/>
          <w:color w:val="000000"/>
          <w:szCs w:val="24"/>
        </w:rPr>
        <w:t>regarding climate, the target sector would be the end-to-end system that is under preparation in the context of the evolution of the Copernicus programme for the monitoring of anthropogenic greenhouse gas emissions.</w:t>
      </w:r>
    </w:p>
    <w:p>
      <w:pPr>
        <w:spacing w:after="120" w:line="264" w:lineRule="auto"/>
        <w:jc w:val="left"/>
        <w:rPr>
          <w:rFonts w:eastAsia="Times New Roman" w:cs="Times New Roman"/>
          <w:b/>
          <w:noProof/>
          <w:color w:val="000000"/>
          <w:szCs w:val="24"/>
        </w:rPr>
      </w:pPr>
      <w:r>
        <w:rPr>
          <w:rFonts w:cs="Times New Roman"/>
          <w:bCs/>
          <w:noProof/>
          <w:color w:val="000000"/>
          <w:szCs w:val="24"/>
        </w:rPr>
        <w:br w:type="page"/>
      </w:r>
    </w:p>
    <w:p>
      <w:pPr>
        <w:spacing w:line="264" w:lineRule="auto"/>
        <w:rPr>
          <w:rFonts w:cs="Times New Roman"/>
          <w:noProof/>
          <w:szCs w:val="24"/>
          <w:u w:val="single"/>
        </w:rPr>
      </w:pPr>
      <w:bookmarkStart w:id="9297" w:name="_Toc508724950"/>
      <w:bookmarkStart w:id="9298" w:name="_Toc508733493"/>
      <w:bookmarkStart w:id="9299" w:name="_Toc508735126"/>
      <w:bookmarkStart w:id="9300" w:name="_Toc508809749"/>
      <w:bookmarkStart w:id="9301" w:name="_Toc509069284"/>
      <w:bookmarkStart w:id="9302" w:name="_Toc509313303"/>
      <w:bookmarkStart w:id="9303" w:name="_Ref508112965"/>
      <w:bookmarkStart w:id="9304" w:name="_Toc508287441"/>
      <w:r>
        <w:rPr>
          <w:rFonts w:cs="Times New Roman"/>
          <w:b/>
          <w:noProof/>
          <w:szCs w:val="24"/>
          <w:u w:val="single"/>
        </w:rPr>
        <w:t>2. Research, Innovation and Digitalisation Window</w:t>
      </w:r>
    </w:p>
    <w:p>
      <w:pPr>
        <w:pStyle w:val="ListParagraph"/>
        <w:numPr>
          <w:ilvl w:val="0"/>
          <w:numId w:val="50"/>
        </w:numPr>
        <w:spacing w:line="264" w:lineRule="auto"/>
        <w:rPr>
          <w:rFonts w:cs="Times New Roman"/>
          <w:b/>
          <w:noProof/>
          <w:szCs w:val="24"/>
        </w:rPr>
      </w:pPr>
      <w:r>
        <w:rPr>
          <w:rFonts w:cs="Times New Roman"/>
          <w:b/>
          <w:noProof/>
          <w:szCs w:val="24"/>
        </w:rPr>
        <w:t>Rationale for investment instrument at EU level in your policy area(s); is subsidiarity respected?</w:t>
      </w:r>
    </w:p>
    <w:p>
      <w:pPr>
        <w:spacing w:after="200" w:line="264" w:lineRule="auto"/>
        <w:rPr>
          <w:rFonts w:cs="Times New Roman"/>
          <w:b/>
          <w:noProof/>
          <w:color w:val="000000"/>
          <w:szCs w:val="24"/>
        </w:rPr>
      </w:pPr>
      <w:r>
        <w:rPr>
          <w:rFonts w:cs="Times New Roman"/>
          <w:noProof/>
          <w:color w:val="000000"/>
          <w:szCs w:val="24"/>
        </w:rPr>
        <w:t>A decades-long shortfall of public investment – sharpened by the recent financial crisis – has hampered investment in research and innovation in the EU, be it in variable ways across Member-States. This continuous underinvestment from the public and the private sector has had negative consequences on the leveraging of investment in research and innovation, weighing in turn on productivity growth and the variable standards of living across the EU</w:t>
      </w:r>
      <w:r>
        <w:rPr>
          <w:rStyle w:val="FootnoteReference"/>
          <w:rFonts w:cs="Times New Roman"/>
          <w:noProof/>
          <w:color w:val="000000"/>
          <w:szCs w:val="24"/>
        </w:rPr>
        <w:footnoteReference w:id="129"/>
      </w:r>
      <w:r>
        <w:rPr>
          <w:rFonts w:cs="Times New Roman"/>
          <w:noProof/>
          <w:color w:val="000000"/>
          <w:szCs w:val="24"/>
        </w:rPr>
        <w:t>.</w:t>
      </w:r>
    </w:p>
    <w:p>
      <w:pPr>
        <w:spacing w:line="264" w:lineRule="auto"/>
        <w:rPr>
          <w:rFonts w:cs="Times New Roman"/>
          <w:noProof/>
          <w:color w:val="000000"/>
          <w:szCs w:val="24"/>
        </w:rPr>
      </w:pPr>
      <w:r>
        <w:rPr>
          <w:rFonts w:cs="Times New Roman"/>
          <w:noProof/>
          <w:color w:val="000000"/>
          <w:szCs w:val="24"/>
        </w:rPr>
        <w:t>Whereas the level of overall investment is now picking up, investment in higher-risk activities such as Research and Innovation (R&amp;I) remains below par; in spite of the EU's target to devote 3 % of the gross domestic product (GDP) to R&amp;I activities – as stated in the Europe2020 strategy (2010) – gross domestic expenditure on R&amp;I in the EU is stagnating around 2%, while the United States, Japan and South Korea invest 2.8 %, 3.3 % and 4.2 % respectively. China, at 2.1 %, has also recently overtaken the EU. Moreover, EU venture capital investments are only at one-fifth of those in the United States and remain fragmented into relatively small-sized funds.</w:t>
      </w:r>
      <w:r>
        <w:rPr>
          <w:rStyle w:val="FootnoteReference"/>
          <w:rFonts w:cs="Times New Roman"/>
          <w:noProof/>
          <w:color w:val="000000"/>
          <w:szCs w:val="24"/>
        </w:rPr>
        <w:footnoteReference w:id="130"/>
      </w:r>
      <w:r>
        <w:rPr>
          <w:rFonts w:cs="Times New Roman"/>
          <w:noProof/>
          <w:color w:val="000000"/>
          <w:szCs w:val="24"/>
        </w:rPr>
        <w:t xml:space="preserve"> Business R&amp;I intensity in the EU stands at 1.3 % compared to almost 2 % for the United States and nearly triple that for South </w:t>
      </w:r>
      <w:r>
        <w:rPr>
          <w:rFonts w:cs="Times New Roman"/>
          <w:noProof/>
          <w:color w:val="000000" w:themeColor="text1"/>
          <w:szCs w:val="24"/>
        </w:rPr>
        <w:t>Korea, at almost 3.5 %</w:t>
      </w:r>
      <w:r>
        <w:rPr>
          <w:rStyle w:val="FootnoteReference"/>
          <w:rFonts w:eastAsia="ECSquareSansPro-Regular" w:cs="Times New Roman"/>
          <w:noProof/>
          <w:color w:val="000000" w:themeColor="text1"/>
          <w:szCs w:val="24"/>
        </w:rPr>
        <w:footnoteReference w:id="131"/>
      </w:r>
      <w:r>
        <w:rPr>
          <w:rFonts w:eastAsia="ECSquareSansPro-Regular" w:cs="Times New Roman"/>
          <w:noProof/>
          <w:color w:val="000000" w:themeColor="text1"/>
          <w:szCs w:val="24"/>
        </w:rPr>
        <w:t>.</w:t>
      </w:r>
    </w:p>
    <w:p>
      <w:pPr>
        <w:spacing w:line="264" w:lineRule="auto"/>
        <w:rPr>
          <w:rFonts w:cs="Times New Roman"/>
          <w:noProof/>
          <w:color w:val="000000"/>
          <w:szCs w:val="24"/>
        </w:rPr>
      </w:pPr>
      <w:r>
        <w:rPr>
          <w:rFonts w:cs="Times New Roman"/>
          <w:noProof/>
          <w:szCs w:val="24"/>
        </w:rPr>
        <w:t>The resulting underinvestment in R&amp;I is damaging to the industrial and economic competitiveness of Europe and the quality of life of its citizens. Our societies face multiple, complex and urgent challenges that affect the quality of life of our citizens: from energy efficiency to security, climate change to ageing populations. R&amp;I continues to play a crucial role in anticipating on and responding to these needs, while underpinning broader EU policy objectives</w:t>
      </w:r>
      <w:r>
        <w:rPr>
          <w:rStyle w:val="FootnoteReference"/>
          <w:rFonts w:cs="Times New Roman"/>
          <w:noProof/>
          <w:color w:val="000000"/>
          <w:szCs w:val="24"/>
        </w:rPr>
        <w:footnoteReference w:id="132"/>
      </w:r>
      <w:r>
        <w:rPr>
          <w:rFonts w:cs="Times New Roman"/>
          <w:noProof/>
          <w:szCs w:val="24"/>
        </w:rPr>
        <w:t xml:space="preserve">. </w:t>
      </w:r>
      <w:r>
        <w:rPr>
          <w:rFonts w:cs="Times New Roman"/>
          <w:noProof/>
          <w:color w:val="000000"/>
          <w:szCs w:val="24"/>
        </w:rPr>
        <w:t>Therefore public investments in R&amp;I, through financial instruments that leverage private capital, are to remain a key driver of productivity, competitiveness and economic growth, in particular given that:</w:t>
      </w:r>
    </w:p>
    <w:p>
      <w:pPr>
        <w:numPr>
          <w:ilvl w:val="1"/>
          <w:numId w:val="27"/>
        </w:numPr>
        <w:pBdr>
          <w:top w:val="nil"/>
          <w:left w:val="nil"/>
          <w:bottom w:val="nil"/>
          <w:right w:val="nil"/>
          <w:between w:val="nil"/>
        </w:pBdr>
        <w:spacing w:after="120" w:line="264" w:lineRule="auto"/>
        <w:ind w:left="851"/>
        <w:rPr>
          <w:rFonts w:cs="Times New Roman"/>
          <w:noProof/>
          <w:szCs w:val="24"/>
        </w:rPr>
      </w:pPr>
      <w:r>
        <w:rPr>
          <w:rFonts w:eastAsia="Calibri" w:cs="Times New Roman"/>
          <w:noProof/>
          <w:color w:val="000000"/>
          <w:szCs w:val="24"/>
        </w:rPr>
        <w:t>Two-thirds of economic growth in Europe from 1995 to 2007 derived from R&amp;I.</w:t>
      </w:r>
    </w:p>
    <w:p>
      <w:pPr>
        <w:numPr>
          <w:ilvl w:val="1"/>
          <w:numId w:val="27"/>
        </w:numPr>
        <w:pBdr>
          <w:top w:val="nil"/>
          <w:left w:val="nil"/>
          <w:bottom w:val="nil"/>
          <w:right w:val="nil"/>
          <w:between w:val="nil"/>
        </w:pBdr>
        <w:spacing w:after="120" w:line="264" w:lineRule="auto"/>
        <w:ind w:left="851"/>
        <w:rPr>
          <w:rFonts w:cs="Times New Roman"/>
          <w:noProof/>
          <w:szCs w:val="24"/>
        </w:rPr>
      </w:pPr>
      <w:r>
        <w:rPr>
          <w:rFonts w:eastAsia="Calibri" w:cs="Times New Roman"/>
          <w:noProof/>
          <w:color w:val="000000"/>
          <w:szCs w:val="24"/>
        </w:rPr>
        <w:t>R&amp;I accounted for 15 % of all productivity gains in Europe between 2000 and 2013.</w:t>
      </w:r>
    </w:p>
    <w:p>
      <w:pPr>
        <w:pStyle w:val="ListParagraph"/>
        <w:numPr>
          <w:ilvl w:val="1"/>
          <w:numId w:val="27"/>
        </w:numPr>
        <w:spacing w:after="120" w:line="264" w:lineRule="auto"/>
        <w:ind w:left="851"/>
        <w:contextualSpacing w:val="0"/>
        <w:rPr>
          <w:rFonts w:cs="Times New Roman"/>
          <w:noProof/>
          <w:color w:val="000000"/>
          <w:szCs w:val="24"/>
        </w:rPr>
      </w:pPr>
      <w:r>
        <w:rPr>
          <w:rFonts w:cs="Times New Roman"/>
          <w:noProof/>
          <w:color w:val="000000"/>
          <w:szCs w:val="24"/>
        </w:rPr>
        <w:t>An increase in R&amp;I investment of 0.2 % of GDP would result in an increase of 1.1 % of GDP, i.e. an increase five times bigger in absolute terms.</w:t>
      </w:r>
      <w:r>
        <w:rPr>
          <w:rStyle w:val="FootnoteReference"/>
          <w:rFonts w:cs="Times New Roman"/>
          <w:noProof/>
          <w:color w:val="000000"/>
          <w:szCs w:val="24"/>
        </w:rPr>
        <w:footnoteReference w:id="133"/>
      </w:r>
    </w:p>
    <w:p>
      <w:pPr>
        <w:spacing w:line="264" w:lineRule="auto"/>
        <w:rPr>
          <w:rFonts w:cs="Times New Roman"/>
          <w:noProof/>
          <w:color w:val="000000"/>
          <w:szCs w:val="24"/>
        </w:rPr>
      </w:pPr>
      <w:r>
        <w:rPr>
          <w:rFonts w:cs="Times New Roman"/>
          <w:noProof/>
          <w:color w:val="000000"/>
          <w:szCs w:val="24"/>
        </w:rPr>
        <w:t>Although ample evidence exists that economies achieve large and significant returns on R&amp;I investments, and that the latter create new and better jobs in an economy that is ever more knowledge-based and intangible asset-intensive, R&amp;I investments from the business enterprise sector are considerably lower in the EU than in major competing economies</w:t>
      </w:r>
      <w:r>
        <w:rPr>
          <w:rStyle w:val="FootnoteReference"/>
          <w:rFonts w:cs="Times New Roman"/>
          <w:noProof/>
          <w:color w:val="000000"/>
          <w:szCs w:val="24"/>
        </w:rPr>
        <w:footnoteReference w:id="134"/>
      </w:r>
      <w:r>
        <w:rPr>
          <w:rFonts w:cs="Times New Roman"/>
          <w:noProof/>
          <w:color w:val="000000"/>
          <w:szCs w:val="24"/>
        </w:rPr>
        <w:t xml:space="preserve">. </w:t>
      </w:r>
    </w:p>
    <w:p>
      <w:pPr>
        <w:spacing w:line="264" w:lineRule="auto"/>
        <w:rPr>
          <w:rFonts w:cs="Times New Roman"/>
          <w:noProof/>
          <w:color w:val="000000"/>
          <w:szCs w:val="24"/>
        </w:rPr>
      </w:pPr>
      <w:r>
        <w:rPr>
          <w:rFonts w:cs="Times New Roman"/>
          <w:noProof/>
          <w:color w:val="000000"/>
          <w:szCs w:val="24"/>
        </w:rPr>
        <w:t>In the current economic context, the barriers of increased global competition to the creation and diffusion of R&amp;I – including difficulties to access finance on reasonable terms – affect the whole research and innovation cycle, ranging from fundamental research to commercialisation. As a result, the role of public R&amp;I investments delivered via financial instruments seems more important than ever before, including the support of breakthrough innovations to transform complicated or costly products, services, models or processes so radically that they create a new market; this is an area where Europe is particularly lagging behind.</w:t>
      </w:r>
      <w:r>
        <w:rPr>
          <w:rStyle w:val="FootnoteReference"/>
          <w:rFonts w:cs="Times New Roman"/>
          <w:noProof/>
          <w:color w:val="000000"/>
          <w:szCs w:val="24"/>
        </w:rPr>
        <w:footnoteReference w:id="135"/>
      </w:r>
    </w:p>
    <w:p>
      <w:pPr>
        <w:spacing w:line="264" w:lineRule="auto"/>
        <w:rPr>
          <w:rFonts w:cs="Times New Roman"/>
          <w:noProof/>
          <w:szCs w:val="24"/>
        </w:rPr>
      </w:pPr>
      <w:r>
        <w:rPr>
          <w:rFonts w:cs="Times New Roman"/>
          <w:noProof/>
          <w:szCs w:val="24"/>
        </w:rPr>
        <w:t>While the conditions for access to finance have on average recovered</w:t>
      </w:r>
      <w:r>
        <w:rPr>
          <w:rStyle w:val="FootnoteReference"/>
          <w:rFonts w:cs="Times New Roman"/>
          <w:noProof/>
          <w:szCs w:val="24"/>
        </w:rPr>
        <w:footnoteReference w:id="136"/>
      </w:r>
      <w:r>
        <w:rPr>
          <w:rFonts w:cs="Times New Roman"/>
          <w:noProof/>
          <w:szCs w:val="24"/>
        </w:rPr>
        <w:t>, in part as a result of EU initiatives on finance (InnovFin-EU Finance for Innovators and EFSI's Infrastructure and Innovation Window), there remain considerable cross-country differences. Specifically, financial markets in Member States have different degrees of development, in terms of diversity of financial institutions, product offerings and risk appetite to support R&amp;I. As a result, a continued focus on the design of appropriate support mechanisms which balance high risk and potentially disruptive innovation with moderate or incremental innovation is necessary.</w:t>
      </w:r>
    </w:p>
    <w:p>
      <w:pPr>
        <w:spacing w:line="264" w:lineRule="auto"/>
        <w:rPr>
          <w:rFonts w:cs="Times New Roman"/>
          <w:noProof/>
          <w:szCs w:val="24"/>
        </w:rPr>
      </w:pPr>
      <w:r>
        <w:rPr>
          <w:rFonts w:cs="Times New Roman"/>
          <w:noProof/>
          <w:szCs w:val="24"/>
        </w:rPr>
        <w:t>The fragmentation of European capital markets, regulatory issues (e.g. fiscal, insolvency, Solvency II), deal flow quality and fund managers performance, alongside weak research and innovation eco-systems in many Member States, hamper the overall potential of the EU economy to systematically produce products, services, business models and companies that can reshape existing and create entirely new markets. Although mitigation of these geographical disparities – as documented as well in the "Interim Evaluation of Horizon 2020's Financial Instruments"</w:t>
      </w:r>
      <w:r>
        <w:rPr>
          <w:rStyle w:val="FootnoteReference"/>
          <w:rFonts w:cs="Times New Roman"/>
          <w:noProof/>
          <w:szCs w:val="24"/>
        </w:rPr>
        <w:footnoteReference w:id="137"/>
      </w:r>
      <w:r>
        <w:rPr>
          <w:rFonts w:cs="Times New Roman"/>
          <w:noProof/>
          <w:szCs w:val="24"/>
        </w:rPr>
        <w:t xml:space="preserve"> – is already partly underway with the help of capacity-building actions and the introduction of a debt finance product tailored to "Modest and Moderate Innovators"</w:t>
      </w:r>
      <w:r>
        <w:rPr>
          <w:rStyle w:val="FootnoteReference"/>
          <w:rFonts w:cs="Times New Roman"/>
          <w:noProof/>
          <w:szCs w:val="24"/>
        </w:rPr>
        <w:footnoteReference w:id="138"/>
      </w:r>
      <w:r>
        <w:rPr>
          <w:rFonts w:cs="Times New Roman"/>
          <w:noProof/>
          <w:szCs w:val="24"/>
        </w:rPr>
        <w:t>, significant scope remains for intensifying and widening efforts to ensure more coherent levels of investment across the EU, including possibly through better signposting and more decentralised advisory structures</w:t>
      </w:r>
      <w:r>
        <w:rPr>
          <w:rStyle w:val="FootnoteReference"/>
          <w:rFonts w:cs="Times New Roman"/>
          <w:noProof/>
          <w:szCs w:val="24"/>
        </w:rPr>
        <w:footnoteReference w:id="139"/>
      </w:r>
      <w:r>
        <w:rPr>
          <w:rFonts w:cs="Times New Roman"/>
          <w:noProof/>
          <w:szCs w:val="24"/>
        </w:rPr>
        <w:t xml:space="preserve">. </w:t>
      </w:r>
    </w:p>
    <w:p>
      <w:pPr>
        <w:autoSpaceDE w:val="0"/>
        <w:autoSpaceDN w:val="0"/>
        <w:adjustRightInd w:val="0"/>
        <w:spacing w:line="264" w:lineRule="auto"/>
        <w:rPr>
          <w:rFonts w:cs="Times New Roman"/>
          <w:b/>
          <w:noProof/>
          <w:color w:val="000000"/>
          <w:szCs w:val="24"/>
        </w:rPr>
      </w:pPr>
      <w:r>
        <w:rPr>
          <w:rFonts w:cs="Times New Roman"/>
          <w:noProof/>
          <w:color w:val="000000"/>
          <w:szCs w:val="24"/>
        </w:rPr>
        <w:t>Finance providers remain rather averse towards providing financial support for R&amp;I activities, which results in low credit scores and high interest charges or sub-optimal repayment terms to compensate for the risks perceived in the innovative technologies or ventures. In many instances, private sector financiers and investors do not finance uncollateralised projects with unsecure return prospects due to the early stage of their development, the capital intensiveness and the long time to market. This is particularly relevant in the case of R&amp;I activities with medium and long-term innovation cycles such as deep tech</w:t>
      </w:r>
      <w:r>
        <w:rPr>
          <w:rStyle w:val="FootnoteReference"/>
          <w:rFonts w:cs="Times New Roman"/>
          <w:noProof/>
          <w:color w:val="000000"/>
          <w:szCs w:val="24"/>
        </w:rPr>
        <w:footnoteReference w:id="140"/>
      </w:r>
      <w:r>
        <w:rPr>
          <w:rFonts w:cs="Times New Roman"/>
          <w:noProof/>
          <w:color w:val="000000"/>
          <w:szCs w:val="24"/>
        </w:rPr>
        <w:t xml:space="preserve">, including for instance in the health, new advanced materials or low-carbon technologies in energy or industry sectors or in the space technology sector. R&amp;I-intensive companies that have outgrown the SME status and are not catered for by measures at national/regional level or Structural Funds (under ESIF) would be the relevant targets for finance for R&amp;I support, in line with the EU's ambition to provide a finance escalator from the very early-stage of company development over the scale-up, expansion, renewal and consolidation stages to the extent that clear market failures are present. </w:t>
      </w:r>
    </w:p>
    <w:p>
      <w:pPr>
        <w:spacing w:line="264" w:lineRule="auto"/>
        <w:rPr>
          <w:rFonts w:cs="Times New Roman"/>
          <w:b/>
          <w:noProof/>
          <w:szCs w:val="24"/>
        </w:rPr>
      </w:pPr>
      <w:r>
        <w:rPr>
          <w:rFonts w:cs="Times New Roman"/>
          <w:noProof/>
          <w:szCs w:val="24"/>
        </w:rPr>
        <w:t>The EU-added value of the financial instruments to be set-up under the R&amp;I window of the Single Investment Fund are therefore set to:</w:t>
      </w:r>
    </w:p>
    <w:p>
      <w:pPr>
        <w:pStyle w:val="ListParagraph"/>
        <w:numPr>
          <w:ilvl w:val="0"/>
          <w:numId w:val="26"/>
        </w:numPr>
        <w:spacing w:after="200" w:line="264" w:lineRule="auto"/>
        <w:rPr>
          <w:rFonts w:cs="Times New Roman"/>
          <w:b/>
          <w:noProof/>
          <w:szCs w:val="24"/>
        </w:rPr>
      </w:pPr>
      <w:r>
        <w:rPr>
          <w:rFonts w:cs="Times New Roman"/>
          <w:noProof/>
          <w:szCs w:val="24"/>
        </w:rPr>
        <w:t xml:space="preserve">support high-risk investments in R&amp;I, </w:t>
      </w:r>
      <w:r>
        <w:rPr>
          <w:rFonts w:cs="Times New Roman"/>
          <w:i/>
          <w:noProof/>
          <w:szCs w:val="24"/>
        </w:rPr>
        <w:t>i.a.</w:t>
      </w:r>
      <w:r>
        <w:rPr>
          <w:rFonts w:cs="Times New Roman"/>
          <w:noProof/>
          <w:szCs w:val="24"/>
        </w:rPr>
        <w:t xml:space="preserve"> in thematic areas and first-of-a-kind demonstration (e.g. the current InnovFin EDP) for which private investor interest is low; crucial for these investments is their anticipated high level of relevance in support of specific EU policy objectives, such as the deep decarbonisation of the energy system and energy intensive industries; over-fragmentation or compartmentalisation of support due to the creation of a plethora of thematic instruments should be avoided. </w:t>
      </w:r>
    </w:p>
    <w:p>
      <w:pPr>
        <w:pStyle w:val="ListParagraph"/>
        <w:numPr>
          <w:ilvl w:val="0"/>
          <w:numId w:val="26"/>
        </w:numPr>
        <w:spacing w:after="200" w:line="264" w:lineRule="auto"/>
        <w:rPr>
          <w:rFonts w:cs="Times New Roman"/>
          <w:b/>
          <w:noProof/>
          <w:szCs w:val="24"/>
        </w:rPr>
      </w:pPr>
      <w:r>
        <w:rPr>
          <w:rFonts w:cs="Times New Roman"/>
          <w:noProof/>
          <w:szCs w:val="24"/>
        </w:rPr>
        <w:t>Leverage private investments through thematic investment platforms and other innovative financial instruments (with due consideration of economies of scale);</w:t>
      </w:r>
    </w:p>
    <w:p>
      <w:pPr>
        <w:pStyle w:val="ListParagraph"/>
        <w:numPr>
          <w:ilvl w:val="0"/>
          <w:numId w:val="26"/>
        </w:numPr>
        <w:spacing w:after="200" w:line="264" w:lineRule="auto"/>
        <w:rPr>
          <w:rFonts w:cs="Times New Roman"/>
          <w:b/>
          <w:noProof/>
          <w:szCs w:val="24"/>
        </w:rPr>
      </w:pPr>
      <w:r>
        <w:rPr>
          <w:rFonts w:cs="Times New Roman"/>
          <w:noProof/>
          <w:szCs w:val="24"/>
        </w:rPr>
        <w:t>address market gaps not addressed at regional or national level at all or not adequately in terms of volumes or risk appetite;</w:t>
      </w:r>
    </w:p>
    <w:p>
      <w:pPr>
        <w:pStyle w:val="ListParagraph"/>
        <w:numPr>
          <w:ilvl w:val="0"/>
          <w:numId w:val="26"/>
        </w:numPr>
        <w:spacing w:after="200" w:line="264" w:lineRule="auto"/>
        <w:rPr>
          <w:rFonts w:cs="Times New Roman"/>
          <w:b/>
          <w:noProof/>
          <w:szCs w:val="24"/>
        </w:rPr>
      </w:pPr>
      <w:r>
        <w:rPr>
          <w:rFonts w:cs="Times New Roman"/>
          <w:noProof/>
          <w:szCs w:val="24"/>
        </w:rPr>
        <w:t>de-risk investments in innovative technologies and transfer established solutions to new markets;</w:t>
      </w:r>
    </w:p>
    <w:p>
      <w:pPr>
        <w:pStyle w:val="ListParagraph"/>
        <w:numPr>
          <w:ilvl w:val="0"/>
          <w:numId w:val="26"/>
        </w:numPr>
        <w:spacing w:after="200" w:line="264" w:lineRule="auto"/>
        <w:rPr>
          <w:rFonts w:cs="Times New Roman"/>
          <w:noProof/>
          <w:szCs w:val="24"/>
        </w:rPr>
      </w:pPr>
      <w:r>
        <w:rPr>
          <w:rFonts w:cs="Times New Roman"/>
          <w:noProof/>
          <w:szCs w:val="24"/>
        </w:rPr>
        <w:t>address investment gaps through supporting new financial instruments and innovative financing solutions such as crowd-lending or hybrid instruments</w:t>
      </w:r>
      <w:r>
        <w:rPr>
          <w:rStyle w:val="FootnoteReference"/>
          <w:rFonts w:cs="Times New Roman"/>
          <w:noProof/>
          <w:szCs w:val="24"/>
        </w:rPr>
        <w:footnoteReference w:id="141"/>
      </w:r>
      <w:r>
        <w:rPr>
          <w:rFonts w:cs="Times New Roman"/>
          <w:noProof/>
          <w:szCs w:val="24"/>
        </w:rPr>
        <w:t xml:space="preserve"> and cross-border financing options;</w:t>
      </w:r>
    </w:p>
    <w:p>
      <w:pPr>
        <w:pStyle w:val="ListParagraph"/>
        <w:numPr>
          <w:ilvl w:val="0"/>
          <w:numId w:val="26"/>
        </w:numPr>
        <w:spacing w:after="200" w:line="264" w:lineRule="auto"/>
        <w:rPr>
          <w:rFonts w:cs="Times New Roman"/>
          <w:b/>
          <w:noProof/>
          <w:szCs w:val="24"/>
        </w:rPr>
      </w:pPr>
      <w:r>
        <w:rPr>
          <w:rFonts w:cs="Times New Roman"/>
          <w:noProof/>
          <w:szCs w:val="24"/>
        </w:rPr>
        <w:t xml:space="preserve">foster the transfer of best practices between financial intermediaries with a view to encourage the emergence of a broad product offering supporting R&amp;I activities and R&amp;I-intensive entities; </w:t>
      </w:r>
    </w:p>
    <w:p>
      <w:pPr>
        <w:pStyle w:val="ListParagraph"/>
        <w:numPr>
          <w:ilvl w:val="0"/>
          <w:numId w:val="26"/>
        </w:numPr>
        <w:spacing w:after="200" w:line="264" w:lineRule="auto"/>
        <w:rPr>
          <w:rFonts w:cs="Times New Roman"/>
          <w:b/>
          <w:noProof/>
          <w:szCs w:val="24"/>
        </w:rPr>
      </w:pPr>
      <w:r>
        <w:rPr>
          <w:rFonts w:cs="Times New Roman"/>
          <w:noProof/>
          <w:szCs w:val="24"/>
        </w:rPr>
        <w:t>provide economies of scale (i.e. Member States may be reluctant to create support schemes on their own because of cost efficiency considerations);</w:t>
      </w:r>
    </w:p>
    <w:p>
      <w:pPr>
        <w:pStyle w:val="ListParagraph"/>
        <w:numPr>
          <w:ilvl w:val="0"/>
          <w:numId w:val="26"/>
        </w:numPr>
        <w:spacing w:after="200" w:line="264" w:lineRule="auto"/>
        <w:rPr>
          <w:rFonts w:cs="Times New Roman"/>
          <w:b/>
          <w:noProof/>
          <w:szCs w:val="24"/>
        </w:rPr>
      </w:pPr>
      <w:r>
        <w:rPr>
          <w:rFonts w:cs="Times New Roman"/>
          <w:noProof/>
          <w:szCs w:val="24"/>
        </w:rPr>
        <w:t>gather EU-wide data on the R&amp;I financing gap and make it publicly available; and</w:t>
      </w:r>
    </w:p>
    <w:p>
      <w:pPr>
        <w:pStyle w:val="ListParagraph"/>
        <w:numPr>
          <w:ilvl w:val="0"/>
          <w:numId w:val="26"/>
        </w:numPr>
        <w:spacing w:after="200" w:line="264" w:lineRule="auto"/>
        <w:rPr>
          <w:rFonts w:cs="Times New Roman"/>
          <w:b/>
          <w:noProof/>
          <w:szCs w:val="24"/>
        </w:rPr>
      </w:pPr>
      <w:r>
        <w:rPr>
          <w:rFonts w:cs="Times New Roman"/>
          <w:noProof/>
          <w:szCs w:val="24"/>
        </w:rPr>
        <w:t xml:space="preserve">provide technical assistance to and improve bankability of R&amp;I-projects across different sectors. </w:t>
      </w:r>
    </w:p>
    <w:p>
      <w:pPr>
        <w:spacing w:line="264" w:lineRule="auto"/>
        <w:rPr>
          <w:rFonts w:cs="Times New Roman"/>
          <w:noProof/>
          <w:szCs w:val="24"/>
        </w:rPr>
      </w:pPr>
      <w:r>
        <w:rPr>
          <w:rFonts w:cs="Times New Roman"/>
          <w:noProof/>
          <w:szCs w:val="24"/>
        </w:rPr>
        <w:t>EU investment in R&amp;I pulls additional investment by the public/private sectors and leverages and complements national and regional-level investments in R&amp;I. Horizon 2020 leveraged EUR 13bn of private funds and mobilised via its debt financing solutions EUR 29.6bn in the first three years of its implementation</w:t>
      </w:r>
      <w:r>
        <w:rPr>
          <w:rStyle w:val="FootnoteReference"/>
          <w:rFonts w:cs="Times New Roman"/>
          <w:noProof/>
          <w:szCs w:val="24"/>
        </w:rPr>
        <w:footnoteReference w:id="142"/>
      </w:r>
      <w:r>
        <w:rPr>
          <w:rFonts w:cs="Times New Roman"/>
          <w:noProof/>
          <w:szCs w:val="24"/>
        </w:rPr>
        <w:t>, based on a budget for access to risk finance under Horizon 2020 of EUR 2.7bn.</w:t>
      </w:r>
    </w:p>
    <w:p>
      <w:pPr>
        <w:spacing w:line="264" w:lineRule="auto"/>
        <w:rPr>
          <w:rFonts w:cs="Times New Roman"/>
          <w:b/>
          <w:noProof/>
          <w:szCs w:val="24"/>
        </w:rPr>
      </w:pPr>
      <w:r>
        <w:rPr>
          <w:rFonts w:cs="Times New Roman"/>
          <w:noProof/>
          <w:szCs w:val="24"/>
        </w:rPr>
        <w:t>The R&amp;I window will support the Commission's policy priorities by complementing the funding provided under the 9</w:t>
      </w:r>
      <w:r>
        <w:rPr>
          <w:rFonts w:cs="Times New Roman"/>
          <w:noProof/>
          <w:szCs w:val="24"/>
          <w:vertAlign w:val="superscript"/>
        </w:rPr>
        <w:t>th</w:t>
      </w:r>
      <w:r>
        <w:rPr>
          <w:rFonts w:cs="Times New Roman"/>
          <w:noProof/>
          <w:szCs w:val="24"/>
        </w:rPr>
        <w:t xml:space="preserve"> Framework Programme for Research &amp; Innovation and other EU and national programmes and funds, such as the Innovation Fund established under the Emission Trading System (ETS). Final investments may be combined with debt/equity finance and EU grants.</w:t>
      </w:r>
    </w:p>
    <w:p>
      <w:pPr>
        <w:pStyle w:val="Text2"/>
        <w:spacing w:line="264" w:lineRule="auto"/>
        <w:ind w:left="0"/>
        <w:rPr>
          <w:noProof/>
          <w:szCs w:val="24"/>
        </w:rPr>
      </w:pPr>
      <w:r>
        <w:rPr>
          <w:noProof/>
          <w:szCs w:val="24"/>
        </w:rPr>
        <w:t>Therefore, given the overall importance of research and innovation for the European Union objectives and policies, appropriate financing instruments are needed to cover different stages in the innovation cycle and the wide range of stakeholders, in particular to upscale and deploy solutions at a commercial scale in Europe and for those to be competitive on world markets.</w:t>
      </w:r>
    </w:p>
    <w:p>
      <w:pPr>
        <w:pStyle w:val="Text2"/>
        <w:spacing w:line="264" w:lineRule="auto"/>
        <w:ind w:left="0"/>
        <w:rPr>
          <w:noProof/>
          <w:szCs w:val="24"/>
        </w:rPr>
      </w:pPr>
    </w:p>
    <w:p>
      <w:pPr>
        <w:pStyle w:val="ListParagraph"/>
        <w:numPr>
          <w:ilvl w:val="0"/>
          <w:numId w:val="50"/>
        </w:numPr>
        <w:spacing w:line="264" w:lineRule="auto"/>
        <w:rPr>
          <w:rFonts w:cs="Times New Roman"/>
          <w:b/>
          <w:noProof/>
          <w:szCs w:val="24"/>
        </w:rPr>
      </w:pPr>
      <w:r>
        <w:rPr>
          <w:rFonts w:cs="Times New Roman"/>
          <w:b/>
          <w:noProof/>
          <w:szCs w:val="24"/>
        </w:rPr>
        <w:t>Policy drivers and public sector stakeholders to be involved and their role</w:t>
      </w:r>
    </w:p>
    <w:p>
      <w:pPr>
        <w:pStyle w:val="Text2"/>
        <w:spacing w:line="264" w:lineRule="auto"/>
        <w:ind w:left="0"/>
        <w:rPr>
          <w:b/>
          <w:noProof/>
          <w:szCs w:val="24"/>
        </w:rPr>
      </w:pPr>
      <w:r>
        <w:rPr>
          <w:noProof/>
          <w:szCs w:val="24"/>
        </w:rPr>
        <w:t xml:space="preserve">The objective of the instruments is to support the Commission's policy priorities, addressing key EU objectives to boost competitiveness, thereby creating jobs, boosting growth and investments. </w:t>
      </w:r>
    </w:p>
    <w:p>
      <w:pPr>
        <w:pStyle w:val="Text2"/>
        <w:spacing w:line="264" w:lineRule="auto"/>
        <w:ind w:left="0"/>
        <w:rPr>
          <w:b/>
          <w:noProof/>
          <w:szCs w:val="24"/>
        </w:rPr>
      </w:pPr>
      <w:r>
        <w:rPr>
          <w:noProof/>
          <w:szCs w:val="24"/>
        </w:rPr>
        <w:t>The instrument is also expected to contribute to:</w:t>
      </w:r>
    </w:p>
    <w:p>
      <w:pPr>
        <w:pStyle w:val="ListParagraph"/>
        <w:numPr>
          <w:ilvl w:val="0"/>
          <w:numId w:val="28"/>
        </w:numPr>
        <w:spacing w:after="200" w:line="264" w:lineRule="auto"/>
        <w:rPr>
          <w:rFonts w:cs="Times New Roman"/>
          <w:noProof/>
          <w:szCs w:val="24"/>
        </w:rPr>
      </w:pPr>
      <w:r>
        <w:rPr>
          <w:rFonts w:cs="Times New Roman"/>
          <w:noProof/>
          <w:szCs w:val="24"/>
        </w:rPr>
        <w:t>Sustainable Development Goals, address global challenges linked to health, energy, security, climate change mitigation and adaptation, decarbonisation of the economy, low-carbon mobility and transport, water and food crisis, environmental disasters, migration, digitalisation, oceans, and biodiversity loss.</w:t>
      </w:r>
    </w:p>
    <w:p>
      <w:pPr>
        <w:pStyle w:val="ListParagraph"/>
        <w:numPr>
          <w:ilvl w:val="0"/>
          <w:numId w:val="28"/>
        </w:numPr>
        <w:spacing w:after="200" w:line="264" w:lineRule="auto"/>
        <w:rPr>
          <w:rFonts w:cs="Times New Roman"/>
          <w:noProof/>
          <w:szCs w:val="24"/>
        </w:rPr>
      </w:pPr>
      <w:r>
        <w:rPr>
          <w:rFonts w:cs="Times New Roman"/>
          <w:noProof/>
          <w:szCs w:val="24"/>
        </w:rPr>
        <w:t>The EU’s overall industrial and economic competitiveness, including by fostering more and new technologies, able to stand out in the global marketplace</w:t>
      </w:r>
      <w:r>
        <w:rPr>
          <w:rFonts w:cs="Times New Roman"/>
          <w:noProof/>
        </w:rPr>
        <w:footnoteReference w:id="143"/>
      </w:r>
      <w:r>
        <w:rPr>
          <w:rFonts w:cs="Times New Roman"/>
          <w:noProof/>
          <w:szCs w:val="24"/>
        </w:rPr>
        <w:t xml:space="preserve">. </w:t>
      </w:r>
    </w:p>
    <w:p>
      <w:pPr>
        <w:pStyle w:val="ListParagraph"/>
        <w:numPr>
          <w:ilvl w:val="0"/>
          <w:numId w:val="28"/>
        </w:numPr>
        <w:spacing w:after="200" w:line="264" w:lineRule="auto"/>
        <w:rPr>
          <w:rFonts w:cs="Times New Roman"/>
          <w:noProof/>
          <w:szCs w:val="24"/>
        </w:rPr>
      </w:pPr>
      <w:r>
        <w:rPr>
          <w:rFonts w:cs="Times New Roman"/>
          <w:noProof/>
          <w:szCs w:val="24"/>
        </w:rPr>
        <w:t>The EU’s scientific excellence.</w:t>
      </w:r>
    </w:p>
    <w:p>
      <w:pPr>
        <w:pStyle w:val="ListParagraph"/>
        <w:numPr>
          <w:ilvl w:val="0"/>
          <w:numId w:val="28"/>
        </w:numPr>
        <w:spacing w:after="200" w:line="264" w:lineRule="auto"/>
        <w:rPr>
          <w:rFonts w:cs="Times New Roman"/>
          <w:noProof/>
          <w:szCs w:val="24"/>
        </w:rPr>
      </w:pPr>
      <w:r>
        <w:rPr>
          <w:rFonts w:cs="Times New Roman"/>
          <w:noProof/>
          <w:szCs w:val="24"/>
        </w:rPr>
        <w:t>Facilitation, broadening and simplified access to finance of R&amp;I projects/companies exposed to an important level of risk.</w:t>
      </w:r>
    </w:p>
    <w:p>
      <w:pPr>
        <w:pStyle w:val="ListParagraph"/>
        <w:numPr>
          <w:ilvl w:val="0"/>
          <w:numId w:val="28"/>
        </w:numPr>
        <w:spacing w:after="200" w:line="264" w:lineRule="auto"/>
        <w:rPr>
          <w:rFonts w:cs="Times New Roman"/>
          <w:noProof/>
          <w:szCs w:val="24"/>
        </w:rPr>
      </w:pPr>
      <w:r>
        <w:rPr>
          <w:rFonts w:cs="Times New Roman"/>
          <w:noProof/>
          <w:szCs w:val="24"/>
        </w:rPr>
        <w:t>Sustainable supply of raw materials.</w:t>
      </w:r>
    </w:p>
    <w:p>
      <w:pPr>
        <w:pStyle w:val="ListParagraph"/>
        <w:numPr>
          <w:ilvl w:val="0"/>
          <w:numId w:val="28"/>
        </w:numPr>
        <w:spacing w:after="200" w:line="264" w:lineRule="auto"/>
        <w:rPr>
          <w:rFonts w:cs="Times New Roman"/>
          <w:noProof/>
          <w:szCs w:val="24"/>
        </w:rPr>
      </w:pPr>
      <w:r>
        <w:rPr>
          <w:rFonts w:cs="Times New Roman"/>
          <w:noProof/>
          <w:szCs w:val="24"/>
        </w:rPr>
        <w:t>The circular economy.</w:t>
      </w:r>
    </w:p>
    <w:p>
      <w:pPr>
        <w:pStyle w:val="Text2"/>
        <w:spacing w:after="0" w:line="264" w:lineRule="auto"/>
        <w:ind w:left="720"/>
        <w:jc w:val="left"/>
        <w:rPr>
          <w:b/>
          <w:noProof/>
          <w:szCs w:val="24"/>
        </w:rPr>
      </w:pPr>
    </w:p>
    <w:p>
      <w:pPr>
        <w:pStyle w:val="Text2"/>
        <w:spacing w:line="264" w:lineRule="auto"/>
        <w:ind w:left="0"/>
        <w:rPr>
          <w:b/>
          <w:noProof/>
          <w:szCs w:val="24"/>
        </w:rPr>
      </w:pPr>
      <w:r>
        <w:rPr>
          <w:noProof/>
          <w:szCs w:val="24"/>
        </w:rPr>
        <w:t>Public sector stakeholders:</w:t>
      </w:r>
    </w:p>
    <w:p>
      <w:pPr>
        <w:pStyle w:val="ListParagraph"/>
        <w:numPr>
          <w:ilvl w:val="0"/>
          <w:numId w:val="28"/>
        </w:numPr>
        <w:spacing w:after="200" w:line="264" w:lineRule="auto"/>
        <w:rPr>
          <w:rFonts w:cs="Times New Roman"/>
          <w:noProof/>
          <w:szCs w:val="24"/>
        </w:rPr>
      </w:pPr>
      <w:r>
        <w:rPr>
          <w:rFonts w:cs="Times New Roman"/>
          <w:noProof/>
          <w:szCs w:val="24"/>
        </w:rPr>
        <w:t>Multilateral development banks, such as the EIB Group and the EBRD; international organisations such as OECD, IMF, WB, and the UN.</w:t>
      </w:r>
    </w:p>
    <w:p>
      <w:pPr>
        <w:pStyle w:val="ListParagraph"/>
        <w:numPr>
          <w:ilvl w:val="0"/>
          <w:numId w:val="28"/>
        </w:numPr>
        <w:spacing w:after="200" w:line="264" w:lineRule="auto"/>
        <w:rPr>
          <w:rFonts w:cs="Times New Roman"/>
          <w:noProof/>
          <w:szCs w:val="24"/>
        </w:rPr>
      </w:pPr>
      <w:r>
        <w:rPr>
          <w:rFonts w:cs="Times New Roman"/>
          <w:noProof/>
          <w:szCs w:val="24"/>
        </w:rPr>
        <w:t xml:space="preserve">National Governments and Regional authorities. </w:t>
      </w:r>
    </w:p>
    <w:p>
      <w:pPr>
        <w:pStyle w:val="ListParagraph"/>
        <w:numPr>
          <w:ilvl w:val="0"/>
          <w:numId w:val="28"/>
        </w:numPr>
        <w:spacing w:after="200" w:line="264" w:lineRule="auto"/>
        <w:rPr>
          <w:rFonts w:cs="Times New Roman"/>
          <w:noProof/>
          <w:szCs w:val="24"/>
        </w:rPr>
      </w:pPr>
      <w:r>
        <w:rPr>
          <w:rFonts w:cs="Times New Roman"/>
          <w:noProof/>
          <w:szCs w:val="24"/>
        </w:rPr>
        <w:t>National promotional banks, national promotional institutions and investment agencies.</w:t>
      </w:r>
    </w:p>
    <w:p>
      <w:pPr>
        <w:pStyle w:val="ListParagraph"/>
        <w:numPr>
          <w:ilvl w:val="0"/>
          <w:numId w:val="28"/>
        </w:numPr>
        <w:spacing w:after="200" w:line="264" w:lineRule="auto"/>
        <w:rPr>
          <w:rFonts w:cs="Times New Roman"/>
          <w:noProof/>
          <w:szCs w:val="24"/>
        </w:rPr>
      </w:pPr>
      <w:r>
        <w:rPr>
          <w:rFonts w:cs="Times New Roman"/>
          <w:noProof/>
          <w:szCs w:val="24"/>
        </w:rPr>
        <w:t>Public research organisations and innovation agencies.</w:t>
      </w:r>
    </w:p>
    <w:p>
      <w:pPr>
        <w:pStyle w:val="ListParagraph"/>
        <w:numPr>
          <w:ilvl w:val="0"/>
          <w:numId w:val="28"/>
        </w:numPr>
        <w:spacing w:after="200" w:line="264" w:lineRule="auto"/>
        <w:rPr>
          <w:rFonts w:cs="Times New Roman"/>
          <w:noProof/>
          <w:szCs w:val="24"/>
        </w:rPr>
      </w:pPr>
      <w:r>
        <w:rPr>
          <w:rFonts w:cs="Times New Roman"/>
          <w:noProof/>
          <w:szCs w:val="24"/>
        </w:rPr>
        <w:t>Asset Management Companies funded by state budget resources.</w:t>
      </w:r>
    </w:p>
    <w:p>
      <w:pPr>
        <w:pStyle w:val="ListParagraph"/>
        <w:numPr>
          <w:ilvl w:val="0"/>
          <w:numId w:val="28"/>
        </w:numPr>
        <w:spacing w:after="200" w:line="264" w:lineRule="auto"/>
        <w:rPr>
          <w:rFonts w:cs="Times New Roman"/>
          <w:noProof/>
          <w:szCs w:val="24"/>
        </w:rPr>
      </w:pPr>
      <w:r>
        <w:rPr>
          <w:rFonts w:cs="Times New Roman"/>
          <w:noProof/>
          <w:szCs w:val="24"/>
        </w:rPr>
        <w:t>Executive agencies of the European Commission.</w:t>
      </w:r>
    </w:p>
    <w:p>
      <w:pPr>
        <w:pStyle w:val="ListParagraph"/>
        <w:numPr>
          <w:ilvl w:val="0"/>
          <w:numId w:val="28"/>
        </w:numPr>
        <w:spacing w:after="200" w:line="264" w:lineRule="auto"/>
        <w:rPr>
          <w:rFonts w:cs="Times New Roman"/>
          <w:noProof/>
          <w:szCs w:val="24"/>
        </w:rPr>
      </w:pPr>
      <w:r>
        <w:rPr>
          <w:rFonts w:cs="Times New Roman"/>
          <w:noProof/>
          <w:szCs w:val="24"/>
        </w:rPr>
        <w:t>Public networks supported by the European Commission.</w:t>
      </w:r>
    </w:p>
    <w:p>
      <w:pPr>
        <w:pStyle w:val="Text2"/>
        <w:spacing w:after="0" w:line="264" w:lineRule="auto"/>
        <w:ind w:left="720"/>
        <w:rPr>
          <w:b/>
          <w:noProof/>
          <w:szCs w:val="24"/>
        </w:rPr>
      </w:pPr>
    </w:p>
    <w:p>
      <w:pPr>
        <w:pStyle w:val="Text2"/>
        <w:spacing w:line="264" w:lineRule="auto"/>
        <w:ind w:left="0"/>
        <w:rPr>
          <w:b/>
          <w:noProof/>
          <w:szCs w:val="24"/>
        </w:rPr>
      </w:pPr>
      <w:r>
        <w:rPr>
          <w:noProof/>
          <w:szCs w:val="24"/>
        </w:rPr>
        <w:t>Their roles might include the following:</w:t>
      </w:r>
    </w:p>
    <w:p>
      <w:pPr>
        <w:pStyle w:val="ListParagraph"/>
        <w:numPr>
          <w:ilvl w:val="0"/>
          <w:numId w:val="28"/>
        </w:numPr>
        <w:spacing w:after="200" w:line="264" w:lineRule="auto"/>
        <w:rPr>
          <w:rFonts w:cs="Times New Roman"/>
          <w:noProof/>
          <w:szCs w:val="24"/>
        </w:rPr>
      </w:pPr>
      <w:r>
        <w:rPr>
          <w:rFonts w:cs="Times New Roman"/>
          <w:noProof/>
          <w:szCs w:val="24"/>
        </w:rPr>
        <w:t>Providing inputs on the design of the R&amp;I window.</w:t>
      </w:r>
    </w:p>
    <w:p>
      <w:pPr>
        <w:pStyle w:val="ListParagraph"/>
        <w:numPr>
          <w:ilvl w:val="0"/>
          <w:numId w:val="28"/>
        </w:numPr>
        <w:spacing w:after="200" w:line="264" w:lineRule="auto"/>
        <w:rPr>
          <w:rFonts w:cs="Times New Roman"/>
          <w:noProof/>
          <w:szCs w:val="24"/>
        </w:rPr>
      </w:pPr>
      <w:r>
        <w:rPr>
          <w:rFonts w:cs="Times New Roman"/>
          <w:noProof/>
          <w:szCs w:val="24"/>
        </w:rPr>
        <w:t>Taking part in the governance of the R&amp;I window.</w:t>
      </w:r>
    </w:p>
    <w:p>
      <w:pPr>
        <w:pStyle w:val="ListParagraph"/>
        <w:numPr>
          <w:ilvl w:val="0"/>
          <w:numId w:val="28"/>
        </w:numPr>
        <w:spacing w:after="200" w:line="264" w:lineRule="auto"/>
        <w:rPr>
          <w:rFonts w:cs="Times New Roman"/>
          <w:noProof/>
          <w:szCs w:val="24"/>
        </w:rPr>
      </w:pPr>
      <w:r>
        <w:rPr>
          <w:rFonts w:cs="Times New Roman"/>
          <w:noProof/>
          <w:szCs w:val="24"/>
        </w:rPr>
        <w:t>Implementing the R&amp;I window.</w:t>
      </w:r>
    </w:p>
    <w:p>
      <w:pPr>
        <w:pStyle w:val="ListParagraph"/>
        <w:numPr>
          <w:ilvl w:val="0"/>
          <w:numId w:val="28"/>
        </w:numPr>
        <w:spacing w:after="200" w:line="264" w:lineRule="auto"/>
        <w:rPr>
          <w:rFonts w:cs="Times New Roman"/>
          <w:noProof/>
          <w:szCs w:val="24"/>
        </w:rPr>
      </w:pPr>
      <w:r>
        <w:rPr>
          <w:rFonts w:cs="Times New Roman"/>
          <w:noProof/>
          <w:szCs w:val="24"/>
        </w:rPr>
        <w:t>Matching and co-investing with the EU/MS-level equity/debt instrument in funds or final beneficiaries</w:t>
      </w:r>
    </w:p>
    <w:p>
      <w:pPr>
        <w:pStyle w:val="ListParagraph"/>
        <w:numPr>
          <w:ilvl w:val="0"/>
          <w:numId w:val="28"/>
        </w:numPr>
        <w:spacing w:after="200" w:line="264" w:lineRule="auto"/>
        <w:rPr>
          <w:rFonts w:cs="Times New Roman"/>
          <w:noProof/>
          <w:szCs w:val="24"/>
        </w:rPr>
      </w:pPr>
      <w:r>
        <w:rPr>
          <w:rFonts w:cs="Times New Roman"/>
          <w:noProof/>
          <w:szCs w:val="24"/>
        </w:rPr>
        <w:t>Provision of technical assistance.</w:t>
      </w:r>
    </w:p>
    <w:p>
      <w:pPr>
        <w:pStyle w:val="Text2"/>
        <w:spacing w:after="0" w:line="264" w:lineRule="auto"/>
        <w:ind w:left="360"/>
        <w:rPr>
          <w:b/>
          <w:noProof/>
          <w:szCs w:val="24"/>
        </w:rPr>
      </w:pPr>
    </w:p>
    <w:p>
      <w:pPr>
        <w:pStyle w:val="ListParagraph"/>
        <w:numPr>
          <w:ilvl w:val="0"/>
          <w:numId w:val="50"/>
        </w:numPr>
        <w:spacing w:line="264" w:lineRule="auto"/>
        <w:rPr>
          <w:rFonts w:cs="Times New Roman"/>
          <w:b/>
          <w:noProof/>
          <w:szCs w:val="24"/>
        </w:rPr>
      </w:pPr>
      <w:r>
        <w:rPr>
          <w:rFonts w:cs="Times New Roman"/>
          <w:b/>
          <w:noProof/>
          <w:szCs w:val="24"/>
        </w:rPr>
        <w:t>Financial intermediaries to be involved and their role</w:t>
      </w:r>
    </w:p>
    <w:p>
      <w:pPr>
        <w:spacing w:line="264" w:lineRule="auto"/>
        <w:rPr>
          <w:rFonts w:cs="Times New Roman"/>
          <w:b/>
          <w:noProof/>
          <w:szCs w:val="24"/>
        </w:rPr>
      </w:pPr>
      <w:r>
        <w:rPr>
          <w:rFonts w:cs="Times New Roman"/>
          <w:noProof/>
          <w:szCs w:val="24"/>
        </w:rPr>
        <w:t>Financial intermediaries must be public and private entities that aim to provide finance and technical assistance.</w:t>
      </w:r>
    </w:p>
    <w:p>
      <w:pPr>
        <w:spacing w:line="264" w:lineRule="auto"/>
        <w:rPr>
          <w:rFonts w:cs="Times New Roman"/>
          <w:b/>
          <w:noProof/>
          <w:szCs w:val="24"/>
        </w:rPr>
      </w:pPr>
      <w:r>
        <w:rPr>
          <w:rFonts w:cs="Times New Roman"/>
          <w:noProof/>
          <w:szCs w:val="24"/>
        </w:rPr>
        <w:t>Such entities may include national promotional banks and other national promotional institutions, public authorities, commercial banks, counter-guarantee associations, private equity funds, VC funds, Corporate Ventures, philanthropic institutions, investment firms, Special-Purpose-Vehicles (SPVs), co-investment schemes and other alternative suppliers of finance.</w:t>
      </w:r>
    </w:p>
    <w:p>
      <w:pPr>
        <w:spacing w:line="264" w:lineRule="auto"/>
        <w:rPr>
          <w:rFonts w:cs="Times New Roman"/>
          <w:b/>
          <w:noProof/>
          <w:szCs w:val="24"/>
        </w:rPr>
      </w:pPr>
      <w:r>
        <w:rPr>
          <w:rFonts w:cs="Times New Roman"/>
          <w:noProof/>
          <w:szCs w:val="24"/>
        </w:rPr>
        <w:t>The role of the financial intermediaries will be to:</w:t>
      </w:r>
    </w:p>
    <w:p>
      <w:pPr>
        <w:pStyle w:val="ListParagraph"/>
        <w:numPr>
          <w:ilvl w:val="0"/>
          <w:numId w:val="28"/>
        </w:numPr>
        <w:spacing w:after="200" w:line="264" w:lineRule="auto"/>
        <w:rPr>
          <w:rFonts w:cs="Times New Roman"/>
          <w:b/>
          <w:noProof/>
          <w:szCs w:val="24"/>
        </w:rPr>
      </w:pPr>
      <w:r>
        <w:rPr>
          <w:rFonts w:cs="Times New Roman"/>
          <w:noProof/>
          <w:szCs w:val="24"/>
        </w:rPr>
        <w:t>Provide debt, equity and hybrid finance to final beneficiaries.</w:t>
      </w:r>
    </w:p>
    <w:p>
      <w:pPr>
        <w:pStyle w:val="ListParagraph"/>
        <w:numPr>
          <w:ilvl w:val="0"/>
          <w:numId w:val="28"/>
        </w:numPr>
        <w:spacing w:after="200" w:line="264" w:lineRule="auto"/>
        <w:rPr>
          <w:rFonts w:cs="Times New Roman"/>
          <w:b/>
          <w:noProof/>
          <w:szCs w:val="24"/>
        </w:rPr>
      </w:pPr>
      <w:r>
        <w:rPr>
          <w:rFonts w:cs="Times New Roman"/>
          <w:noProof/>
          <w:szCs w:val="24"/>
        </w:rPr>
        <w:t>Take on (part of) the risk and co-invest in the products.</w:t>
      </w:r>
    </w:p>
    <w:p>
      <w:pPr>
        <w:pStyle w:val="ListParagraph"/>
        <w:numPr>
          <w:ilvl w:val="0"/>
          <w:numId w:val="28"/>
        </w:numPr>
        <w:spacing w:after="200" w:line="264" w:lineRule="auto"/>
        <w:rPr>
          <w:rFonts w:cs="Times New Roman"/>
          <w:b/>
          <w:noProof/>
          <w:szCs w:val="24"/>
        </w:rPr>
      </w:pPr>
      <w:r>
        <w:rPr>
          <w:rFonts w:cs="Times New Roman"/>
          <w:noProof/>
          <w:szCs w:val="24"/>
        </w:rPr>
        <w:t>Report on the effects (jobs, growth data, and success stories).</w:t>
      </w:r>
    </w:p>
    <w:p>
      <w:pPr>
        <w:pStyle w:val="ListParagraph"/>
        <w:numPr>
          <w:ilvl w:val="0"/>
          <w:numId w:val="28"/>
        </w:numPr>
        <w:spacing w:after="200" w:line="264" w:lineRule="auto"/>
        <w:rPr>
          <w:rFonts w:cs="Times New Roman"/>
          <w:b/>
          <w:noProof/>
          <w:szCs w:val="24"/>
        </w:rPr>
      </w:pPr>
      <w:r>
        <w:rPr>
          <w:rFonts w:cs="Times New Roman"/>
          <w:noProof/>
          <w:szCs w:val="24"/>
        </w:rPr>
        <w:t xml:space="preserve">Providing inputs on the design of specific products. </w:t>
      </w:r>
    </w:p>
    <w:p>
      <w:pPr>
        <w:spacing w:line="264" w:lineRule="auto"/>
        <w:rPr>
          <w:rFonts w:cs="Times New Roman"/>
          <w:noProof/>
          <w:szCs w:val="24"/>
        </w:rPr>
      </w:pPr>
      <w:r>
        <w:rPr>
          <w:rFonts w:cs="Times New Roman"/>
          <w:noProof/>
          <w:szCs w:val="24"/>
        </w:rPr>
        <w:t>Ultimately, diversification in the range of possible financial intermediaries and financing products is important to deliver the financing to target audiences depressed by a financing gap that cannot be addressed by the market alone. It is important, however, that these intermediaries are established in the EU-EEA or in countries associated to EU programmes, to ensure cohesion, cost efficiency and minimise red tape.</w:t>
      </w:r>
    </w:p>
    <w:p>
      <w:pPr>
        <w:spacing w:line="264" w:lineRule="auto"/>
        <w:rPr>
          <w:rFonts w:cs="Times New Roman"/>
          <w:noProof/>
          <w:szCs w:val="24"/>
        </w:rPr>
      </w:pPr>
    </w:p>
    <w:p>
      <w:pPr>
        <w:pStyle w:val="ListParagraph"/>
        <w:numPr>
          <w:ilvl w:val="0"/>
          <w:numId w:val="50"/>
        </w:numPr>
        <w:spacing w:line="264" w:lineRule="auto"/>
        <w:rPr>
          <w:rFonts w:cs="Times New Roman"/>
          <w:b/>
          <w:noProof/>
          <w:szCs w:val="24"/>
        </w:rPr>
      </w:pPr>
      <w:r>
        <w:rPr>
          <w:rFonts w:cs="Times New Roman"/>
          <w:b/>
          <w:noProof/>
          <w:szCs w:val="24"/>
        </w:rPr>
        <w:t>Private-sector stakeholder organisations, associations or business groups to be involved and their role</w:t>
      </w:r>
    </w:p>
    <w:p>
      <w:pPr>
        <w:spacing w:line="264" w:lineRule="auto"/>
        <w:rPr>
          <w:rFonts w:cs="Times New Roman"/>
          <w:b/>
          <w:noProof/>
          <w:szCs w:val="24"/>
        </w:rPr>
      </w:pPr>
      <w:r>
        <w:rPr>
          <w:rFonts w:cs="Times New Roman"/>
          <w:noProof/>
          <w:szCs w:val="24"/>
        </w:rPr>
        <w:t>Any pan-EU private stakeholder in the field of equity or representing final beneficiaries will be involved, including:</w:t>
      </w:r>
    </w:p>
    <w:p>
      <w:pPr>
        <w:pStyle w:val="ListParagraph"/>
        <w:numPr>
          <w:ilvl w:val="0"/>
          <w:numId w:val="29"/>
        </w:numPr>
        <w:spacing w:after="200" w:line="264" w:lineRule="auto"/>
        <w:rPr>
          <w:rFonts w:cs="Times New Roman"/>
          <w:b/>
          <w:noProof/>
          <w:szCs w:val="24"/>
        </w:rPr>
      </w:pPr>
      <w:r>
        <w:rPr>
          <w:rFonts w:cs="Times New Roman"/>
          <w:noProof/>
          <w:szCs w:val="24"/>
        </w:rPr>
        <w:t xml:space="preserve">The European Federation of Financial Advisers and Financial Intermediaries (FECIF) </w:t>
      </w:r>
    </w:p>
    <w:p>
      <w:pPr>
        <w:pStyle w:val="ListParagraph"/>
        <w:numPr>
          <w:ilvl w:val="0"/>
          <w:numId w:val="29"/>
        </w:numPr>
        <w:spacing w:after="200" w:line="264" w:lineRule="auto"/>
        <w:rPr>
          <w:rFonts w:cs="Times New Roman"/>
          <w:b/>
          <w:noProof/>
          <w:szCs w:val="24"/>
        </w:rPr>
      </w:pPr>
      <w:r>
        <w:rPr>
          <w:rFonts w:cs="Times New Roman"/>
          <w:noProof/>
          <w:szCs w:val="24"/>
        </w:rPr>
        <w:t xml:space="preserve">Association for Financial Markets in Europe (AFME) </w:t>
      </w:r>
    </w:p>
    <w:p>
      <w:pPr>
        <w:pStyle w:val="ListParagraph"/>
        <w:numPr>
          <w:ilvl w:val="0"/>
          <w:numId w:val="29"/>
        </w:numPr>
        <w:spacing w:after="200" w:line="264" w:lineRule="auto"/>
        <w:rPr>
          <w:rFonts w:cs="Times New Roman"/>
          <w:b/>
          <w:noProof/>
          <w:szCs w:val="24"/>
        </w:rPr>
      </w:pPr>
      <w:r>
        <w:rPr>
          <w:rFonts w:cs="Times New Roman"/>
          <w:noProof/>
          <w:szCs w:val="24"/>
        </w:rPr>
        <w:t>European Federation of Ethical and Alternative Banks (FEBEA)</w:t>
      </w:r>
    </w:p>
    <w:p>
      <w:pPr>
        <w:pStyle w:val="ListParagraph"/>
        <w:numPr>
          <w:ilvl w:val="0"/>
          <w:numId w:val="29"/>
        </w:numPr>
        <w:spacing w:after="200" w:line="264" w:lineRule="auto"/>
        <w:rPr>
          <w:rFonts w:cs="Times New Roman"/>
          <w:b/>
          <w:noProof/>
          <w:szCs w:val="24"/>
        </w:rPr>
      </w:pPr>
      <w:r>
        <w:rPr>
          <w:rFonts w:cs="Times New Roman"/>
          <w:noProof/>
          <w:szCs w:val="24"/>
        </w:rPr>
        <w:t>The European Association of Public Banks (EAPB)</w:t>
      </w:r>
    </w:p>
    <w:p>
      <w:pPr>
        <w:pStyle w:val="ListParagraph"/>
        <w:numPr>
          <w:ilvl w:val="0"/>
          <w:numId w:val="29"/>
        </w:numPr>
        <w:spacing w:after="200" w:line="264" w:lineRule="auto"/>
        <w:rPr>
          <w:rFonts w:cs="Times New Roman"/>
          <w:b/>
          <w:noProof/>
          <w:szCs w:val="24"/>
        </w:rPr>
      </w:pPr>
      <w:r>
        <w:rPr>
          <w:rFonts w:cs="Times New Roman"/>
          <w:noProof/>
          <w:szCs w:val="24"/>
        </w:rPr>
        <w:t>European Banking Federation (EBA)</w:t>
      </w:r>
    </w:p>
    <w:p>
      <w:pPr>
        <w:pStyle w:val="ListParagraph"/>
        <w:numPr>
          <w:ilvl w:val="0"/>
          <w:numId w:val="29"/>
        </w:numPr>
        <w:spacing w:after="200" w:line="264" w:lineRule="auto"/>
        <w:rPr>
          <w:rFonts w:cs="Times New Roman"/>
          <w:b/>
          <w:noProof/>
          <w:szCs w:val="24"/>
        </w:rPr>
      </w:pPr>
      <w:r>
        <w:rPr>
          <w:rFonts w:cs="Times New Roman"/>
          <w:noProof/>
          <w:szCs w:val="24"/>
        </w:rPr>
        <w:t>European Association of Co-operative Banks (EACB)</w:t>
      </w:r>
    </w:p>
    <w:p>
      <w:pPr>
        <w:pStyle w:val="ListParagraph"/>
        <w:numPr>
          <w:ilvl w:val="0"/>
          <w:numId w:val="29"/>
        </w:numPr>
        <w:spacing w:after="200" w:line="264" w:lineRule="auto"/>
        <w:rPr>
          <w:rFonts w:cs="Times New Roman"/>
          <w:b/>
          <w:noProof/>
          <w:szCs w:val="24"/>
        </w:rPr>
      </w:pPr>
      <w:r>
        <w:rPr>
          <w:rFonts w:cs="Times New Roman"/>
          <w:noProof/>
          <w:szCs w:val="24"/>
        </w:rPr>
        <w:t>AECM - European Association of Guarantee Institutions</w:t>
      </w:r>
    </w:p>
    <w:p>
      <w:pPr>
        <w:pStyle w:val="ListParagraph"/>
        <w:numPr>
          <w:ilvl w:val="0"/>
          <w:numId w:val="29"/>
        </w:numPr>
        <w:spacing w:after="200" w:line="264" w:lineRule="auto"/>
        <w:rPr>
          <w:rFonts w:cs="Times New Roman"/>
          <w:b/>
          <w:noProof/>
          <w:szCs w:val="24"/>
        </w:rPr>
      </w:pPr>
      <w:r>
        <w:rPr>
          <w:rFonts w:cs="Times New Roman"/>
          <w:noProof/>
          <w:szCs w:val="24"/>
        </w:rPr>
        <w:t>InvestEurope (private equity and VC)</w:t>
      </w:r>
    </w:p>
    <w:p>
      <w:pPr>
        <w:pStyle w:val="ListParagraph"/>
        <w:numPr>
          <w:ilvl w:val="0"/>
          <w:numId w:val="29"/>
        </w:numPr>
        <w:spacing w:after="200" w:line="264" w:lineRule="auto"/>
        <w:rPr>
          <w:rFonts w:cs="Times New Roman"/>
          <w:b/>
          <w:noProof/>
          <w:szCs w:val="24"/>
        </w:rPr>
      </w:pPr>
      <w:r>
        <w:rPr>
          <w:rFonts w:cs="Times New Roman"/>
          <w:noProof/>
          <w:szCs w:val="24"/>
        </w:rPr>
        <w:t>European Crowdfunding Network (ECN) and European Equity Crowdfunding Association (EECA)</w:t>
      </w:r>
    </w:p>
    <w:p>
      <w:pPr>
        <w:pStyle w:val="ListParagraph"/>
        <w:numPr>
          <w:ilvl w:val="0"/>
          <w:numId w:val="29"/>
        </w:numPr>
        <w:spacing w:after="200" w:line="264" w:lineRule="auto"/>
        <w:rPr>
          <w:rFonts w:cs="Times New Roman"/>
          <w:b/>
          <w:noProof/>
          <w:szCs w:val="24"/>
        </w:rPr>
      </w:pPr>
      <w:r>
        <w:rPr>
          <w:rFonts w:cs="Times New Roman"/>
          <w:noProof/>
          <w:szCs w:val="24"/>
        </w:rPr>
        <w:t>ASTP-Proton (knowledge and technology transfer offices and professionals) and FICPI (International Federation of Intellectual Property Attorneys)</w:t>
      </w:r>
    </w:p>
    <w:p>
      <w:pPr>
        <w:pStyle w:val="ListParagraph"/>
        <w:numPr>
          <w:ilvl w:val="0"/>
          <w:numId w:val="29"/>
        </w:numPr>
        <w:spacing w:after="200" w:line="264" w:lineRule="auto"/>
        <w:rPr>
          <w:rFonts w:cs="Times New Roman"/>
          <w:b/>
          <w:noProof/>
          <w:szCs w:val="24"/>
        </w:rPr>
      </w:pPr>
      <w:r>
        <w:rPr>
          <w:rFonts w:cs="Times New Roman"/>
          <w:noProof/>
          <w:szCs w:val="24"/>
        </w:rPr>
        <w:t>EBN (incubators, accelerators, innovation centres)</w:t>
      </w:r>
    </w:p>
    <w:p>
      <w:pPr>
        <w:pStyle w:val="ListParagraph"/>
        <w:numPr>
          <w:ilvl w:val="0"/>
          <w:numId w:val="29"/>
        </w:numPr>
        <w:spacing w:after="200" w:line="264" w:lineRule="auto"/>
        <w:rPr>
          <w:rFonts w:cs="Times New Roman"/>
          <w:b/>
          <w:noProof/>
          <w:szCs w:val="24"/>
        </w:rPr>
      </w:pPr>
      <w:r>
        <w:rPr>
          <w:rFonts w:cs="Times New Roman"/>
          <w:noProof/>
          <w:szCs w:val="24"/>
        </w:rPr>
        <w:t>EARTO (research and technology organisations)</w:t>
      </w:r>
    </w:p>
    <w:p>
      <w:pPr>
        <w:pStyle w:val="ListParagraph"/>
        <w:numPr>
          <w:ilvl w:val="0"/>
          <w:numId w:val="29"/>
        </w:numPr>
        <w:spacing w:after="200" w:line="264" w:lineRule="auto"/>
        <w:rPr>
          <w:rFonts w:cs="Times New Roman"/>
          <w:b/>
          <w:noProof/>
          <w:szCs w:val="24"/>
        </w:rPr>
      </w:pPr>
      <w:r>
        <w:rPr>
          <w:rFonts w:cs="Times New Roman"/>
          <w:noProof/>
          <w:szCs w:val="24"/>
        </w:rPr>
        <w:t>EUROTECH and LERU (research-performing universities)</w:t>
      </w:r>
    </w:p>
    <w:p>
      <w:pPr>
        <w:pStyle w:val="ListParagraph"/>
        <w:numPr>
          <w:ilvl w:val="0"/>
          <w:numId w:val="29"/>
        </w:numPr>
        <w:spacing w:after="200" w:line="264" w:lineRule="auto"/>
        <w:rPr>
          <w:rFonts w:cs="Times New Roman"/>
          <w:b/>
          <w:noProof/>
          <w:szCs w:val="24"/>
        </w:rPr>
      </w:pPr>
      <w:r>
        <w:rPr>
          <w:rFonts w:cs="Times New Roman"/>
          <w:noProof/>
          <w:szCs w:val="24"/>
        </w:rPr>
        <w:t xml:space="preserve">Sectoral Associations. </w:t>
      </w:r>
    </w:p>
    <w:p>
      <w:pPr>
        <w:pStyle w:val="ListParagraph"/>
        <w:spacing w:line="264" w:lineRule="auto"/>
        <w:ind w:left="360"/>
        <w:rPr>
          <w:rFonts w:cs="Times New Roman"/>
          <w:b/>
          <w:noProof/>
          <w:szCs w:val="24"/>
        </w:rPr>
      </w:pPr>
    </w:p>
    <w:p>
      <w:pPr>
        <w:spacing w:line="264" w:lineRule="auto"/>
        <w:rPr>
          <w:rFonts w:cs="Times New Roman"/>
          <w:b/>
          <w:noProof/>
          <w:szCs w:val="24"/>
        </w:rPr>
      </w:pPr>
      <w:r>
        <w:rPr>
          <w:rFonts w:cs="Times New Roman"/>
          <w:noProof/>
          <w:szCs w:val="24"/>
        </w:rPr>
        <w:t>Their roles might include:</w:t>
      </w:r>
    </w:p>
    <w:p>
      <w:pPr>
        <w:pStyle w:val="ListParagraph"/>
        <w:numPr>
          <w:ilvl w:val="0"/>
          <w:numId w:val="30"/>
        </w:numPr>
        <w:spacing w:after="200" w:line="264" w:lineRule="auto"/>
        <w:rPr>
          <w:rFonts w:cs="Times New Roman"/>
          <w:b/>
          <w:noProof/>
          <w:szCs w:val="24"/>
        </w:rPr>
      </w:pPr>
      <w:r>
        <w:rPr>
          <w:rFonts w:cs="Times New Roman"/>
          <w:noProof/>
          <w:szCs w:val="24"/>
        </w:rPr>
        <w:t>Providing market input and knowledge on the R&amp;I window;</w:t>
      </w:r>
    </w:p>
    <w:p>
      <w:pPr>
        <w:pStyle w:val="ListParagraph"/>
        <w:numPr>
          <w:ilvl w:val="0"/>
          <w:numId w:val="30"/>
        </w:numPr>
        <w:spacing w:after="200" w:line="264" w:lineRule="auto"/>
        <w:rPr>
          <w:rFonts w:cs="Times New Roman"/>
          <w:b/>
          <w:noProof/>
          <w:szCs w:val="24"/>
        </w:rPr>
      </w:pPr>
      <w:r>
        <w:rPr>
          <w:rFonts w:cs="Times New Roman"/>
          <w:noProof/>
          <w:szCs w:val="24"/>
        </w:rPr>
        <w:t>Taking part in the governance of the R&amp;I window under specific platforms.</w:t>
      </w:r>
    </w:p>
    <w:p>
      <w:pPr>
        <w:pStyle w:val="ListParagraph"/>
        <w:numPr>
          <w:ilvl w:val="0"/>
          <w:numId w:val="30"/>
        </w:numPr>
        <w:spacing w:after="200" w:line="264" w:lineRule="auto"/>
        <w:rPr>
          <w:rFonts w:cs="Times New Roman"/>
          <w:b/>
          <w:noProof/>
          <w:szCs w:val="24"/>
        </w:rPr>
      </w:pPr>
      <w:r>
        <w:rPr>
          <w:rFonts w:cs="Times New Roman"/>
          <w:noProof/>
          <w:szCs w:val="24"/>
        </w:rPr>
        <w:t xml:space="preserve">Provision of technical assistance. </w:t>
      </w:r>
    </w:p>
    <w:p>
      <w:pPr>
        <w:pStyle w:val="Text2"/>
        <w:spacing w:line="264" w:lineRule="auto"/>
        <w:ind w:left="0"/>
        <w:rPr>
          <w:noProof/>
          <w:szCs w:val="24"/>
        </w:rPr>
      </w:pPr>
      <w:r>
        <w:rPr>
          <w:noProof/>
          <w:szCs w:val="24"/>
        </w:rPr>
        <w:t>Consultations will be undertaken in the context of setting up the legal base, in the context of evaluations and in the context of market testing instruments.</w:t>
      </w:r>
    </w:p>
    <w:p>
      <w:pPr>
        <w:pStyle w:val="Text2"/>
        <w:spacing w:line="264" w:lineRule="auto"/>
        <w:ind w:left="0"/>
        <w:rPr>
          <w:noProof/>
          <w:szCs w:val="24"/>
        </w:rPr>
      </w:pPr>
    </w:p>
    <w:p>
      <w:pPr>
        <w:pStyle w:val="Text2"/>
        <w:numPr>
          <w:ilvl w:val="0"/>
          <w:numId w:val="50"/>
        </w:numPr>
        <w:spacing w:line="264" w:lineRule="auto"/>
        <w:rPr>
          <w:b/>
          <w:noProof/>
          <w:szCs w:val="24"/>
        </w:rPr>
      </w:pPr>
      <w:r>
        <w:rPr>
          <w:b/>
          <w:noProof/>
          <w:szCs w:val="24"/>
        </w:rPr>
        <w:t>Final beneficiaries and target groups</w:t>
      </w:r>
    </w:p>
    <w:p>
      <w:pPr>
        <w:spacing w:line="264" w:lineRule="auto"/>
        <w:rPr>
          <w:rFonts w:cs="Times New Roman"/>
          <w:b/>
          <w:noProof/>
          <w:color w:val="000000" w:themeColor="text1"/>
          <w:szCs w:val="24"/>
        </w:rPr>
      </w:pPr>
      <w:r>
        <w:rPr>
          <w:rFonts w:cs="Times New Roman"/>
          <w:noProof/>
          <w:color w:val="000000" w:themeColor="text1"/>
          <w:szCs w:val="24"/>
        </w:rPr>
        <w:t>The R&amp;I window will facilitate access to finance to R&amp;I promoters or implementers such as European Innovation Council beneficiaries</w:t>
      </w:r>
      <w:r>
        <w:rPr>
          <w:rStyle w:val="FootnoteReference"/>
          <w:rFonts w:cs="Times New Roman"/>
          <w:noProof/>
          <w:color w:val="000000" w:themeColor="text1"/>
          <w:szCs w:val="24"/>
        </w:rPr>
        <w:footnoteReference w:id="144"/>
      </w:r>
      <w:r>
        <w:rPr>
          <w:rFonts w:cs="Times New Roman"/>
          <w:noProof/>
          <w:color w:val="000000" w:themeColor="text1"/>
          <w:szCs w:val="24"/>
        </w:rPr>
        <w:t>, European Research Council grantees, Marie Skłodowska-Curie beneficiaries, middle market companies, large companies, stand-alone projects, SPVs, Universities, Research Centres, Research and Innovation Infrastructures, Innovation Agencies, and other R&amp;I driven promoters such as research funding foundations. SMEs and – where duly justified – small midcaps will be provided for under the SME window.</w:t>
      </w:r>
    </w:p>
    <w:p>
      <w:pPr>
        <w:spacing w:line="264" w:lineRule="auto"/>
        <w:rPr>
          <w:rFonts w:cs="Times New Roman"/>
          <w:b/>
          <w:noProof/>
          <w:szCs w:val="24"/>
        </w:rPr>
      </w:pPr>
      <w:r>
        <w:rPr>
          <w:rFonts w:cs="Times New Roman"/>
          <w:noProof/>
          <w:color w:val="000000" w:themeColor="text1"/>
          <w:szCs w:val="24"/>
        </w:rPr>
        <w:t xml:space="preserve">Market segmentation and identifications of </w:t>
      </w:r>
      <w:r>
        <w:rPr>
          <w:rFonts w:cs="Times New Roman"/>
          <w:noProof/>
          <w:szCs w:val="24"/>
        </w:rPr>
        <w:t>target groups will be done on a sectoral basis (linked to the fields in which the policy priorities will be implemented) and project/company life-cycle basis (on the basis of funding gap analyses).</w:t>
      </w:r>
    </w:p>
    <w:p>
      <w:pPr>
        <w:pStyle w:val="Text2"/>
        <w:spacing w:line="264" w:lineRule="auto"/>
        <w:ind w:left="0"/>
        <w:rPr>
          <w:noProof/>
          <w:szCs w:val="24"/>
        </w:rPr>
      </w:pPr>
    </w:p>
    <w:p>
      <w:pPr>
        <w:spacing w:after="200" w:line="264" w:lineRule="auto"/>
        <w:jc w:val="left"/>
        <w:rPr>
          <w:rFonts w:eastAsia="Times New Roman" w:cs="Times New Roman"/>
          <w:b/>
          <w:noProof/>
          <w:szCs w:val="24"/>
        </w:rPr>
      </w:pPr>
      <w:r>
        <w:rPr>
          <w:rFonts w:cs="Times New Roman"/>
          <w:noProof/>
          <w:szCs w:val="24"/>
        </w:rPr>
        <w:br w:type="page"/>
      </w:r>
    </w:p>
    <w:p>
      <w:pPr>
        <w:spacing w:line="264" w:lineRule="auto"/>
        <w:rPr>
          <w:rFonts w:cs="Times New Roman"/>
          <w:b/>
          <w:noProof/>
          <w:szCs w:val="24"/>
          <w:u w:val="single"/>
        </w:rPr>
      </w:pPr>
      <w:r>
        <w:rPr>
          <w:rFonts w:cs="Times New Roman"/>
          <w:b/>
          <w:noProof/>
          <w:szCs w:val="24"/>
          <w:u w:val="single"/>
        </w:rPr>
        <w:t>3. SME Window</w:t>
      </w:r>
    </w:p>
    <w:p>
      <w:pPr>
        <w:pStyle w:val="Text2"/>
        <w:numPr>
          <w:ilvl w:val="0"/>
          <w:numId w:val="51"/>
        </w:numPr>
        <w:spacing w:line="264" w:lineRule="auto"/>
        <w:rPr>
          <w:b/>
          <w:noProof/>
          <w:szCs w:val="24"/>
        </w:rPr>
      </w:pPr>
      <w:r>
        <w:rPr>
          <w:b/>
          <w:noProof/>
          <w:szCs w:val="24"/>
        </w:rPr>
        <w:t>Rationale for investment instrument at EU level in your policy area(s); is subsidiarity respected?</w:t>
      </w:r>
    </w:p>
    <w:p>
      <w:pPr>
        <w:pStyle w:val="Text2"/>
        <w:spacing w:after="120" w:line="264" w:lineRule="auto"/>
        <w:ind w:left="0"/>
        <w:rPr>
          <w:b/>
          <w:noProof/>
          <w:szCs w:val="24"/>
        </w:rPr>
      </w:pPr>
      <w:r>
        <w:rPr>
          <w:noProof/>
          <w:szCs w:val="24"/>
        </w:rPr>
        <w:t>SMEs are the engine of the European economy. There are 23.8 million enterprises in the EU. Without SMEs the EU economy would consist of only 45 000 firms. The EU´s SMEs employed 93 million people in 2016, accounted for 67% of total private-sector employment and generated 57% of value added in the EU-28 non-financial business sector</w:t>
      </w:r>
      <w:r>
        <w:rPr>
          <w:noProof/>
          <w:szCs w:val="24"/>
          <w:vertAlign w:val="superscript"/>
        </w:rPr>
        <w:footnoteReference w:id="145"/>
      </w:r>
      <w:r>
        <w:rPr>
          <w:noProof/>
          <w:szCs w:val="24"/>
        </w:rPr>
        <w:t>. About 85% of newly created jobs in the EU are accounted for by SMEs. However, obtaining financing in the form of debt or equity is a major hurdle for company creation and growth, to benefit from new markets and opportunities outside the EU and fully exploit opportunities of Free Trade Agreements with third countries. European SMEs rely heavily on debt finance in the form of bank overdrafts, bank loans or leasing. Market-based instruments (e.g. equity) are only considered relevant by 12% of SMEs</w:t>
      </w:r>
      <w:r>
        <w:rPr>
          <w:noProof/>
          <w:szCs w:val="24"/>
          <w:vertAlign w:val="superscript"/>
        </w:rPr>
        <w:footnoteReference w:id="146"/>
      </w:r>
      <w:r>
        <w:rPr>
          <w:noProof/>
          <w:szCs w:val="24"/>
        </w:rPr>
        <w:t xml:space="preserve"> although in many cases equity (risk-capital) is more suitable, as small companies often lack collateral or have irregular cash-flows (equity does not impose specific repayment schedule, and hence can be less of a burden during times of economic stress). </w:t>
      </w:r>
    </w:p>
    <w:p>
      <w:pPr>
        <w:pStyle w:val="Text2"/>
        <w:spacing w:after="120" w:line="264" w:lineRule="auto"/>
        <w:ind w:left="0"/>
        <w:rPr>
          <w:b/>
          <w:noProof/>
          <w:szCs w:val="24"/>
        </w:rPr>
      </w:pPr>
      <w:r>
        <w:rPr>
          <w:noProof/>
          <w:szCs w:val="24"/>
        </w:rPr>
        <w:t>Providing more diversified sources of funding is necessary for increasing the ability of SMEs to withstand economic downturns and for making the financial system more resilient during economic shocks. This is the key objectives pursuit under the Capital Markets Union flagship priority.</w:t>
      </w:r>
    </w:p>
    <w:p>
      <w:pPr>
        <w:pStyle w:val="Text2"/>
        <w:spacing w:after="120" w:line="264" w:lineRule="auto"/>
        <w:ind w:left="0"/>
        <w:rPr>
          <w:i/>
          <w:noProof/>
          <w:szCs w:val="24"/>
        </w:rPr>
      </w:pPr>
      <w:r>
        <w:rPr>
          <w:i/>
          <w:noProof/>
          <w:szCs w:val="24"/>
        </w:rPr>
        <w:t>SME debt finance market:</w:t>
      </w:r>
    </w:p>
    <w:p>
      <w:pPr>
        <w:pStyle w:val="Text2"/>
        <w:spacing w:after="120" w:line="264" w:lineRule="auto"/>
        <w:ind w:left="0"/>
        <w:rPr>
          <w:b/>
          <w:noProof/>
          <w:szCs w:val="24"/>
        </w:rPr>
      </w:pPr>
      <w:r>
        <w:rPr>
          <w:noProof/>
          <w:szCs w:val="24"/>
        </w:rPr>
        <w:t>Following the financial crisis, higher capital requirements [as exemplified in the Capital Requirements Directives (CRD)] and the need for banks’ deleveraging, negatively impacted bank's willingness and ability to lend and to accept risk.</w:t>
      </w:r>
    </w:p>
    <w:p>
      <w:pPr>
        <w:pStyle w:val="Text2"/>
        <w:spacing w:after="120" w:line="264" w:lineRule="auto"/>
        <w:ind w:left="0"/>
        <w:rPr>
          <w:b/>
          <w:noProof/>
          <w:szCs w:val="24"/>
        </w:rPr>
      </w:pPr>
      <w:r>
        <w:rPr>
          <w:noProof/>
          <w:szCs w:val="24"/>
        </w:rPr>
        <w:t xml:space="preserve">This had a major negative effect on available SME bank finance across the EU. Credit standards tightened considerably and SMEs as a consequence experienced a credit crunch. The ECB's monetary policy has significantly improved the liquidity situation and positive economic developments have helped as well. </w:t>
      </w:r>
    </w:p>
    <w:p>
      <w:pPr>
        <w:pStyle w:val="Text2"/>
        <w:spacing w:after="120" w:line="264" w:lineRule="auto"/>
        <w:ind w:left="0"/>
        <w:rPr>
          <w:b/>
          <w:noProof/>
          <w:szCs w:val="24"/>
        </w:rPr>
      </w:pPr>
      <w:r>
        <w:rPr>
          <w:noProof/>
          <w:szCs w:val="24"/>
        </w:rPr>
        <w:t xml:space="preserve">To alleviate the negative impacts of stricter capital rules by the Capital Requirements Regulation (CRR) and CRD IV on the SME lending market, and in the context of credit tightening after the financial crisis, a capital reduction factor for loans to SMEs - the so-called SME Supporting Factor (SF) - was introduced by the CRR to allow credit institutions to counterbalance the rise in capital requirements resulting from the Countercyclical Capital Buffer (CCB), and to provide an adequate flow of credit to this particular group of companies. The SME SF was implemented as early as 2014, thus reducing the capital requirements for exposures to SMEs in comparison with the pre-CRR/CRD IV framework”). </w:t>
      </w:r>
    </w:p>
    <w:p>
      <w:pPr>
        <w:pStyle w:val="Text2"/>
        <w:spacing w:after="120" w:line="264" w:lineRule="auto"/>
        <w:ind w:left="0"/>
        <w:rPr>
          <w:b/>
          <w:noProof/>
          <w:szCs w:val="24"/>
        </w:rPr>
      </w:pPr>
      <w:r>
        <w:rPr>
          <w:noProof/>
          <w:szCs w:val="24"/>
        </w:rPr>
        <w:t>All of these activities have led to an improvement in the conditions for access to finance, and they have on average recovered</w:t>
      </w:r>
      <w:r>
        <w:rPr>
          <w:noProof/>
          <w:szCs w:val="24"/>
          <w:vertAlign w:val="superscript"/>
        </w:rPr>
        <w:t>2</w:t>
      </w:r>
      <w:r>
        <w:rPr>
          <w:noProof/>
          <w:szCs w:val="24"/>
        </w:rPr>
        <w:t>, but the euro area aggregate masks considerable cross-country differences. Moreover, financial markets in the Member States show different degrees of development, in terms of diversity of financial institutions, product offerings and risk appetite. SMEs have no means to overcome these national differences because they rely on local/national providers of finance; SME financing is predominantly provided within national boundaries due to regulatory constraints. Cross border lending is only at a nascent stage, predominantly fuelled by the emergence of Fintech companies.</w:t>
      </w:r>
    </w:p>
    <w:p>
      <w:pPr>
        <w:pStyle w:val="Text2"/>
        <w:spacing w:after="120" w:line="264" w:lineRule="auto"/>
        <w:ind w:left="0"/>
        <w:rPr>
          <w:b/>
          <w:noProof/>
          <w:szCs w:val="24"/>
        </w:rPr>
      </w:pPr>
      <w:r>
        <w:rPr>
          <w:noProof/>
          <w:szCs w:val="24"/>
        </w:rPr>
        <w:t>The financing problem is acute for firms that are undertaking activities with significant financial, technological, organisational or business-model risk and those wanting to finance growth projects which do not necessarily result in the acquisition of fixed assets which could be collateralised (e.g. in the area of culture and creativity, digitisation, internationalisation</w:t>
      </w:r>
      <w:r>
        <w:rPr>
          <w:noProof/>
          <w:szCs w:val="24"/>
          <w:vertAlign w:val="superscript"/>
        </w:rPr>
        <w:footnoteReference w:id="147"/>
      </w:r>
      <w:r>
        <w:rPr>
          <w:noProof/>
          <w:szCs w:val="24"/>
        </w:rPr>
        <w:t xml:space="preserve">, etc.). Furthermore, undertaking innovative and other high-risk activities which are poorly understood by finance providers result in low credit scores and lead to high interest charges to compensate for the perceived risk. </w:t>
      </w:r>
    </w:p>
    <w:p>
      <w:pPr>
        <w:pStyle w:val="Text2"/>
        <w:spacing w:after="120" w:line="264" w:lineRule="auto"/>
        <w:ind w:left="0"/>
        <w:rPr>
          <w:b/>
          <w:noProof/>
          <w:szCs w:val="24"/>
        </w:rPr>
      </w:pPr>
      <w:r>
        <w:rPr>
          <w:noProof/>
          <w:szCs w:val="24"/>
        </w:rPr>
        <w:t xml:space="preserve">What is more, especially younger and smaller companies (including start-ups and spin-offs) or those requiring rather small financing amounts are faced with a </w:t>
      </w:r>
      <w:r>
        <w:rPr>
          <w:noProof/>
          <w:szCs w:val="24"/>
          <w:u w:val="single"/>
        </w:rPr>
        <w:t>structural financing gap</w:t>
      </w:r>
      <w:r>
        <w:rPr>
          <w:noProof/>
          <w:szCs w:val="24"/>
        </w:rPr>
        <w:t xml:space="preserve"> due to information asymmetries, lack of financial track records and disproportionate dossier costs, which is independent of the economic cycle or the country they are located in. If financing is offered at all, it is offered at unreasonable conditions in terms of interest rates applied, maturities, repayment terms and collateral required. This also applies to SMEs wishing to internationalise.</w:t>
      </w:r>
    </w:p>
    <w:p>
      <w:pPr>
        <w:pStyle w:val="Text2"/>
        <w:spacing w:after="120" w:line="264" w:lineRule="auto"/>
        <w:ind w:left="0"/>
        <w:rPr>
          <w:b/>
          <w:noProof/>
          <w:szCs w:val="24"/>
        </w:rPr>
      </w:pPr>
      <w:r>
        <w:rPr>
          <w:noProof/>
          <w:szCs w:val="24"/>
        </w:rPr>
        <w:t>These market failures – prevalent cross the EU – hinder the start-up and growth of companies. Companies do not always have the internal funds they need, and consequently seek external financing.</w:t>
      </w:r>
    </w:p>
    <w:p>
      <w:pPr>
        <w:pStyle w:val="Text2"/>
        <w:spacing w:after="120" w:line="264" w:lineRule="auto"/>
        <w:ind w:left="0"/>
        <w:rPr>
          <w:b/>
          <w:noProof/>
          <w:szCs w:val="24"/>
        </w:rPr>
      </w:pPr>
      <w:r>
        <w:rPr>
          <w:noProof/>
          <w:szCs w:val="24"/>
        </w:rPr>
        <w:t>This market environment results in an access to finance gap for SMEs which have a higher risk profile or insufficient collateral, and such access to finance gap differs from country to country.</w:t>
      </w:r>
    </w:p>
    <w:p>
      <w:pPr>
        <w:pStyle w:val="Text2"/>
        <w:spacing w:after="120" w:line="264" w:lineRule="auto"/>
        <w:ind w:left="0"/>
        <w:rPr>
          <w:b/>
          <w:noProof/>
          <w:szCs w:val="24"/>
        </w:rPr>
      </w:pPr>
      <w:r>
        <w:rPr>
          <w:noProof/>
          <w:szCs w:val="24"/>
        </w:rPr>
        <w:t xml:space="preserve">Member States, either at national or at regional level, are trying to address the market gaps within their boundaries to differing degrees, either through national budgets or through ESIF funding through a mix of loans and guarantees. </w:t>
      </w:r>
    </w:p>
    <w:p>
      <w:pPr>
        <w:pStyle w:val="Text2"/>
        <w:spacing w:after="120" w:line="264" w:lineRule="auto"/>
        <w:ind w:left="0"/>
        <w:rPr>
          <w:b/>
          <w:noProof/>
          <w:szCs w:val="24"/>
        </w:rPr>
      </w:pPr>
      <w:r>
        <w:rPr>
          <w:noProof/>
          <w:szCs w:val="24"/>
        </w:rPr>
        <w:t>The EU-added value of debt financial instruments to be set-up under the SME window of the Single Investment Fund will be to:</w:t>
      </w:r>
    </w:p>
    <w:p>
      <w:pPr>
        <w:pStyle w:val="Text2"/>
        <w:numPr>
          <w:ilvl w:val="0"/>
          <w:numId w:val="44"/>
        </w:numPr>
        <w:spacing w:after="120" w:line="264" w:lineRule="auto"/>
        <w:rPr>
          <w:b/>
          <w:noProof/>
          <w:szCs w:val="24"/>
        </w:rPr>
      </w:pPr>
      <w:r>
        <w:rPr>
          <w:noProof/>
          <w:szCs w:val="24"/>
        </w:rPr>
        <w:t>address market gaps not addressed or not adequately addressed (in terms of volumes, coverage or risk appetite) at regional or national level;</w:t>
      </w:r>
    </w:p>
    <w:p>
      <w:pPr>
        <w:pStyle w:val="Text2"/>
        <w:numPr>
          <w:ilvl w:val="0"/>
          <w:numId w:val="44"/>
        </w:numPr>
        <w:spacing w:after="120" w:line="264" w:lineRule="auto"/>
        <w:rPr>
          <w:b/>
          <w:noProof/>
          <w:szCs w:val="24"/>
        </w:rPr>
      </w:pPr>
      <w:r>
        <w:rPr>
          <w:noProof/>
          <w:szCs w:val="24"/>
        </w:rPr>
        <w:t>address market gaps through supporting cross-border financing solutions;</w:t>
      </w:r>
    </w:p>
    <w:p>
      <w:pPr>
        <w:pStyle w:val="Text2"/>
        <w:numPr>
          <w:ilvl w:val="0"/>
          <w:numId w:val="44"/>
        </w:numPr>
        <w:spacing w:after="120" w:line="264" w:lineRule="auto"/>
        <w:rPr>
          <w:b/>
          <w:noProof/>
          <w:szCs w:val="24"/>
        </w:rPr>
      </w:pPr>
      <w:r>
        <w:rPr>
          <w:noProof/>
          <w:szCs w:val="24"/>
        </w:rPr>
        <w:t xml:space="preserve">address market gaps in clearly defined underserved economic sectors and in those contributing to the achievement of EU policy priorities; </w:t>
      </w:r>
    </w:p>
    <w:p>
      <w:pPr>
        <w:pStyle w:val="Text2"/>
        <w:numPr>
          <w:ilvl w:val="0"/>
          <w:numId w:val="45"/>
        </w:numPr>
        <w:spacing w:after="120" w:line="264" w:lineRule="auto"/>
        <w:rPr>
          <w:b/>
          <w:noProof/>
          <w:szCs w:val="24"/>
        </w:rPr>
      </w:pPr>
      <w:r>
        <w:rPr>
          <w:noProof/>
          <w:szCs w:val="24"/>
        </w:rPr>
        <w:t xml:space="preserve">foster the transfer of best practices between financial intermediaries with a view to encourage the emergence of a broad product offering for higher risk SMEs suitable for their specific financing needs; </w:t>
      </w:r>
    </w:p>
    <w:p>
      <w:pPr>
        <w:pStyle w:val="Text2"/>
        <w:numPr>
          <w:ilvl w:val="0"/>
          <w:numId w:val="45"/>
        </w:numPr>
        <w:spacing w:after="120" w:line="264" w:lineRule="auto"/>
        <w:rPr>
          <w:b/>
          <w:noProof/>
          <w:szCs w:val="24"/>
        </w:rPr>
      </w:pPr>
      <w:r>
        <w:rPr>
          <w:noProof/>
          <w:szCs w:val="24"/>
        </w:rPr>
        <w:t>provide economies of scale (i.e. Member States may be reluctant to create support schemes on their own because of cost efficiency considerations – hence a EU response is essential to avoid even bigger market fragmentation and disparities).</w:t>
      </w:r>
    </w:p>
    <w:p>
      <w:pPr>
        <w:pStyle w:val="Text2"/>
        <w:spacing w:after="120" w:line="264" w:lineRule="auto"/>
        <w:ind w:left="0"/>
        <w:rPr>
          <w:b/>
          <w:noProof/>
          <w:szCs w:val="24"/>
        </w:rPr>
      </w:pPr>
      <w:r>
        <w:rPr>
          <w:noProof/>
          <w:szCs w:val="24"/>
        </w:rPr>
        <w:t xml:space="preserve">The debt financial instruments to be set-up may be accompanied by technical assistance or capacity building projects where such activities are crucial to achieve a smooth implementation of the financial instruments. </w:t>
      </w:r>
    </w:p>
    <w:p>
      <w:pPr>
        <w:pStyle w:val="Text2"/>
        <w:spacing w:after="120" w:line="264" w:lineRule="auto"/>
        <w:ind w:left="0"/>
        <w:rPr>
          <w:i/>
          <w:noProof/>
          <w:szCs w:val="24"/>
        </w:rPr>
      </w:pPr>
      <w:r>
        <w:rPr>
          <w:i/>
          <w:noProof/>
          <w:szCs w:val="24"/>
        </w:rPr>
        <w:t>Equity financing market:</w:t>
      </w:r>
    </w:p>
    <w:p>
      <w:pPr>
        <w:pStyle w:val="Text2"/>
        <w:spacing w:after="120" w:line="264" w:lineRule="auto"/>
        <w:ind w:left="0"/>
        <w:rPr>
          <w:b/>
          <w:noProof/>
          <w:szCs w:val="24"/>
        </w:rPr>
      </w:pPr>
      <w:r>
        <w:rPr>
          <w:noProof/>
          <w:szCs w:val="24"/>
        </w:rPr>
        <w:t xml:space="preserve">Despite the fact that only 12% of SMEs currently consider equity financing relevant for their business, it is an important financing component, specifically for high-risk start-ups and high growth companies that require significant long-term investments which do not produce immediate free cash-flows which would allow servicing debt payments nor do require the need for a collateral. </w:t>
      </w:r>
    </w:p>
    <w:p>
      <w:pPr>
        <w:pStyle w:val="Text2"/>
        <w:spacing w:after="120" w:line="264" w:lineRule="auto"/>
        <w:ind w:left="0"/>
        <w:rPr>
          <w:b/>
          <w:noProof/>
          <w:szCs w:val="24"/>
        </w:rPr>
      </w:pPr>
      <w:r>
        <w:rPr>
          <w:noProof/>
          <w:szCs w:val="24"/>
        </w:rPr>
        <w:t xml:space="preserve">Alternative sources of finance, complementary to bank-financing - including public equity markets – private equity and venture capital - are more widely used in other parts of the world, and should play a bigger role in providing financing to companies that struggle to get funding especially SMEs. Having more diversified sources of financing is not only good for investment but is essential for making the EU financial system more resilient in the economic cycle. </w:t>
      </w:r>
    </w:p>
    <w:p>
      <w:pPr>
        <w:pStyle w:val="Text2"/>
        <w:spacing w:after="120" w:line="264" w:lineRule="auto"/>
        <w:ind w:left="0"/>
        <w:rPr>
          <w:b/>
          <w:noProof/>
          <w:szCs w:val="24"/>
        </w:rPr>
      </w:pPr>
      <w:r>
        <w:rPr>
          <w:noProof/>
          <w:szCs w:val="24"/>
        </w:rPr>
        <w:t xml:space="preserve">But Europe's capital markets are still very fragmented and underdeveloped (EU SMEs receive five times less funding from the capital markets compared to US) while capital markets can provide large amounts of funding to corporates (including SMEs). </w:t>
      </w:r>
    </w:p>
    <w:p>
      <w:pPr>
        <w:pStyle w:val="Text2"/>
        <w:spacing w:after="120" w:line="264" w:lineRule="auto"/>
        <w:ind w:left="0"/>
        <w:rPr>
          <w:b/>
          <w:noProof/>
          <w:szCs w:val="24"/>
        </w:rPr>
      </w:pPr>
      <w:r>
        <w:rPr>
          <w:noProof/>
          <w:szCs w:val="24"/>
        </w:rPr>
        <w:t>For high-risk start-ups and high growth of companies obtaining equity finance on reasonable terms is difficult for different reasons: one is the asymmetry between the information held by the firm and that known to the investor; and conflicts of interest between a firm's managers and its shareholders (the principal-agent conflict).</w:t>
      </w:r>
    </w:p>
    <w:p>
      <w:pPr>
        <w:pStyle w:val="Text2"/>
        <w:spacing w:after="120" w:line="264" w:lineRule="auto"/>
        <w:ind w:left="0"/>
        <w:rPr>
          <w:b/>
          <w:noProof/>
          <w:szCs w:val="24"/>
        </w:rPr>
      </w:pPr>
      <w:r>
        <w:rPr>
          <w:noProof/>
          <w:szCs w:val="24"/>
        </w:rPr>
        <w:t>Asymmetry of information happens because the company knows more about their activities and the likelihood of their success than potential investors do. Such investors find it more difficult to work out which investments are likely to give them an adequate rate of return, and so must make funds available on more onerous terms to compensate for the risk of a poor outcome or failure.</w:t>
      </w:r>
    </w:p>
    <w:p>
      <w:pPr>
        <w:pStyle w:val="Text2"/>
        <w:spacing w:after="120" w:line="264" w:lineRule="auto"/>
        <w:ind w:left="0"/>
        <w:rPr>
          <w:b/>
          <w:noProof/>
          <w:szCs w:val="24"/>
        </w:rPr>
      </w:pPr>
      <w:r>
        <w:rPr>
          <w:noProof/>
          <w:szCs w:val="24"/>
        </w:rPr>
        <w:t xml:space="preserve">The principal-agent conflict arises when managers are risk-averse and so avoid starting or continuing activities that, in their eyes, put the firm in jeopardy. On the other hand, an entrepreneur may wish to start or continue a project that shareholders would like to stifle or terminate. Together, these situations can lead to the perception by investors of higher risk and hence high costs of external finance. </w:t>
      </w:r>
    </w:p>
    <w:p>
      <w:pPr>
        <w:pStyle w:val="Text2"/>
        <w:spacing w:after="120" w:line="264" w:lineRule="auto"/>
        <w:ind w:left="0"/>
        <w:rPr>
          <w:b/>
          <w:noProof/>
          <w:szCs w:val="24"/>
        </w:rPr>
      </w:pPr>
      <w:r>
        <w:rPr>
          <w:noProof/>
          <w:szCs w:val="24"/>
        </w:rPr>
        <w:t xml:space="preserve">While private capital for pre-IPOs and IPOs is in principle available, it is not sufficiently made available for this particular asset class of risk capital investments. Investors consider the risk/return profile for venture and growth capital investments inappropriate and the cost of undertaking research too high. Moreover, investors find it inefficient to invest because the funds are very often too small. These framework conditions create a market gap for equity risk capital finance. </w:t>
      </w:r>
    </w:p>
    <w:p>
      <w:pPr>
        <w:pStyle w:val="Text2"/>
        <w:spacing w:after="120" w:line="264" w:lineRule="auto"/>
        <w:ind w:left="0"/>
        <w:rPr>
          <w:b/>
          <w:noProof/>
          <w:szCs w:val="24"/>
        </w:rPr>
      </w:pPr>
      <w:r>
        <w:rPr>
          <w:noProof/>
          <w:szCs w:val="24"/>
        </w:rPr>
        <w:t xml:space="preserve">Furthermore, the EU's fragmented internal market is a major obstacle to companies' growth. Different rules, taxes and standards across the Member States hamper businesses seeking to scale up across borders. Member States and the EIF/EIB have stepped in and provide a significant part of the equity funding support for high-risk SMEs – mostly for the different stages of development until the IPOs stages. Many Member States have expressed the need to help SMEs scaling up beyond the private equity markets, notably when going public – on a SME multi-lateral trading facilities (MTF) (which is not the regulated market). Well-developed and vibrant equity markets are key for the functioning of the entire funding escalator. Indeed, when well-developed, IPO markets stimulate private equity and venture capital activity by providing fast and profitable </w:t>
      </w:r>
      <w:r>
        <w:rPr>
          <w:noProof/>
          <w:szCs w:val="24"/>
          <w:u w:val="single"/>
        </w:rPr>
        <w:t>exit opportunities</w:t>
      </w:r>
      <w:r>
        <w:rPr>
          <w:noProof/>
          <w:szCs w:val="24"/>
        </w:rPr>
        <w:t xml:space="preserve"> or venues for further rounds of capital raising. Deep junior markets (SME dedicated MTFs) can also act as a stepping stone for promising companies which may graduate one day to the main regulated markets.</w:t>
      </w:r>
    </w:p>
    <w:p>
      <w:pPr>
        <w:pStyle w:val="Text2"/>
        <w:spacing w:after="120" w:line="264" w:lineRule="auto"/>
        <w:ind w:left="0"/>
        <w:rPr>
          <w:noProof/>
          <w:szCs w:val="24"/>
        </w:rPr>
      </w:pPr>
      <w:r>
        <w:rPr>
          <w:noProof/>
          <w:szCs w:val="24"/>
        </w:rPr>
        <w:t xml:space="preserve">On the supply side, the types of public policy instruments deployed include public VC funds investing directly into companies, and public funds-of-funds investing into private VC and other risk-capital funds; public funds investing in private VC and other risk-capital funds; government loans to private financial intermediaries to finance VC investments; government guarantees for such investments; and tax incentives. </w:t>
      </w:r>
    </w:p>
    <w:p>
      <w:pPr>
        <w:pStyle w:val="Text2"/>
        <w:spacing w:after="120" w:line="264" w:lineRule="auto"/>
        <w:ind w:left="0"/>
        <w:rPr>
          <w:b/>
          <w:noProof/>
          <w:szCs w:val="24"/>
        </w:rPr>
      </w:pPr>
      <w:r>
        <w:rPr>
          <w:noProof/>
          <w:szCs w:val="24"/>
        </w:rPr>
        <w:t>Demand-side interventions include human capital development, notably training for entrepreneurs and investors, and social capital development, in particular facilitating links between entrepreneurs and investors. Regulatory interventions have focused on exit markets, bankruptcy regulations and other framework conditions.</w:t>
      </w:r>
    </w:p>
    <w:p>
      <w:pPr>
        <w:pStyle w:val="Text2"/>
        <w:spacing w:after="120" w:line="264" w:lineRule="auto"/>
        <w:ind w:left="0"/>
        <w:rPr>
          <w:b/>
          <w:noProof/>
          <w:szCs w:val="24"/>
        </w:rPr>
      </w:pPr>
      <w:r>
        <w:rPr>
          <w:noProof/>
          <w:szCs w:val="24"/>
        </w:rPr>
        <w:t>However, there are several challenges across the funding escalator best tackled at EU level:</w:t>
      </w:r>
    </w:p>
    <w:p>
      <w:pPr>
        <w:pStyle w:val="Text2"/>
        <w:numPr>
          <w:ilvl w:val="0"/>
          <w:numId w:val="43"/>
        </w:numPr>
        <w:spacing w:after="120" w:line="264" w:lineRule="auto"/>
        <w:rPr>
          <w:b/>
          <w:noProof/>
          <w:szCs w:val="24"/>
        </w:rPr>
      </w:pPr>
      <w:r>
        <w:rPr>
          <w:noProof/>
          <w:szCs w:val="24"/>
        </w:rPr>
        <w:t>Private investors are reluctant to invest into the VC market because of lack of adequate returns and because of a lack of exit opportunities;</w:t>
      </w:r>
    </w:p>
    <w:p>
      <w:pPr>
        <w:pStyle w:val="Text2"/>
        <w:numPr>
          <w:ilvl w:val="0"/>
          <w:numId w:val="43"/>
        </w:numPr>
        <w:spacing w:after="120" w:line="264" w:lineRule="auto"/>
        <w:rPr>
          <w:b/>
          <w:noProof/>
          <w:szCs w:val="24"/>
        </w:rPr>
      </w:pPr>
      <w:r>
        <w:rPr>
          <w:noProof/>
          <w:szCs w:val="24"/>
        </w:rPr>
        <w:t>VC funds are not large enough, therefore are forced to exit portfolio companies before these companies have developed their full potential (lack of capital to scale-up these companies);</w:t>
      </w:r>
    </w:p>
    <w:p>
      <w:pPr>
        <w:pStyle w:val="Text2"/>
        <w:numPr>
          <w:ilvl w:val="0"/>
          <w:numId w:val="43"/>
        </w:numPr>
        <w:spacing w:after="120" w:line="264" w:lineRule="auto"/>
        <w:rPr>
          <w:b/>
          <w:noProof/>
          <w:szCs w:val="24"/>
        </w:rPr>
      </w:pPr>
      <w:r>
        <w:rPr>
          <w:noProof/>
          <w:szCs w:val="24"/>
        </w:rPr>
        <w:t>Many firms are unaware of the benefits of using equity finance;</w:t>
      </w:r>
    </w:p>
    <w:p>
      <w:pPr>
        <w:pStyle w:val="Text2"/>
        <w:numPr>
          <w:ilvl w:val="0"/>
          <w:numId w:val="43"/>
        </w:numPr>
        <w:spacing w:after="120" w:line="264" w:lineRule="auto"/>
        <w:rPr>
          <w:b/>
          <w:noProof/>
          <w:szCs w:val="24"/>
        </w:rPr>
      </w:pPr>
      <w:r>
        <w:rPr>
          <w:noProof/>
          <w:szCs w:val="24"/>
        </w:rPr>
        <w:t>Business angel capacity is underdeveloped, and exit opportunities insufficient;</w:t>
      </w:r>
    </w:p>
    <w:p>
      <w:pPr>
        <w:pStyle w:val="Text2"/>
        <w:numPr>
          <w:ilvl w:val="0"/>
          <w:numId w:val="43"/>
        </w:numPr>
        <w:spacing w:after="120" w:line="264" w:lineRule="auto"/>
        <w:rPr>
          <w:b/>
          <w:noProof/>
          <w:szCs w:val="24"/>
        </w:rPr>
      </w:pPr>
      <w:r>
        <w:rPr>
          <w:noProof/>
          <w:szCs w:val="24"/>
        </w:rPr>
        <w:t>Many firms are unaware of the benefits of venture debt finance;</w:t>
      </w:r>
    </w:p>
    <w:p>
      <w:pPr>
        <w:pStyle w:val="Text2"/>
        <w:numPr>
          <w:ilvl w:val="0"/>
          <w:numId w:val="43"/>
        </w:numPr>
        <w:spacing w:after="120" w:line="264" w:lineRule="auto"/>
        <w:rPr>
          <w:b/>
          <w:noProof/>
          <w:szCs w:val="24"/>
        </w:rPr>
      </w:pPr>
      <w:r>
        <w:rPr>
          <w:noProof/>
          <w:szCs w:val="24"/>
        </w:rPr>
        <w:t>Cooperation between start-ups and corporates (including use of corporate VC) is suboptimal;</w:t>
      </w:r>
    </w:p>
    <w:p>
      <w:pPr>
        <w:pStyle w:val="Text2"/>
        <w:numPr>
          <w:ilvl w:val="0"/>
          <w:numId w:val="43"/>
        </w:numPr>
        <w:spacing w:after="120" w:line="264" w:lineRule="auto"/>
        <w:rPr>
          <w:b/>
          <w:noProof/>
          <w:szCs w:val="24"/>
        </w:rPr>
      </w:pPr>
      <w:r>
        <w:rPr>
          <w:noProof/>
          <w:szCs w:val="24"/>
        </w:rPr>
        <w:t>Start-up and scale-up markets are fragmented;</w:t>
      </w:r>
    </w:p>
    <w:p>
      <w:pPr>
        <w:pStyle w:val="Text2"/>
        <w:numPr>
          <w:ilvl w:val="0"/>
          <w:numId w:val="43"/>
        </w:numPr>
        <w:spacing w:after="120" w:line="264" w:lineRule="auto"/>
        <w:rPr>
          <w:b/>
          <w:noProof/>
          <w:szCs w:val="24"/>
        </w:rPr>
      </w:pPr>
      <w:r>
        <w:rPr>
          <w:noProof/>
          <w:szCs w:val="24"/>
        </w:rPr>
        <w:t>Equity crowdfunding capacity is underdeveloped, and exit opportunities insufficient;</w:t>
      </w:r>
    </w:p>
    <w:p>
      <w:pPr>
        <w:pStyle w:val="Text2"/>
        <w:numPr>
          <w:ilvl w:val="0"/>
          <w:numId w:val="43"/>
        </w:numPr>
        <w:spacing w:after="120" w:line="264" w:lineRule="auto"/>
        <w:rPr>
          <w:b/>
          <w:noProof/>
          <w:szCs w:val="24"/>
        </w:rPr>
      </w:pPr>
      <w:r>
        <w:rPr>
          <w:noProof/>
          <w:szCs w:val="24"/>
        </w:rPr>
        <w:t>Guidance on the use of Initial Coin Offerings and their relevance for the escalator is unknown;</w:t>
      </w:r>
    </w:p>
    <w:p>
      <w:pPr>
        <w:pStyle w:val="Text2"/>
        <w:numPr>
          <w:ilvl w:val="0"/>
          <w:numId w:val="43"/>
        </w:numPr>
        <w:spacing w:after="120" w:line="264" w:lineRule="auto"/>
        <w:rPr>
          <w:b/>
          <w:noProof/>
          <w:szCs w:val="24"/>
        </w:rPr>
      </w:pPr>
      <w:r>
        <w:rPr>
          <w:noProof/>
          <w:szCs w:val="24"/>
        </w:rPr>
        <w:t xml:space="preserve">IPOs on a SMEs dedicated MTFs have become less and less accessible to smaller firms and the prospect of Europe's largest financial centre leaving the EU makes the task of reviving public markets even more challenging (IPOs on a SME MTFs are predominantly concentrated on AIM – the London Stock Exchange's junior market) </w:t>
      </w:r>
    </w:p>
    <w:p>
      <w:pPr>
        <w:pStyle w:val="Text2"/>
        <w:numPr>
          <w:ilvl w:val="0"/>
          <w:numId w:val="43"/>
        </w:numPr>
        <w:spacing w:after="120" w:line="264" w:lineRule="auto"/>
        <w:rPr>
          <w:b/>
          <w:noProof/>
          <w:szCs w:val="24"/>
        </w:rPr>
      </w:pPr>
      <w:r>
        <w:rPr>
          <w:noProof/>
          <w:szCs w:val="24"/>
        </w:rPr>
        <w:t>The environment for firms accessing public markets is inhospitable.</w:t>
      </w:r>
    </w:p>
    <w:p>
      <w:pPr>
        <w:pStyle w:val="Text2"/>
        <w:spacing w:line="264" w:lineRule="auto"/>
        <w:ind w:left="0"/>
        <w:rPr>
          <w:noProof/>
          <w:szCs w:val="24"/>
        </w:rPr>
      </w:pPr>
      <w:r>
        <w:rPr>
          <w:noProof/>
          <w:szCs w:val="24"/>
        </w:rPr>
        <w:t>The financial instruments to be set-up may be accompanied by technical assistance or capacity building projects where such activities are crucial to achieve a smooth implementation of the financial instruments.</w:t>
      </w:r>
    </w:p>
    <w:p>
      <w:pPr>
        <w:pStyle w:val="ListParagraph"/>
        <w:spacing w:after="120" w:line="264" w:lineRule="auto"/>
        <w:ind w:left="0"/>
        <w:rPr>
          <w:rFonts w:cs="Times New Roman"/>
          <w:b/>
          <w:noProof/>
          <w:szCs w:val="24"/>
        </w:rPr>
      </w:pPr>
      <w:r>
        <w:rPr>
          <w:rFonts w:cs="Times New Roman"/>
          <w:noProof/>
          <w:szCs w:val="24"/>
        </w:rPr>
        <w:t>The European added value of an EU-level equity instrument (with appropriate accompanying measures) has five main components which will lead to higher absolute investment amounts and an acceleration of private investment:</w:t>
      </w:r>
    </w:p>
    <w:p>
      <w:pPr>
        <w:pStyle w:val="ListParagraph"/>
        <w:numPr>
          <w:ilvl w:val="0"/>
          <w:numId w:val="31"/>
        </w:numPr>
        <w:spacing w:after="200" w:line="264" w:lineRule="auto"/>
        <w:rPr>
          <w:rFonts w:cs="Times New Roman"/>
          <w:b/>
          <w:noProof/>
          <w:szCs w:val="24"/>
        </w:rPr>
      </w:pPr>
      <w:r>
        <w:rPr>
          <w:rFonts w:cs="Times New Roman"/>
          <w:noProof/>
          <w:szCs w:val="24"/>
        </w:rPr>
        <w:t>Helping achieve EU policy objectives (see section 2);</w:t>
      </w:r>
    </w:p>
    <w:p>
      <w:pPr>
        <w:pStyle w:val="ListParagraph"/>
        <w:numPr>
          <w:ilvl w:val="0"/>
          <w:numId w:val="31"/>
        </w:numPr>
        <w:spacing w:after="200" w:line="264" w:lineRule="auto"/>
        <w:rPr>
          <w:rFonts w:cs="Times New Roman"/>
          <w:b/>
          <w:noProof/>
          <w:szCs w:val="24"/>
        </w:rPr>
      </w:pPr>
      <w:r>
        <w:rPr>
          <w:rFonts w:cs="Times New Roman"/>
          <w:noProof/>
          <w:szCs w:val="24"/>
        </w:rPr>
        <w:t>Facilitating the financing of more cross-border fund investments which helps to diversify risk and attract and crowd-in private capital;</w:t>
      </w:r>
    </w:p>
    <w:p>
      <w:pPr>
        <w:pStyle w:val="ListParagraph"/>
        <w:numPr>
          <w:ilvl w:val="0"/>
          <w:numId w:val="31"/>
        </w:numPr>
        <w:spacing w:after="200" w:line="264" w:lineRule="auto"/>
        <w:rPr>
          <w:rFonts w:cs="Times New Roman"/>
          <w:b/>
          <w:noProof/>
          <w:szCs w:val="24"/>
        </w:rPr>
      </w:pPr>
      <w:r>
        <w:rPr>
          <w:rFonts w:cs="Times New Roman"/>
          <w:noProof/>
          <w:szCs w:val="24"/>
        </w:rPr>
        <w:t>Economies of scale by setting up EU-wide harmonised schemes which consequently lower transactions costs, such as fees for entrusted entities, but also for investors and potentially investees;</w:t>
      </w:r>
    </w:p>
    <w:p>
      <w:pPr>
        <w:pStyle w:val="ListParagraph"/>
        <w:numPr>
          <w:ilvl w:val="0"/>
          <w:numId w:val="31"/>
        </w:numPr>
        <w:spacing w:after="200" w:line="264" w:lineRule="auto"/>
        <w:rPr>
          <w:rFonts w:cs="Times New Roman"/>
          <w:b/>
          <w:noProof/>
          <w:szCs w:val="24"/>
        </w:rPr>
      </w:pPr>
      <w:r>
        <w:rPr>
          <w:rFonts w:cs="Times New Roman"/>
          <w:noProof/>
          <w:szCs w:val="24"/>
        </w:rPr>
        <w:t>Demonstration and catalytic effects for new interventions not undertaken by Member States;</w:t>
      </w:r>
    </w:p>
    <w:p>
      <w:pPr>
        <w:pStyle w:val="ListParagraph"/>
        <w:numPr>
          <w:ilvl w:val="0"/>
          <w:numId w:val="31"/>
        </w:numPr>
        <w:spacing w:after="200" w:line="264" w:lineRule="auto"/>
        <w:rPr>
          <w:rFonts w:cs="Times New Roman"/>
          <w:b/>
          <w:noProof/>
          <w:szCs w:val="24"/>
        </w:rPr>
      </w:pPr>
      <w:r>
        <w:rPr>
          <w:rFonts w:cs="Times New Roman"/>
          <w:noProof/>
          <w:szCs w:val="24"/>
        </w:rPr>
        <w:t>Market building and development and sharing best practices across the EU.</w:t>
      </w:r>
    </w:p>
    <w:p>
      <w:pPr>
        <w:pStyle w:val="Text2"/>
        <w:spacing w:line="264" w:lineRule="auto"/>
        <w:ind w:left="0"/>
        <w:rPr>
          <w:noProof/>
          <w:szCs w:val="24"/>
        </w:rPr>
      </w:pPr>
      <w:r>
        <w:rPr>
          <w:noProof/>
          <w:szCs w:val="24"/>
        </w:rPr>
        <w:t xml:space="preserve">The EU-level equity instrument will complement national and regional programmes supporting equity investors and investees. </w:t>
      </w:r>
    </w:p>
    <w:p>
      <w:pPr>
        <w:pStyle w:val="Text2"/>
        <w:numPr>
          <w:ilvl w:val="0"/>
          <w:numId w:val="51"/>
        </w:numPr>
        <w:spacing w:line="264" w:lineRule="auto"/>
        <w:rPr>
          <w:b/>
          <w:noProof/>
          <w:szCs w:val="24"/>
        </w:rPr>
      </w:pPr>
      <w:r>
        <w:rPr>
          <w:b/>
          <w:noProof/>
          <w:szCs w:val="24"/>
        </w:rPr>
        <w:t>Policy drivers and public sector stakeholders to be involved and their role</w:t>
      </w:r>
    </w:p>
    <w:p>
      <w:pPr>
        <w:spacing w:line="264" w:lineRule="auto"/>
        <w:rPr>
          <w:rFonts w:cs="Times New Roman"/>
          <w:b/>
          <w:noProof/>
          <w:szCs w:val="24"/>
        </w:rPr>
      </w:pPr>
      <w:r>
        <w:rPr>
          <w:rFonts w:cs="Times New Roman"/>
          <w:noProof/>
          <w:szCs w:val="24"/>
        </w:rPr>
        <w:t>The objective of the instruments is to support the Commission's policy priorities of creating jobs and boosting growth and to support the Capital Markets Union flagship priority, as well as supporting the overall competitiveness of the European economy. Indirectly, the instruments are also expected to contribute to</w:t>
      </w:r>
    </w:p>
    <w:p>
      <w:pPr>
        <w:pStyle w:val="ListParagraph"/>
        <w:numPr>
          <w:ilvl w:val="0"/>
          <w:numId w:val="42"/>
        </w:numPr>
        <w:spacing w:after="200" w:line="264" w:lineRule="auto"/>
        <w:rPr>
          <w:rFonts w:cs="Times New Roman"/>
          <w:b/>
          <w:noProof/>
          <w:szCs w:val="24"/>
        </w:rPr>
      </w:pPr>
      <w:r>
        <w:rPr>
          <w:rFonts w:cs="Times New Roman"/>
          <w:noProof/>
          <w:szCs w:val="24"/>
        </w:rPr>
        <w:t>Easing the transition to a circular economy</w:t>
      </w:r>
    </w:p>
    <w:p>
      <w:pPr>
        <w:pStyle w:val="ListParagraph"/>
        <w:numPr>
          <w:ilvl w:val="0"/>
          <w:numId w:val="42"/>
        </w:numPr>
        <w:spacing w:after="200" w:line="264" w:lineRule="auto"/>
        <w:rPr>
          <w:rFonts w:cs="Times New Roman"/>
          <w:b/>
          <w:noProof/>
          <w:szCs w:val="24"/>
        </w:rPr>
      </w:pPr>
      <w:r>
        <w:rPr>
          <w:rFonts w:cs="Times New Roman"/>
          <w:noProof/>
          <w:szCs w:val="24"/>
        </w:rPr>
        <w:t>Promoting EU economic diplomacy, the internationalisation of European businesses and the maximum implementation of FTAs</w:t>
      </w:r>
    </w:p>
    <w:p>
      <w:pPr>
        <w:pStyle w:val="ListParagraph"/>
        <w:numPr>
          <w:ilvl w:val="0"/>
          <w:numId w:val="42"/>
        </w:numPr>
        <w:spacing w:after="200" w:line="264" w:lineRule="auto"/>
        <w:rPr>
          <w:rFonts w:cs="Times New Roman"/>
          <w:b/>
          <w:noProof/>
          <w:szCs w:val="24"/>
        </w:rPr>
      </w:pPr>
      <w:r>
        <w:rPr>
          <w:rFonts w:cs="Times New Roman"/>
          <w:noProof/>
          <w:szCs w:val="24"/>
        </w:rPr>
        <w:t>Fostering a stronger digital single market</w:t>
      </w:r>
    </w:p>
    <w:p>
      <w:pPr>
        <w:pStyle w:val="ListParagraph"/>
        <w:numPr>
          <w:ilvl w:val="0"/>
          <w:numId w:val="42"/>
        </w:numPr>
        <w:spacing w:after="200" w:line="264" w:lineRule="auto"/>
        <w:rPr>
          <w:rFonts w:cs="Times New Roman"/>
          <w:b/>
          <w:noProof/>
          <w:szCs w:val="24"/>
        </w:rPr>
      </w:pPr>
      <w:r>
        <w:rPr>
          <w:rFonts w:cs="Times New Roman"/>
          <w:noProof/>
          <w:szCs w:val="24"/>
        </w:rPr>
        <w:t>Strengthening the financial capacity of the cultural and creative sectors</w:t>
      </w:r>
    </w:p>
    <w:p>
      <w:pPr>
        <w:pStyle w:val="ListParagraph"/>
        <w:numPr>
          <w:ilvl w:val="0"/>
          <w:numId w:val="42"/>
        </w:numPr>
        <w:spacing w:after="200" w:line="264" w:lineRule="auto"/>
        <w:rPr>
          <w:rFonts w:cs="Times New Roman"/>
          <w:b/>
          <w:noProof/>
          <w:szCs w:val="24"/>
        </w:rPr>
      </w:pPr>
      <w:r>
        <w:rPr>
          <w:rFonts w:cs="Times New Roman"/>
          <w:noProof/>
          <w:szCs w:val="24"/>
        </w:rPr>
        <w:t>Supporting farm investments for restructuration and modernisation, as well as rural entrepreneurship</w:t>
      </w:r>
    </w:p>
    <w:p>
      <w:pPr>
        <w:pStyle w:val="ListParagraph"/>
        <w:numPr>
          <w:ilvl w:val="0"/>
          <w:numId w:val="42"/>
        </w:numPr>
        <w:spacing w:after="200" w:line="264" w:lineRule="auto"/>
        <w:rPr>
          <w:rFonts w:cs="Times New Roman"/>
          <w:b/>
          <w:noProof/>
          <w:szCs w:val="24"/>
        </w:rPr>
      </w:pPr>
      <w:r>
        <w:rPr>
          <w:rFonts w:cs="Times New Roman"/>
          <w:noProof/>
          <w:szCs w:val="24"/>
        </w:rPr>
        <w:t>Improving energy efficiency</w:t>
      </w:r>
    </w:p>
    <w:p>
      <w:pPr>
        <w:pStyle w:val="ListParagraph"/>
        <w:numPr>
          <w:ilvl w:val="0"/>
          <w:numId w:val="42"/>
        </w:numPr>
        <w:spacing w:after="200" w:line="264" w:lineRule="auto"/>
        <w:rPr>
          <w:rFonts w:cs="Times New Roman"/>
          <w:b/>
          <w:noProof/>
          <w:szCs w:val="24"/>
        </w:rPr>
      </w:pPr>
      <w:r>
        <w:rPr>
          <w:rFonts w:cs="Times New Roman"/>
          <w:noProof/>
          <w:szCs w:val="24"/>
        </w:rPr>
        <w:t>Decarbonising the economy</w:t>
      </w:r>
    </w:p>
    <w:p>
      <w:pPr>
        <w:pStyle w:val="ListParagraph"/>
        <w:numPr>
          <w:ilvl w:val="0"/>
          <w:numId w:val="42"/>
        </w:numPr>
        <w:spacing w:after="200" w:line="264" w:lineRule="auto"/>
        <w:rPr>
          <w:rFonts w:cs="Times New Roman"/>
          <w:b/>
          <w:noProof/>
          <w:szCs w:val="24"/>
        </w:rPr>
      </w:pPr>
      <w:r>
        <w:rPr>
          <w:rFonts w:cs="Times New Roman"/>
          <w:noProof/>
          <w:szCs w:val="24"/>
        </w:rPr>
        <w:t>Supporting breakthroughs in low-carbon and clean energy technologies</w:t>
      </w:r>
    </w:p>
    <w:p>
      <w:pPr>
        <w:pStyle w:val="ListParagraph"/>
        <w:numPr>
          <w:ilvl w:val="0"/>
          <w:numId w:val="42"/>
        </w:numPr>
        <w:spacing w:after="200" w:line="264" w:lineRule="auto"/>
        <w:rPr>
          <w:rFonts w:cs="Times New Roman"/>
          <w:b/>
          <w:noProof/>
          <w:szCs w:val="24"/>
        </w:rPr>
      </w:pPr>
      <w:r>
        <w:rPr>
          <w:rFonts w:cs="Times New Roman"/>
          <w:noProof/>
          <w:szCs w:val="24"/>
        </w:rPr>
        <w:t>Space technology development</w:t>
      </w:r>
    </w:p>
    <w:p>
      <w:pPr>
        <w:spacing w:line="264" w:lineRule="auto"/>
        <w:rPr>
          <w:rFonts w:cs="Times New Roman"/>
          <w:noProof/>
          <w:szCs w:val="24"/>
        </w:rPr>
      </w:pPr>
      <w:r>
        <w:rPr>
          <w:rFonts w:cs="Times New Roman"/>
          <w:noProof/>
          <w:szCs w:val="24"/>
        </w:rPr>
        <w:t xml:space="preserve">and to support any new policy priorities which may emerge in the future. </w:t>
      </w:r>
    </w:p>
    <w:p>
      <w:pPr>
        <w:spacing w:line="264" w:lineRule="auto"/>
        <w:rPr>
          <w:rFonts w:cs="Times New Roman"/>
          <w:b/>
          <w:noProof/>
          <w:szCs w:val="24"/>
        </w:rPr>
      </w:pPr>
    </w:p>
    <w:p>
      <w:pPr>
        <w:spacing w:line="264" w:lineRule="auto"/>
        <w:rPr>
          <w:rFonts w:cs="Times New Roman"/>
          <w:b/>
          <w:noProof/>
          <w:szCs w:val="24"/>
        </w:rPr>
      </w:pPr>
      <w:r>
        <w:rPr>
          <w:rFonts w:cs="Times New Roman"/>
          <w:noProof/>
          <w:szCs w:val="24"/>
        </w:rPr>
        <w:t>Public sector stakeholders, such as</w:t>
      </w:r>
    </w:p>
    <w:p>
      <w:pPr>
        <w:pStyle w:val="ListParagraph"/>
        <w:numPr>
          <w:ilvl w:val="0"/>
          <w:numId w:val="41"/>
        </w:numPr>
        <w:spacing w:after="200" w:line="264" w:lineRule="auto"/>
        <w:rPr>
          <w:rFonts w:cs="Times New Roman"/>
          <w:b/>
          <w:noProof/>
          <w:szCs w:val="24"/>
        </w:rPr>
      </w:pPr>
      <w:r>
        <w:rPr>
          <w:rFonts w:cs="Times New Roman"/>
          <w:noProof/>
          <w:szCs w:val="24"/>
        </w:rPr>
        <w:t>National/regional promotional banks and other national promotional institutions.</w:t>
      </w:r>
    </w:p>
    <w:p>
      <w:pPr>
        <w:pStyle w:val="ListParagraph"/>
        <w:numPr>
          <w:ilvl w:val="0"/>
          <w:numId w:val="41"/>
        </w:numPr>
        <w:spacing w:after="200" w:line="264" w:lineRule="auto"/>
        <w:rPr>
          <w:rFonts w:cs="Times New Roman"/>
          <w:b/>
          <w:noProof/>
          <w:szCs w:val="24"/>
        </w:rPr>
      </w:pPr>
      <w:r>
        <w:rPr>
          <w:rFonts w:cs="Times New Roman"/>
          <w:noProof/>
          <w:szCs w:val="24"/>
        </w:rPr>
        <w:t>National/regional innovation and environmental (sustainable investments) agencies</w:t>
      </w:r>
    </w:p>
    <w:p>
      <w:pPr>
        <w:spacing w:line="264" w:lineRule="auto"/>
        <w:rPr>
          <w:rFonts w:cs="Times New Roman"/>
          <w:b/>
          <w:noProof/>
          <w:szCs w:val="24"/>
        </w:rPr>
      </w:pPr>
      <w:r>
        <w:rPr>
          <w:rFonts w:cs="Times New Roman"/>
          <w:noProof/>
          <w:szCs w:val="24"/>
        </w:rPr>
        <w:t>are expected to play a role in the implementation of regional and national financial instruments as well as financial instruments established under EU polices delivered through ESIF</w:t>
      </w:r>
      <w:r>
        <w:rPr>
          <w:rStyle w:val="FootnoteReference"/>
          <w:rFonts w:cs="Times New Roman"/>
          <w:noProof/>
          <w:szCs w:val="24"/>
        </w:rPr>
        <w:footnoteReference w:id="148"/>
      </w:r>
      <w:r>
        <w:rPr>
          <w:rFonts w:cs="Times New Roman"/>
          <w:noProof/>
          <w:szCs w:val="24"/>
        </w:rPr>
        <w:t xml:space="preserve">, and as such they may be consulted when EU-level financial instruments are being set up. </w:t>
      </w:r>
    </w:p>
    <w:p>
      <w:pPr>
        <w:spacing w:line="264" w:lineRule="auto"/>
        <w:rPr>
          <w:rFonts w:cs="Times New Roman"/>
          <w:noProof/>
          <w:szCs w:val="24"/>
        </w:rPr>
      </w:pPr>
      <w:r>
        <w:rPr>
          <w:rFonts w:cs="Times New Roman"/>
          <w:noProof/>
          <w:szCs w:val="24"/>
        </w:rPr>
        <w:t>European and International development banks such as EIB and EBRD may take the role of an implementing partner for the implementation of the financial instruments and Executive Agencies of the European Commission and other public sector institutions (e.g. Council of Europe Bank), public and private financial intermediaries and other third party service providers may play a role in the implementation of accompanying actions.</w:t>
      </w:r>
    </w:p>
    <w:p>
      <w:pPr>
        <w:spacing w:line="264" w:lineRule="auto"/>
        <w:rPr>
          <w:rFonts w:cs="Times New Roman"/>
          <w:b/>
          <w:noProof/>
          <w:szCs w:val="24"/>
        </w:rPr>
      </w:pPr>
    </w:p>
    <w:p>
      <w:pPr>
        <w:pStyle w:val="Text2"/>
        <w:numPr>
          <w:ilvl w:val="0"/>
          <w:numId w:val="51"/>
        </w:numPr>
        <w:spacing w:line="264" w:lineRule="auto"/>
        <w:rPr>
          <w:b/>
          <w:noProof/>
          <w:szCs w:val="24"/>
        </w:rPr>
      </w:pPr>
      <w:r>
        <w:rPr>
          <w:b/>
          <w:noProof/>
          <w:szCs w:val="24"/>
        </w:rPr>
        <w:t>Financial intermediaries to be involved and their role</w:t>
      </w:r>
    </w:p>
    <w:p>
      <w:pPr>
        <w:spacing w:line="264" w:lineRule="auto"/>
        <w:rPr>
          <w:rFonts w:cs="Times New Roman"/>
          <w:i/>
          <w:noProof/>
          <w:szCs w:val="24"/>
        </w:rPr>
      </w:pPr>
      <w:r>
        <w:rPr>
          <w:rFonts w:cs="Times New Roman"/>
          <w:i/>
          <w:noProof/>
          <w:szCs w:val="24"/>
        </w:rPr>
        <w:t>For SME debt financing:</w:t>
      </w:r>
    </w:p>
    <w:p>
      <w:pPr>
        <w:spacing w:line="264" w:lineRule="auto"/>
        <w:rPr>
          <w:rFonts w:cs="Times New Roman"/>
          <w:b/>
          <w:noProof/>
          <w:szCs w:val="24"/>
        </w:rPr>
      </w:pPr>
      <w:r>
        <w:rPr>
          <w:rFonts w:cs="Times New Roman"/>
          <w:noProof/>
          <w:szCs w:val="24"/>
        </w:rPr>
        <w:t>In principle any type of financial intermediary which in full compliance with applicable national and EU-legislation and is able to generate new portfolios of higher risk SME financing transactions and is able to comply with the applicable requirements of the Financial Regulation.</w:t>
      </w:r>
    </w:p>
    <w:p>
      <w:pPr>
        <w:spacing w:line="264" w:lineRule="auto"/>
        <w:rPr>
          <w:rFonts w:cs="Times New Roman"/>
          <w:b/>
          <w:noProof/>
          <w:szCs w:val="24"/>
        </w:rPr>
      </w:pPr>
      <w:r>
        <w:rPr>
          <w:rFonts w:cs="Times New Roman"/>
          <w:noProof/>
          <w:szCs w:val="24"/>
        </w:rPr>
        <w:t>However, National Promotional Institutes and other publicly owned intermediaries may play a prominent role in the implementation of the EU instruments because of the natural alignment of interest to support public policy objectives.</w:t>
      </w:r>
      <w:r>
        <w:rPr>
          <w:rStyle w:val="FootnoteReference"/>
          <w:rFonts w:cs="Times New Roman"/>
          <w:noProof/>
          <w:szCs w:val="24"/>
        </w:rPr>
        <w:footnoteReference w:id="149"/>
      </w:r>
    </w:p>
    <w:p>
      <w:pPr>
        <w:spacing w:line="264" w:lineRule="auto"/>
        <w:rPr>
          <w:rFonts w:cs="Times New Roman"/>
          <w:i/>
          <w:noProof/>
          <w:szCs w:val="24"/>
        </w:rPr>
      </w:pPr>
      <w:r>
        <w:rPr>
          <w:rFonts w:cs="Times New Roman"/>
          <w:i/>
          <w:noProof/>
          <w:szCs w:val="24"/>
        </w:rPr>
        <w:t xml:space="preserve">For equity finance: </w:t>
      </w:r>
    </w:p>
    <w:p>
      <w:pPr>
        <w:spacing w:after="120" w:line="264" w:lineRule="auto"/>
        <w:rPr>
          <w:rFonts w:cs="Times New Roman"/>
          <w:noProof/>
          <w:szCs w:val="24"/>
        </w:rPr>
      </w:pPr>
      <w:r>
        <w:rPr>
          <w:rFonts w:cs="Times New Roman"/>
          <w:noProof/>
          <w:szCs w:val="24"/>
        </w:rPr>
        <w:t xml:space="preserve">Established financial intermediaries, or entities to be incorporated, that undertake risk-capital investments by providing investments in equity, quasi-equity, hybrid debt-equity and other forms of mezzanine finance to projects, start-ups and established companies. </w:t>
      </w:r>
    </w:p>
    <w:p>
      <w:pPr>
        <w:spacing w:after="120" w:line="264" w:lineRule="auto"/>
        <w:rPr>
          <w:rFonts w:cs="Times New Roman"/>
          <w:b/>
          <w:noProof/>
          <w:szCs w:val="24"/>
        </w:rPr>
      </w:pPr>
      <w:r>
        <w:rPr>
          <w:rFonts w:cs="Times New Roman"/>
          <w:noProof/>
          <w:szCs w:val="24"/>
        </w:rPr>
        <w:t>They shall demonstrate the capacity and experience to undertake equity/quasi-equity investments, the ability to fundraise and attract private capital, and the capability to produce returns which would attract more private investments into this asset class. Such intermediaries must also be able to comply with the applicable requirements of the Financial Regulation.</w:t>
      </w:r>
    </w:p>
    <w:p>
      <w:pPr>
        <w:spacing w:line="264" w:lineRule="auto"/>
        <w:rPr>
          <w:rFonts w:cs="Times New Roman"/>
          <w:i/>
          <w:noProof/>
          <w:szCs w:val="24"/>
        </w:rPr>
      </w:pPr>
      <w:r>
        <w:rPr>
          <w:rFonts w:cs="Times New Roman"/>
          <w:i/>
          <w:noProof/>
          <w:szCs w:val="24"/>
        </w:rPr>
        <w:t>For debt and equity finance:</w:t>
      </w:r>
    </w:p>
    <w:p>
      <w:pPr>
        <w:spacing w:after="120" w:line="264" w:lineRule="auto"/>
        <w:rPr>
          <w:rFonts w:cs="Times New Roman"/>
          <w:b/>
          <w:noProof/>
          <w:szCs w:val="24"/>
        </w:rPr>
      </w:pPr>
      <w:r>
        <w:rPr>
          <w:rFonts w:cs="Times New Roman"/>
          <w:noProof/>
          <w:szCs w:val="24"/>
        </w:rPr>
        <w:t>Financial intermediaries may include national promotional banks and other national promotional institutions, guarantee societies, leasing companies, funds-of-funds, private equity funds, VC funds, business angel funds, technology transfer funds, crowd-equity platforms, social intermediaries or social sector intermediaries, special-purpose vehicles, co-investment funds or schemes, and tokenised funds.</w:t>
      </w:r>
    </w:p>
    <w:p>
      <w:pPr>
        <w:spacing w:after="120" w:line="264" w:lineRule="auto"/>
        <w:rPr>
          <w:rFonts w:cs="Times New Roman"/>
          <w:b/>
          <w:noProof/>
          <w:szCs w:val="24"/>
        </w:rPr>
      </w:pPr>
      <w:r>
        <w:rPr>
          <w:rFonts w:cs="Times New Roman"/>
          <w:noProof/>
          <w:szCs w:val="24"/>
        </w:rPr>
        <w:t>Entities targeting buy-out or replacement capital intended for asset-stripping are excluded.</w:t>
      </w:r>
    </w:p>
    <w:p>
      <w:pPr>
        <w:pStyle w:val="Text2"/>
        <w:spacing w:line="264" w:lineRule="auto"/>
        <w:ind w:left="0"/>
        <w:rPr>
          <w:noProof/>
          <w:szCs w:val="24"/>
        </w:rPr>
      </w:pPr>
      <w:r>
        <w:rPr>
          <w:noProof/>
          <w:szCs w:val="24"/>
        </w:rPr>
        <w:t>The potential public financial intermediaries referred to above may also play a role in combining central EU financial instruments with funding under cohesion policy.</w:t>
      </w:r>
    </w:p>
    <w:p>
      <w:pPr>
        <w:pStyle w:val="Text2"/>
        <w:spacing w:line="264" w:lineRule="auto"/>
        <w:ind w:left="0"/>
        <w:rPr>
          <w:noProof/>
          <w:szCs w:val="24"/>
        </w:rPr>
      </w:pPr>
    </w:p>
    <w:p>
      <w:pPr>
        <w:pStyle w:val="Text2"/>
        <w:numPr>
          <w:ilvl w:val="0"/>
          <w:numId w:val="51"/>
        </w:numPr>
        <w:spacing w:line="264" w:lineRule="auto"/>
        <w:rPr>
          <w:b/>
          <w:noProof/>
          <w:szCs w:val="24"/>
        </w:rPr>
      </w:pPr>
      <w:r>
        <w:rPr>
          <w:b/>
          <w:noProof/>
          <w:szCs w:val="24"/>
        </w:rPr>
        <w:t>Private sector stakeholder organisations, associations or business groups to be involved and their role</w:t>
      </w:r>
    </w:p>
    <w:p>
      <w:pPr>
        <w:spacing w:line="264" w:lineRule="auto"/>
        <w:rPr>
          <w:rFonts w:cs="Times New Roman"/>
          <w:b/>
          <w:noProof/>
          <w:szCs w:val="24"/>
        </w:rPr>
      </w:pPr>
      <w:r>
        <w:rPr>
          <w:rFonts w:cs="Times New Roman"/>
          <w:noProof/>
          <w:szCs w:val="24"/>
        </w:rPr>
        <w:t>For debt financial instruments any pan-EU private stakeholder organisation which has an interest in the support of SME finance such as</w:t>
      </w:r>
    </w:p>
    <w:p>
      <w:pPr>
        <w:pStyle w:val="ListParagraph"/>
        <w:numPr>
          <w:ilvl w:val="0"/>
          <w:numId w:val="39"/>
        </w:numPr>
        <w:spacing w:line="264" w:lineRule="auto"/>
        <w:rPr>
          <w:rFonts w:cs="Times New Roman"/>
          <w:b/>
          <w:noProof/>
          <w:szCs w:val="24"/>
        </w:rPr>
      </w:pPr>
      <w:r>
        <w:rPr>
          <w:rFonts w:cs="Times New Roman"/>
          <w:noProof/>
          <w:szCs w:val="24"/>
        </w:rPr>
        <w:t>AECM</w:t>
      </w:r>
    </w:p>
    <w:p>
      <w:pPr>
        <w:pStyle w:val="ListParagraph"/>
        <w:numPr>
          <w:ilvl w:val="0"/>
          <w:numId w:val="39"/>
        </w:numPr>
        <w:spacing w:line="264" w:lineRule="auto"/>
        <w:rPr>
          <w:rFonts w:cs="Times New Roman"/>
          <w:b/>
          <w:noProof/>
          <w:szCs w:val="24"/>
        </w:rPr>
      </w:pPr>
      <w:r>
        <w:rPr>
          <w:rFonts w:cs="Times New Roman"/>
          <w:noProof/>
          <w:szCs w:val="24"/>
        </w:rPr>
        <w:t>NEFI</w:t>
      </w:r>
    </w:p>
    <w:p>
      <w:pPr>
        <w:pStyle w:val="ListParagraph"/>
        <w:numPr>
          <w:ilvl w:val="0"/>
          <w:numId w:val="39"/>
        </w:numPr>
        <w:spacing w:line="264" w:lineRule="auto"/>
        <w:rPr>
          <w:rFonts w:cs="Times New Roman"/>
          <w:b/>
          <w:noProof/>
          <w:szCs w:val="24"/>
        </w:rPr>
      </w:pPr>
      <w:r>
        <w:rPr>
          <w:rFonts w:cs="Times New Roman"/>
          <w:noProof/>
          <w:szCs w:val="24"/>
        </w:rPr>
        <w:t>EAPB</w:t>
      </w:r>
    </w:p>
    <w:p>
      <w:pPr>
        <w:pStyle w:val="ListParagraph"/>
        <w:numPr>
          <w:ilvl w:val="0"/>
          <w:numId w:val="39"/>
        </w:numPr>
        <w:spacing w:line="264" w:lineRule="auto"/>
        <w:rPr>
          <w:rFonts w:cs="Times New Roman"/>
          <w:b/>
          <w:noProof/>
          <w:szCs w:val="24"/>
        </w:rPr>
      </w:pPr>
      <w:r>
        <w:rPr>
          <w:rFonts w:cs="Times New Roman"/>
          <w:noProof/>
          <w:szCs w:val="24"/>
        </w:rPr>
        <w:t>UEAPME</w:t>
      </w:r>
    </w:p>
    <w:p>
      <w:pPr>
        <w:pStyle w:val="ListParagraph"/>
        <w:numPr>
          <w:ilvl w:val="0"/>
          <w:numId w:val="39"/>
        </w:numPr>
        <w:spacing w:line="264" w:lineRule="auto"/>
        <w:rPr>
          <w:rFonts w:cs="Times New Roman"/>
          <w:b/>
          <w:noProof/>
          <w:szCs w:val="24"/>
        </w:rPr>
      </w:pPr>
      <w:r>
        <w:rPr>
          <w:rFonts w:cs="Times New Roman"/>
          <w:noProof/>
          <w:szCs w:val="24"/>
        </w:rPr>
        <w:t>COPA-COGECA (agriculture)</w:t>
      </w:r>
    </w:p>
    <w:p>
      <w:pPr>
        <w:spacing w:line="264" w:lineRule="auto"/>
        <w:rPr>
          <w:rFonts w:cs="Times New Roman"/>
          <w:b/>
          <w:noProof/>
          <w:szCs w:val="24"/>
        </w:rPr>
      </w:pPr>
      <w:r>
        <w:rPr>
          <w:rFonts w:cs="Times New Roman"/>
          <w:noProof/>
          <w:szCs w:val="24"/>
        </w:rPr>
        <w:t>and for equity instruments, any pan-EU private stakeholder in the field of equity or representing final beneficiaries will be consulted, including:</w:t>
      </w:r>
    </w:p>
    <w:p>
      <w:pPr>
        <w:pStyle w:val="ListParagraph"/>
        <w:numPr>
          <w:ilvl w:val="0"/>
          <w:numId w:val="40"/>
        </w:numPr>
        <w:spacing w:after="200" w:line="264" w:lineRule="auto"/>
        <w:jc w:val="left"/>
        <w:rPr>
          <w:rFonts w:cs="Times New Roman"/>
          <w:b/>
          <w:noProof/>
          <w:szCs w:val="24"/>
        </w:rPr>
      </w:pPr>
      <w:r>
        <w:rPr>
          <w:rFonts w:cs="Times New Roman"/>
          <w:noProof/>
          <w:szCs w:val="24"/>
        </w:rPr>
        <w:t>InvestEurope (private equity and VC)</w:t>
      </w:r>
    </w:p>
    <w:p>
      <w:pPr>
        <w:pStyle w:val="ListParagraph"/>
        <w:numPr>
          <w:ilvl w:val="0"/>
          <w:numId w:val="40"/>
        </w:numPr>
        <w:spacing w:after="200" w:line="264" w:lineRule="auto"/>
        <w:jc w:val="left"/>
        <w:rPr>
          <w:rFonts w:cs="Times New Roman"/>
          <w:b/>
          <w:noProof/>
          <w:szCs w:val="24"/>
        </w:rPr>
      </w:pPr>
      <w:r>
        <w:rPr>
          <w:rFonts w:cs="Times New Roman"/>
          <w:noProof/>
          <w:szCs w:val="24"/>
        </w:rPr>
        <w:t>Business Angels Europe (BAE) and European Business Angels Network (EBAN)</w:t>
      </w:r>
    </w:p>
    <w:p>
      <w:pPr>
        <w:pStyle w:val="ListParagraph"/>
        <w:numPr>
          <w:ilvl w:val="0"/>
          <w:numId w:val="40"/>
        </w:numPr>
        <w:spacing w:after="200" w:line="264" w:lineRule="auto"/>
        <w:jc w:val="left"/>
        <w:rPr>
          <w:rFonts w:cs="Times New Roman"/>
          <w:b/>
          <w:noProof/>
          <w:szCs w:val="24"/>
        </w:rPr>
      </w:pPr>
      <w:r>
        <w:rPr>
          <w:rFonts w:cs="Times New Roman"/>
          <w:noProof/>
          <w:szCs w:val="24"/>
        </w:rPr>
        <w:t>European Crowdfunding Network (ECN) and European Equity Crowdfunding Association (EECA)</w:t>
      </w:r>
    </w:p>
    <w:p>
      <w:pPr>
        <w:pStyle w:val="ListParagraph"/>
        <w:numPr>
          <w:ilvl w:val="0"/>
          <w:numId w:val="40"/>
        </w:numPr>
        <w:spacing w:after="200" w:line="264" w:lineRule="auto"/>
        <w:jc w:val="left"/>
        <w:rPr>
          <w:rFonts w:cs="Times New Roman"/>
          <w:b/>
          <w:noProof/>
          <w:szCs w:val="24"/>
        </w:rPr>
      </w:pPr>
      <w:r>
        <w:rPr>
          <w:rFonts w:cs="Times New Roman"/>
          <w:noProof/>
          <w:szCs w:val="24"/>
        </w:rPr>
        <w:t>ASTP-Proton (knowledge and technology transfer offices and professionals) and FICPI (International Federation of Intellectual Property Attorneys)</w:t>
      </w:r>
    </w:p>
    <w:p>
      <w:pPr>
        <w:pStyle w:val="ListParagraph"/>
        <w:numPr>
          <w:ilvl w:val="0"/>
          <w:numId w:val="40"/>
        </w:numPr>
        <w:spacing w:after="200" w:line="264" w:lineRule="auto"/>
        <w:jc w:val="left"/>
        <w:rPr>
          <w:rFonts w:cs="Times New Roman"/>
          <w:b/>
          <w:noProof/>
          <w:szCs w:val="24"/>
        </w:rPr>
      </w:pPr>
      <w:r>
        <w:rPr>
          <w:rFonts w:cs="Times New Roman"/>
          <w:noProof/>
          <w:szCs w:val="24"/>
        </w:rPr>
        <w:t>EBN (incubators, accelerators, innovation centres)</w:t>
      </w:r>
    </w:p>
    <w:p>
      <w:pPr>
        <w:pStyle w:val="ListParagraph"/>
        <w:numPr>
          <w:ilvl w:val="0"/>
          <w:numId w:val="40"/>
        </w:numPr>
        <w:spacing w:after="200" w:line="264" w:lineRule="auto"/>
        <w:jc w:val="left"/>
        <w:rPr>
          <w:rFonts w:cs="Times New Roman"/>
          <w:b/>
          <w:noProof/>
          <w:szCs w:val="24"/>
        </w:rPr>
      </w:pPr>
      <w:r>
        <w:rPr>
          <w:rFonts w:cs="Times New Roman"/>
          <w:noProof/>
          <w:szCs w:val="24"/>
        </w:rPr>
        <w:t>UEAPME (SMEs)</w:t>
      </w:r>
    </w:p>
    <w:p>
      <w:pPr>
        <w:pStyle w:val="ListParagraph"/>
        <w:numPr>
          <w:ilvl w:val="0"/>
          <w:numId w:val="40"/>
        </w:numPr>
        <w:spacing w:after="200" w:line="264" w:lineRule="auto"/>
        <w:jc w:val="left"/>
        <w:rPr>
          <w:rFonts w:cs="Times New Roman"/>
          <w:b/>
          <w:noProof/>
          <w:szCs w:val="24"/>
        </w:rPr>
      </w:pPr>
      <w:r>
        <w:rPr>
          <w:rFonts w:cs="Times New Roman"/>
          <w:noProof/>
          <w:szCs w:val="24"/>
        </w:rPr>
        <w:t>EARTO (research and technology organisations)</w:t>
      </w:r>
    </w:p>
    <w:p>
      <w:pPr>
        <w:pStyle w:val="ListParagraph"/>
        <w:numPr>
          <w:ilvl w:val="0"/>
          <w:numId w:val="40"/>
        </w:numPr>
        <w:spacing w:after="200" w:line="264" w:lineRule="auto"/>
        <w:jc w:val="left"/>
        <w:rPr>
          <w:rFonts w:cs="Times New Roman"/>
          <w:b/>
          <w:noProof/>
          <w:szCs w:val="24"/>
        </w:rPr>
      </w:pPr>
      <w:r>
        <w:rPr>
          <w:rFonts w:cs="Times New Roman"/>
          <w:noProof/>
          <w:szCs w:val="24"/>
        </w:rPr>
        <w:t>EUROTECH and LERU (research-performing universities)</w:t>
      </w:r>
    </w:p>
    <w:p>
      <w:pPr>
        <w:pStyle w:val="ListParagraph"/>
        <w:numPr>
          <w:ilvl w:val="0"/>
          <w:numId w:val="40"/>
        </w:numPr>
        <w:spacing w:after="200" w:line="264" w:lineRule="auto"/>
        <w:jc w:val="left"/>
        <w:rPr>
          <w:rFonts w:cs="Times New Roman"/>
          <w:b/>
          <w:noProof/>
          <w:szCs w:val="24"/>
        </w:rPr>
      </w:pPr>
      <w:r>
        <w:rPr>
          <w:rFonts w:cs="Times New Roman"/>
          <w:noProof/>
          <w:szCs w:val="24"/>
        </w:rPr>
        <w:t>PensionEurope</w:t>
      </w:r>
    </w:p>
    <w:p>
      <w:pPr>
        <w:pStyle w:val="ListParagraph"/>
        <w:numPr>
          <w:ilvl w:val="0"/>
          <w:numId w:val="40"/>
        </w:numPr>
        <w:spacing w:after="200" w:line="264" w:lineRule="auto"/>
        <w:jc w:val="left"/>
        <w:rPr>
          <w:rFonts w:cs="Times New Roman"/>
          <w:b/>
          <w:noProof/>
          <w:szCs w:val="24"/>
        </w:rPr>
      </w:pPr>
      <w:r>
        <w:rPr>
          <w:rFonts w:cs="Times New Roman"/>
          <w:noProof/>
          <w:szCs w:val="24"/>
        </w:rPr>
        <w:t xml:space="preserve">FESE, EuropeanIssuers, InsuranceEurope, InvestEurope for VC and PE, </w:t>
      </w:r>
    </w:p>
    <w:p>
      <w:pPr>
        <w:pStyle w:val="ListParagraph"/>
        <w:numPr>
          <w:ilvl w:val="0"/>
          <w:numId w:val="40"/>
        </w:numPr>
        <w:spacing w:after="200" w:line="264" w:lineRule="auto"/>
        <w:jc w:val="left"/>
        <w:rPr>
          <w:rFonts w:cs="Times New Roman"/>
          <w:b/>
          <w:noProof/>
          <w:szCs w:val="24"/>
        </w:rPr>
      </w:pPr>
      <w:r>
        <w:rPr>
          <w:rFonts w:cs="Times New Roman"/>
          <w:noProof/>
          <w:szCs w:val="24"/>
        </w:rPr>
        <w:t>Organisations representing institutional investors (e.g. ILPA)</w:t>
      </w:r>
    </w:p>
    <w:p>
      <w:pPr>
        <w:spacing w:line="264" w:lineRule="auto"/>
        <w:rPr>
          <w:rFonts w:cs="Times New Roman"/>
          <w:noProof/>
          <w:szCs w:val="24"/>
        </w:rPr>
      </w:pPr>
      <w:r>
        <w:rPr>
          <w:rFonts w:cs="Times New Roman"/>
          <w:noProof/>
          <w:szCs w:val="24"/>
        </w:rPr>
        <w:t>Consultations will be undertaken in the context of setting up the legal base, in the context of evaluations and in the context of market testing instruments.</w:t>
      </w:r>
    </w:p>
    <w:p>
      <w:pPr>
        <w:spacing w:line="264" w:lineRule="auto"/>
        <w:rPr>
          <w:rFonts w:cs="Times New Roman"/>
          <w:noProof/>
          <w:szCs w:val="24"/>
        </w:rPr>
      </w:pPr>
    </w:p>
    <w:p>
      <w:pPr>
        <w:spacing w:line="264" w:lineRule="auto"/>
        <w:rPr>
          <w:rFonts w:cs="Times New Roman"/>
          <w:noProof/>
          <w:szCs w:val="24"/>
        </w:rPr>
      </w:pPr>
    </w:p>
    <w:p>
      <w:pPr>
        <w:spacing w:line="264" w:lineRule="auto"/>
        <w:rPr>
          <w:rFonts w:cs="Times New Roman"/>
          <w:noProof/>
          <w:szCs w:val="24"/>
        </w:rPr>
      </w:pPr>
    </w:p>
    <w:p>
      <w:pPr>
        <w:spacing w:line="264" w:lineRule="auto"/>
        <w:rPr>
          <w:rFonts w:cs="Times New Roman"/>
          <w:noProof/>
          <w:szCs w:val="24"/>
        </w:rPr>
      </w:pPr>
    </w:p>
    <w:p>
      <w:pPr>
        <w:spacing w:line="264" w:lineRule="auto"/>
        <w:rPr>
          <w:rFonts w:cs="Times New Roman"/>
          <w:noProof/>
          <w:szCs w:val="24"/>
        </w:rPr>
      </w:pPr>
    </w:p>
    <w:p>
      <w:pPr>
        <w:pStyle w:val="ListParagraph"/>
        <w:numPr>
          <w:ilvl w:val="0"/>
          <w:numId w:val="51"/>
        </w:numPr>
        <w:spacing w:line="264" w:lineRule="auto"/>
        <w:rPr>
          <w:rFonts w:cs="Times New Roman"/>
          <w:b/>
          <w:noProof/>
          <w:szCs w:val="24"/>
        </w:rPr>
      </w:pPr>
      <w:r>
        <w:rPr>
          <w:rFonts w:cs="Times New Roman"/>
          <w:b/>
          <w:noProof/>
          <w:szCs w:val="24"/>
        </w:rPr>
        <w:t>Final beneficiaries and target groups</w:t>
      </w:r>
    </w:p>
    <w:p>
      <w:pPr>
        <w:spacing w:line="264" w:lineRule="auto"/>
        <w:rPr>
          <w:rFonts w:cs="Times New Roman"/>
          <w:noProof/>
          <w:szCs w:val="24"/>
        </w:rPr>
      </w:pPr>
      <w:r>
        <w:rPr>
          <w:rFonts w:cs="Times New Roman"/>
          <w:noProof/>
          <w:szCs w:val="24"/>
        </w:rPr>
        <w:t xml:space="preserve">The EU-level </w:t>
      </w:r>
      <w:r>
        <w:rPr>
          <w:rFonts w:cs="Times New Roman"/>
          <w:noProof/>
          <w:szCs w:val="24"/>
          <w:u w:val="single"/>
        </w:rPr>
        <w:t>debt instruments</w:t>
      </w:r>
      <w:r>
        <w:rPr>
          <w:rFonts w:cs="Times New Roman"/>
          <w:noProof/>
          <w:szCs w:val="24"/>
        </w:rPr>
        <w:t xml:space="preserve"> will focus on SMEs according to applicable EU definition, more specifically those which would not receive support from the market due to the perceived higher risk or the lack of collateral. Where justified, more dedicated support may be provided for SMEs or organisations, or were justified to small mid-caps, for a specific sector or a specific policy orientation.</w:t>
      </w:r>
    </w:p>
    <w:p>
      <w:pPr>
        <w:spacing w:after="120" w:line="264" w:lineRule="auto"/>
        <w:rPr>
          <w:rFonts w:cs="Times New Roman"/>
          <w:b/>
          <w:noProof/>
          <w:szCs w:val="24"/>
        </w:rPr>
      </w:pPr>
      <w:r>
        <w:rPr>
          <w:rFonts w:cs="Times New Roman"/>
          <w:noProof/>
          <w:szCs w:val="24"/>
        </w:rPr>
        <w:t xml:space="preserve">The EU-level </w:t>
      </w:r>
      <w:r>
        <w:rPr>
          <w:rFonts w:cs="Times New Roman"/>
          <w:noProof/>
          <w:szCs w:val="24"/>
          <w:u w:val="single"/>
        </w:rPr>
        <w:t>equity instruments</w:t>
      </w:r>
      <w:r>
        <w:rPr>
          <w:rFonts w:cs="Times New Roman"/>
          <w:noProof/>
          <w:szCs w:val="24"/>
        </w:rPr>
        <w:t xml:space="preserve"> will focus investments in SMEs according to applicable EU definitions (including the definition of SME according to MiFID II) more specifically those which activities would help achieve the EU policy priorities referred to in section 2. Where duly justified, investments may also be made into small midcaps. </w:t>
      </w:r>
    </w:p>
    <w:p>
      <w:pPr>
        <w:spacing w:after="120" w:line="264" w:lineRule="auto"/>
        <w:rPr>
          <w:rFonts w:cs="Times New Roman"/>
          <w:b/>
          <w:noProof/>
          <w:szCs w:val="24"/>
        </w:rPr>
      </w:pPr>
      <w:r>
        <w:rPr>
          <w:rFonts w:cs="Times New Roman"/>
          <w:noProof/>
          <w:szCs w:val="24"/>
        </w:rPr>
        <w:t xml:space="preserve">Targeting will be done on a sectoral basis (linked to the fields in which the policy priorities will be implemented) and a company life-cycle basis (on the basis of funding gap analyses). </w:t>
      </w:r>
    </w:p>
    <w:p>
      <w:pPr>
        <w:spacing w:after="120" w:line="264" w:lineRule="auto"/>
        <w:rPr>
          <w:rFonts w:cs="Times New Roman"/>
          <w:noProof/>
          <w:color w:val="1F497D"/>
          <w:szCs w:val="24"/>
        </w:rPr>
      </w:pPr>
      <w:r>
        <w:rPr>
          <w:rFonts w:cs="Times New Roman"/>
          <w:noProof/>
          <w:szCs w:val="24"/>
        </w:rPr>
        <w:t xml:space="preserve">Equity investments may be combined (blended) with debt finance and grant funding. </w:t>
      </w:r>
    </w:p>
    <w:p>
      <w:pPr>
        <w:spacing w:after="200" w:line="264" w:lineRule="auto"/>
        <w:jc w:val="left"/>
        <w:rPr>
          <w:rFonts w:eastAsia="Times New Roman" w:cs="Times New Roman"/>
          <w:b/>
          <w:noProof/>
          <w:szCs w:val="24"/>
        </w:rPr>
      </w:pPr>
      <w:r>
        <w:rPr>
          <w:rFonts w:cs="Times New Roman"/>
          <w:noProof/>
          <w:szCs w:val="24"/>
        </w:rPr>
        <w:br w:type="page"/>
      </w:r>
    </w:p>
    <w:p>
      <w:pPr>
        <w:spacing w:line="264" w:lineRule="auto"/>
        <w:rPr>
          <w:rFonts w:cs="Times New Roman"/>
          <w:b/>
          <w:noProof/>
          <w:szCs w:val="24"/>
        </w:rPr>
      </w:pPr>
      <w:r>
        <w:rPr>
          <w:rFonts w:cs="Times New Roman"/>
          <w:b/>
          <w:noProof/>
          <w:szCs w:val="24"/>
        </w:rPr>
        <w:t xml:space="preserve">4. </w:t>
      </w:r>
      <w:r>
        <w:rPr>
          <w:rFonts w:cs="Times New Roman"/>
          <w:b/>
          <w:noProof/>
          <w:szCs w:val="24"/>
          <w:u w:val="single"/>
        </w:rPr>
        <w:t>Social Investment and Skills Window</w:t>
      </w:r>
    </w:p>
    <w:p>
      <w:pPr>
        <w:pStyle w:val="Text2"/>
        <w:numPr>
          <w:ilvl w:val="0"/>
          <w:numId w:val="52"/>
        </w:numPr>
        <w:spacing w:line="264" w:lineRule="auto"/>
        <w:rPr>
          <w:b/>
          <w:noProof/>
          <w:szCs w:val="24"/>
        </w:rPr>
      </w:pPr>
      <w:r>
        <w:rPr>
          <w:b/>
          <w:noProof/>
          <w:szCs w:val="24"/>
        </w:rPr>
        <w:t>Rationale for EU action; is subsidiarity respected?</w:t>
      </w:r>
    </w:p>
    <w:p>
      <w:pPr>
        <w:autoSpaceDE w:val="0"/>
        <w:autoSpaceDN w:val="0"/>
        <w:adjustRightInd w:val="0"/>
        <w:spacing w:after="120" w:line="264" w:lineRule="auto"/>
        <w:rPr>
          <w:rFonts w:cs="Times New Roman"/>
          <w:b/>
          <w:noProof/>
          <w:szCs w:val="24"/>
        </w:rPr>
      </w:pPr>
      <w:r>
        <w:rPr>
          <w:rFonts w:cs="Times New Roman"/>
          <w:b/>
          <w:noProof/>
          <w:szCs w:val="24"/>
        </w:rPr>
        <w:t>Social investments for a fairer and more inclusive society</w:t>
      </w:r>
    </w:p>
    <w:p>
      <w:pPr>
        <w:autoSpaceDE w:val="0"/>
        <w:autoSpaceDN w:val="0"/>
        <w:adjustRightInd w:val="0"/>
        <w:spacing w:after="120" w:line="264" w:lineRule="auto"/>
        <w:rPr>
          <w:rFonts w:cs="Times New Roman"/>
          <w:b/>
          <w:noProof/>
          <w:color w:val="000000"/>
          <w:szCs w:val="24"/>
        </w:rPr>
      </w:pPr>
      <w:r>
        <w:rPr>
          <w:rFonts w:cs="Times New Roman"/>
          <w:noProof/>
          <w:szCs w:val="24"/>
        </w:rPr>
        <w:t>Building a more inclusive and fairer Union is a key priority for this European Commission. The reflection paper on the social dimension of Europe</w:t>
      </w:r>
      <w:r>
        <w:rPr>
          <w:rStyle w:val="FootnoteReference"/>
          <w:rFonts w:cs="Times New Roman"/>
          <w:noProof/>
          <w:szCs w:val="24"/>
        </w:rPr>
        <w:footnoteReference w:id="150"/>
      </w:r>
      <w:r>
        <w:rPr>
          <w:rFonts w:cs="Times New Roman"/>
          <w:noProof/>
          <w:szCs w:val="24"/>
        </w:rPr>
        <w:t>, published alongside the package on the European Pillar of Social Rights</w:t>
      </w:r>
      <w:r>
        <w:rPr>
          <w:rStyle w:val="FootnoteReference"/>
          <w:rFonts w:cs="Times New Roman"/>
          <w:noProof/>
          <w:szCs w:val="24"/>
        </w:rPr>
        <w:footnoteReference w:id="151"/>
      </w:r>
      <w:r>
        <w:rPr>
          <w:rFonts w:cs="Times New Roman"/>
          <w:noProof/>
          <w:szCs w:val="24"/>
        </w:rPr>
        <w:t xml:space="preserve">, focuses on the profound transformations European societies and the labour market will undergo in the coming decade. It sets out a number of options on how the Union and its Member States can collectively respond, by building a Europe that protects, empowers and defends its citizens. The Rome Declaration adopted by EU leaders on 25 March 2017 outlined the importance of a social Europe. The Social Summit for Fair Jobs and Growth, held in Gothenburg on 17 November 2017, further reinforced this message and introduced a social scoreboard to measure how </w:t>
      </w:r>
      <w:r>
        <w:rPr>
          <w:rFonts w:cs="Times New Roman"/>
          <w:noProof/>
          <w:color w:val="000000"/>
          <w:szCs w:val="24"/>
        </w:rPr>
        <w:t>fair and well-functioning labour markets and welfare systems are in the Member States</w:t>
      </w:r>
      <w:r>
        <w:rPr>
          <w:rStyle w:val="FootnoteReference"/>
          <w:rFonts w:cs="Times New Roman"/>
          <w:noProof/>
          <w:color w:val="000000"/>
          <w:szCs w:val="24"/>
        </w:rPr>
        <w:footnoteReference w:id="152"/>
      </w:r>
      <w:r>
        <w:rPr>
          <w:rFonts w:cs="Times New Roman"/>
          <w:noProof/>
          <w:color w:val="000000"/>
          <w:szCs w:val="24"/>
        </w:rPr>
        <w:t xml:space="preserve">. </w:t>
      </w:r>
    </w:p>
    <w:p>
      <w:pPr>
        <w:autoSpaceDE w:val="0"/>
        <w:autoSpaceDN w:val="0"/>
        <w:adjustRightInd w:val="0"/>
        <w:spacing w:after="120" w:line="264" w:lineRule="auto"/>
        <w:rPr>
          <w:rFonts w:cs="Times New Roman"/>
          <w:noProof/>
          <w:szCs w:val="24"/>
        </w:rPr>
      </w:pPr>
      <w:r>
        <w:rPr>
          <w:rFonts w:cs="Times New Roman"/>
          <w:noProof/>
          <w:szCs w:val="24"/>
        </w:rPr>
        <w:t>In line with these developments a specific Social, Skills &amp; Human Capital window is being set up within the InvestEU Fund to support investments in tangibles and intangibles assets to foster inclusive growth, well-being and fairer income distribution in the EU. Social cohesion and social capital are important assets for an inclusive society that protects and empowers. Citizens’ willingness to invest in society and ‘the common good’ finds its expression in many forms, including philanthropy</w:t>
      </w:r>
      <w:r>
        <w:rPr>
          <w:rStyle w:val="FootnoteReference"/>
          <w:rFonts w:cs="Times New Roman"/>
          <w:noProof/>
          <w:szCs w:val="24"/>
        </w:rPr>
        <w:footnoteReference w:id="153"/>
      </w:r>
      <w:r>
        <w:rPr>
          <w:rFonts w:cs="Times New Roman"/>
          <w:noProof/>
          <w:szCs w:val="24"/>
        </w:rPr>
        <w:t xml:space="preserve">. </w:t>
      </w:r>
      <w:r>
        <w:rPr>
          <w:rFonts w:cs="Times New Roman"/>
          <w:noProof/>
          <w:color w:val="000000"/>
          <w:szCs w:val="24"/>
        </w:rPr>
        <w:t xml:space="preserve">The role of the </w:t>
      </w:r>
      <w:r>
        <w:rPr>
          <w:rFonts w:cs="Times New Roman"/>
          <w:noProof/>
          <w:szCs w:val="24"/>
        </w:rPr>
        <w:t xml:space="preserve">Social, Skills &amp; Human Capital window under InvestEU will therefore be complementary to the actions undertaken under other EU programmes such as the European Structural and Investment Funds that cover this policy area. </w:t>
      </w:r>
    </w:p>
    <w:p>
      <w:pPr>
        <w:autoSpaceDE w:val="0"/>
        <w:autoSpaceDN w:val="0"/>
        <w:adjustRightInd w:val="0"/>
        <w:spacing w:after="120" w:line="264" w:lineRule="auto"/>
        <w:rPr>
          <w:rFonts w:cs="Times New Roman"/>
          <w:b/>
          <w:noProof/>
          <w:szCs w:val="24"/>
        </w:rPr>
      </w:pPr>
      <w:r>
        <w:rPr>
          <w:rFonts w:cs="Times New Roman"/>
          <w:noProof/>
          <w:szCs w:val="24"/>
        </w:rPr>
        <w:t>In macroeconomic terms, despite the ongoing economic recovery in the EU, poverty and inequality indicators are not showing strong signs of improvement, especially in the periphery</w:t>
      </w:r>
      <w:r>
        <w:rPr>
          <w:rStyle w:val="FootnoteReference"/>
          <w:rFonts w:cs="Times New Roman"/>
          <w:noProof/>
          <w:szCs w:val="24"/>
        </w:rPr>
        <w:footnoteReference w:id="154"/>
      </w:r>
      <w:r>
        <w:rPr>
          <w:rStyle w:val="FootnoteReference"/>
          <w:rFonts w:cs="Times New Roman"/>
          <w:noProof/>
          <w:szCs w:val="24"/>
        </w:rPr>
        <w:footnoteReference w:id="155"/>
      </w:r>
      <w:r>
        <w:rPr>
          <w:rFonts w:cs="Times New Roman"/>
          <w:noProof/>
          <w:szCs w:val="24"/>
          <w:vertAlign w:val="superscript"/>
        </w:rPr>
        <w:t>,</w:t>
      </w:r>
      <w:r>
        <w:rPr>
          <w:rFonts w:cs="Times New Roman"/>
          <w:noProof/>
          <w:szCs w:val="24"/>
        </w:rPr>
        <w:t xml:space="preserve"> , in a context of an ageing population and accelerating transformative technology. During the recent economic and financial crisis, policy making put less emphasis on inequality and social inclusion policies. Some Member States reduced their 'smart' future-oriented investments in areas such as education, training and lifelong learning. While income inequality has a measurable monetary dimension, inequality of opportunities is non-monetary and often determined by one's social background: education and health are areas which are particularly affected by this</w:t>
      </w:r>
      <w:r>
        <w:rPr>
          <w:rStyle w:val="FootnoteReference"/>
          <w:rFonts w:cs="Times New Roman"/>
          <w:noProof/>
          <w:szCs w:val="24"/>
        </w:rPr>
        <w:footnoteReference w:id="156"/>
      </w:r>
      <w:r>
        <w:rPr>
          <w:rFonts w:cs="Times New Roman"/>
          <w:noProof/>
          <w:szCs w:val="24"/>
        </w:rPr>
        <w:t xml:space="preserve">. The conception of the present policy window will take into account the benefits that society as a whole may obtain from those two concepts of inequality. </w:t>
      </w:r>
    </w:p>
    <w:p>
      <w:pPr>
        <w:autoSpaceDE w:val="0"/>
        <w:autoSpaceDN w:val="0"/>
        <w:adjustRightInd w:val="0"/>
        <w:spacing w:after="120" w:line="264" w:lineRule="auto"/>
        <w:rPr>
          <w:rFonts w:cs="Times New Roman"/>
          <w:noProof/>
          <w:szCs w:val="24"/>
        </w:rPr>
      </w:pPr>
      <w:r>
        <w:rPr>
          <w:rFonts w:cs="Times New Roman"/>
          <w:noProof/>
          <w:szCs w:val="24"/>
        </w:rPr>
        <w:t>Social considerations are increasingly concurring to shape today's political agenda of the European Commission and EU Member States. Investment in the social inclusion, skills and human capital related economy can enhance economic opportunities, building a bridge between the present and the future, especially if coordinated at EU level. The social dimension within the InvestEU Fund has to be understood in a broad sense, with intangible investments in people, ideas and services being as important as tangible investments in assets or capital goods that characterise the typical projects financed under the European Fund for Strategic Investments (EFSI). Investment in this area will facilitate citizens' well-being, labour market participation and thus social cohesion. Financial products as the ones triggered by the InvestEU guarantee are repayable instruments that can complement the established role that grants at the European level have playing for years and help mobilise private capital.</w:t>
      </w:r>
    </w:p>
    <w:p>
      <w:pPr>
        <w:autoSpaceDE w:val="0"/>
        <w:autoSpaceDN w:val="0"/>
        <w:adjustRightInd w:val="0"/>
        <w:spacing w:after="120" w:line="264" w:lineRule="auto"/>
        <w:rPr>
          <w:rFonts w:cs="Times New Roman"/>
          <w:b/>
          <w:noProof/>
          <w:szCs w:val="24"/>
        </w:rPr>
      </w:pPr>
      <w:r>
        <w:rPr>
          <w:rFonts w:cs="Times New Roman"/>
          <w:noProof/>
          <w:szCs w:val="24"/>
        </w:rPr>
        <w:t>A Social, Skills &amp; Human Capital window under InvestEU can therefore serve as a crucial foundation of pan-European social innovation and productivity growth for the EU economy. It can also support EU actions contributing to the Sustainable Development Goals (SDGs), noting that contributing to the SDGs helps the EU fulfil its social agenda.</w:t>
      </w:r>
      <w:r>
        <w:rPr>
          <w:rStyle w:val="FootnoteReference"/>
          <w:rFonts w:cs="Times New Roman"/>
          <w:noProof/>
          <w:szCs w:val="24"/>
        </w:rPr>
        <w:footnoteReference w:id="157"/>
      </w:r>
      <w:r>
        <w:rPr>
          <w:rFonts w:cs="Times New Roman"/>
          <w:noProof/>
          <w:szCs w:val="24"/>
        </w:rPr>
        <w:t xml:space="preserve"> Action at the EU level adds value for the development of inclusive and social financial markets. This action provides enhanced access to both non-financial support and finance to micro-enterprises, including vulnerable groups, social enterprises, social economy organisations, social innovators, public authorities and social impact investors as well as it creates a space for the Social, Skills &amp; Human Capital –related economy to flourish in the EU internal market. It also fosters interlinkages between relevant stakeholders through the creation of European networks – between social economy enterprises, investors and institutions. This can, in turn, make accessible a range of enhanced social services to citizens - for instance, in healthcare, long-term care and education - in an inclusive and equitable way. </w:t>
      </w:r>
    </w:p>
    <w:p>
      <w:pPr>
        <w:autoSpaceDE w:val="0"/>
        <w:autoSpaceDN w:val="0"/>
        <w:adjustRightInd w:val="0"/>
        <w:spacing w:after="120" w:line="264" w:lineRule="auto"/>
        <w:rPr>
          <w:rFonts w:cs="Times New Roman"/>
          <w:b/>
          <w:noProof/>
          <w:szCs w:val="24"/>
        </w:rPr>
      </w:pPr>
      <w:r>
        <w:rPr>
          <w:rFonts w:cs="Times New Roman"/>
          <w:noProof/>
          <w:szCs w:val="24"/>
        </w:rPr>
        <w:t>The establishment of a distinct Social, Skills &amp; Human Capital window under the InvestEU Fund sends an important and visible political signal that "social issues" continue to matter to the European Commission in the next MFF. This is especially important against the backdrop of the recently adopted European Pillar of Social Rights, for which the InvestEU Fund should serve as one of the delivery mechanisms. EU-level action in the social enterprise and social economy will have to be multifaceted in order to cover the heterogeneous range of activities and types of investment that characterise the sector, but can be grouped into common policy drivers and common financial products. In this context, the several sub-sectors forming the wider Social, Skills &amp; Human Capital economy can be interlinked by a common intervention rationale and tend to complement each other.</w:t>
      </w:r>
    </w:p>
    <w:p>
      <w:pPr>
        <w:autoSpaceDE w:val="0"/>
        <w:autoSpaceDN w:val="0"/>
        <w:adjustRightInd w:val="0"/>
        <w:spacing w:after="120" w:line="264" w:lineRule="auto"/>
        <w:rPr>
          <w:rFonts w:cs="Times New Roman"/>
          <w:b/>
          <w:noProof/>
          <w:szCs w:val="24"/>
        </w:rPr>
      </w:pPr>
      <w:r>
        <w:rPr>
          <w:rFonts w:cs="Times New Roman"/>
          <w:noProof/>
          <w:szCs w:val="24"/>
        </w:rPr>
        <w:t xml:space="preserve">Well-designed support from the Social, Skills &amp; Human Capital window should be an opportunity to complement existing EU support by providing beneficiaries and target groups with the right financial products to start up, grow and develop activities in a truly pan-European dimension, where the size of the home market does not constrain the beneficiaries' development and access to capital paths. It will also provide more opportunities for stakeholders that have a social mission and that select investments in a logic that goes beyond the traditional financial rate of return. The design of instruments should take account of the needs of civil society organisations or foundations to access funding for innovative approaches related to social work and youth work and, more in general to provide support to disadvantaged groups. </w:t>
      </w:r>
    </w:p>
    <w:p>
      <w:pPr>
        <w:autoSpaceDE w:val="0"/>
        <w:autoSpaceDN w:val="0"/>
        <w:adjustRightInd w:val="0"/>
        <w:spacing w:after="120" w:line="264" w:lineRule="auto"/>
        <w:rPr>
          <w:rFonts w:cs="Times New Roman"/>
          <w:b/>
          <w:noProof/>
          <w:szCs w:val="24"/>
        </w:rPr>
      </w:pPr>
      <w:r>
        <w:rPr>
          <w:rFonts w:cs="Times New Roman"/>
          <w:b/>
          <w:noProof/>
          <w:szCs w:val="24"/>
        </w:rPr>
        <w:t>Social investment as a pillar for the knowledge society and economic growth</w:t>
      </w:r>
    </w:p>
    <w:p>
      <w:pPr>
        <w:autoSpaceDE w:val="0"/>
        <w:autoSpaceDN w:val="0"/>
        <w:adjustRightInd w:val="0"/>
        <w:spacing w:after="120" w:line="264" w:lineRule="auto"/>
        <w:rPr>
          <w:rFonts w:cs="Times New Roman"/>
          <w:b/>
          <w:noProof/>
          <w:szCs w:val="24"/>
        </w:rPr>
      </w:pPr>
      <w:r>
        <w:rPr>
          <w:rFonts w:cs="Times New Roman"/>
          <w:noProof/>
          <w:szCs w:val="24"/>
        </w:rPr>
        <w:t>Social, Skills &amp; Human Capital investments contribute substantially to the competitiveness and growth of the European economy in several ways. They help to develop a better skills, well-being and competence base of its citizens, who need to be better equipped in meeting new challenges in a context of transitional labour markets impacted by digitalisation, regional industrial transition and a changing technological landscape</w:t>
      </w:r>
      <w:r>
        <w:rPr>
          <w:rStyle w:val="FootnoteReference"/>
          <w:rFonts w:cs="Times New Roman"/>
          <w:noProof/>
          <w:szCs w:val="24"/>
        </w:rPr>
        <w:footnoteReference w:id="158"/>
      </w:r>
      <w:r>
        <w:rPr>
          <w:rFonts w:cs="Times New Roman"/>
          <w:noProof/>
          <w:szCs w:val="24"/>
        </w:rPr>
        <w:t>. These are also the cornerstones for the later investments in research, innovation, digitalisation and SMEs under other windows of the InvestEU initiative.</w:t>
      </w:r>
    </w:p>
    <w:p>
      <w:pPr>
        <w:spacing w:line="264" w:lineRule="auto"/>
        <w:rPr>
          <w:rFonts w:cs="Times New Roman"/>
          <w:b/>
          <w:noProof/>
          <w:szCs w:val="24"/>
        </w:rPr>
      </w:pPr>
      <w:r>
        <w:rPr>
          <w:rFonts w:cs="Times New Roman"/>
          <w:noProof/>
          <w:szCs w:val="24"/>
        </w:rPr>
        <w:t xml:space="preserve">The substantial returns on investment from this type of financing (short-term as well as long-term) are yielded on the </w:t>
      </w:r>
      <w:r>
        <w:rPr>
          <w:rFonts w:cs="Times New Roman"/>
          <w:i/>
          <w:noProof/>
          <w:szCs w:val="24"/>
        </w:rPr>
        <w:t>private</w:t>
      </w:r>
      <w:r>
        <w:rPr>
          <w:rFonts w:cs="Times New Roman"/>
          <w:noProof/>
          <w:szCs w:val="24"/>
        </w:rPr>
        <w:t xml:space="preserve"> level (</w:t>
      </w:r>
      <w:r>
        <w:rPr>
          <w:rFonts w:cs="Times New Roman"/>
          <w:i/>
          <w:noProof/>
          <w:szCs w:val="24"/>
        </w:rPr>
        <w:t>individual</w:t>
      </w:r>
      <w:r>
        <w:rPr>
          <w:rFonts w:cs="Times New Roman"/>
          <w:noProof/>
          <w:szCs w:val="24"/>
        </w:rPr>
        <w:t xml:space="preserve"> &amp; </w:t>
      </w:r>
      <w:r>
        <w:rPr>
          <w:rFonts w:cs="Times New Roman"/>
          <w:i/>
          <w:noProof/>
          <w:szCs w:val="24"/>
        </w:rPr>
        <w:t>institutional</w:t>
      </w:r>
      <w:r>
        <w:rPr>
          <w:rFonts w:cs="Times New Roman"/>
          <w:noProof/>
          <w:szCs w:val="24"/>
        </w:rPr>
        <w:t xml:space="preserve">) as well as on the </w:t>
      </w:r>
      <w:r>
        <w:rPr>
          <w:rFonts w:cs="Times New Roman"/>
          <w:i/>
          <w:noProof/>
          <w:szCs w:val="24"/>
        </w:rPr>
        <w:t>public</w:t>
      </w:r>
      <w:r>
        <w:rPr>
          <w:rFonts w:cs="Times New Roman"/>
          <w:noProof/>
          <w:szCs w:val="24"/>
        </w:rPr>
        <w:t xml:space="preserve"> level</w:t>
      </w:r>
      <w:r>
        <w:rPr>
          <w:rStyle w:val="FootnoteReference"/>
          <w:rFonts w:cs="Times New Roman"/>
          <w:noProof/>
          <w:szCs w:val="24"/>
        </w:rPr>
        <w:footnoteReference w:id="159"/>
      </w:r>
      <w:r>
        <w:rPr>
          <w:rFonts w:cs="Times New Roman"/>
          <w:noProof/>
          <w:szCs w:val="24"/>
        </w:rPr>
        <w:t>. Such shared public-private benefits should also provide a sound basis for public-private investment. For instance, to date public investments are made primarily for primary and secondary education, with private contributions (mostly at individual level - financial or in kind) for early childcare or for higher &amp; more specialised education representing the largest share. Generally, actions should take account of the flagship initiative of the New Skills Agenda</w:t>
      </w:r>
      <w:r>
        <w:rPr>
          <w:rStyle w:val="FootnoteReference"/>
          <w:rFonts w:cs="Times New Roman"/>
          <w:noProof/>
          <w:szCs w:val="24"/>
        </w:rPr>
        <w:footnoteReference w:id="160"/>
      </w:r>
      <w:r>
        <w:rPr>
          <w:rFonts w:cs="Times New Roman"/>
          <w:noProof/>
          <w:szCs w:val="24"/>
        </w:rPr>
        <w:t xml:space="preserve"> There is broad societal agreement of their relevance, but few private actors willing to invest in this area without public intervention. The return from these investments will also support public authorities to deliver better services in a complementary manner and not to</w:t>
      </w:r>
      <w:r>
        <w:rPr>
          <w:rFonts w:eastAsia="Times New Roman" w:cs="Times New Roman"/>
          <w:noProof/>
          <w:szCs w:val="24"/>
        </w:rPr>
        <w:t xml:space="preserve"> divest from social services</w:t>
      </w:r>
      <w:r>
        <w:rPr>
          <w:rFonts w:cs="Times New Roman"/>
          <w:noProof/>
          <w:szCs w:val="24"/>
        </w:rPr>
        <w:t>.</w:t>
      </w:r>
    </w:p>
    <w:p>
      <w:pPr>
        <w:autoSpaceDE w:val="0"/>
        <w:autoSpaceDN w:val="0"/>
        <w:adjustRightInd w:val="0"/>
        <w:spacing w:after="120" w:line="264" w:lineRule="auto"/>
        <w:rPr>
          <w:rFonts w:cs="Times New Roman"/>
          <w:b/>
          <w:noProof/>
          <w:szCs w:val="24"/>
        </w:rPr>
      </w:pPr>
      <w:r>
        <w:rPr>
          <w:rFonts w:cs="Times New Roman"/>
          <w:b/>
          <w:noProof/>
          <w:szCs w:val="24"/>
        </w:rPr>
        <w:t>Subsidiarity and value added from EU-level action</w:t>
      </w:r>
    </w:p>
    <w:p>
      <w:pPr>
        <w:autoSpaceDE w:val="0"/>
        <w:autoSpaceDN w:val="0"/>
        <w:adjustRightInd w:val="0"/>
        <w:spacing w:after="120" w:line="264" w:lineRule="auto"/>
        <w:rPr>
          <w:rFonts w:cs="Times New Roman"/>
          <w:b/>
          <w:noProof/>
          <w:szCs w:val="24"/>
        </w:rPr>
      </w:pPr>
      <w:r>
        <w:rPr>
          <w:rFonts w:cs="Times New Roman"/>
          <w:noProof/>
          <w:szCs w:val="24"/>
        </w:rPr>
        <w:t xml:space="preserve">Investments in social infrastructure and social enterprises producing goods ('tangibles') as well as social services, ideas and people ('intangibles') are crucially lacking in the EU, yet these are critical for the EU and its Member States to develop into a fair, inclusive and knowledge-based society. An InvestEU Fund that is built on a guarantee covering losses under a specific Social, Skills &amp; Human Capital window and provides debt and equity products can offer an opportunity for the public and private sectors to come together. The fund will finance large long-term investments in social infrastructure and services (health, housing, education, innovation) that cannot be covered by resources from government/regional/local budgets, as well as smaller investments in smart, responsible, and environmentally sustainable cities. </w:t>
      </w:r>
    </w:p>
    <w:p>
      <w:pPr>
        <w:autoSpaceDE w:val="0"/>
        <w:autoSpaceDN w:val="0"/>
        <w:adjustRightInd w:val="0"/>
        <w:spacing w:after="120" w:line="264" w:lineRule="auto"/>
        <w:rPr>
          <w:rFonts w:cs="Times New Roman"/>
          <w:b/>
          <w:noProof/>
          <w:szCs w:val="24"/>
        </w:rPr>
      </w:pPr>
      <w:r>
        <w:rPr>
          <w:rFonts w:cs="Times New Roman"/>
          <w:noProof/>
          <w:szCs w:val="24"/>
        </w:rPr>
        <w:t>The InvestEU Fund would aim at creating a supportive European ecosystem in which social enterprises and social innovation may flourish and deliver. It can also help Social, Skills &amp; Human Capital economy actors such as social start-ups and social enterprises as well as skills investment markets to contribute to enhancing the social dimension of the Internal Market and trigger a signalling effect, aligning and complementing Member States' efforts in these different fields and allow new business models to develop and tackle societal concerns. The demonstration effect can be a powerful means of achieving a pan-European market in the areas covered by this window. Overall, the social investment and skills window will seek to ensure sufficient supply of working capital to social enterprises, social innovators and other stakeholders including SMEs and micro-enterprises.</w:t>
      </w:r>
    </w:p>
    <w:p>
      <w:pPr>
        <w:autoSpaceDE w:val="0"/>
        <w:autoSpaceDN w:val="0"/>
        <w:adjustRightInd w:val="0"/>
        <w:spacing w:after="120" w:line="264" w:lineRule="auto"/>
        <w:rPr>
          <w:rFonts w:cs="Times New Roman"/>
          <w:b/>
          <w:noProof/>
          <w:szCs w:val="24"/>
        </w:rPr>
      </w:pPr>
      <w:r>
        <w:rPr>
          <w:rFonts w:cs="Times New Roman"/>
          <w:noProof/>
          <w:szCs w:val="24"/>
        </w:rPr>
        <w:t>According to the report of the “High-Level Task-Force on Investing in Social Infrastructure in Europe”</w:t>
      </w:r>
      <w:r>
        <w:rPr>
          <w:rStyle w:val="FootnoteReference"/>
          <w:rFonts w:cs="Times New Roman"/>
          <w:noProof/>
          <w:szCs w:val="24"/>
        </w:rPr>
        <w:t xml:space="preserve"> </w:t>
      </w:r>
      <w:r>
        <w:rPr>
          <w:rStyle w:val="FootnoteReference"/>
          <w:rFonts w:cs="Times New Roman"/>
          <w:noProof/>
          <w:szCs w:val="24"/>
        </w:rPr>
        <w:footnoteReference w:id="161"/>
      </w:r>
      <w:r>
        <w:rPr>
          <w:rFonts w:cs="Times New Roman"/>
          <w:noProof/>
          <w:szCs w:val="24"/>
        </w:rPr>
        <w:t>, public investment in social infrastructure, including for education, health and housing, has been and remains low over the past decade, despite EIB/EFSI support. The EU-level intervention should in particular help to achieve to fill this market gap and crowd in financial intermediaries and/or project promoters for investments, thus multiplying the actual value of the public funding by leveraging more real investment in social infrastructure and services. The EU value-added will be achieved through the creation of a more level playing field for social finance and investment markets in the EU, contributing to a more performing Capital Markets Union (vehicles addressing social enterprises investment needs) and supporting EU policy objectives in terms of job creation and inclusive growth. Therefore, these enterprises must make the best use of the internal market via (capacity building support, cross boarder cooperation and finance access points). Finally, the InvestEU will strive to develop synergies with the Digital Agenda given the documented successes of Digital Social Innovation. Hence, the Fund will help tackling market failures that exist at the European level and that can be addressed at varying degrees at the national level.</w:t>
      </w:r>
    </w:p>
    <w:p>
      <w:pPr>
        <w:autoSpaceDE w:val="0"/>
        <w:autoSpaceDN w:val="0"/>
        <w:adjustRightInd w:val="0"/>
        <w:spacing w:after="120" w:line="264" w:lineRule="auto"/>
        <w:rPr>
          <w:rFonts w:cs="Times New Roman"/>
          <w:noProof/>
          <w:szCs w:val="24"/>
        </w:rPr>
      </w:pPr>
      <w:r>
        <w:rPr>
          <w:rFonts w:cs="Times New Roman"/>
          <w:noProof/>
          <w:szCs w:val="24"/>
        </w:rPr>
        <w:t>The InvestEU Fund would complement the social cohesion and integration action of European Structural and Investment Funds and of their managing authorities willing to contribute to the InvestEU Fund on a voluntary basis. The window's EU-level compartment would help develop a pan-European market in a systemic way, capitalizing on the pooled expertise of intermediaries such as the EIB group. Depending solely on the cohesion compartment to achieve the EU goals of boosting access to finance for microfinance recipients and social enterprises, however, would be counter-productive. It would entail a risk of losing the impetus and benefits gained from centrally-managed financial products, including the greater geographical agility to support intermediaries in locations where they are really needed. For example, certain cities with high unemployment in non-Cohesion Member States do not necessarily benefit from sufficient Structural Funds support. In the medium term, this type of support will contribute to generate a true EU social investment market, where global capital would flow into the European market irrespective of the location of the final beneficiaries and of the maturity/capacity of their local capital markets.</w:t>
      </w:r>
    </w:p>
    <w:p>
      <w:pPr>
        <w:autoSpaceDE w:val="0"/>
        <w:autoSpaceDN w:val="0"/>
        <w:adjustRightInd w:val="0"/>
        <w:spacing w:after="120" w:line="264" w:lineRule="auto"/>
        <w:rPr>
          <w:rFonts w:cs="Times New Roman"/>
          <w:b/>
          <w:noProof/>
          <w:szCs w:val="24"/>
        </w:rPr>
      </w:pPr>
      <w:r>
        <w:rPr>
          <w:rFonts w:cs="Times New Roman"/>
          <w:b/>
          <w:noProof/>
          <w:szCs w:val="24"/>
        </w:rPr>
        <w:t>A single fund for a heterogeneous sector with a common purpose</w:t>
      </w:r>
    </w:p>
    <w:p>
      <w:pPr>
        <w:spacing w:line="264" w:lineRule="auto"/>
        <w:rPr>
          <w:rFonts w:cs="Times New Roman"/>
          <w:b/>
          <w:noProof/>
          <w:szCs w:val="24"/>
        </w:rPr>
      </w:pPr>
      <w:r>
        <w:rPr>
          <w:rFonts w:cs="Times New Roman"/>
          <w:noProof/>
          <w:szCs w:val="24"/>
        </w:rPr>
        <w:t xml:space="preserve">The InvestEU support can be used in multiple sectors under the scope of this window. While all the projects will have to be ultimately economically viable and generate a revenues for the investors, the financial products in use, their investment guidelines, pricing and return conditions will change according to the specific policy sector, the market gap to be addressed and the specific project structure. In the area of education, training and non-formal learning for young and adults to improve educational attainment and skills, provide easier access to labour market and minimize the risk of poverty/social exclusion. For education and training providers, projects in this field help to upgrade their infrastructure and develop and deploy innovative business models, teaching methods and engaging technologies. Supporting investment projects in this field will result in more vibrant education and training systems and markets, enabling easier professional transitions for people and being responsive to the lifelong need for upskilling and reskilling. It may complement and enhance the investment opportunities for SMEs </w:t>
      </w:r>
      <w:r>
        <w:rPr>
          <w:rStyle w:val="FootnoteReference"/>
          <w:rFonts w:cs="Times New Roman"/>
          <w:noProof/>
          <w:szCs w:val="24"/>
        </w:rPr>
        <w:footnoteReference w:id="162"/>
      </w:r>
      <w:r>
        <w:rPr>
          <w:rFonts w:cs="Times New Roman"/>
          <w:noProof/>
          <w:szCs w:val="24"/>
        </w:rPr>
        <w:t>and organisations from cultural and creative sectors: while the access to debt finance (guarantees) remains the main objective, there is a potential for strengthening EU Investment on micro-financing or other financial products orientated towards social enterprises involved in the Culture and Creative sectors.</w:t>
      </w:r>
    </w:p>
    <w:p>
      <w:pPr>
        <w:spacing w:line="264" w:lineRule="auto"/>
        <w:rPr>
          <w:rFonts w:cs="Times New Roman"/>
          <w:b/>
          <w:noProof/>
          <w:szCs w:val="24"/>
        </w:rPr>
      </w:pPr>
      <w:r>
        <w:rPr>
          <w:rFonts w:cs="Times New Roman"/>
          <w:noProof/>
          <w:szCs w:val="24"/>
        </w:rPr>
        <w:t>For knowledge-intensive institutions (such as universities, research &amp; innovation centres) the combined support under several of the InvestEU windows may provide a welcome boost towards a knowledge-intensive society. Support can be extended also to the area of (social) innovation to develop community-based solutions to social problems. For several of the areas mentioned above the financial support by the window will be complemented by the offer of technical assistance and capacity building to “grow” the respective market players, including social innovators, social entrepreneurs, social impact investors, and philanthropists and create a pan-European network of social impact and social innovation relay and coaching centres. See the section below on capacity building for more details. In order to maximize its impact, the InvestEU fund may also be complemented by other measures such as, e.g. exploring the possibility to create markets for social outcomes. The establishment of an EU Outcome Payments Fund to pay out on outcomes achieved by schemes such as Social Impact Bonds (SIB), while taking in account experience and evidence to leverage capital from markets into underserved areas by offering a tranche of junior capital to social impact investors or setting up mechanisms to ensure sufficient supply of working capital to social enterprises including socially innovative SMEs.</w:t>
      </w:r>
    </w:p>
    <w:p>
      <w:pPr>
        <w:spacing w:line="264" w:lineRule="auto"/>
        <w:rPr>
          <w:rFonts w:cs="Times New Roman"/>
          <w:b/>
          <w:noProof/>
          <w:szCs w:val="24"/>
        </w:rPr>
      </w:pPr>
      <w:r>
        <w:rPr>
          <w:rFonts w:cs="Times New Roman"/>
          <w:noProof/>
          <w:szCs w:val="24"/>
        </w:rPr>
        <w:t>While the use of EU-level financial intervention is not totally new in some of the areas covered by this InvestEU window, a dedicated Social, Skills &amp; Human Capital window supported by targeted project-related technical assistance could help build scale and integration of existing markets while creating new markets in adjacent sectors. As an example, around EUR 1.2 bn of EFSI financing was channelled to health and life-science projects between mid-2015 and 2017, but this support has mostly covered hospital infrastructure and medical/life science technologies (such as medicines, imaging and diagnostic technologies and medical devices). However today's health systems are embarking on reforms to adapt to the challenges they face: an increasing demand for healthcare due to population ageing and the rising burden of chronic conditions, and an environment of constrained public resources for health.</w:t>
      </w:r>
      <w:r>
        <w:rPr>
          <w:rStyle w:val="FootnoteReference"/>
          <w:rFonts w:cs="Times New Roman"/>
          <w:noProof/>
          <w:szCs w:val="24"/>
        </w:rPr>
        <w:footnoteReference w:id="163"/>
      </w:r>
      <w:r>
        <w:rPr>
          <w:rFonts w:cs="Times New Roman"/>
          <w:noProof/>
          <w:szCs w:val="24"/>
        </w:rPr>
        <w:t xml:space="preserve"> Up-front investments are required to set-up the new care models, followed by sustained investments over a period of time to facilitate the complete implementation of the reforms</w:t>
      </w:r>
      <w:r>
        <w:rPr>
          <w:rStyle w:val="FootnoteReference"/>
          <w:rFonts w:cs="Times New Roman"/>
          <w:noProof/>
          <w:szCs w:val="24"/>
        </w:rPr>
        <w:footnoteReference w:id="164"/>
      </w:r>
      <w:r>
        <w:rPr>
          <w:rFonts w:cs="Times New Roman"/>
          <w:noProof/>
          <w:szCs w:val="24"/>
        </w:rPr>
        <w:t xml:space="preserve">. Return on investment may only come in the medium-long term; and consequently, investments in reformed care models are of high risk. </w:t>
      </w:r>
    </w:p>
    <w:p>
      <w:pPr>
        <w:spacing w:line="264" w:lineRule="auto"/>
        <w:rPr>
          <w:rFonts w:cs="Times New Roman"/>
          <w:b/>
          <w:noProof/>
          <w:szCs w:val="24"/>
        </w:rPr>
      </w:pPr>
      <w:r>
        <w:rPr>
          <w:rFonts w:cs="Times New Roman"/>
          <w:noProof/>
          <w:szCs w:val="24"/>
        </w:rPr>
        <w:t xml:space="preserve">Moreover, InvestEU in the post-2020 MFF would also pursue efforts made under the financial instruments of the EaSI programme. It would bridge financing gaps through the provision of a complementary toolbox of financial products (guarantees, debt and equity) tailored for microfinance and social enterprise and innovation finance and support new systemic developments in an emerging social investment ecosystem which takes time to develop. This specific window would also support the development of all kind of business models which have the primacy of the individual and the social objective over capital (cooperatives, mutual societies or associations), while ensuring the viability of the underlying investments. </w:t>
      </w:r>
    </w:p>
    <w:p>
      <w:pPr>
        <w:spacing w:line="264" w:lineRule="auto"/>
        <w:rPr>
          <w:rFonts w:cs="Times New Roman"/>
          <w:b/>
          <w:noProof/>
          <w:szCs w:val="24"/>
        </w:rPr>
      </w:pPr>
      <w:r>
        <w:rPr>
          <w:rFonts w:cs="Times New Roman"/>
          <w:noProof/>
          <w:szCs w:val="24"/>
        </w:rPr>
        <w:t>An EU-level investment fund with a Social, Skills &amp; Human Capital window would further contribute to develop and share best practices in terms of financial structuring for these sectors where there is less experience or scale in using financial products. As an example, in the area of education and training a substantial track record of financial products being used is available</w:t>
      </w:r>
      <w:r>
        <w:rPr>
          <w:rStyle w:val="FootnoteReference"/>
          <w:rFonts w:cs="Times New Roman"/>
          <w:noProof/>
          <w:szCs w:val="24"/>
        </w:rPr>
        <w:footnoteReference w:id="165"/>
      </w:r>
      <w:r>
        <w:rPr>
          <w:rFonts w:cs="Times New Roman"/>
          <w:noProof/>
          <w:szCs w:val="24"/>
        </w:rPr>
        <w:t>. Furthermore, a recent study has identified the potential for new avenues using (i) payment-by-results projects in which the service provider receives payments only if the education and training service achieves pre-agreed outputs/outcomes, paid by a commissioner (usually, government), (ii) loan funds to students and adult learners to increase participation and skill level or (iii) public-private partnerships (PPP) to leverage investment into the supply and refurbishment of education buildings or fixed assets.</w:t>
      </w:r>
      <w:r>
        <w:rPr>
          <w:rStyle w:val="FootnoteReference"/>
          <w:rFonts w:eastAsia="Times New Roman" w:cs="Times New Roman"/>
          <w:noProof/>
          <w:szCs w:val="24"/>
        </w:rPr>
        <w:footnoteReference w:id="166"/>
      </w:r>
      <w:r>
        <w:rPr>
          <w:rFonts w:cs="Times New Roman"/>
          <w:noProof/>
          <w:szCs w:val="24"/>
        </w:rPr>
        <w:t xml:space="preserve"> Another advantage stemming from EU-level action is that it would stimulate the pan-European recognition of different business models, for instance supporting the financial community to boost financial products dedicated to them.</w:t>
      </w:r>
      <w:r>
        <w:rPr>
          <w:rStyle w:val="FootnoteReference"/>
          <w:rFonts w:cs="Times New Roman"/>
          <w:noProof/>
          <w:szCs w:val="24"/>
        </w:rPr>
        <w:footnoteReference w:id="167"/>
      </w:r>
      <w:r>
        <w:rPr>
          <w:rFonts w:cs="Times New Roman"/>
          <w:noProof/>
          <w:szCs w:val="24"/>
        </w:rPr>
        <w:t xml:space="preserve"> </w:t>
      </w:r>
    </w:p>
    <w:p>
      <w:pPr>
        <w:spacing w:line="264" w:lineRule="auto"/>
        <w:rPr>
          <w:rFonts w:cs="Times New Roman"/>
          <w:b/>
          <w:noProof/>
          <w:szCs w:val="24"/>
        </w:rPr>
      </w:pPr>
      <w:r>
        <w:rPr>
          <w:rFonts w:cs="Times New Roman"/>
          <w:noProof/>
          <w:szCs w:val="24"/>
        </w:rPr>
        <w:t>Finally, a dedicated Social, Skills &amp; Human Capital window may be relevant to cover new and emerging policy challenges where action at Member State level is difficult to achieve. As an example, significant support is also needed in the area of migration. Reception of asylum seekers and integration of refugees and other regular migrants require considerable investments in the short and long-term perspectives. A wide range of interventions foreseen in the scope of InvestEU can be envisaged in this respect. As examples, social infrastructure and financing schemes to upskilling actions or qualifying training for migrants</w:t>
      </w:r>
      <w:r>
        <w:rPr>
          <w:rStyle w:val="FootnoteReference"/>
          <w:rFonts w:cs="Times New Roman"/>
          <w:noProof/>
          <w:szCs w:val="24"/>
        </w:rPr>
        <w:footnoteReference w:id="168"/>
      </w:r>
      <w:r>
        <w:rPr>
          <w:rFonts w:cs="Times New Roman"/>
          <w:noProof/>
          <w:szCs w:val="24"/>
        </w:rPr>
        <w:t xml:space="preserve"> could be replicated, bundled and upscale in the framework of the Fund, in synergies with investments under other EU frameworks. </w:t>
      </w:r>
    </w:p>
    <w:p>
      <w:pPr>
        <w:spacing w:line="264" w:lineRule="auto"/>
        <w:rPr>
          <w:rFonts w:cs="Times New Roman"/>
          <w:b/>
          <w:noProof/>
          <w:szCs w:val="24"/>
        </w:rPr>
      </w:pPr>
      <w:r>
        <w:rPr>
          <w:rFonts w:cs="Times New Roman"/>
          <w:b/>
          <w:noProof/>
          <w:szCs w:val="24"/>
        </w:rPr>
        <w:t>Capacity building and monitoring</w:t>
      </w:r>
    </w:p>
    <w:p>
      <w:pPr>
        <w:autoSpaceDE w:val="0"/>
        <w:autoSpaceDN w:val="0"/>
        <w:adjustRightInd w:val="0"/>
        <w:spacing w:before="240" w:line="264" w:lineRule="auto"/>
        <w:rPr>
          <w:rFonts w:cs="Times New Roman"/>
          <w:b/>
          <w:noProof/>
          <w:szCs w:val="24"/>
        </w:rPr>
      </w:pPr>
      <w:r>
        <w:rPr>
          <w:rFonts w:cs="Times New Roman"/>
          <w:noProof/>
          <w:szCs w:val="24"/>
        </w:rPr>
        <w:t xml:space="preserve">For a successful implementation of the InvestEU Fund in the policy areas covered by this window, a strong grant-based capacity building programme will be indispensable given the varying degrees of market maturity in the social sector. The capacity building programme will need to take into account the different needs of financial intermediaries and procuring authorities in accordance with their investment portfolio and the long-term needs of market development as well as the geographical coverage of financial intermediaries throughout the EU. Access to these measures may be extended beyond a specific project and being bundled into a portfolio. Technical assistance supporting the preparation of </w:t>
      </w:r>
      <w:r>
        <w:rPr>
          <w:rFonts w:cs="Times New Roman"/>
          <w:noProof/>
          <w:color w:val="000000"/>
          <w:szCs w:val="24"/>
        </w:rPr>
        <w:t>Social, Skills &amp; Human Capital</w:t>
      </w:r>
      <w:r>
        <w:rPr>
          <w:rFonts w:cs="Times New Roman"/>
          <w:noProof/>
          <w:szCs w:val="24"/>
        </w:rPr>
        <w:t xml:space="preserve"> investment shall ensure full support for sustainability proofing of investment projects from the grant or pre-investment stage onwards, and can also be based on self-assessment diagnostic methods supported by advisory services helping beneficiaries in structuring their project and tailoring it to the target group in question. Also a solid monitoring framework, based on output, outcome and impact indicators will be needed to track the project and programme progress and to report to the investors that will join InvestEU sponsored projects and platforms. The framework may be based, among others, on the Pillar's social scoreboard</w:t>
      </w:r>
      <w:r>
        <w:rPr>
          <w:rStyle w:val="FootnoteReference"/>
          <w:rFonts w:cs="Times New Roman"/>
          <w:noProof/>
          <w:szCs w:val="24"/>
        </w:rPr>
        <w:footnoteReference w:id="169"/>
      </w:r>
      <w:r>
        <w:rPr>
          <w:rFonts w:cs="Times New Roman"/>
          <w:noProof/>
          <w:szCs w:val="24"/>
        </w:rPr>
        <w:t xml:space="preserve"> for the social dimension of the window, and on the monitoring system of current programmes in cultural and creative sector</w:t>
      </w:r>
      <w:r>
        <w:rPr>
          <w:rStyle w:val="FootnoteReference"/>
          <w:rFonts w:cs="Times New Roman"/>
          <w:noProof/>
          <w:szCs w:val="24"/>
        </w:rPr>
        <w:footnoteReference w:id="170"/>
      </w:r>
      <w:r>
        <w:rPr>
          <w:rFonts w:cs="Times New Roman"/>
          <w:noProof/>
          <w:szCs w:val="24"/>
        </w:rPr>
        <w:t xml:space="preserve"> or under the ESF</w:t>
      </w:r>
      <w:r>
        <w:rPr>
          <w:rStyle w:val="FootnoteReference"/>
          <w:rFonts w:cs="Times New Roman"/>
          <w:noProof/>
          <w:szCs w:val="24"/>
        </w:rPr>
        <w:footnoteReference w:id="171"/>
      </w:r>
      <w:r>
        <w:rPr>
          <w:rFonts w:cs="Times New Roman"/>
          <w:noProof/>
          <w:szCs w:val="24"/>
        </w:rPr>
        <w:t xml:space="preserve">. </w:t>
      </w:r>
    </w:p>
    <w:p>
      <w:pPr>
        <w:pStyle w:val="ListParagraph"/>
        <w:numPr>
          <w:ilvl w:val="0"/>
          <w:numId w:val="52"/>
        </w:numPr>
        <w:spacing w:before="240" w:after="120" w:line="264" w:lineRule="auto"/>
        <w:rPr>
          <w:rFonts w:cs="Times New Roman"/>
          <w:b/>
          <w:noProof/>
          <w:szCs w:val="24"/>
        </w:rPr>
      </w:pPr>
      <w:r>
        <w:rPr>
          <w:rFonts w:cs="Times New Roman"/>
          <w:b/>
          <w:noProof/>
          <w:szCs w:val="24"/>
        </w:rPr>
        <w:t>Policy drivers and public sector stakeholders to be involved and their role</w:t>
      </w:r>
    </w:p>
    <w:p>
      <w:pPr>
        <w:spacing w:after="120" w:line="264" w:lineRule="auto"/>
        <w:rPr>
          <w:rFonts w:cs="Times New Roman"/>
          <w:b/>
          <w:noProof/>
          <w:szCs w:val="24"/>
        </w:rPr>
      </w:pPr>
      <w:r>
        <w:rPr>
          <w:rFonts w:cs="Times New Roman"/>
          <w:noProof/>
          <w:szCs w:val="24"/>
        </w:rPr>
        <w:t xml:space="preserve">The important change in the economic and social landscape across the Union since the late 2000s has been the main driver for major policy redirection as regards labour market, social inclusion and education policies at both the EU and Member State levels. Policy focus has shifted from labour security aspects and flexibility to limiting social disparities and social exclusion. Looking ahead, a number of factors will most likely limit the capacity of Member States to increase their social expenditures, such as large fiscal consolidation plans under way in most Member States, strong deleveraging needs in highly-indebted Member States and increasing population ageing-related expenditures. It is more important than ever to co-create social (integration, individual skills etc.) and societal impact (a healthy environment; knowledge creation etc.) within one project. The EU can play an important role in ensuring a coordinating approach to support the requisite reforms at Member State level. </w:t>
      </w:r>
    </w:p>
    <w:p>
      <w:pPr>
        <w:spacing w:after="120" w:line="264" w:lineRule="auto"/>
        <w:rPr>
          <w:rFonts w:cs="Times New Roman"/>
          <w:b/>
          <w:noProof/>
          <w:szCs w:val="24"/>
        </w:rPr>
      </w:pPr>
      <w:r>
        <w:rPr>
          <w:rFonts w:cs="Times New Roman"/>
          <w:noProof/>
          <w:szCs w:val="24"/>
        </w:rPr>
        <w:t>A distinctive feature of the social window is the support to investment projects that, although socially and economically viable, do not generate the level of returns that an investor looking after profit maximization would accept. The window should act as a catalyst for investors willing to finance well-structured projects with measurable, positive impacts, considered as of high added-value for their contribution to the Social Dimension of the EU. The logic of the window is to support nascent social economy market structures in addition to addressing market failures.</w:t>
      </w:r>
    </w:p>
    <w:p>
      <w:pPr>
        <w:spacing w:after="120" w:line="264" w:lineRule="auto"/>
        <w:rPr>
          <w:rFonts w:cs="Times New Roman"/>
          <w:b/>
          <w:noProof/>
          <w:szCs w:val="24"/>
        </w:rPr>
      </w:pPr>
      <w:r>
        <w:rPr>
          <w:rFonts w:cs="Times New Roman"/>
          <w:noProof/>
          <w:szCs w:val="24"/>
        </w:rPr>
        <w:t>The support provided under the Social, Skills &amp; Human Capital window of the InvestEU Fund shall address the multi-focal needs of social policy stakeholders and multiple cross-sector issues covering the domain of health, ageing, education, culture, employment, innovation etc., while maintaining a certain degree of flexibility necessary to respond to new investment needs that may emerge in time.</w:t>
      </w:r>
    </w:p>
    <w:p>
      <w:pPr>
        <w:spacing w:after="120" w:line="264" w:lineRule="auto"/>
        <w:rPr>
          <w:rFonts w:cs="Times New Roman"/>
          <w:b/>
          <w:noProof/>
          <w:szCs w:val="24"/>
        </w:rPr>
      </w:pPr>
      <w:r>
        <w:rPr>
          <w:rFonts w:cs="Times New Roman"/>
          <w:noProof/>
          <w:szCs w:val="24"/>
        </w:rPr>
        <w:t>The following areas have been identified as the focus of intervention for the Fund support:</w:t>
      </w:r>
    </w:p>
    <w:p>
      <w:pPr>
        <w:numPr>
          <w:ilvl w:val="0"/>
          <w:numId w:val="34"/>
        </w:numPr>
        <w:spacing w:after="0" w:line="264" w:lineRule="auto"/>
        <w:rPr>
          <w:rFonts w:cs="Times New Roman"/>
          <w:b/>
          <w:noProof/>
          <w:szCs w:val="24"/>
        </w:rPr>
      </w:pPr>
      <w:r>
        <w:rPr>
          <w:rFonts w:cs="Times New Roman"/>
          <w:noProof/>
          <w:szCs w:val="24"/>
        </w:rPr>
        <w:t>Skills, integration and education: investment in all levels of education, including digital skills, necessary for building a knowledge-based society, support to increase vocational training and lifelong learning, including non-formal learning investment in human capital (inter alia focused on improving the integration of young people in society, of refugees and asylum seekers who are undertaking upskilling actions or qualifying training);</w:t>
      </w:r>
    </w:p>
    <w:p>
      <w:pPr>
        <w:numPr>
          <w:ilvl w:val="0"/>
          <w:numId w:val="34"/>
        </w:numPr>
        <w:spacing w:after="0" w:line="264" w:lineRule="auto"/>
        <w:rPr>
          <w:rFonts w:cs="Times New Roman"/>
          <w:noProof/>
          <w:szCs w:val="24"/>
        </w:rPr>
      </w:pPr>
      <w:r>
        <w:rPr>
          <w:rFonts w:cs="Times New Roman"/>
          <w:noProof/>
          <w:szCs w:val="24"/>
        </w:rPr>
        <w:t>Supporting social economy and social enterprises and microfinance recipients: support to promote inclusive entrepreneurship, improve access to employment (including self-employment), job creation, labour market integration, social inclusion by increasing the availability of and access to micro-finance</w:t>
      </w:r>
      <w:r>
        <w:rPr>
          <w:rFonts w:cs="Times New Roman"/>
          <w:noProof/>
          <w:szCs w:val="24"/>
          <w:vertAlign w:val="superscript"/>
        </w:rPr>
        <w:footnoteReference w:id="172"/>
      </w:r>
      <w:r>
        <w:rPr>
          <w:rFonts w:cs="Times New Roman"/>
          <w:noProof/>
          <w:szCs w:val="24"/>
        </w:rPr>
        <w:t>, and access to finance for social enterprises. It also includes support for the upscale or development of new business models focusing on social return on investment.</w:t>
      </w:r>
    </w:p>
    <w:p>
      <w:pPr>
        <w:numPr>
          <w:ilvl w:val="0"/>
          <w:numId w:val="34"/>
        </w:numPr>
        <w:spacing w:after="0" w:line="264" w:lineRule="auto"/>
        <w:rPr>
          <w:rFonts w:cs="Times New Roman"/>
          <w:b/>
          <w:noProof/>
          <w:szCs w:val="24"/>
        </w:rPr>
      </w:pPr>
      <w:r>
        <w:rPr>
          <w:rFonts w:cs="Times New Roman"/>
          <w:noProof/>
          <w:szCs w:val="24"/>
        </w:rPr>
        <w:t xml:space="preserve">Social infrastructure and services: investments in the construction, expansion or refurbishment of buildings and in the provision of related services for </w:t>
      </w:r>
    </w:p>
    <w:p>
      <w:pPr>
        <w:pStyle w:val="ListParagraph"/>
        <w:numPr>
          <w:ilvl w:val="0"/>
          <w:numId w:val="38"/>
        </w:numPr>
        <w:spacing w:after="0" w:line="264" w:lineRule="auto"/>
        <w:contextualSpacing w:val="0"/>
        <w:rPr>
          <w:rFonts w:cs="Times New Roman"/>
          <w:b/>
          <w:noProof/>
          <w:szCs w:val="24"/>
        </w:rPr>
      </w:pPr>
      <w:r>
        <w:rPr>
          <w:rFonts w:cs="Times New Roman"/>
          <w:noProof/>
          <w:szCs w:val="24"/>
        </w:rPr>
        <w:t>Education and training (i.e. educational facilities and digital equipment)</w:t>
      </w:r>
    </w:p>
    <w:p>
      <w:pPr>
        <w:pStyle w:val="ListParagraph"/>
        <w:numPr>
          <w:ilvl w:val="0"/>
          <w:numId w:val="38"/>
        </w:numPr>
        <w:spacing w:after="0" w:line="264" w:lineRule="auto"/>
        <w:contextualSpacing w:val="0"/>
        <w:rPr>
          <w:rFonts w:cs="Times New Roman"/>
          <w:b/>
          <w:noProof/>
          <w:szCs w:val="24"/>
        </w:rPr>
      </w:pPr>
      <w:r>
        <w:rPr>
          <w:rFonts w:cs="Times New Roman"/>
          <w:noProof/>
          <w:szCs w:val="24"/>
        </w:rPr>
        <w:t xml:space="preserve">Social housing </w:t>
      </w:r>
    </w:p>
    <w:p>
      <w:pPr>
        <w:pStyle w:val="ListParagraph"/>
        <w:numPr>
          <w:ilvl w:val="0"/>
          <w:numId w:val="38"/>
        </w:numPr>
        <w:spacing w:after="0" w:line="264" w:lineRule="auto"/>
        <w:contextualSpacing w:val="0"/>
        <w:rPr>
          <w:rFonts w:cs="Times New Roman"/>
          <w:b/>
          <w:noProof/>
          <w:szCs w:val="24"/>
        </w:rPr>
      </w:pPr>
      <w:r>
        <w:rPr>
          <w:rFonts w:cs="Times New Roman"/>
          <w:noProof/>
          <w:szCs w:val="24"/>
        </w:rPr>
        <w:t>Healthcare (i.e. clinics, hospitals, primary care centres, health promotion programmes, integrated care services, etc.)</w:t>
      </w:r>
    </w:p>
    <w:p>
      <w:pPr>
        <w:pStyle w:val="ListParagraph"/>
        <w:numPr>
          <w:ilvl w:val="0"/>
          <w:numId w:val="38"/>
        </w:numPr>
        <w:spacing w:after="0" w:line="264" w:lineRule="auto"/>
        <w:contextualSpacing w:val="0"/>
        <w:rPr>
          <w:rFonts w:cs="Times New Roman"/>
          <w:b/>
          <w:noProof/>
          <w:szCs w:val="24"/>
        </w:rPr>
      </w:pPr>
      <w:r>
        <w:rPr>
          <w:rFonts w:cs="Times New Roman"/>
          <w:noProof/>
          <w:szCs w:val="24"/>
        </w:rPr>
        <w:t>The circular economy and nature protection where certain activities of high public interest are not yet commercially viable but offer opportunities for job market integration and education.</w:t>
      </w:r>
    </w:p>
    <w:p>
      <w:pPr>
        <w:spacing w:after="0" w:line="264" w:lineRule="auto"/>
        <w:rPr>
          <w:rFonts w:cs="Times New Roman"/>
          <w:b/>
          <w:noProof/>
          <w:szCs w:val="24"/>
        </w:rPr>
      </w:pPr>
      <w:r>
        <w:rPr>
          <w:rFonts w:cs="Times New Roman"/>
          <w:noProof/>
          <w:szCs w:val="24"/>
        </w:rPr>
        <w:t>Support to physical infrastructure developments could be complemented with funding for social economy and social service provision, including through outcomes-based projects, in an integrated way.</w:t>
      </w:r>
    </w:p>
    <w:p>
      <w:pPr>
        <w:numPr>
          <w:ilvl w:val="0"/>
          <w:numId w:val="34"/>
        </w:numPr>
        <w:spacing w:after="0" w:line="264" w:lineRule="auto"/>
        <w:rPr>
          <w:rFonts w:cs="Times New Roman"/>
          <w:noProof/>
          <w:szCs w:val="24"/>
        </w:rPr>
      </w:pPr>
      <w:r>
        <w:rPr>
          <w:rFonts w:cs="Times New Roman"/>
          <w:noProof/>
          <w:szCs w:val="24"/>
        </w:rPr>
        <w:t>Social innovation, creation of markets for social outcomes, expertise and capacity building: tools may be developed to help national/regional/local authorities develop skills for configuring investment strategies, blending financing and bundling projects; to grow social innovators, social entrepreneurs, social impact investors and philanthropists; to facilitate agreement on operational definitions, etc. Capacity building also include promoting innovation by and for the European society, in particular, targeting new products, services and organizational models that meet social needs, foster new social relationships or collaborations, and empower citizens.</w:t>
      </w:r>
    </w:p>
    <w:p>
      <w:pPr>
        <w:spacing w:before="240" w:after="120" w:line="264" w:lineRule="auto"/>
        <w:rPr>
          <w:rFonts w:cs="Times New Roman"/>
          <w:b/>
          <w:noProof/>
          <w:szCs w:val="24"/>
        </w:rPr>
      </w:pPr>
      <w:r>
        <w:rPr>
          <w:rFonts w:cs="Times New Roman"/>
          <w:noProof/>
          <w:szCs w:val="24"/>
        </w:rPr>
        <w:t>With regard to the public sector stakeholders, the involvement of national and regional level authorities, municipalities, associations of public education and training providers will be needed to establish a permanent dialogue between different levels of government and thus bring the priorities of the Union closer to the citizens. Regional and local authorities have different competences across the Member States; local health units or regional educational authorities often act as contracting bodies and work in close contact with financial intermediaries.</w:t>
      </w:r>
    </w:p>
    <w:p>
      <w:pPr>
        <w:pStyle w:val="ListParagraph"/>
        <w:numPr>
          <w:ilvl w:val="0"/>
          <w:numId w:val="52"/>
        </w:numPr>
        <w:spacing w:before="240" w:after="120" w:line="264" w:lineRule="auto"/>
        <w:rPr>
          <w:rFonts w:cs="Times New Roman"/>
          <w:b/>
          <w:noProof/>
          <w:szCs w:val="24"/>
        </w:rPr>
      </w:pPr>
      <w:r>
        <w:rPr>
          <w:rFonts w:cs="Times New Roman"/>
          <w:b/>
          <w:noProof/>
          <w:szCs w:val="24"/>
        </w:rPr>
        <w:t>Financial intermediaries to be involved and their role</w:t>
      </w:r>
    </w:p>
    <w:p>
      <w:pPr>
        <w:spacing w:after="120" w:line="264" w:lineRule="auto"/>
        <w:rPr>
          <w:rFonts w:cs="Times New Roman"/>
          <w:i/>
          <w:noProof/>
          <w:szCs w:val="24"/>
        </w:rPr>
      </w:pPr>
      <w:r>
        <w:rPr>
          <w:rFonts w:cs="Times New Roman"/>
          <w:i/>
          <w:noProof/>
          <w:szCs w:val="24"/>
        </w:rPr>
        <w:t>The EIB Group</w:t>
      </w:r>
    </w:p>
    <w:p>
      <w:pPr>
        <w:spacing w:after="120" w:line="264" w:lineRule="auto"/>
        <w:rPr>
          <w:rFonts w:cs="Times New Roman"/>
          <w:b/>
          <w:noProof/>
          <w:szCs w:val="24"/>
        </w:rPr>
      </w:pPr>
      <w:r>
        <w:rPr>
          <w:rFonts w:cs="Times New Roman"/>
          <w:noProof/>
          <w:szCs w:val="24"/>
        </w:rPr>
        <w:t xml:space="preserve">The EIB Group (i.e. EIB and EIF) currently acts as the main implementing partner for the EU budgetary funds in the current MFF. The EIB group has a remarkable experience in the social sector; it has financed health care, healthy ageing, affordable housing and higher education infrastructure projects, while the EIF has been involved in microfinance and social entrepreneurship under the EaSI programme and the EFSI SMEW. The EIB institute has been active in the field of social innovation projects. The EIB group also provides access to financing through its financial intermediaries which are often the first port of call for smaller organisations. </w:t>
      </w:r>
    </w:p>
    <w:p>
      <w:pPr>
        <w:spacing w:after="120" w:line="264" w:lineRule="auto"/>
        <w:rPr>
          <w:rFonts w:cs="Times New Roman"/>
          <w:b/>
          <w:noProof/>
          <w:szCs w:val="24"/>
        </w:rPr>
      </w:pPr>
      <w:r>
        <w:rPr>
          <w:rFonts w:cs="Times New Roman"/>
          <w:noProof/>
          <w:szCs w:val="24"/>
        </w:rPr>
        <w:t xml:space="preserve">It is therefore likely that the EIB Group would continue to be one of the main Implementing Partners in the </w:t>
      </w:r>
      <w:r>
        <w:rPr>
          <w:rFonts w:cs="Times New Roman"/>
          <w:noProof/>
          <w:color w:val="000000"/>
          <w:szCs w:val="24"/>
        </w:rPr>
        <w:t xml:space="preserve">Social, Skills &amp; Human Capital </w:t>
      </w:r>
      <w:r>
        <w:rPr>
          <w:rFonts w:cs="Times New Roman"/>
          <w:noProof/>
          <w:szCs w:val="24"/>
        </w:rPr>
        <w:t>window, but the Commission should also keep its options open whereby access to the EU guarantee should also be envisaged for other financial institutions. In addition, the social sector may see an offspring of ad-hoc investment platforms, where the EIB group joins forces with other NPBs, MDBs and local financial intermediaries.</w:t>
      </w:r>
    </w:p>
    <w:p>
      <w:pPr>
        <w:spacing w:after="120" w:line="264" w:lineRule="auto"/>
        <w:rPr>
          <w:rFonts w:cs="Times New Roman"/>
          <w:i/>
          <w:noProof/>
          <w:szCs w:val="24"/>
        </w:rPr>
      </w:pPr>
      <w:r>
        <w:rPr>
          <w:rFonts w:cs="Times New Roman"/>
          <w:i/>
          <w:noProof/>
          <w:szCs w:val="24"/>
        </w:rPr>
        <w:t>The National Promotional Banks (NPBs)</w:t>
      </w:r>
    </w:p>
    <w:p>
      <w:pPr>
        <w:spacing w:after="120" w:line="264" w:lineRule="auto"/>
        <w:rPr>
          <w:rFonts w:cs="Times New Roman"/>
          <w:noProof/>
          <w:szCs w:val="24"/>
        </w:rPr>
      </w:pPr>
      <w:r>
        <w:rPr>
          <w:rFonts w:cs="Times New Roman"/>
          <w:noProof/>
          <w:szCs w:val="24"/>
        </w:rPr>
        <w:t>NPBs may play a dual role under the InvestEU Fund insofar as the social sector is concerned. On the one hand, they can be a direct beneficiary of the budgetary guarantee (also jointly with the EIB for areas where the risk exposure is higher such as financing social enterprises and social economy), improving the conditions of their financing in terms of cost and maturity.</w:t>
      </w:r>
      <w:r>
        <w:rPr>
          <w:rFonts w:cs="Times New Roman"/>
          <w:noProof/>
          <w:szCs w:val="24"/>
        </w:rPr>
        <w:br/>
        <w:t>On the other hand the NPB could also play a bridging role with Member States in blending grants to support projects with high socio-economic benefits, the costs of which are higher than their potential financial revenues. Any such contribution would represent additional resources for the Fund, creating specific Member State-focused (or even region-specific) guarantees with an increased impact. This could be helpful for tackling country-specific social problems and exploit the local knowledge and presence of the NPBs to the largest possible extent. Such complementarity of InvestEU with national investments could also help increase leverage and justify EU added value.</w:t>
      </w:r>
    </w:p>
    <w:p>
      <w:pPr>
        <w:spacing w:after="120" w:line="264" w:lineRule="auto"/>
        <w:rPr>
          <w:rFonts w:cs="Times New Roman"/>
          <w:i/>
          <w:noProof/>
          <w:szCs w:val="24"/>
        </w:rPr>
      </w:pPr>
      <w:r>
        <w:rPr>
          <w:rFonts w:cs="Times New Roman"/>
          <w:i/>
          <w:noProof/>
          <w:szCs w:val="24"/>
        </w:rPr>
        <w:t xml:space="preserve">Other potential implementing partners </w:t>
      </w:r>
    </w:p>
    <w:p>
      <w:pPr>
        <w:spacing w:after="120" w:line="264" w:lineRule="auto"/>
        <w:rPr>
          <w:rFonts w:cs="Times New Roman"/>
          <w:b/>
          <w:noProof/>
          <w:szCs w:val="24"/>
        </w:rPr>
      </w:pPr>
      <w:r>
        <w:rPr>
          <w:rFonts w:cs="Times New Roman"/>
          <w:noProof/>
          <w:szCs w:val="24"/>
        </w:rPr>
        <w:t xml:space="preserve">The Council of Europe Development Bank (CEB) and the European Bank for Reconstruction and Development (EBRD) could also be included as one of the InvestEU Fund implementing partners for the </w:t>
      </w:r>
      <w:r>
        <w:rPr>
          <w:rFonts w:cs="Times New Roman"/>
          <w:noProof/>
          <w:color w:val="000000"/>
          <w:szCs w:val="24"/>
        </w:rPr>
        <w:t xml:space="preserve">Social, Skills &amp; Human Capital </w:t>
      </w:r>
      <w:r>
        <w:rPr>
          <w:rFonts w:cs="Times New Roman"/>
          <w:noProof/>
          <w:szCs w:val="24"/>
        </w:rPr>
        <w:t xml:space="preserve">window. CEB’s investments already contribute to delivering affordable and sustainable essential services and social infrastructure. Furthermore, the Bank responds to emergency situations (such as refugee/migrant crises and natural/ecological disaster events) and helps improve the living conditions of the most vulnerable. The EBRD is already active in the field of microfinance through thematic bond issues. </w:t>
      </w:r>
    </w:p>
    <w:p>
      <w:pPr>
        <w:spacing w:after="120" w:line="264" w:lineRule="auto"/>
        <w:rPr>
          <w:rFonts w:cs="Times New Roman"/>
          <w:b/>
          <w:noProof/>
          <w:szCs w:val="24"/>
        </w:rPr>
      </w:pPr>
      <w:r>
        <w:rPr>
          <w:rFonts w:cs="Times New Roman"/>
          <w:noProof/>
          <w:szCs w:val="24"/>
        </w:rPr>
        <w:t xml:space="preserve">Last, but not least, dedicated investment platforms, which may be financed by the EIB Group, NPBs and other investors, including foundations and donors, could be also an option for implementing partners of the </w:t>
      </w:r>
      <w:r>
        <w:rPr>
          <w:rFonts w:cs="Times New Roman"/>
          <w:noProof/>
          <w:color w:val="000000"/>
          <w:szCs w:val="24"/>
        </w:rPr>
        <w:t xml:space="preserve">Social, Skills &amp; Human Capital </w:t>
      </w:r>
      <w:r>
        <w:rPr>
          <w:rFonts w:cs="Times New Roman"/>
          <w:noProof/>
          <w:szCs w:val="24"/>
        </w:rPr>
        <w:t>window. These implementing partners may potentially play double role in the window: as both the entrusted entities and the intermediaries. Their potential role as an implementing partner will however need to be reviewed in consideration of the decision on the implementation strategy defined for the overall InvestEU structure.</w:t>
      </w:r>
    </w:p>
    <w:p>
      <w:pPr>
        <w:spacing w:after="120" w:line="264" w:lineRule="auto"/>
        <w:rPr>
          <w:rFonts w:cs="Times New Roman"/>
          <w:i/>
          <w:noProof/>
          <w:szCs w:val="24"/>
        </w:rPr>
      </w:pPr>
      <w:r>
        <w:rPr>
          <w:rFonts w:cs="Times New Roman"/>
          <w:i/>
          <w:noProof/>
          <w:szCs w:val="24"/>
        </w:rPr>
        <w:t xml:space="preserve">Other intermediaries </w:t>
      </w:r>
    </w:p>
    <w:p>
      <w:pPr>
        <w:spacing w:after="120" w:line="264" w:lineRule="auto"/>
        <w:rPr>
          <w:rFonts w:cs="Times New Roman"/>
          <w:b/>
          <w:noProof/>
          <w:szCs w:val="24"/>
        </w:rPr>
      </w:pPr>
      <w:r>
        <w:rPr>
          <w:rFonts w:cs="Times New Roman"/>
          <w:noProof/>
          <w:szCs w:val="24"/>
        </w:rPr>
        <w:t xml:space="preserve">Other intermediaries which will be playing an important role in the </w:t>
      </w:r>
      <w:r>
        <w:rPr>
          <w:rFonts w:cs="Times New Roman"/>
          <w:noProof/>
          <w:color w:val="000000"/>
          <w:szCs w:val="24"/>
        </w:rPr>
        <w:t>Social, Skills &amp; Human Capital</w:t>
      </w:r>
      <w:r>
        <w:rPr>
          <w:rFonts w:cs="Times New Roman"/>
          <w:noProof/>
          <w:szCs w:val="24"/>
        </w:rPr>
        <w:t xml:space="preserve"> window are:</w:t>
      </w:r>
    </w:p>
    <w:p>
      <w:pPr>
        <w:pStyle w:val="ListParagraph"/>
        <w:numPr>
          <w:ilvl w:val="0"/>
          <w:numId w:val="37"/>
        </w:numPr>
        <w:spacing w:after="120" w:line="264" w:lineRule="auto"/>
        <w:rPr>
          <w:rFonts w:cs="Times New Roman"/>
          <w:b/>
          <w:noProof/>
          <w:szCs w:val="24"/>
        </w:rPr>
      </w:pPr>
      <w:r>
        <w:rPr>
          <w:rFonts w:cs="Times New Roman"/>
          <w:noProof/>
          <w:szCs w:val="24"/>
        </w:rPr>
        <w:t>private banks including those operating in the social economy and social enterprise sector (such as ethical or alternative banks, cooperative banks);</w:t>
      </w:r>
    </w:p>
    <w:p>
      <w:pPr>
        <w:pStyle w:val="ListParagraph"/>
        <w:numPr>
          <w:ilvl w:val="0"/>
          <w:numId w:val="37"/>
        </w:numPr>
        <w:spacing w:after="120" w:line="264" w:lineRule="auto"/>
        <w:rPr>
          <w:rFonts w:cs="Times New Roman"/>
          <w:b/>
          <w:noProof/>
          <w:szCs w:val="24"/>
        </w:rPr>
      </w:pPr>
      <w:r>
        <w:rPr>
          <w:rFonts w:cs="Times New Roman"/>
          <w:noProof/>
          <w:szCs w:val="24"/>
        </w:rPr>
        <w:t>non-banking financial institutions including loan funds, patient capital providers such as a cooperatives, microfinance institutions, credit unions, guarantee institutions, insurance companies, pension funds, Private Equity/Business Angel funds, funds-of-funds and co-investment funds or schemes;</w:t>
      </w:r>
    </w:p>
    <w:p>
      <w:pPr>
        <w:pStyle w:val="ListParagraph"/>
        <w:numPr>
          <w:ilvl w:val="0"/>
          <w:numId w:val="37"/>
        </w:numPr>
        <w:spacing w:after="120" w:line="264" w:lineRule="auto"/>
        <w:rPr>
          <w:rFonts w:cs="Times New Roman"/>
          <w:b/>
          <w:noProof/>
          <w:szCs w:val="24"/>
        </w:rPr>
      </w:pPr>
      <w:r>
        <w:rPr>
          <w:rFonts w:cs="Times New Roman"/>
          <w:noProof/>
          <w:szCs w:val="24"/>
        </w:rPr>
        <w:t>social investment market enablers including investment readiness and capacity-building intermediaries active in the micro-finance and social enterprise finance sectors;</w:t>
      </w:r>
    </w:p>
    <w:p>
      <w:pPr>
        <w:pStyle w:val="ListParagraph"/>
        <w:numPr>
          <w:ilvl w:val="0"/>
          <w:numId w:val="37"/>
        </w:numPr>
        <w:spacing w:after="120" w:line="264" w:lineRule="auto"/>
        <w:rPr>
          <w:rFonts w:cs="Times New Roman"/>
          <w:b/>
          <w:noProof/>
          <w:szCs w:val="24"/>
        </w:rPr>
      </w:pPr>
      <w:r>
        <w:rPr>
          <w:rFonts w:cs="Times New Roman"/>
          <w:noProof/>
          <w:szCs w:val="24"/>
        </w:rPr>
        <w:t>FinTech companies</w:t>
      </w:r>
      <w:r>
        <w:rPr>
          <w:rStyle w:val="FootnoteReference"/>
          <w:rFonts w:cs="Times New Roman"/>
          <w:noProof/>
          <w:szCs w:val="24"/>
        </w:rPr>
        <w:footnoteReference w:id="173"/>
      </w:r>
      <w:r>
        <w:rPr>
          <w:rFonts w:cs="Times New Roman"/>
          <w:noProof/>
          <w:szCs w:val="24"/>
        </w:rPr>
        <w:t>;</w:t>
      </w:r>
    </w:p>
    <w:p>
      <w:pPr>
        <w:pStyle w:val="ListParagraph"/>
        <w:numPr>
          <w:ilvl w:val="0"/>
          <w:numId w:val="37"/>
        </w:numPr>
        <w:spacing w:after="120" w:line="264" w:lineRule="auto"/>
        <w:rPr>
          <w:rFonts w:cs="Times New Roman"/>
          <w:b/>
          <w:noProof/>
          <w:szCs w:val="24"/>
        </w:rPr>
      </w:pPr>
      <w:r>
        <w:rPr>
          <w:rFonts w:cs="Times New Roman"/>
          <w:noProof/>
          <w:szCs w:val="24"/>
        </w:rPr>
        <w:t>Universities, research centres and Knowledge and Innovation Communities;</w:t>
      </w:r>
    </w:p>
    <w:p>
      <w:pPr>
        <w:pStyle w:val="ListParagraph"/>
        <w:numPr>
          <w:ilvl w:val="0"/>
          <w:numId w:val="37"/>
        </w:numPr>
        <w:spacing w:after="120" w:line="264" w:lineRule="auto"/>
        <w:rPr>
          <w:rFonts w:cs="Times New Roman"/>
          <w:b/>
          <w:noProof/>
          <w:szCs w:val="24"/>
        </w:rPr>
      </w:pPr>
      <w:r>
        <w:rPr>
          <w:rFonts w:cs="Times New Roman"/>
          <w:noProof/>
          <w:szCs w:val="24"/>
        </w:rPr>
        <w:t xml:space="preserve">foundations; </w:t>
      </w:r>
    </w:p>
    <w:p>
      <w:pPr>
        <w:pStyle w:val="ListParagraph"/>
        <w:numPr>
          <w:ilvl w:val="0"/>
          <w:numId w:val="37"/>
        </w:numPr>
        <w:spacing w:after="120" w:line="264" w:lineRule="auto"/>
        <w:rPr>
          <w:rFonts w:cs="Times New Roman"/>
          <w:b/>
          <w:noProof/>
          <w:szCs w:val="24"/>
        </w:rPr>
      </w:pPr>
      <w:r>
        <w:rPr>
          <w:rFonts w:cs="Times New Roman"/>
          <w:noProof/>
          <w:szCs w:val="24"/>
        </w:rPr>
        <w:t>equity crowdfunding platforms; and</w:t>
      </w:r>
    </w:p>
    <w:p>
      <w:pPr>
        <w:pStyle w:val="ListParagraph"/>
        <w:numPr>
          <w:ilvl w:val="0"/>
          <w:numId w:val="37"/>
        </w:numPr>
        <w:spacing w:after="120" w:line="264" w:lineRule="auto"/>
        <w:rPr>
          <w:rFonts w:cs="Times New Roman"/>
          <w:b/>
          <w:noProof/>
          <w:szCs w:val="24"/>
        </w:rPr>
      </w:pPr>
      <w:r>
        <w:rPr>
          <w:rFonts w:cs="Times New Roman"/>
          <w:noProof/>
          <w:szCs w:val="24"/>
        </w:rPr>
        <w:t>various groups of investors including corporate investors, social impact investors, (social) business angels, educational entrepreneurs (e.g. MOOCs), venture philanthropists and philanthropists.</w:t>
      </w:r>
    </w:p>
    <w:p>
      <w:pPr>
        <w:spacing w:after="120" w:line="264" w:lineRule="auto"/>
        <w:rPr>
          <w:rFonts w:cs="Times New Roman"/>
          <w:b/>
          <w:noProof/>
          <w:szCs w:val="24"/>
        </w:rPr>
      </w:pPr>
      <w:r>
        <w:rPr>
          <w:rFonts w:cs="Times New Roman"/>
          <w:noProof/>
          <w:szCs w:val="24"/>
        </w:rPr>
        <w:t xml:space="preserve">In order to ensure a successful implementation of the Window, every effort should be made to ensure complete EU coverage by financial intermediaries, including by securing cross-border cooperation in the absence of competent, local, national financial intermediaries. The degree of maturity of financial intermediaries varies across Europe, creating sometimes a bottleneck to the take-up of financial instruments at the local level. Capacity building programmes have addressed this problem, but the costs have proven significant. </w:t>
      </w:r>
    </w:p>
    <w:p>
      <w:pPr>
        <w:spacing w:after="120" w:line="264" w:lineRule="auto"/>
        <w:rPr>
          <w:rFonts w:cs="Times New Roman"/>
          <w:b/>
          <w:noProof/>
          <w:szCs w:val="24"/>
        </w:rPr>
      </w:pPr>
      <w:r>
        <w:rPr>
          <w:rFonts w:cs="Times New Roman"/>
          <w:b/>
          <w:noProof/>
          <w:szCs w:val="24"/>
        </w:rPr>
        <w:t>Private sector stakeholder organisations, associations or business groups to be involved and their role</w:t>
      </w:r>
    </w:p>
    <w:p>
      <w:pPr>
        <w:spacing w:after="120" w:line="264" w:lineRule="auto"/>
        <w:rPr>
          <w:rFonts w:cs="Times New Roman"/>
          <w:b/>
          <w:noProof/>
          <w:szCs w:val="24"/>
        </w:rPr>
      </w:pPr>
      <w:r>
        <w:rPr>
          <w:rFonts w:cs="Times New Roman"/>
          <w:noProof/>
          <w:szCs w:val="24"/>
        </w:rPr>
        <w:t>Pan-EU private stakeholder organisations which are active in the social sector have basically an interest in the support and use of financial products. A large number of specialised organisations are active in different sectors; for instance:</w:t>
      </w:r>
    </w:p>
    <w:p>
      <w:pPr>
        <w:numPr>
          <w:ilvl w:val="0"/>
          <w:numId w:val="32"/>
        </w:numPr>
        <w:spacing w:after="120" w:line="264" w:lineRule="auto"/>
        <w:rPr>
          <w:rFonts w:cs="Times New Roman"/>
          <w:b/>
          <w:noProof/>
          <w:szCs w:val="24"/>
        </w:rPr>
      </w:pPr>
      <w:r>
        <w:rPr>
          <w:rFonts w:cs="Times New Roman"/>
          <w:b/>
          <w:noProof/>
          <w:szCs w:val="24"/>
        </w:rPr>
        <w:t>Education</w:t>
      </w:r>
      <w:r>
        <w:rPr>
          <w:rFonts w:cs="Times New Roman"/>
          <w:noProof/>
          <w:szCs w:val="24"/>
        </w:rPr>
        <w:t>: representatives of education and training providers, Student Unions (e.g. ESU); Teachers Unions (e.g. ETUCE); non-profit (e.g. Education International) &amp; international organisations (e.g. UNICEF);</w:t>
      </w:r>
    </w:p>
    <w:p>
      <w:pPr>
        <w:numPr>
          <w:ilvl w:val="0"/>
          <w:numId w:val="32"/>
        </w:numPr>
        <w:spacing w:after="120" w:line="264" w:lineRule="auto"/>
        <w:rPr>
          <w:rFonts w:cs="Times New Roman"/>
          <w:b/>
          <w:noProof/>
          <w:szCs w:val="24"/>
        </w:rPr>
      </w:pPr>
      <w:r>
        <w:rPr>
          <w:rFonts w:cs="Times New Roman"/>
          <w:b/>
          <w:noProof/>
          <w:szCs w:val="24"/>
        </w:rPr>
        <w:t>Health</w:t>
      </w:r>
      <w:r>
        <w:rPr>
          <w:rFonts w:cs="Times New Roman"/>
          <w:noProof/>
          <w:szCs w:val="24"/>
        </w:rPr>
        <w:t>: Stakeholder collaboration networks and NGOs (e.g. EIT Health, European Innovation Partnership on Active and Healthy Ageing, AEIP (European Association of Paritarian Institutions), GIRP (European Healthcare Distribution Association), EPHA (European Public Health Alliance), EHMA (European Health Management Association), HOPE (European Hospital and Healthcare Federation), UEPH (European Union of Private Hospitals), EPF (European Patients' Forum), EUROCARERS, etc.</w:t>
      </w:r>
    </w:p>
    <w:p>
      <w:pPr>
        <w:numPr>
          <w:ilvl w:val="0"/>
          <w:numId w:val="33"/>
        </w:numPr>
        <w:spacing w:after="120" w:line="264" w:lineRule="auto"/>
        <w:rPr>
          <w:rFonts w:cs="Times New Roman"/>
          <w:b/>
          <w:noProof/>
          <w:szCs w:val="24"/>
        </w:rPr>
      </w:pPr>
      <w:r>
        <w:rPr>
          <w:rFonts w:cs="Times New Roman"/>
          <w:b/>
          <w:noProof/>
          <w:szCs w:val="24"/>
        </w:rPr>
        <w:t>Affordable and social housing</w:t>
      </w:r>
      <w:r>
        <w:rPr>
          <w:rFonts w:cs="Times New Roman"/>
          <w:noProof/>
          <w:szCs w:val="24"/>
        </w:rPr>
        <w:t xml:space="preserve">: Housing Europe (dealing with the setup of inclusive communities, fostering urban regeneration, reviving rural communities) as well as private associations or cooperatives at national level and other stakeholders whose mission is to build inclusive communities such as NGOs or public administrations. </w:t>
      </w:r>
    </w:p>
    <w:p>
      <w:pPr>
        <w:numPr>
          <w:ilvl w:val="0"/>
          <w:numId w:val="33"/>
        </w:numPr>
        <w:spacing w:after="120" w:line="264" w:lineRule="auto"/>
        <w:rPr>
          <w:rFonts w:cs="Times New Roman"/>
          <w:b/>
          <w:noProof/>
          <w:szCs w:val="24"/>
        </w:rPr>
      </w:pPr>
      <w:r>
        <w:rPr>
          <w:rFonts w:cs="Times New Roman"/>
          <w:b/>
          <w:noProof/>
          <w:szCs w:val="24"/>
        </w:rPr>
        <w:t>Cross sector</w:t>
      </w:r>
      <w:r>
        <w:rPr>
          <w:rFonts w:cs="Times New Roman"/>
          <w:noProof/>
          <w:szCs w:val="24"/>
        </w:rPr>
        <w:t>: networks of social enterprises and/or joint social projects undertakings with a European dimension, active in cross-border fund-raising, innovation and implementing activities, etc. Also European level organisations with a cross-sector approach like EASPD (representing service providers for people with disabilities) or ENSI (European network of social integration enterprises) are topical. Also given recent technological developments with impact on the social sector (e.g. e-learning, e-health and the need for more energy efficient buildings) also organisations from these fields can be relevant.</w:t>
      </w:r>
    </w:p>
    <w:p>
      <w:pPr>
        <w:spacing w:after="120" w:line="264" w:lineRule="auto"/>
        <w:rPr>
          <w:rFonts w:cs="Times New Roman"/>
          <w:b/>
          <w:noProof/>
          <w:szCs w:val="24"/>
        </w:rPr>
      </w:pPr>
      <w:r>
        <w:rPr>
          <w:rFonts w:cs="Times New Roman"/>
          <w:noProof/>
          <w:szCs w:val="24"/>
        </w:rPr>
        <w:t xml:space="preserve">Regarding financing, organisations dealing with specific financial areas are relevant. Among them are: </w:t>
      </w:r>
    </w:p>
    <w:p>
      <w:pPr>
        <w:pStyle w:val="ListParagraph"/>
        <w:numPr>
          <w:ilvl w:val="0"/>
          <w:numId w:val="36"/>
        </w:numPr>
        <w:spacing w:after="120" w:line="264" w:lineRule="auto"/>
        <w:rPr>
          <w:rFonts w:cs="Times New Roman"/>
          <w:b/>
          <w:noProof/>
          <w:szCs w:val="24"/>
        </w:rPr>
      </w:pPr>
      <w:r>
        <w:rPr>
          <w:rFonts w:cs="Times New Roman"/>
          <w:noProof/>
          <w:szCs w:val="24"/>
        </w:rPr>
        <w:t xml:space="preserve">for the loan and guarantees segment, AECM, NEFI, EAPB, UEAPME, FEBEA and EMN/MFC (microfinance), </w:t>
      </w:r>
    </w:p>
    <w:p>
      <w:pPr>
        <w:pStyle w:val="ListParagraph"/>
        <w:numPr>
          <w:ilvl w:val="0"/>
          <w:numId w:val="36"/>
        </w:numPr>
        <w:spacing w:after="120" w:line="264" w:lineRule="auto"/>
        <w:rPr>
          <w:rFonts w:cs="Times New Roman"/>
          <w:b/>
          <w:noProof/>
          <w:szCs w:val="24"/>
        </w:rPr>
      </w:pPr>
      <w:r>
        <w:rPr>
          <w:rFonts w:cs="Times New Roman"/>
          <w:noProof/>
          <w:szCs w:val="24"/>
        </w:rPr>
        <w:t>for equity instruments, organisations like InvestEurope (private equity and VC), the European Venture Philanthropy Association (EVPA), Business Angels Europe (BAE) and European Business Angels Network (EBAN), FEBEA.</w:t>
      </w:r>
    </w:p>
    <w:p>
      <w:pPr>
        <w:spacing w:after="120" w:line="264" w:lineRule="auto"/>
        <w:rPr>
          <w:rFonts w:cs="Times New Roman"/>
          <w:b/>
          <w:noProof/>
          <w:szCs w:val="24"/>
        </w:rPr>
      </w:pPr>
      <w:r>
        <w:rPr>
          <w:rFonts w:cs="Times New Roman"/>
          <w:noProof/>
          <w:szCs w:val="24"/>
        </w:rPr>
        <w:t>Also institutional investors (as insurance companies) including umbrella organisations like ILPA or LTIIA could play an important role in financing of social projects. It is also considered to reach out to non-European potential investors, e.g. those from Asia.</w:t>
      </w:r>
    </w:p>
    <w:p>
      <w:pPr>
        <w:spacing w:after="120" w:line="264" w:lineRule="auto"/>
        <w:rPr>
          <w:rFonts w:cs="Times New Roman"/>
          <w:b/>
          <w:noProof/>
          <w:szCs w:val="24"/>
        </w:rPr>
      </w:pPr>
      <w:r>
        <w:rPr>
          <w:rFonts w:cs="Times New Roman"/>
          <w:noProof/>
          <w:szCs w:val="24"/>
        </w:rPr>
        <w:t>Project promoters that already gained experience in the social field might bring forward their expertise also regarding feasible financing solutions.</w:t>
      </w:r>
    </w:p>
    <w:p>
      <w:pPr>
        <w:spacing w:after="120" w:line="264" w:lineRule="auto"/>
        <w:rPr>
          <w:rFonts w:cs="Times New Roman"/>
          <w:b/>
          <w:noProof/>
          <w:szCs w:val="24"/>
        </w:rPr>
      </w:pPr>
      <w:r>
        <w:rPr>
          <w:rFonts w:cs="Times New Roman"/>
          <w:noProof/>
          <w:szCs w:val="24"/>
        </w:rPr>
        <w:t>Further, foundations and philanthropic organisations could play a catalytic role in capacity building and market development in the social sector to achieve the critical mass needed to justify action at the EU level, further they could also act as investors in the social field. They are represented by organisations like DAFNE (European Network of Foundations’ and Donors’ Associations) and the European Foundation Centre (EFC) or EVPA.</w:t>
      </w:r>
    </w:p>
    <w:p>
      <w:pPr>
        <w:spacing w:after="120" w:line="264" w:lineRule="auto"/>
        <w:rPr>
          <w:rFonts w:cs="Times New Roman"/>
          <w:b/>
          <w:noProof/>
          <w:szCs w:val="24"/>
        </w:rPr>
      </w:pPr>
      <w:r>
        <w:rPr>
          <w:rFonts w:cs="Times New Roman"/>
          <w:noProof/>
          <w:szCs w:val="24"/>
        </w:rPr>
        <w:t xml:space="preserve">In addition, crowdfunding might become more important to provide financing in the social field; topical organisations are the European Crowdfunding Network (ECN) and European Equity Crowdfunding Association. </w:t>
      </w:r>
    </w:p>
    <w:p>
      <w:pPr>
        <w:spacing w:after="120" w:line="264" w:lineRule="auto"/>
        <w:rPr>
          <w:rFonts w:cs="Times New Roman"/>
          <w:noProof/>
          <w:szCs w:val="24"/>
        </w:rPr>
      </w:pPr>
      <w:r>
        <w:rPr>
          <w:rFonts w:cs="Times New Roman"/>
          <w:noProof/>
          <w:szCs w:val="24"/>
          <w:u w:val="single"/>
        </w:rPr>
        <w:t>Summary of role of stakeholders:</w:t>
      </w:r>
      <w:r>
        <w:rPr>
          <w:rFonts w:cs="Times New Roman"/>
          <w:noProof/>
          <w:szCs w:val="24"/>
        </w:rPr>
        <w:t xml:space="preserve"> Consultations can be undertaken in the context of idea development, data collection and financial product development including market testing, in terms of impact assessment, evaluations and setting up the legal base, for raising awareness and – importantly -as investors in projects and funds. They could also help in establishing of dedicated investment vehicles, capacity building and technical assistance.</w:t>
      </w:r>
    </w:p>
    <w:p>
      <w:pPr>
        <w:pStyle w:val="ListParagraph"/>
        <w:numPr>
          <w:ilvl w:val="0"/>
          <w:numId w:val="52"/>
        </w:numPr>
        <w:spacing w:before="240" w:line="264" w:lineRule="auto"/>
        <w:rPr>
          <w:rFonts w:cs="Times New Roman"/>
          <w:b/>
          <w:noProof/>
          <w:szCs w:val="24"/>
        </w:rPr>
      </w:pPr>
      <w:r>
        <w:rPr>
          <w:rFonts w:cs="Times New Roman"/>
          <w:b/>
          <w:noProof/>
          <w:szCs w:val="24"/>
        </w:rPr>
        <w:t xml:space="preserve">Final beneficiaries and target groups </w:t>
      </w:r>
    </w:p>
    <w:p>
      <w:pPr>
        <w:spacing w:before="240" w:line="264" w:lineRule="auto"/>
        <w:rPr>
          <w:rFonts w:cs="Times New Roman"/>
          <w:b/>
          <w:noProof/>
          <w:szCs w:val="24"/>
        </w:rPr>
      </w:pPr>
      <w:r>
        <w:rPr>
          <w:rFonts w:cs="Times New Roman"/>
          <w:noProof/>
          <w:szCs w:val="24"/>
        </w:rPr>
        <w:t xml:space="preserve">As the Social, Skills &amp; Human Capital window will encompass interventions in various sectors, a wide range of beneficiaries will be targeted. Firstly, the success of the EaSI instruments has demonstrated a strong need to continue supporting its target group: </w:t>
      </w:r>
    </w:p>
    <w:p>
      <w:pPr>
        <w:pStyle w:val="ListParagraph"/>
        <w:numPr>
          <w:ilvl w:val="0"/>
          <w:numId w:val="35"/>
        </w:numPr>
        <w:spacing w:before="240" w:line="264" w:lineRule="auto"/>
        <w:rPr>
          <w:rFonts w:cs="Times New Roman"/>
          <w:b/>
          <w:noProof/>
          <w:szCs w:val="24"/>
        </w:rPr>
      </w:pPr>
      <w:r>
        <w:rPr>
          <w:rFonts w:cs="Times New Roman"/>
          <w:noProof/>
          <w:szCs w:val="24"/>
        </w:rPr>
        <w:t>Disadvantaged and vulnerable persons e.g. unemployed, youth, elderly, homeless, migrants;</w:t>
      </w:r>
    </w:p>
    <w:p>
      <w:pPr>
        <w:pStyle w:val="ListParagraph"/>
        <w:numPr>
          <w:ilvl w:val="0"/>
          <w:numId w:val="35"/>
        </w:numPr>
        <w:spacing w:before="240" w:line="264" w:lineRule="auto"/>
        <w:rPr>
          <w:rFonts w:cs="Times New Roman"/>
          <w:b/>
          <w:noProof/>
          <w:szCs w:val="24"/>
        </w:rPr>
      </w:pPr>
      <w:r>
        <w:rPr>
          <w:rFonts w:cs="Times New Roman"/>
          <w:noProof/>
          <w:szCs w:val="24"/>
        </w:rPr>
        <w:t>Micro-enterprises, in particular those employing disadvantaged and vulnerable persons;</w:t>
      </w:r>
    </w:p>
    <w:p>
      <w:pPr>
        <w:pStyle w:val="ListParagraph"/>
        <w:numPr>
          <w:ilvl w:val="0"/>
          <w:numId w:val="35"/>
        </w:numPr>
        <w:spacing w:before="240" w:line="264" w:lineRule="auto"/>
        <w:rPr>
          <w:rFonts w:cs="Times New Roman"/>
          <w:b/>
          <w:noProof/>
          <w:szCs w:val="24"/>
        </w:rPr>
      </w:pPr>
      <w:r>
        <w:rPr>
          <w:rFonts w:cs="Times New Roman"/>
          <w:noProof/>
          <w:szCs w:val="24"/>
        </w:rPr>
        <w:t xml:space="preserve">Social enterprises, </w:t>
      </w:r>
    </w:p>
    <w:p>
      <w:pPr>
        <w:pStyle w:val="ListParagraph"/>
        <w:numPr>
          <w:ilvl w:val="0"/>
          <w:numId w:val="35"/>
        </w:numPr>
        <w:spacing w:before="240" w:line="264" w:lineRule="auto"/>
        <w:rPr>
          <w:rFonts w:cs="Times New Roman"/>
          <w:b/>
          <w:noProof/>
          <w:szCs w:val="24"/>
        </w:rPr>
      </w:pPr>
      <w:r>
        <w:rPr>
          <w:rFonts w:cs="Times New Roman"/>
          <w:noProof/>
          <w:szCs w:val="24"/>
        </w:rPr>
        <w:t xml:space="preserve">Associations, foundations, mutual and cooperatives. </w:t>
      </w:r>
    </w:p>
    <w:p>
      <w:pPr>
        <w:spacing w:after="120" w:line="264" w:lineRule="auto"/>
        <w:rPr>
          <w:rFonts w:cs="Times New Roman"/>
          <w:b/>
          <w:noProof/>
          <w:szCs w:val="24"/>
        </w:rPr>
      </w:pPr>
      <w:r>
        <w:rPr>
          <w:rFonts w:cs="Times New Roman"/>
          <w:noProof/>
          <w:szCs w:val="24"/>
        </w:rPr>
        <w:t>In this way, continuity will be provided and the Commission will build on the achievements of Progress Microfinance and EaSI. In order to implement the EU policy objectives in the social field, an extension to the scope of targeted beneficiaries beyond the EaSI groups, such as innovators, can be explored for the InvestEU legal base. For example, education and development of skills should be targeted since investment in education and training over the life course is crucial to ensure Europeans have the skills they need to find and maintain their place in the job market and society as a whole and to deliver essential social services (as is the case of healthcare workforce). The achievements and lessons learnt from the Erasmus+ Master loan scheme should be taken on board. In addition, the need for patient capital for these kinds of investments should be recognised.</w:t>
      </w:r>
    </w:p>
    <w:p>
      <w:pPr>
        <w:spacing w:after="120" w:line="264" w:lineRule="auto"/>
        <w:rPr>
          <w:rFonts w:cs="Times New Roman"/>
          <w:b/>
          <w:noProof/>
          <w:szCs w:val="24"/>
        </w:rPr>
      </w:pPr>
      <w:r>
        <w:rPr>
          <w:rFonts w:cs="Times New Roman"/>
          <w:noProof/>
          <w:szCs w:val="24"/>
        </w:rPr>
        <w:t xml:space="preserve">Given the integrated functioning of skills development and labour markets, the support via financial products (potentially complemented by grants or other types of support) could be provided for three main target groups: (i) companies; (ii) learners; (iii) the providers of education and training, with a role also for regional and national authorities in case where specific framework conditions would be required to effectively deploy education support or in cases where public authorities stand to benefit directly from a workforce with the right skill-mix. Therefore, it is proposed that a sufficiently integrated/coordinated approach is taken in designing the measures. </w:t>
      </w:r>
    </w:p>
    <w:p>
      <w:pPr>
        <w:spacing w:after="120" w:line="264" w:lineRule="auto"/>
        <w:rPr>
          <w:rFonts w:cs="Times New Roman"/>
          <w:b/>
          <w:noProof/>
          <w:szCs w:val="24"/>
        </w:rPr>
      </w:pPr>
      <w:r>
        <w:rPr>
          <w:rFonts w:cs="Times New Roman"/>
          <w:noProof/>
          <w:szCs w:val="24"/>
        </w:rPr>
        <w:t xml:space="preserve">This could be achieved through improved access to up-to-date educational and training offer (i.e. labour-market oriented education and training programmes) for students, apprentices, young and adult learners; through the support for education and training providers to upgrade their training offer and facilities as well as through the support for companies to provide training and apprenticeships placements as well as improve skills utilisation. </w:t>
      </w:r>
    </w:p>
    <w:p>
      <w:pPr>
        <w:spacing w:after="120" w:line="264" w:lineRule="auto"/>
        <w:rPr>
          <w:rFonts w:cs="Times New Roman"/>
          <w:b/>
          <w:noProof/>
          <w:szCs w:val="24"/>
        </w:rPr>
      </w:pPr>
      <w:r>
        <w:rPr>
          <w:rFonts w:cs="Times New Roman"/>
          <w:noProof/>
          <w:szCs w:val="24"/>
        </w:rPr>
        <w:t xml:space="preserve">In addition to the areas listed above, the Social, Skills &amp; Human Capital window will also encompass EU support in the different branches of the education sector where the potential targeted beneficiaries would be children, parents, teachers and school administrators as well as such as schools and childcare facilities. </w:t>
      </w:r>
    </w:p>
    <w:p>
      <w:pPr>
        <w:spacing w:after="120" w:line="264" w:lineRule="auto"/>
        <w:rPr>
          <w:rFonts w:cs="Times New Roman"/>
          <w:b/>
          <w:noProof/>
          <w:szCs w:val="24"/>
        </w:rPr>
      </w:pPr>
      <w:r>
        <w:rPr>
          <w:rFonts w:cs="Times New Roman"/>
          <w:noProof/>
          <w:szCs w:val="24"/>
        </w:rPr>
        <w:t xml:space="preserve">Investments in health will also be supported. The targeted beneficiaries will typically be: health authorities, health service providers, technology providers, healthcare professionals, patients, citizens. In the field of social infrastructure, the targeted beneficiaries could be project promoters, operators of buildings/facility managers, affordable housing providers, public-private partnerships. </w:t>
      </w:r>
    </w:p>
    <w:p>
      <w:pPr>
        <w:spacing w:after="120" w:line="264" w:lineRule="auto"/>
        <w:rPr>
          <w:rFonts w:cs="Times New Roman"/>
          <w:noProof/>
          <w:color w:val="1F497D"/>
          <w:szCs w:val="24"/>
        </w:rPr>
      </w:pPr>
      <w:r>
        <w:rPr>
          <w:rFonts w:cs="Times New Roman"/>
          <w:noProof/>
          <w:szCs w:val="24"/>
        </w:rPr>
        <w:t>As a crosscutting issue an advantage from EU-level action would be to stimulate the pan-European recognition of different business models by providing access to funding and proper capacity building with respect for their variety and characteristics. Consequently, InvestEU should be in a good position to connect existing social innovation and social economy networks and initiatives such as the social innovation platform and competition. This allows the InvestEU fund to create and channel its own access and enlarge its reach.</w:t>
      </w:r>
    </w:p>
    <w:p>
      <w:pPr>
        <w:spacing w:before="240" w:line="264" w:lineRule="auto"/>
        <w:rPr>
          <w:rFonts w:cs="Times New Roman"/>
          <w:noProof/>
          <w:color w:val="1F497D"/>
          <w:szCs w:val="24"/>
        </w:rPr>
        <w:sectPr>
          <w:headerReference w:type="even" r:id="rId106"/>
          <w:headerReference w:type="default" r:id="rId107"/>
          <w:footerReference w:type="even" r:id="rId108"/>
          <w:footerReference w:type="default" r:id="rId109"/>
          <w:headerReference w:type="first" r:id="rId110"/>
          <w:footerReference w:type="first" r:id="rId111"/>
          <w:pgSz w:w="11906" w:h="16838"/>
          <w:pgMar w:top="1134" w:right="1134" w:bottom="1134" w:left="1418" w:header="601" w:footer="1077" w:gutter="0"/>
          <w:cols w:space="720"/>
          <w:titlePg/>
          <w:docGrid w:linePitch="326"/>
        </w:sectPr>
      </w:pPr>
    </w:p>
    <w:p>
      <w:pPr>
        <w:pStyle w:val="Heading1"/>
        <w:numPr>
          <w:ilvl w:val="0"/>
          <w:numId w:val="0"/>
        </w:numPr>
        <w:spacing w:before="0" w:after="120" w:line="264" w:lineRule="auto"/>
        <w:ind w:left="432"/>
        <w:rPr>
          <w:noProof/>
          <w:szCs w:val="24"/>
        </w:rPr>
      </w:pPr>
      <w:bookmarkStart w:id="9305" w:name="_Toc510613016"/>
      <w:bookmarkStart w:id="9306" w:name="_Toc510683732"/>
      <w:bookmarkStart w:id="9307" w:name="_Toc509323910"/>
      <w:bookmarkStart w:id="9308" w:name="_Toc509327526"/>
      <w:bookmarkStart w:id="9309" w:name="_Toc509333068"/>
      <w:bookmarkStart w:id="9310" w:name="_Toc509338036"/>
      <w:bookmarkStart w:id="9311" w:name="_Toc510517873"/>
      <w:bookmarkStart w:id="9312" w:name="_Toc515348903"/>
      <w:bookmarkStart w:id="9313" w:name="_Toc509334739"/>
      <w:r>
        <w:rPr>
          <w:noProof/>
          <w:szCs w:val="24"/>
        </w:rPr>
        <w:t>Annex 5: List of Financial Instruments and EFSI</w:t>
      </w:r>
      <w:bookmarkEnd w:id="9305"/>
      <w:bookmarkEnd w:id="9306"/>
      <w:r>
        <w:rPr>
          <w:noProof/>
          <w:szCs w:val="24"/>
        </w:rPr>
        <w:t xml:space="preserve"> </w:t>
      </w:r>
      <w:bookmarkEnd w:id="9307"/>
      <w:bookmarkEnd w:id="9308"/>
      <w:bookmarkEnd w:id="9309"/>
      <w:bookmarkEnd w:id="9310"/>
      <w:bookmarkEnd w:id="9311"/>
      <w:r>
        <w:rPr>
          <w:noProof/>
          <w:szCs w:val="24"/>
        </w:rPr>
        <w:t>under the current MFF</w:t>
      </w:r>
      <w:bookmarkEnd w:id="9312"/>
      <w:r>
        <w:rPr>
          <w:noProof/>
          <w:szCs w:val="24"/>
        </w:rPr>
        <w:t xml:space="preserve"> </w:t>
      </w:r>
    </w:p>
    <w:tbl>
      <w:tblPr>
        <w:tblW w:w="14312" w:type="dxa"/>
        <w:tblInd w:w="113" w:type="dxa"/>
        <w:shd w:val="clear" w:color="auto" w:fill="FFFFFF" w:themeFill="background1"/>
        <w:tblLook w:val="04A0" w:firstRow="1" w:lastRow="0" w:firstColumn="1" w:lastColumn="0" w:noHBand="0" w:noVBand="1"/>
      </w:tblPr>
      <w:tblGrid>
        <w:gridCol w:w="1738"/>
        <w:gridCol w:w="1842"/>
        <w:gridCol w:w="2988"/>
        <w:gridCol w:w="993"/>
        <w:gridCol w:w="1365"/>
        <w:gridCol w:w="1701"/>
        <w:gridCol w:w="1984"/>
        <w:gridCol w:w="1701"/>
      </w:tblGrid>
      <w:tr>
        <w:trPr>
          <w:trHeight w:val="780"/>
          <w:tblHeader/>
        </w:trPr>
        <w:tc>
          <w:tcPr>
            <w:tcW w:w="1738" w:type="dxa"/>
            <w:tcBorders>
              <w:top w:val="single" w:sz="4" w:space="0" w:color="auto"/>
              <w:left w:val="single" w:sz="4" w:space="0" w:color="auto"/>
              <w:bottom w:val="single" w:sz="8" w:space="0" w:color="auto"/>
              <w:right w:val="single" w:sz="4" w:space="0" w:color="auto"/>
            </w:tcBorders>
            <w:shd w:val="clear" w:color="auto" w:fill="4F81BD" w:themeFill="accent1"/>
            <w:vAlign w:val="center"/>
            <w:hideMark/>
          </w:tcPr>
          <w:bookmarkEnd w:id="9297"/>
          <w:bookmarkEnd w:id="9298"/>
          <w:bookmarkEnd w:id="9299"/>
          <w:bookmarkEnd w:id="9300"/>
          <w:bookmarkEnd w:id="9301"/>
          <w:bookmarkEnd w:id="9302"/>
          <w:bookmarkEnd w:id="9313"/>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Investment focus</w:t>
            </w:r>
          </w:p>
        </w:tc>
        <w:tc>
          <w:tcPr>
            <w:tcW w:w="1842"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Programme</w:t>
            </w:r>
          </w:p>
        </w:tc>
        <w:tc>
          <w:tcPr>
            <w:tcW w:w="2988"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Budgetary Guarantee/Financial instrument</w:t>
            </w:r>
          </w:p>
        </w:tc>
        <w:tc>
          <w:tcPr>
            <w:tcW w:w="993"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DG in charge</w:t>
            </w:r>
          </w:p>
        </w:tc>
        <w:tc>
          <w:tcPr>
            <w:tcW w:w="1365"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Manager</w:t>
            </w:r>
          </w:p>
        </w:tc>
        <w:tc>
          <w:tcPr>
            <w:tcW w:w="1701"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Overall budget envelope</w:t>
            </w:r>
            <w:r>
              <w:rPr>
                <w:rFonts w:eastAsia="Times New Roman" w:cs="Times New Roman"/>
                <w:b/>
                <w:bCs/>
                <w:noProof/>
                <w:color w:val="FFFFFF"/>
                <w:sz w:val="22"/>
                <w:lang w:eastAsia="en-GB"/>
              </w:rPr>
              <w:br/>
              <w:t>(EUR m)</w:t>
            </w:r>
          </w:p>
        </w:tc>
        <w:tc>
          <w:tcPr>
            <w:tcW w:w="1984"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Total commitments (as of end 2016) (EUR m)*</w:t>
            </w:r>
          </w:p>
        </w:tc>
        <w:tc>
          <w:tcPr>
            <w:tcW w:w="1701" w:type="dxa"/>
            <w:tcBorders>
              <w:top w:val="single" w:sz="4" w:space="0" w:color="auto"/>
              <w:left w:val="nil"/>
              <w:bottom w:val="single" w:sz="8" w:space="0" w:color="auto"/>
              <w:right w:val="single" w:sz="4" w:space="0" w:color="auto"/>
            </w:tcBorders>
            <w:shd w:val="clear" w:color="auto" w:fill="4F81BD" w:themeFill="accent1"/>
            <w:vAlign w:val="center"/>
            <w:hideMark/>
          </w:tcPr>
          <w:p>
            <w:pPr>
              <w:spacing w:after="0" w:line="264" w:lineRule="auto"/>
              <w:contextualSpacing/>
              <w:jc w:val="center"/>
              <w:rPr>
                <w:rFonts w:eastAsia="Times New Roman" w:cs="Times New Roman"/>
                <w:b/>
                <w:bCs/>
                <w:noProof/>
                <w:color w:val="FFFFFF"/>
                <w:sz w:val="22"/>
                <w:lang w:eastAsia="en-GB"/>
              </w:rPr>
            </w:pPr>
            <w:r>
              <w:rPr>
                <w:rFonts w:eastAsia="Times New Roman" w:cs="Times New Roman"/>
                <w:b/>
                <w:bCs/>
                <w:noProof/>
                <w:color w:val="FFFFFF"/>
                <w:sz w:val="22"/>
                <w:lang w:eastAsia="en-GB"/>
              </w:rPr>
              <w:t>Target Investment to be mobilised</w:t>
            </w:r>
            <w:r>
              <w:rPr>
                <w:rFonts w:eastAsia="Times New Roman" w:cs="Times New Roman"/>
                <w:b/>
                <w:bCs/>
                <w:noProof/>
                <w:color w:val="FFFFFF"/>
                <w:sz w:val="22"/>
                <w:lang w:eastAsia="en-GB"/>
              </w:rPr>
              <w:br/>
              <w:t>in EUR m)*</w:t>
            </w:r>
          </w:p>
        </w:tc>
      </w:tr>
      <w:tr>
        <w:trPr>
          <w:trHeight w:val="326"/>
        </w:trPr>
        <w:tc>
          <w:tcPr>
            <w:tcW w:w="173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Infrastructure and Innovation &amp; SME - demand driven support</w:t>
            </w: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EFSI 2.0</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Infrastructure and Innovation Window</w:t>
            </w:r>
          </w:p>
        </w:tc>
        <w:tc>
          <w:tcPr>
            <w:tcW w:w="993"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ECFIN</w:t>
            </w:r>
          </w:p>
        </w:tc>
        <w:tc>
          <w:tcPr>
            <w:tcW w:w="1365"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EIB</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6.825</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6.113,00</w:t>
            </w:r>
          </w:p>
        </w:tc>
        <w:tc>
          <w:tcPr>
            <w:tcW w:w="1701"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375.000</w:t>
            </w:r>
          </w:p>
        </w:tc>
      </w:tr>
      <w:tr>
        <w:trPr>
          <w:trHeight w:val="271"/>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SME Window</w:t>
            </w: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2.275</w:t>
            </w: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125.000</w:t>
            </w:r>
          </w:p>
        </w:tc>
      </w:tr>
      <w:tr>
        <w:trPr>
          <w:trHeight w:val="450"/>
        </w:trPr>
        <w:tc>
          <w:tcPr>
            <w:tcW w:w="1738" w:type="dxa"/>
            <w:vMerge w:val="restart"/>
            <w:tcBorders>
              <w:top w:val="nil"/>
              <w:left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Competitiveness, innovation, and, support for SMEs</w:t>
            </w:r>
          </w:p>
          <w:p>
            <w:pPr>
              <w:spacing w:after="0" w:line="264" w:lineRule="auto"/>
              <w:contextualSpacing/>
              <w:rPr>
                <w:rFonts w:eastAsia="Times New Roman" w:cs="Times New Roman"/>
                <w:noProof/>
                <w:sz w:val="22"/>
                <w:lang w:eastAsia="en-GB"/>
              </w:rPr>
            </w:pP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COSME</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Equity facility for Growth under COSME-EFG</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GROW</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490,00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172,90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2.450</w:t>
            </w:r>
          </w:p>
        </w:tc>
      </w:tr>
      <w:tr>
        <w:trPr>
          <w:trHeight w:val="300"/>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Loan Guarantee Facility under COSME</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GROW</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970,00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375,50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24.250</w:t>
            </w:r>
          </w:p>
        </w:tc>
      </w:tr>
      <w:tr>
        <w:trPr>
          <w:trHeight w:val="362"/>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Horizon 2020</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InnovFin Equity - risk finance for investing R&amp;I</w:t>
            </w:r>
          </w:p>
        </w:tc>
        <w:tc>
          <w:tcPr>
            <w:tcW w:w="993"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RTD</w:t>
            </w:r>
          </w:p>
        </w:tc>
        <w:tc>
          <w:tcPr>
            <w:tcW w:w="136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495,00</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256,10</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2.970</w:t>
            </w:r>
          </w:p>
        </w:tc>
      </w:tr>
      <w:tr>
        <w:trPr>
          <w:trHeight w:val="410"/>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InnovFin Equity - leadership in ICT</w:t>
            </w: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r>
      <w:tr>
        <w:trPr>
          <w:trHeight w:val="416"/>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InnovFin Equity - microfinance and social entrepreneurship</w:t>
            </w: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r>
      <w:tr>
        <w:trPr>
          <w:trHeight w:val="422"/>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InnovFin SME and Small Mid-caps R&amp;I Loans service (InnovFin SME guarantee)</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RTD</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1.060,00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534,50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9.540</w:t>
            </w:r>
          </w:p>
        </w:tc>
      </w:tr>
      <w:tr>
        <w:trPr>
          <w:trHeight w:val="465"/>
        </w:trPr>
        <w:tc>
          <w:tcPr>
            <w:tcW w:w="1738" w:type="dxa"/>
            <w:vMerge/>
            <w:tcBorders>
              <w:left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 xml:space="preserve">InnovFin Loan Services for R&amp;I Facility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RTD</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EIB</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1.060,00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796,00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13.250</w:t>
            </w:r>
          </w:p>
        </w:tc>
      </w:tr>
      <w:tr>
        <w:trPr>
          <w:trHeight w:val="465"/>
        </w:trPr>
        <w:tc>
          <w:tcPr>
            <w:tcW w:w="1738" w:type="dxa"/>
            <w:vMerge/>
            <w:tcBorders>
              <w:left w:val="single" w:sz="4" w:space="0" w:color="auto"/>
              <w:bottom w:val="single" w:sz="4" w:space="0" w:color="000000"/>
              <w:right w:val="single" w:sz="4" w:space="0" w:color="auto"/>
            </w:tcBorders>
            <w:shd w:val="clear" w:color="auto" w:fill="FFFFFF" w:themeFill="background1"/>
            <w:vAlign w:val="center"/>
          </w:tcPr>
          <w:p>
            <w:pPr>
              <w:spacing w:after="0" w:line="264" w:lineRule="auto"/>
              <w:contextualSpacing/>
              <w:rPr>
                <w:rFonts w:eastAsia="Times New Roman" w:cs="Times New Roman"/>
                <w:noProof/>
                <w:sz w:val="22"/>
                <w:lang w:eastAsia="en-GB"/>
              </w:rPr>
            </w:pPr>
          </w:p>
        </w:tc>
        <w:tc>
          <w:tcPr>
            <w:tcW w:w="1842" w:type="dxa"/>
            <w:tcBorders>
              <w:top w:val="nil"/>
              <w:left w:val="single" w:sz="4" w:space="0" w:color="auto"/>
              <w:bottom w:val="single" w:sz="4" w:space="0" w:color="000000"/>
              <w:right w:val="single" w:sz="4" w:space="0" w:color="auto"/>
            </w:tcBorders>
            <w:shd w:val="clear" w:color="auto" w:fill="FFFFFF" w:themeFill="background1"/>
            <w:vAlign w:val="center"/>
          </w:tcPr>
          <w:p>
            <w:pPr>
              <w:spacing w:after="0" w:line="264" w:lineRule="auto"/>
              <w:contextualSpacing/>
              <w:rPr>
                <w:rFonts w:eastAsia="Times New Roman" w:cs="Times New Roman"/>
                <w:b/>
                <w:bCs/>
                <w:noProof/>
                <w:sz w:val="22"/>
                <w:lang w:eastAsia="en-GB"/>
              </w:rPr>
            </w:pPr>
            <w:r>
              <w:rPr>
                <w:rFonts w:eastAsia="Times New Roman" w:cs="Times New Roman"/>
                <w:b/>
                <w:bCs/>
                <w:noProof/>
                <w:sz w:val="22"/>
                <w:lang w:eastAsia="en-GB"/>
              </w:rPr>
              <w:t>SME Initiative</w:t>
            </w:r>
          </w:p>
        </w:tc>
        <w:tc>
          <w:tcPr>
            <w:tcW w:w="2988" w:type="dxa"/>
            <w:tcBorders>
              <w:top w:val="nil"/>
              <w:left w:val="nil"/>
              <w:bottom w:val="single" w:sz="4" w:space="0" w:color="auto"/>
              <w:right w:val="single" w:sz="4" w:space="0" w:color="auto"/>
            </w:tcBorders>
            <w:shd w:val="clear" w:color="auto" w:fill="FFFFFF" w:themeFill="background1"/>
            <w:vAlign w:val="center"/>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Contributions from Horizon2020 and COSME</w:t>
            </w:r>
          </w:p>
        </w:tc>
        <w:tc>
          <w:tcPr>
            <w:tcW w:w="993" w:type="dxa"/>
            <w:tcBorders>
              <w:top w:val="nil"/>
              <w:left w:val="nil"/>
              <w:bottom w:val="single" w:sz="4" w:space="0" w:color="auto"/>
              <w:right w:val="single" w:sz="4" w:space="0" w:color="auto"/>
            </w:tcBorders>
            <w:shd w:val="clear" w:color="auto" w:fill="FFFFFF" w:themeFill="background1"/>
            <w:noWrap/>
            <w:vAlign w:val="center"/>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NA</w:t>
            </w:r>
          </w:p>
        </w:tc>
        <w:tc>
          <w:tcPr>
            <w:tcW w:w="1365" w:type="dxa"/>
            <w:tcBorders>
              <w:top w:val="nil"/>
              <w:left w:val="nil"/>
              <w:bottom w:val="single" w:sz="4" w:space="0" w:color="auto"/>
              <w:right w:val="single" w:sz="4" w:space="0" w:color="auto"/>
            </w:tcBorders>
            <w:shd w:val="clear" w:color="auto" w:fill="FFFFFF" w:themeFill="background1"/>
            <w:noWrap/>
            <w:vAlign w:val="center"/>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175,00</w:t>
            </w:r>
          </w:p>
        </w:tc>
        <w:tc>
          <w:tcPr>
            <w:tcW w:w="1984" w:type="dxa"/>
            <w:tcBorders>
              <w:top w:val="nil"/>
              <w:left w:val="nil"/>
              <w:bottom w:val="single" w:sz="4" w:space="0" w:color="auto"/>
              <w:right w:val="single" w:sz="4" w:space="0" w:color="auto"/>
            </w:tcBorders>
            <w:shd w:val="clear" w:color="auto" w:fill="FFFFFF" w:themeFill="background1"/>
            <w:noWrap/>
            <w:vAlign w:val="center"/>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23.3</w:t>
            </w:r>
          </w:p>
        </w:tc>
        <w:tc>
          <w:tcPr>
            <w:tcW w:w="1701" w:type="dxa"/>
            <w:tcBorders>
              <w:top w:val="nil"/>
              <w:left w:val="nil"/>
              <w:bottom w:val="single" w:sz="4" w:space="0" w:color="auto"/>
              <w:right w:val="single" w:sz="4" w:space="0" w:color="auto"/>
            </w:tcBorders>
            <w:shd w:val="clear" w:color="auto" w:fill="FFFFFF" w:themeFill="background1"/>
            <w:noWrap/>
            <w:vAlign w:val="center"/>
          </w:tcPr>
          <w:p>
            <w:pPr>
              <w:spacing w:after="0" w:line="264" w:lineRule="auto"/>
              <w:contextualSpacing/>
              <w:jc w:val="center"/>
              <w:rPr>
                <w:rFonts w:eastAsia="Times New Roman" w:cs="Times New Roman"/>
                <w:noProof/>
                <w:sz w:val="22"/>
                <w:lang w:eastAsia="en-GB"/>
              </w:rPr>
            </w:pPr>
          </w:p>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875</w:t>
            </w:r>
          </w:p>
          <w:p>
            <w:pPr>
              <w:spacing w:after="0" w:line="264" w:lineRule="auto"/>
              <w:contextualSpacing/>
              <w:rPr>
                <w:rFonts w:eastAsia="Times New Roman" w:cs="Times New Roman"/>
                <w:noProof/>
                <w:sz w:val="22"/>
                <w:lang w:eastAsia="en-GB"/>
              </w:rPr>
            </w:pPr>
          </w:p>
          <w:p>
            <w:pPr>
              <w:spacing w:after="0" w:line="264" w:lineRule="auto"/>
              <w:contextualSpacing/>
              <w:jc w:val="center"/>
              <w:rPr>
                <w:rFonts w:eastAsia="Times New Roman" w:cs="Times New Roman"/>
                <w:noProof/>
                <w:sz w:val="22"/>
                <w:lang w:eastAsia="en-GB"/>
              </w:rPr>
            </w:pPr>
          </w:p>
        </w:tc>
      </w:tr>
      <w:tr>
        <w:trPr>
          <w:trHeight w:val="345"/>
        </w:trPr>
        <w:tc>
          <w:tcPr>
            <w:tcW w:w="173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Infrastructure, energy, and climate action</w:t>
            </w:r>
          </w:p>
        </w:tc>
        <w:tc>
          <w:tcPr>
            <w:tcW w:w="1842" w:type="dxa"/>
            <w:vMerge w:val="restart"/>
            <w:tcBorders>
              <w:top w:val="nil"/>
              <w:left w:val="single" w:sz="4" w:space="0" w:color="auto"/>
              <w:bottom w:val="nil"/>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Connecting Europe Facility (CEF)</w:t>
            </w:r>
          </w:p>
        </w:tc>
        <w:tc>
          <w:tcPr>
            <w:tcW w:w="298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CEF Equity instrument</w:t>
            </w:r>
          </w:p>
        </w:tc>
        <w:tc>
          <w:tcPr>
            <w:tcW w:w="993"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CNECT</w:t>
            </w:r>
          </w:p>
        </w:tc>
        <w:tc>
          <w:tcPr>
            <w:tcW w:w="1365"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Direct Management</w:t>
            </w:r>
          </w:p>
        </w:tc>
        <w:tc>
          <w:tcPr>
            <w:tcW w:w="1701" w:type="dxa"/>
            <w:vMerge w:val="restart"/>
            <w:tcBorders>
              <w:top w:val="nil"/>
              <w:left w:val="single" w:sz="4" w:space="0" w:color="auto"/>
              <w:bottom w:val="nil"/>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500</w:t>
            </w:r>
          </w:p>
        </w:tc>
        <w:tc>
          <w:tcPr>
            <w:tcW w:w="198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100,00</w:t>
            </w:r>
          </w:p>
        </w:tc>
        <w:tc>
          <w:tcPr>
            <w:tcW w:w="170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750,00</w:t>
            </w:r>
          </w:p>
        </w:tc>
      </w:tr>
      <w:tr>
        <w:trPr>
          <w:trHeight w:val="345"/>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nil"/>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nil"/>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vMerge/>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r>
      <w:tr>
        <w:trPr>
          <w:trHeight w:val="540"/>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CEF Risk Sharing Debt Instrument</w:t>
            </w:r>
          </w:p>
        </w:tc>
        <w:tc>
          <w:tcPr>
            <w:tcW w:w="993"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MOVE, ENER, CNECT</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EIB</w:t>
            </w: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400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4.200</w:t>
            </w:r>
          </w:p>
        </w:tc>
      </w:tr>
      <w:tr>
        <w:trPr>
          <w:trHeight w:val="345"/>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Environment and Climate Action (LIFE)</w:t>
            </w:r>
          </w:p>
        </w:tc>
        <w:tc>
          <w:tcPr>
            <w:tcW w:w="298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PF4EE</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CLIMA</w:t>
            </w: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EIB</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155,00</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70,00</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1.240</w:t>
            </w:r>
          </w:p>
        </w:tc>
      </w:tr>
      <w:tr>
        <w:trPr>
          <w:trHeight w:val="345"/>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r>
      <w:tr>
        <w:trPr>
          <w:trHeight w:val="345"/>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NCFF</w:t>
            </w:r>
          </w:p>
        </w:tc>
        <w:tc>
          <w:tcPr>
            <w:tcW w:w="993"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ENV</w:t>
            </w:r>
          </w:p>
        </w:tc>
        <w:tc>
          <w:tcPr>
            <w:tcW w:w="136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EIB</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60,00</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50,00</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180</w:t>
            </w:r>
          </w:p>
        </w:tc>
      </w:tr>
      <w:tr>
        <w:trPr>
          <w:trHeight w:val="345"/>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99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36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r>
      <w:tr>
        <w:trPr>
          <w:trHeight w:val="300"/>
        </w:trPr>
        <w:tc>
          <w:tcPr>
            <w:tcW w:w="173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Employment and social innovation</w:t>
            </w: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Employment and Social Innovation ("EaSI")</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 xml:space="preserve">EaSI Capacity Building Investments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EMPL</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16,00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12,70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32</w:t>
            </w:r>
          </w:p>
        </w:tc>
      </w:tr>
      <w:tr>
        <w:trPr>
          <w:trHeight w:val="450"/>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b/>
                <w:bCs/>
                <w:noProof/>
                <w:sz w:val="22"/>
                <w:lang w:eastAsia="en-GB"/>
              </w:rPr>
            </w:pP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EaSI Microfinance and Social Enterprise Guarantees</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EMPL</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96,00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68,80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528</w:t>
            </w:r>
          </w:p>
        </w:tc>
      </w:tr>
      <w:tr>
        <w:trPr>
          <w:trHeight w:val="600"/>
        </w:trPr>
        <w:tc>
          <w:tcPr>
            <w:tcW w:w="1738"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Education and culture</w:t>
            </w:r>
          </w:p>
        </w:tc>
        <w:tc>
          <w:tcPr>
            <w:tcW w:w="1842"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Erasmus+: education, training, youth and sport</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Student Loan Guarantee Facility</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EAC</w:t>
            </w:r>
          </w:p>
        </w:tc>
        <w:tc>
          <w:tcPr>
            <w:tcW w:w="1365"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221,00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115,70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1.260</w:t>
            </w:r>
          </w:p>
        </w:tc>
      </w:tr>
      <w:tr>
        <w:trPr>
          <w:trHeight w:val="690"/>
        </w:trPr>
        <w:tc>
          <w:tcPr>
            <w:tcW w:w="173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p>
        </w:tc>
        <w:tc>
          <w:tcPr>
            <w:tcW w:w="1842"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Creative Europe Programme</w:t>
            </w:r>
          </w:p>
        </w:tc>
        <w:tc>
          <w:tcPr>
            <w:tcW w:w="2988" w:type="dxa"/>
            <w:tcBorders>
              <w:top w:val="nil"/>
              <w:left w:val="nil"/>
              <w:bottom w:val="single" w:sz="4" w:space="0" w:color="auto"/>
              <w:right w:val="single" w:sz="4" w:space="0" w:color="auto"/>
            </w:tcBorders>
            <w:shd w:val="clear" w:color="auto" w:fill="FFFFFF" w:themeFill="background1"/>
            <w:vAlign w:val="center"/>
            <w:hideMark/>
          </w:tcPr>
          <w:p>
            <w:pPr>
              <w:spacing w:after="0" w:line="264" w:lineRule="auto"/>
              <w:contextualSpacing/>
              <w:rPr>
                <w:rFonts w:eastAsia="Times New Roman" w:cs="Times New Roman"/>
                <w:noProof/>
                <w:sz w:val="22"/>
                <w:lang w:eastAsia="en-GB"/>
              </w:rPr>
            </w:pPr>
            <w:r>
              <w:rPr>
                <w:rFonts w:eastAsia="Times New Roman" w:cs="Times New Roman"/>
                <w:noProof/>
                <w:sz w:val="22"/>
                <w:lang w:eastAsia="en-GB"/>
              </w:rPr>
              <w:t>Cultural and creative sectors Guarantee Facility CCSG</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CNECT, EAC</w:t>
            </w:r>
          </w:p>
        </w:tc>
        <w:tc>
          <w:tcPr>
            <w:tcW w:w="1365" w:type="dxa"/>
            <w:tcBorders>
              <w:top w:val="nil"/>
              <w:left w:val="nil"/>
              <w:bottom w:val="nil"/>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EIF</w:t>
            </w:r>
          </w:p>
        </w:tc>
        <w:tc>
          <w:tcPr>
            <w:tcW w:w="1701" w:type="dxa"/>
            <w:tcBorders>
              <w:top w:val="nil"/>
              <w:left w:val="nil"/>
              <w:bottom w:val="nil"/>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123,00</w:t>
            </w:r>
          </w:p>
        </w:tc>
        <w:tc>
          <w:tcPr>
            <w:tcW w:w="1984" w:type="dxa"/>
            <w:tcBorders>
              <w:top w:val="nil"/>
              <w:left w:val="nil"/>
              <w:bottom w:val="nil"/>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14,80</w:t>
            </w:r>
          </w:p>
        </w:tc>
        <w:tc>
          <w:tcPr>
            <w:tcW w:w="1701" w:type="dxa"/>
            <w:tcBorders>
              <w:top w:val="nil"/>
              <w:left w:val="nil"/>
              <w:bottom w:val="nil"/>
              <w:right w:val="single" w:sz="4" w:space="0" w:color="auto"/>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r>
              <w:rPr>
                <w:rFonts w:eastAsia="Times New Roman" w:cs="Times New Roman"/>
                <w:noProof/>
                <w:sz w:val="22"/>
                <w:lang w:eastAsia="en-GB"/>
              </w:rPr>
              <w:t>701</w:t>
            </w:r>
          </w:p>
        </w:tc>
      </w:tr>
      <w:tr>
        <w:trPr>
          <w:trHeight w:val="420"/>
        </w:trPr>
        <w:tc>
          <w:tcPr>
            <w:tcW w:w="1738" w:type="dxa"/>
            <w:tcBorders>
              <w:top w:val="nil"/>
              <w:left w:val="nil"/>
              <w:bottom w:val="nil"/>
              <w:right w:val="nil"/>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p>
        </w:tc>
        <w:tc>
          <w:tcPr>
            <w:tcW w:w="1842" w:type="dxa"/>
            <w:tcBorders>
              <w:top w:val="nil"/>
              <w:left w:val="nil"/>
              <w:bottom w:val="nil"/>
              <w:right w:val="nil"/>
            </w:tcBorders>
            <w:shd w:val="clear" w:color="auto" w:fill="FFFFFF" w:themeFill="background1"/>
            <w:noWrap/>
            <w:vAlign w:val="center"/>
            <w:hideMark/>
          </w:tcPr>
          <w:p>
            <w:pPr>
              <w:spacing w:after="0" w:line="264" w:lineRule="auto"/>
              <w:contextualSpacing/>
              <w:jc w:val="center"/>
              <w:rPr>
                <w:rFonts w:eastAsia="Times New Roman" w:cs="Times New Roman"/>
                <w:noProof/>
                <w:sz w:val="22"/>
                <w:lang w:eastAsia="en-GB"/>
              </w:rPr>
            </w:pPr>
          </w:p>
        </w:tc>
        <w:tc>
          <w:tcPr>
            <w:tcW w:w="2988" w:type="dxa"/>
            <w:tcBorders>
              <w:top w:val="nil"/>
              <w:left w:val="nil"/>
              <w:bottom w:val="nil"/>
              <w:right w:val="nil"/>
            </w:tcBorders>
            <w:shd w:val="clear" w:color="auto" w:fill="FFFFFF" w:themeFill="background1"/>
            <w:vAlign w:val="center"/>
            <w:hideMark/>
          </w:tcPr>
          <w:p>
            <w:pPr>
              <w:spacing w:after="0" w:line="264" w:lineRule="auto"/>
              <w:contextualSpacing/>
              <w:jc w:val="center"/>
              <w:rPr>
                <w:rFonts w:eastAsia="Times New Roman" w:cs="Times New Roman"/>
                <w:noProof/>
                <w:sz w:val="22"/>
                <w:lang w:eastAsia="en-GB"/>
              </w:rPr>
            </w:pPr>
          </w:p>
        </w:tc>
        <w:tc>
          <w:tcPr>
            <w:tcW w:w="993" w:type="dxa"/>
            <w:tcBorders>
              <w:top w:val="nil"/>
              <w:left w:val="nil"/>
              <w:bottom w:val="nil"/>
              <w:right w:val="nil"/>
            </w:tcBorders>
            <w:shd w:val="clear" w:color="auto" w:fill="FFFFFF" w:themeFill="background1"/>
            <w:noWrap/>
            <w:vAlign w:val="center"/>
            <w:hideMark/>
          </w:tcPr>
          <w:p>
            <w:pPr>
              <w:spacing w:after="0" w:line="264" w:lineRule="auto"/>
              <w:contextualSpacing/>
              <w:rPr>
                <w:rFonts w:eastAsia="Times New Roman" w:cs="Times New Roman"/>
                <w:noProof/>
                <w:sz w:val="22"/>
                <w:lang w:eastAsia="en-GB"/>
              </w:rPr>
            </w:pPr>
          </w:p>
        </w:tc>
        <w:tc>
          <w:tcPr>
            <w:tcW w:w="1365"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Total</w:t>
            </w:r>
          </w:p>
        </w:tc>
        <w:tc>
          <w:tcPr>
            <w:tcW w:w="1701" w:type="dxa"/>
            <w:tcBorders>
              <w:top w:val="single" w:sz="8" w:space="0" w:color="auto"/>
              <w:left w:val="nil"/>
              <w:bottom w:val="single" w:sz="8" w:space="0" w:color="auto"/>
              <w:right w:val="nil"/>
            </w:tcBorders>
            <w:shd w:val="clear" w:color="auto" w:fill="FFFFFF" w:themeFill="background1"/>
            <w:noWrap/>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14.521</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9.080</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hideMark/>
          </w:tcPr>
          <w:p>
            <w:pPr>
              <w:spacing w:after="0" w:line="264" w:lineRule="auto"/>
              <w:contextualSpacing/>
              <w:jc w:val="center"/>
              <w:rPr>
                <w:rFonts w:eastAsia="Times New Roman" w:cs="Times New Roman"/>
                <w:b/>
                <w:bCs/>
                <w:noProof/>
                <w:sz w:val="22"/>
                <w:lang w:eastAsia="en-GB"/>
              </w:rPr>
            </w:pPr>
            <w:r>
              <w:rPr>
                <w:rFonts w:eastAsia="Times New Roman" w:cs="Times New Roman"/>
                <w:b/>
                <w:bCs/>
                <w:noProof/>
                <w:sz w:val="22"/>
                <w:lang w:eastAsia="en-GB"/>
              </w:rPr>
              <w:t>562.226</w:t>
            </w:r>
          </w:p>
        </w:tc>
      </w:tr>
    </w:tbl>
    <w:p>
      <w:pPr>
        <w:spacing w:after="200" w:line="264" w:lineRule="auto"/>
        <w:jc w:val="left"/>
        <w:rPr>
          <w:rFonts w:eastAsia="Times New Roman" w:cs="Times New Roman"/>
          <w:noProof/>
          <w:szCs w:val="24"/>
        </w:rPr>
        <w:sectPr>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418" w:right="1134" w:bottom="1134" w:left="1134" w:header="601" w:footer="1077" w:gutter="0"/>
          <w:cols w:space="720"/>
          <w:titlePg/>
          <w:docGrid w:linePitch="326"/>
        </w:sectPr>
      </w:pPr>
      <w:r>
        <w:rPr>
          <w:rFonts w:cs="Times New Roman"/>
          <w:noProof/>
          <w:szCs w:val="24"/>
        </w:rPr>
        <w:t>* Total commitments are based on Article 140.8 Report as of 31 December 2016. Investment mobilised for Financial Instruments is calculated based on the target multiplier indicated in Article 140.8 Report.</w:t>
      </w:r>
    </w:p>
    <w:p>
      <w:pPr>
        <w:pStyle w:val="Heading1"/>
        <w:numPr>
          <w:ilvl w:val="0"/>
          <w:numId w:val="0"/>
        </w:numPr>
        <w:spacing w:before="0" w:after="120" w:line="264" w:lineRule="auto"/>
        <w:ind w:left="432"/>
        <w:rPr>
          <w:noProof/>
          <w:szCs w:val="24"/>
        </w:rPr>
      </w:pPr>
      <w:bookmarkStart w:id="9314" w:name="_Toc510613017"/>
      <w:bookmarkStart w:id="9315" w:name="_Toc510683733"/>
      <w:bookmarkStart w:id="9316" w:name="_Toc515348904"/>
      <w:bookmarkStart w:id="9317" w:name="_Toc509323911"/>
      <w:bookmarkStart w:id="9318" w:name="_Toc509327527"/>
      <w:bookmarkStart w:id="9319" w:name="_Toc509333069"/>
      <w:bookmarkStart w:id="9320" w:name="_Toc509338037"/>
      <w:bookmarkStart w:id="9321" w:name="_Toc510517874"/>
      <w:bookmarkStart w:id="9322" w:name="_Toc508724951"/>
      <w:bookmarkStart w:id="9323" w:name="_Toc508733494"/>
      <w:bookmarkStart w:id="9324" w:name="_Toc508735127"/>
      <w:bookmarkStart w:id="9325" w:name="_Toc508809750"/>
      <w:bookmarkStart w:id="9326" w:name="_Toc509069285"/>
      <w:bookmarkStart w:id="9327" w:name="_Toc509313304"/>
      <w:bookmarkStart w:id="9328" w:name="_Toc509334740"/>
      <w:r>
        <w:rPr>
          <w:noProof/>
          <w:szCs w:val="24"/>
        </w:rPr>
        <w:t>Annex 6: Technical Assistance</w:t>
      </w:r>
      <w:bookmarkEnd w:id="9314"/>
      <w:bookmarkEnd w:id="9315"/>
      <w:bookmarkEnd w:id="9316"/>
    </w:p>
    <w:p>
      <w:pPr>
        <w:spacing w:after="120" w:line="264" w:lineRule="auto"/>
        <w:rPr>
          <w:rFonts w:cs="Times New Roman"/>
          <w:i/>
          <w:noProof/>
          <w:szCs w:val="24"/>
          <w:u w:val="single"/>
        </w:rPr>
      </w:pPr>
      <w:r>
        <w:rPr>
          <w:rFonts w:cs="Times New Roman"/>
          <w:i/>
          <w:noProof/>
          <w:szCs w:val="24"/>
          <w:u w:val="single"/>
        </w:rPr>
        <w:t>Existing TA initiatives: Commonalities and differences</w:t>
      </w:r>
    </w:p>
    <w:p>
      <w:pPr>
        <w:spacing w:line="264" w:lineRule="auto"/>
        <w:rPr>
          <w:rFonts w:cs="Times New Roman"/>
          <w:noProof/>
          <w:szCs w:val="24"/>
        </w:rPr>
      </w:pPr>
      <w:r>
        <w:rPr>
          <w:rFonts w:cs="Times New Roman"/>
          <w:noProof/>
          <w:szCs w:val="24"/>
        </w:rPr>
        <w:t xml:space="preserve">Most EU advisory services focused on investment are currently delivered through the EIB and cover a wide range of EU policy objectives. In some cases, the Commission builds synergies in order to optimise the use of existing TA services for different policy objectives. For example, ELENA expanded from energy efficiency to cover also innovative urban mobility. Likewise, JASPERS was used not only to cover the preparation of projects under ESIF but also to support the preparation of CEF transport projects. Most of the Technical Assistance is targeting final beneficiaries in all Member States, in particular but not exclusively supporting public project developers. </w:t>
      </w:r>
    </w:p>
    <w:p>
      <w:pPr>
        <w:spacing w:line="264" w:lineRule="auto"/>
        <w:rPr>
          <w:rFonts w:cs="Times New Roman"/>
          <w:noProof/>
          <w:szCs w:val="24"/>
        </w:rPr>
      </w:pPr>
      <w:r>
        <w:rPr>
          <w:rFonts w:cs="Times New Roman"/>
          <w:noProof/>
          <w:szCs w:val="24"/>
        </w:rPr>
        <w:t>Initiatives for Investment support available at EU level differs in terms of size, coverage, provider of the assistance, delivery mode, application of the FAFA provisions and the pricing to final beneficiaries. The size of the initiatives ranges from very small initiatives (pilots) to well established ones. Some of the TA available has been put in place to underpin the deployment of innovative financing instruments and test the market's response. Some other TA services are already at a mature stage and clearly known by the beneficiaries. Some TA services provided are very specific (e.g. PF4EE, NCFF), based on targeted needs while others are providing broader services (e.g. EIAH, JASPERS). In general, these specific TA actions are in place to reinforce a regional or sector coverage. A better coordination between those two types of TA has to be developed.</w:t>
      </w:r>
    </w:p>
    <w:p>
      <w:pPr>
        <w:spacing w:after="120" w:line="264" w:lineRule="auto"/>
        <w:rPr>
          <w:rFonts w:cs="Times New Roman"/>
          <w:i/>
          <w:noProof/>
          <w:szCs w:val="24"/>
          <w:u w:val="single"/>
        </w:rPr>
      </w:pPr>
      <w:r>
        <w:rPr>
          <w:rFonts w:cs="Times New Roman"/>
          <w:i/>
          <w:noProof/>
          <w:szCs w:val="24"/>
          <w:u w:val="single"/>
        </w:rPr>
        <w:t>TA providers:</w:t>
      </w:r>
    </w:p>
    <w:p>
      <w:pPr>
        <w:pStyle w:val="Bulet"/>
        <w:spacing w:after="120" w:line="264" w:lineRule="auto"/>
        <w:rPr>
          <w:noProof/>
          <w:szCs w:val="24"/>
        </w:rPr>
      </w:pPr>
      <w:r>
        <w:rPr>
          <w:noProof/>
          <w:szCs w:val="24"/>
        </w:rPr>
        <w:t>EIB is the main provider of centrally-managed TA. In some cases, the EIB is the TA provider (e.g. JASPERS), whereas in other cases, the EIB is indirectly managing a TA facility on behalf of the European Commission (e.g. ELENA).</w:t>
      </w:r>
    </w:p>
    <w:p>
      <w:pPr>
        <w:pStyle w:val="Bulet"/>
        <w:spacing w:after="120" w:line="264" w:lineRule="auto"/>
        <w:rPr>
          <w:noProof/>
          <w:szCs w:val="24"/>
        </w:rPr>
      </w:pPr>
      <w:r>
        <w:rPr>
          <w:noProof/>
          <w:szCs w:val="24"/>
        </w:rPr>
        <w:t>Executive agencies have a specialised role in some sectors such as the SMEs or TA provided to support medium-size energy efficiency projects (e.g. H2020 EE11 PDA, EASME)</w:t>
      </w:r>
    </w:p>
    <w:p>
      <w:pPr>
        <w:pStyle w:val="Bulet"/>
        <w:spacing w:after="120" w:line="264" w:lineRule="auto"/>
        <w:rPr>
          <w:noProof/>
          <w:szCs w:val="24"/>
        </w:rPr>
      </w:pPr>
      <w:r>
        <w:rPr>
          <w:noProof/>
          <w:szCs w:val="24"/>
        </w:rPr>
        <w:t>Other IFIs have developed specific initiatives/ sector knowledge (e.g. EBRD Small Business Support)</w:t>
      </w:r>
    </w:p>
    <w:p>
      <w:pPr>
        <w:pStyle w:val="Bulet"/>
        <w:spacing w:after="120" w:line="264" w:lineRule="auto"/>
        <w:rPr>
          <w:noProof/>
          <w:szCs w:val="24"/>
        </w:rPr>
      </w:pPr>
      <w:r>
        <w:rPr>
          <w:noProof/>
          <w:szCs w:val="24"/>
        </w:rPr>
        <w:t xml:space="preserve">The Commission services can also provide, upon request from the Member States, legal assistance on the public procurement aspects, through the voluntary ex ante assessment mechanism for large infrastructure projects. </w:t>
      </w:r>
    </w:p>
    <w:p>
      <w:pPr>
        <w:pStyle w:val="Bulet"/>
        <w:spacing w:after="120" w:line="264" w:lineRule="auto"/>
        <w:rPr>
          <w:noProof/>
          <w:szCs w:val="24"/>
        </w:rPr>
      </w:pPr>
      <w:r>
        <w:rPr>
          <w:noProof/>
          <w:szCs w:val="24"/>
        </w:rPr>
        <w:t>There are currently no initiatives undertaken through NPBs/NPIs (in the past, KfW provided EU-supported TA; in the future, cooperation with NPBs is sought under the EIAH).</w:t>
      </w:r>
    </w:p>
    <w:p>
      <w:pPr>
        <w:spacing w:after="120" w:line="264" w:lineRule="auto"/>
        <w:rPr>
          <w:rFonts w:cs="Times New Roman"/>
          <w:i/>
          <w:noProof/>
          <w:szCs w:val="24"/>
          <w:u w:val="single"/>
        </w:rPr>
      </w:pPr>
      <w:r>
        <w:rPr>
          <w:rFonts w:cs="Times New Roman"/>
          <w:i/>
          <w:noProof/>
          <w:szCs w:val="24"/>
          <w:u w:val="single"/>
        </w:rPr>
        <w:t>TA delivery mechanism:</w:t>
      </w:r>
    </w:p>
    <w:p>
      <w:pPr>
        <w:pStyle w:val="Bulet"/>
        <w:spacing w:after="120" w:line="264" w:lineRule="auto"/>
        <w:rPr>
          <w:noProof/>
          <w:szCs w:val="24"/>
        </w:rPr>
      </w:pPr>
      <w:r>
        <w:rPr>
          <w:noProof/>
          <w:szCs w:val="24"/>
        </w:rPr>
        <w:t>The initiatives currently implemented are using several delivery mechanisms: executive agencies, the EIB and other implementing partners which are directly (own staff or external consultants under service contracts) providing the advisory services to the beneficiaries or providing grant support for the beneficiary's technical assistance needs. Moreover, the EIB is also using indirect delivery mechanisms through other implementing partners.</w:t>
      </w:r>
    </w:p>
    <w:p>
      <w:pPr>
        <w:pStyle w:val="Bulet"/>
        <w:spacing w:after="120" w:line="264" w:lineRule="auto"/>
        <w:rPr>
          <w:noProof/>
          <w:szCs w:val="24"/>
        </w:rPr>
      </w:pPr>
      <w:r>
        <w:rPr>
          <w:noProof/>
          <w:szCs w:val="24"/>
        </w:rPr>
        <w:t>The pricing for beneficiaries is also different from one initiative to the other. A significant part of the EU supported TA is free of charge for the final beneficiaries (especially if these are public project promoters). Experience shows that beneficiaries who cover at least part of the costs of the services obtained, as for example for ELENA technical assistance, often demonstrate a greater sense of ownership, leading to clearer roles and responsibilities, increased involvement/ enhanced collaboration and better focus on tangible results.</w:t>
      </w:r>
    </w:p>
    <w:p>
      <w:pPr>
        <w:pStyle w:val="Bulet"/>
        <w:spacing w:after="120" w:line="264" w:lineRule="auto"/>
        <w:rPr>
          <w:noProof/>
          <w:szCs w:val="24"/>
        </w:rPr>
      </w:pPr>
      <w:r>
        <w:rPr>
          <w:noProof/>
          <w:szCs w:val="24"/>
        </w:rPr>
        <w:t>The request for TA can be triggered (at individual project level) on a different basis: for specific policy priorities (e.g. PF4EE, ELENA, H2020 PDA) or demand driven (e.g. EIAH, JASPERS).</w:t>
      </w:r>
    </w:p>
    <w:p>
      <w:pPr>
        <w:pStyle w:val="Bulet"/>
        <w:spacing w:after="120" w:line="264" w:lineRule="auto"/>
        <w:rPr>
          <w:noProof/>
          <w:szCs w:val="24"/>
        </w:rPr>
        <w:sectPr>
          <w:headerReference w:type="even" r:id="rId118"/>
          <w:headerReference w:type="default" r:id="rId119"/>
          <w:footerReference w:type="even" r:id="rId120"/>
          <w:footerReference w:type="default" r:id="rId121"/>
          <w:headerReference w:type="first" r:id="rId122"/>
          <w:footerReference w:type="first" r:id="rId123"/>
          <w:pgSz w:w="11906" w:h="16838"/>
          <w:pgMar w:top="1134" w:right="1134" w:bottom="1134" w:left="1418" w:header="601" w:footer="1077" w:gutter="0"/>
          <w:cols w:space="720"/>
          <w:titlePg/>
          <w:docGrid w:linePitch="326"/>
        </w:sectPr>
      </w:pPr>
    </w:p>
    <w:p>
      <w:pPr>
        <w:pStyle w:val="Bulet"/>
        <w:numPr>
          <w:ilvl w:val="0"/>
          <w:numId w:val="0"/>
        </w:numPr>
        <w:spacing w:line="264" w:lineRule="auto"/>
        <w:rPr>
          <w:b/>
          <w:noProof/>
          <w:szCs w:val="24"/>
        </w:rPr>
      </w:pPr>
      <w:r>
        <w:rPr>
          <w:b/>
          <w:noProof/>
          <w:szCs w:val="24"/>
        </w:rPr>
        <w:t>Table: Technical Assistance Costs across the Different Existing and Upcoming Initiatives in the current MFF</w:t>
      </w:r>
    </w:p>
    <w:tbl>
      <w:tblPr>
        <w:tblStyle w:val="CV11"/>
        <w:tblW w:w="15240" w:type="dxa"/>
        <w:tblLook w:val="04A0" w:firstRow="1" w:lastRow="0" w:firstColumn="1" w:lastColumn="0" w:noHBand="0" w:noVBand="1"/>
      </w:tblPr>
      <w:tblGrid>
        <w:gridCol w:w="1603"/>
        <w:gridCol w:w="1329"/>
        <w:gridCol w:w="1613"/>
        <w:gridCol w:w="1906"/>
        <w:gridCol w:w="1357"/>
        <w:gridCol w:w="1220"/>
        <w:gridCol w:w="631"/>
        <w:gridCol w:w="2101"/>
        <w:gridCol w:w="1785"/>
        <w:gridCol w:w="1695"/>
      </w:tblGrid>
      <w:tr>
        <w:trPr>
          <w:trHeight w:val="390"/>
          <w:tblHeader/>
        </w:trPr>
        <w:tc>
          <w:tcPr>
            <w:tcW w:w="1668"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TA costs</w:t>
            </w:r>
          </w:p>
        </w:tc>
        <w:tc>
          <w:tcPr>
            <w:tcW w:w="1264"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Delivery mode</w:t>
            </w:r>
          </w:p>
        </w:tc>
        <w:tc>
          <w:tcPr>
            <w:tcW w:w="1613"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TA manager</w:t>
            </w:r>
          </w:p>
        </w:tc>
        <w:tc>
          <w:tcPr>
            <w:tcW w:w="1906" w:type="dxa"/>
            <w:vMerge w:val="restart"/>
            <w:shd w:val="clear" w:color="auto" w:fill="538DD5"/>
            <w:noWrap/>
            <w:hideMark/>
          </w:tcPr>
          <w:p>
            <w:pPr>
              <w:spacing w:after="0" w:line="264" w:lineRule="auto"/>
              <w:jc w:val="center"/>
              <w:rPr>
                <w:b/>
                <w:noProof/>
                <w:color w:val="FFFFFF" w:themeColor="background1"/>
                <w:sz w:val="22"/>
                <w:szCs w:val="24"/>
              </w:rPr>
            </w:pPr>
            <w:r>
              <w:rPr>
                <w:b/>
                <w:noProof/>
                <w:color w:val="FFFFFF" w:themeColor="background1"/>
                <w:sz w:val="22"/>
                <w:szCs w:val="24"/>
              </w:rPr>
              <w:t>TA provider(s)</w:t>
            </w:r>
          </w:p>
        </w:tc>
        <w:tc>
          <w:tcPr>
            <w:tcW w:w="1357"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Fee basis</w:t>
            </w:r>
          </w:p>
        </w:tc>
        <w:tc>
          <w:tcPr>
            <w:tcW w:w="1851" w:type="dxa"/>
            <w:gridSpan w:val="2"/>
            <w:tcBorders>
              <w:bottom w:val="nil"/>
            </w:tcBorders>
            <w:shd w:val="clear" w:color="auto" w:fill="538DD5"/>
            <w:noWrap/>
            <w:hideMark/>
          </w:tcPr>
          <w:p>
            <w:pPr>
              <w:spacing w:after="0" w:line="264" w:lineRule="auto"/>
              <w:jc w:val="center"/>
              <w:rPr>
                <w:b/>
                <w:noProof/>
                <w:color w:val="FFFFFF" w:themeColor="background1"/>
                <w:sz w:val="22"/>
                <w:szCs w:val="24"/>
              </w:rPr>
            </w:pPr>
            <w:r>
              <w:rPr>
                <w:b/>
                <w:noProof/>
                <w:color w:val="FFFFFF" w:themeColor="background1"/>
                <w:sz w:val="22"/>
                <w:szCs w:val="24"/>
              </w:rPr>
              <w:t>Cost sharing EU/EIB</w:t>
            </w:r>
          </w:p>
        </w:tc>
        <w:tc>
          <w:tcPr>
            <w:tcW w:w="2101"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Cost coverage by beneficiary</w:t>
            </w:r>
          </w:p>
        </w:tc>
        <w:tc>
          <w:tcPr>
            <w:tcW w:w="1785"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EU budget (EUR)</w:t>
            </w:r>
          </w:p>
        </w:tc>
        <w:tc>
          <w:tcPr>
            <w:tcW w:w="1695" w:type="dxa"/>
            <w:vMerge w:val="restart"/>
            <w:shd w:val="clear" w:color="auto" w:fill="538DD5"/>
            <w:hideMark/>
          </w:tcPr>
          <w:p>
            <w:pPr>
              <w:spacing w:after="0" w:line="264" w:lineRule="auto"/>
              <w:jc w:val="center"/>
              <w:rPr>
                <w:b/>
                <w:noProof/>
                <w:color w:val="FFFFFF" w:themeColor="background1"/>
                <w:sz w:val="22"/>
                <w:szCs w:val="24"/>
              </w:rPr>
            </w:pPr>
            <w:r>
              <w:rPr>
                <w:b/>
                <w:noProof/>
                <w:color w:val="FFFFFF" w:themeColor="background1"/>
                <w:sz w:val="22"/>
                <w:szCs w:val="24"/>
              </w:rPr>
              <w:t>Period of implementation</w:t>
            </w:r>
          </w:p>
        </w:tc>
      </w:tr>
      <w:tr>
        <w:trPr>
          <w:trHeight w:val="315"/>
          <w:tblHeader/>
        </w:trPr>
        <w:tc>
          <w:tcPr>
            <w:tcW w:w="1668" w:type="dxa"/>
            <w:vMerge/>
            <w:hideMark/>
          </w:tcPr>
          <w:p>
            <w:pPr>
              <w:spacing w:after="0" w:line="264" w:lineRule="auto"/>
              <w:rPr>
                <w:b/>
                <w:noProof/>
                <w:color w:val="000000"/>
                <w:sz w:val="22"/>
                <w:szCs w:val="24"/>
              </w:rPr>
            </w:pPr>
          </w:p>
        </w:tc>
        <w:tc>
          <w:tcPr>
            <w:tcW w:w="1264" w:type="dxa"/>
            <w:vMerge/>
            <w:hideMark/>
          </w:tcPr>
          <w:p>
            <w:pPr>
              <w:spacing w:after="0" w:line="264" w:lineRule="auto"/>
              <w:rPr>
                <w:b/>
                <w:noProof/>
                <w:color w:val="000000"/>
                <w:sz w:val="22"/>
                <w:szCs w:val="24"/>
              </w:rPr>
            </w:pPr>
          </w:p>
        </w:tc>
        <w:tc>
          <w:tcPr>
            <w:tcW w:w="1613" w:type="dxa"/>
            <w:vMerge/>
            <w:hideMark/>
          </w:tcPr>
          <w:p>
            <w:pPr>
              <w:spacing w:after="0" w:line="264" w:lineRule="auto"/>
              <w:rPr>
                <w:b/>
                <w:noProof/>
                <w:color w:val="000000"/>
                <w:sz w:val="22"/>
                <w:szCs w:val="24"/>
              </w:rPr>
            </w:pPr>
          </w:p>
        </w:tc>
        <w:tc>
          <w:tcPr>
            <w:tcW w:w="1906" w:type="dxa"/>
            <w:vMerge/>
            <w:hideMark/>
          </w:tcPr>
          <w:p>
            <w:pPr>
              <w:spacing w:after="0" w:line="264" w:lineRule="auto"/>
              <w:rPr>
                <w:b/>
                <w:noProof/>
                <w:color w:val="000000"/>
                <w:sz w:val="22"/>
                <w:szCs w:val="24"/>
              </w:rPr>
            </w:pPr>
          </w:p>
        </w:tc>
        <w:tc>
          <w:tcPr>
            <w:tcW w:w="1357" w:type="dxa"/>
            <w:vMerge/>
            <w:hideMark/>
          </w:tcPr>
          <w:p>
            <w:pPr>
              <w:spacing w:after="0" w:line="264" w:lineRule="auto"/>
              <w:rPr>
                <w:b/>
                <w:noProof/>
                <w:color w:val="000000"/>
                <w:sz w:val="22"/>
                <w:szCs w:val="24"/>
              </w:rPr>
            </w:pPr>
          </w:p>
        </w:tc>
        <w:tc>
          <w:tcPr>
            <w:tcW w:w="1220" w:type="dxa"/>
            <w:tcBorders>
              <w:top w:val="nil"/>
            </w:tcBorders>
            <w:shd w:val="clear" w:color="auto" w:fill="538DD5"/>
            <w:noWrap/>
            <w:hideMark/>
          </w:tcPr>
          <w:p>
            <w:pPr>
              <w:spacing w:after="0" w:line="264" w:lineRule="auto"/>
              <w:rPr>
                <w:b/>
                <w:noProof/>
                <w:color w:val="FFFFFF" w:themeColor="background1"/>
                <w:sz w:val="22"/>
                <w:szCs w:val="24"/>
              </w:rPr>
            </w:pPr>
            <w:r>
              <w:rPr>
                <w:b/>
                <w:noProof/>
                <w:color w:val="FFFFFF" w:themeColor="background1"/>
                <w:sz w:val="22"/>
                <w:szCs w:val="24"/>
              </w:rPr>
              <w:t>EU coverage</w:t>
            </w:r>
          </w:p>
        </w:tc>
        <w:tc>
          <w:tcPr>
            <w:tcW w:w="631" w:type="dxa"/>
            <w:tcBorders>
              <w:top w:val="nil"/>
            </w:tcBorders>
            <w:shd w:val="clear" w:color="auto" w:fill="538DD5"/>
            <w:noWrap/>
            <w:hideMark/>
          </w:tcPr>
          <w:p>
            <w:pPr>
              <w:spacing w:after="0" w:line="264" w:lineRule="auto"/>
              <w:rPr>
                <w:b/>
                <w:noProof/>
                <w:color w:val="FFFFFF" w:themeColor="background1"/>
                <w:sz w:val="22"/>
                <w:szCs w:val="24"/>
              </w:rPr>
            </w:pPr>
            <w:r>
              <w:rPr>
                <w:b/>
                <w:noProof/>
                <w:color w:val="FFFFFF" w:themeColor="background1"/>
                <w:sz w:val="22"/>
                <w:szCs w:val="24"/>
              </w:rPr>
              <w:t>EIB</w:t>
            </w:r>
          </w:p>
        </w:tc>
        <w:tc>
          <w:tcPr>
            <w:tcW w:w="2101" w:type="dxa"/>
            <w:vMerge/>
            <w:hideMark/>
          </w:tcPr>
          <w:p>
            <w:pPr>
              <w:spacing w:after="0" w:line="264" w:lineRule="auto"/>
              <w:rPr>
                <w:b/>
                <w:noProof/>
                <w:color w:val="000000"/>
                <w:sz w:val="22"/>
                <w:szCs w:val="24"/>
              </w:rPr>
            </w:pPr>
          </w:p>
        </w:tc>
        <w:tc>
          <w:tcPr>
            <w:tcW w:w="1785" w:type="dxa"/>
            <w:vMerge/>
            <w:hideMark/>
          </w:tcPr>
          <w:p>
            <w:pPr>
              <w:spacing w:after="0" w:line="264" w:lineRule="auto"/>
              <w:rPr>
                <w:b/>
                <w:noProof/>
                <w:color w:val="000000"/>
                <w:sz w:val="22"/>
                <w:szCs w:val="24"/>
              </w:rPr>
            </w:pPr>
          </w:p>
        </w:tc>
        <w:tc>
          <w:tcPr>
            <w:tcW w:w="1695" w:type="dxa"/>
            <w:vMerge/>
            <w:hideMark/>
          </w:tcPr>
          <w:p>
            <w:pPr>
              <w:spacing w:after="0" w:line="264" w:lineRule="auto"/>
              <w:rPr>
                <w:b/>
                <w:noProof/>
                <w:color w:val="000000"/>
                <w:sz w:val="22"/>
                <w:szCs w:val="24"/>
              </w:rPr>
            </w:pPr>
          </w:p>
        </w:tc>
      </w:tr>
      <w:tr>
        <w:trPr>
          <w:trHeight w:val="615"/>
        </w:trPr>
        <w:tc>
          <w:tcPr>
            <w:tcW w:w="1668" w:type="dxa"/>
            <w:hideMark/>
          </w:tcPr>
          <w:p>
            <w:pPr>
              <w:spacing w:after="0" w:line="264" w:lineRule="auto"/>
              <w:rPr>
                <w:b/>
                <w:noProof/>
                <w:color w:val="000000"/>
                <w:sz w:val="22"/>
                <w:szCs w:val="24"/>
              </w:rPr>
            </w:pPr>
            <w:r>
              <w:rPr>
                <w:noProof/>
                <w:color w:val="000000"/>
                <w:sz w:val="22"/>
                <w:szCs w:val="24"/>
              </w:rPr>
              <w:t>JASPERS</w:t>
            </w:r>
          </w:p>
        </w:tc>
        <w:tc>
          <w:tcPr>
            <w:tcW w:w="1264" w:type="dxa"/>
            <w:hideMark/>
          </w:tcPr>
          <w:p>
            <w:pPr>
              <w:spacing w:after="0" w:line="264" w:lineRule="auto"/>
              <w:rPr>
                <w:noProof/>
                <w:color w:val="000000"/>
                <w:sz w:val="22"/>
                <w:szCs w:val="24"/>
              </w:rPr>
            </w:pPr>
            <w:r>
              <w:rPr>
                <w:noProof/>
                <w:color w:val="000000"/>
                <w:sz w:val="22"/>
                <w:szCs w:val="24"/>
              </w:rPr>
              <w:t>FPA/ SGAs</w:t>
            </w:r>
          </w:p>
        </w:tc>
        <w:tc>
          <w:tcPr>
            <w:tcW w:w="1613" w:type="dxa"/>
            <w:hideMark/>
          </w:tcPr>
          <w:p>
            <w:pPr>
              <w:spacing w:after="0" w:line="264" w:lineRule="auto"/>
              <w:rPr>
                <w:noProof/>
                <w:color w:val="000000"/>
                <w:sz w:val="22"/>
                <w:szCs w:val="24"/>
              </w:rPr>
            </w:pPr>
            <w:r>
              <w:rPr>
                <w:noProof/>
                <w:color w:val="000000"/>
                <w:sz w:val="22"/>
                <w:szCs w:val="24"/>
              </w:rPr>
              <w:t>EIB</w:t>
            </w:r>
          </w:p>
        </w:tc>
        <w:tc>
          <w:tcPr>
            <w:tcW w:w="1906" w:type="dxa"/>
            <w:hideMark/>
          </w:tcPr>
          <w:p>
            <w:pPr>
              <w:spacing w:after="0" w:line="264" w:lineRule="auto"/>
              <w:rPr>
                <w:noProof/>
                <w:color w:val="000000"/>
                <w:sz w:val="22"/>
                <w:szCs w:val="24"/>
              </w:rPr>
            </w:pPr>
            <w:r>
              <w:rPr>
                <w:noProof/>
                <w:color w:val="000000"/>
                <w:sz w:val="22"/>
                <w:szCs w:val="24"/>
              </w:rPr>
              <w:t>EIB</w:t>
            </w:r>
          </w:p>
        </w:tc>
        <w:tc>
          <w:tcPr>
            <w:tcW w:w="1357" w:type="dxa"/>
            <w:hideMark/>
          </w:tcPr>
          <w:p>
            <w:pPr>
              <w:spacing w:after="0" w:line="264" w:lineRule="auto"/>
              <w:rPr>
                <w:noProof/>
                <w:color w:val="000000"/>
                <w:sz w:val="22"/>
                <w:szCs w:val="24"/>
              </w:rPr>
            </w:pPr>
            <w:r>
              <w:rPr>
                <w:noProof/>
                <w:color w:val="000000"/>
                <w:sz w:val="22"/>
                <w:szCs w:val="24"/>
              </w:rPr>
              <w:t>cost coverage (FAFA rates)</w:t>
            </w:r>
          </w:p>
        </w:tc>
        <w:tc>
          <w:tcPr>
            <w:tcW w:w="1220" w:type="dxa"/>
            <w:hideMark/>
          </w:tcPr>
          <w:p>
            <w:pPr>
              <w:spacing w:after="0" w:line="264" w:lineRule="auto"/>
              <w:jc w:val="right"/>
              <w:rPr>
                <w:noProof/>
                <w:color w:val="000000"/>
                <w:sz w:val="22"/>
                <w:szCs w:val="24"/>
              </w:rPr>
            </w:pPr>
            <w:r>
              <w:rPr>
                <w:noProof/>
                <w:color w:val="000000"/>
                <w:sz w:val="22"/>
                <w:szCs w:val="24"/>
              </w:rPr>
              <w:t>80%</w:t>
            </w:r>
          </w:p>
        </w:tc>
        <w:tc>
          <w:tcPr>
            <w:tcW w:w="631" w:type="dxa"/>
            <w:hideMark/>
          </w:tcPr>
          <w:p>
            <w:pPr>
              <w:spacing w:after="0" w:line="264" w:lineRule="auto"/>
              <w:jc w:val="right"/>
              <w:rPr>
                <w:noProof/>
                <w:color w:val="000000"/>
                <w:sz w:val="22"/>
                <w:szCs w:val="24"/>
              </w:rPr>
            </w:pPr>
            <w:r>
              <w:rPr>
                <w:noProof/>
                <w:color w:val="000000"/>
                <w:sz w:val="22"/>
                <w:szCs w:val="24"/>
              </w:rPr>
              <w:t>20%</w:t>
            </w:r>
          </w:p>
        </w:tc>
        <w:tc>
          <w:tcPr>
            <w:tcW w:w="2101" w:type="dxa"/>
            <w:hideMark/>
          </w:tcPr>
          <w:p>
            <w:pPr>
              <w:spacing w:after="0" w:line="264" w:lineRule="auto"/>
              <w:jc w:val="right"/>
              <w:rPr>
                <w:noProof/>
                <w:color w:val="000000"/>
                <w:sz w:val="22"/>
                <w:szCs w:val="24"/>
              </w:rPr>
            </w:pPr>
            <w:r>
              <w:rPr>
                <w:noProof/>
                <w:color w:val="000000"/>
                <w:sz w:val="22"/>
                <w:szCs w:val="24"/>
              </w:rPr>
              <w:t>0</w:t>
            </w:r>
          </w:p>
        </w:tc>
        <w:tc>
          <w:tcPr>
            <w:tcW w:w="1785" w:type="dxa"/>
            <w:hideMark/>
          </w:tcPr>
          <w:p>
            <w:pPr>
              <w:spacing w:after="0" w:line="264" w:lineRule="auto"/>
              <w:jc w:val="right"/>
              <w:rPr>
                <w:noProof/>
                <w:color w:val="000000"/>
                <w:sz w:val="22"/>
                <w:szCs w:val="24"/>
              </w:rPr>
            </w:pPr>
            <w:r>
              <w:rPr>
                <w:noProof/>
                <w:color w:val="000000"/>
                <w:sz w:val="22"/>
                <w:szCs w:val="24"/>
              </w:rPr>
              <w:t>233,650,000</w:t>
            </w:r>
          </w:p>
        </w:tc>
        <w:tc>
          <w:tcPr>
            <w:tcW w:w="1695" w:type="dxa"/>
            <w:hideMark/>
          </w:tcPr>
          <w:p>
            <w:pPr>
              <w:spacing w:after="0" w:line="264" w:lineRule="auto"/>
              <w:jc w:val="right"/>
              <w:rPr>
                <w:noProof/>
                <w:color w:val="000000"/>
                <w:sz w:val="22"/>
                <w:szCs w:val="24"/>
              </w:rPr>
            </w:pPr>
            <w:r>
              <w:rPr>
                <w:noProof/>
                <w:color w:val="000000"/>
                <w:sz w:val="22"/>
                <w:szCs w:val="24"/>
              </w:rPr>
              <w:t>2014-2020</w:t>
            </w:r>
          </w:p>
        </w:tc>
      </w:tr>
      <w:tr>
        <w:trPr>
          <w:trHeight w:val="1215"/>
        </w:trPr>
        <w:tc>
          <w:tcPr>
            <w:tcW w:w="1668" w:type="dxa"/>
            <w:hideMark/>
          </w:tcPr>
          <w:p>
            <w:pPr>
              <w:spacing w:after="0" w:line="264" w:lineRule="auto"/>
              <w:rPr>
                <w:b/>
                <w:noProof/>
                <w:color w:val="000000"/>
                <w:sz w:val="22"/>
                <w:szCs w:val="24"/>
              </w:rPr>
            </w:pPr>
            <w:r>
              <w:rPr>
                <w:noProof/>
                <w:color w:val="000000"/>
                <w:sz w:val="22"/>
                <w:szCs w:val="24"/>
              </w:rPr>
              <w:t>EIAH</w:t>
            </w:r>
          </w:p>
        </w:tc>
        <w:tc>
          <w:tcPr>
            <w:tcW w:w="1264" w:type="dxa"/>
            <w:hideMark/>
          </w:tcPr>
          <w:p>
            <w:pPr>
              <w:spacing w:after="0" w:line="264" w:lineRule="auto"/>
              <w:rPr>
                <w:noProof/>
                <w:color w:val="000000"/>
                <w:sz w:val="22"/>
                <w:szCs w:val="24"/>
              </w:rPr>
            </w:pPr>
            <w:r>
              <w:rPr>
                <w:noProof/>
                <w:color w:val="000000"/>
                <w:sz w:val="22"/>
                <w:szCs w:val="24"/>
              </w:rPr>
              <w:t>FPA/SGAs</w:t>
            </w:r>
          </w:p>
        </w:tc>
        <w:tc>
          <w:tcPr>
            <w:tcW w:w="1613" w:type="dxa"/>
            <w:hideMark/>
          </w:tcPr>
          <w:p>
            <w:pPr>
              <w:spacing w:after="0" w:line="264" w:lineRule="auto"/>
              <w:rPr>
                <w:noProof/>
                <w:color w:val="000000"/>
                <w:sz w:val="22"/>
                <w:szCs w:val="24"/>
              </w:rPr>
            </w:pPr>
            <w:r>
              <w:rPr>
                <w:noProof/>
                <w:color w:val="000000"/>
                <w:sz w:val="22"/>
                <w:szCs w:val="24"/>
              </w:rPr>
              <w:t>EIB</w:t>
            </w:r>
          </w:p>
        </w:tc>
        <w:tc>
          <w:tcPr>
            <w:tcW w:w="1906" w:type="dxa"/>
            <w:hideMark/>
          </w:tcPr>
          <w:p>
            <w:pPr>
              <w:spacing w:after="0" w:line="264" w:lineRule="auto"/>
              <w:rPr>
                <w:noProof/>
                <w:color w:val="000000"/>
                <w:sz w:val="22"/>
                <w:szCs w:val="24"/>
              </w:rPr>
            </w:pPr>
            <w:r>
              <w:rPr>
                <w:noProof/>
                <w:color w:val="000000"/>
                <w:sz w:val="22"/>
                <w:szCs w:val="24"/>
              </w:rPr>
              <w:t>EIB/other financial institutions (EBRD/NPBs)/ External consultants</w:t>
            </w:r>
          </w:p>
        </w:tc>
        <w:tc>
          <w:tcPr>
            <w:tcW w:w="1357" w:type="dxa"/>
            <w:hideMark/>
          </w:tcPr>
          <w:p>
            <w:pPr>
              <w:spacing w:after="0" w:line="264" w:lineRule="auto"/>
              <w:rPr>
                <w:noProof/>
                <w:color w:val="000000"/>
                <w:sz w:val="22"/>
                <w:szCs w:val="24"/>
              </w:rPr>
            </w:pPr>
            <w:r>
              <w:rPr>
                <w:noProof/>
                <w:color w:val="000000"/>
                <w:sz w:val="22"/>
                <w:szCs w:val="24"/>
              </w:rPr>
              <w:t>cost coverage (FAFA rates)</w:t>
            </w:r>
          </w:p>
        </w:tc>
        <w:tc>
          <w:tcPr>
            <w:tcW w:w="1220" w:type="dxa"/>
            <w:hideMark/>
          </w:tcPr>
          <w:p>
            <w:pPr>
              <w:spacing w:after="0" w:line="264" w:lineRule="auto"/>
              <w:jc w:val="right"/>
              <w:rPr>
                <w:noProof/>
                <w:color w:val="000000"/>
                <w:sz w:val="22"/>
                <w:szCs w:val="24"/>
              </w:rPr>
            </w:pPr>
            <w:r>
              <w:rPr>
                <w:noProof/>
                <w:color w:val="000000"/>
                <w:sz w:val="22"/>
                <w:szCs w:val="24"/>
              </w:rPr>
              <w:t>75%</w:t>
            </w:r>
          </w:p>
        </w:tc>
        <w:tc>
          <w:tcPr>
            <w:tcW w:w="631" w:type="dxa"/>
            <w:hideMark/>
          </w:tcPr>
          <w:p>
            <w:pPr>
              <w:spacing w:after="0" w:line="264" w:lineRule="auto"/>
              <w:jc w:val="right"/>
              <w:rPr>
                <w:noProof/>
                <w:color w:val="000000"/>
                <w:sz w:val="22"/>
                <w:szCs w:val="24"/>
              </w:rPr>
            </w:pPr>
            <w:r>
              <w:rPr>
                <w:noProof/>
                <w:color w:val="000000"/>
                <w:sz w:val="22"/>
                <w:szCs w:val="24"/>
              </w:rPr>
              <w:t>25%</w:t>
            </w:r>
          </w:p>
        </w:tc>
        <w:tc>
          <w:tcPr>
            <w:tcW w:w="2101" w:type="dxa"/>
            <w:hideMark/>
          </w:tcPr>
          <w:p>
            <w:pPr>
              <w:spacing w:after="0" w:line="264" w:lineRule="auto"/>
              <w:jc w:val="right"/>
              <w:rPr>
                <w:noProof/>
                <w:color w:val="000000"/>
                <w:sz w:val="22"/>
                <w:szCs w:val="24"/>
              </w:rPr>
            </w:pPr>
            <w:r>
              <w:rPr>
                <w:noProof/>
                <w:color w:val="000000"/>
                <w:sz w:val="22"/>
                <w:szCs w:val="24"/>
              </w:rPr>
              <w:t>only private; of which SMEs up to 33%</w:t>
            </w:r>
          </w:p>
        </w:tc>
        <w:tc>
          <w:tcPr>
            <w:tcW w:w="1785" w:type="dxa"/>
            <w:hideMark/>
          </w:tcPr>
          <w:p>
            <w:pPr>
              <w:spacing w:after="0" w:line="264" w:lineRule="auto"/>
              <w:jc w:val="right"/>
              <w:rPr>
                <w:noProof/>
                <w:color w:val="000000"/>
                <w:sz w:val="22"/>
                <w:szCs w:val="24"/>
              </w:rPr>
            </w:pPr>
            <w:r>
              <w:rPr>
                <w:noProof/>
                <w:color w:val="000000"/>
                <w:sz w:val="22"/>
                <w:szCs w:val="24"/>
              </w:rPr>
              <w:t>110,000,000</w:t>
            </w:r>
          </w:p>
        </w:tc>
        <w:tc>
          <w:tcPr>
            <w:tcW w:w="1695" w:type="dxa"/>
            <w:hideMark/>
          </w:tcPr>
          <w:p>
            <w:pPr>
              <w:spacing w:after="0" w:line="264" w:lineRule="auto"/>
              <w:jc w:val="right"/>
              <w:rPr>
                <w:noProof/>
                <w:color w:val="000000"/>
                <w:sz w:val="22"/>
                <w:szCs w:val="24"/>
              </w:rPr>
            </w:pPr>
            <w:r>
              <w:rPr>
                <w:noProof/>
                <w:color w:val="000000"/>
                <w:sz w:val="22"/>
                <w:szCs w:val="24"/>
              </w:rPr>
              <w:t>2015-2020</w:t>
            </w:r>
          </w:p>
        </w:tc>
      </w:tr>
      <w:tr>
        <w:trPr>
          <w:trHeight w:val="615"/>
        </w:trPr>
        <w:tc>
          <w:tcPr>
            <w:tcW w:w="1668" w:type="dxa"/>
            <w:hideMark/>
          </w:tcPr>
          <w:p>
            <w:pPr>
              <w:spacing w:after="0" w:line="264" w:lineRule="auto"/>
              <w:rPr>
                <w:b/>
                <w:noProof/>
                <w:color w:val="000000"/>
                <w:sz w:val="22"/>
                <w:szCs w:val="24"/>
              </w:rPr>
            </w:pPr>
            <w:r>
              <w:rPr>
                <w:noProof/>
                <w:color w:val="000000"/>
                <w:sz w:val="22"/>
                <w:szCs w:val="24"/>
              </w:rPr>
              <w:t>ELENA</w:t>
            </w:r>
          </w:p>
        </w:tc>
        <w:tc>
          <w:tcPr>
            <w:tcW w:w="1264" w:type="dxa"/>
            <w:hideMark/>
          </w:tcPr>
          <w:p>
            <w:pPr>
              <w:spacing w:after="0" w:line="264" w:lineRule="auto"/>
              <w:rPr>
                <w:noProof/>
                <w:color w:val="000000"/>
                <w:sz w:val="22"/>
                <w:szCs w:val="24"/>
              </w:rPr>
            </w:pPr>
            <w:r>
              <w:rPr>
                <w:noProof/>
                <w:color w:val="000000"/>
                <w:sz w:val="22"/>
                <w:szCs w:val="24"/>
              </w:rPr>
              <w:t>DA</w:t>
            </w:r>
          </w:p>
        </w:tc>
        <w:tc>
          <w:tcPr>
            <w:tcW w:w="1613" w:type="dxa"/>
            <w:hideMark/>
          </w:tcPr>
          <w:p>
            <w:pPr>
              <w:spacing w:after="0" w:line="264" w:lineRule="auto"/>
              <w:rPr>
                <w:noProof/>
                <w:color w:val="000000"/>
                <w:sz w:val="22"/>
                <w:szCs w:val="24"/>
              </w:rPr>
            </w:pPr>
            <w:r>
              <w:rPr>
                <w:noProof/>
                <w:color w:val="000000"/>
                <w:sz w:val="22"/>
                <w:szCs w:val="24"/>
              </w:rPr>
              <w:t>EIB</w:t>
            </w:r>
          </w:p>
        </w:tc>
        <w:tc>
          <w:tcPr>
            <w:tcW w:w="1906" w:type="dxa"/>
            <w:hideMark/>
          </w:tcPr>
          <w:p>
            <w:pPr>
              <w:spacing w:after="0" w:line="264" w:lineRule="auto"/>
              <w:rPr>
                <w:noProof/>
                <w:color w:val="000000"/>
                <w:sz w:val="22"/>
                <w:szCs w:val="24"/>
              </w:rPr>
            </w:pPr>
            <w:r>
              <w:rPr>
                <w:noProof/>
                <w:color w:val="000000"/>
                <w:sz w:val="22"/>
                <w:szCs w:val="24"/>
              </w:rPr>
              <w:t>External consultants</w:t>
            </w:r>
          </w:p>
        </w:tc>
        <w:tc>
          <w:tcPr>
            <w:tcW w:w="1357" w:type="dxa"/>
            <w:hideMark/>
          </w:tcPr>
          <w:p>
            <w:pPr>
              <w:spacing w:after="0" w:line="264" w:lineRule="auto"/>
              <w:rPr>
                <w:noProof/>
                <w:color w:val="000000"/>
                <w:sz w:val="22"/>
                <w:szCs w:val="24"/>
              </w:rPr>
            </w:pPr>
            <w:r>
              <w:rPr>
                <w:noProof/>
                <w:color w:val="000000"/>
                <w:sz w:val="22"/>
                <w:szCs w:val="24"/>
              </w:rPr>
              <w:t>6% of the TA provided</w:t>
            </w:r>
          </w:p>
        </w:tc>
        <w:tc>
          <w:tcPr>
            <w:tcW w:w="1220" w:type="dxa"/>
            <w:hideMark/>
          </w:tcPr>
          <w:p>
            <w:pPr>
              <w:spacing w:after="0" w:line="264" w:lineRule="auto"/>
              <w:jc w:val="right"/>
              <w:rPr>
                <w:noProof/>
                <w:color w:val="000000"/>
                <w:sz w:val="22"/>
                <w:szCs w:val="24"/>
              </w:rPr>
            </w:pPr>
            <w:r>
              <w:rPr>
                <w:noProof/>
                <w:color w:val="000000"/>
                <w:sz w:val="22"/>
                <w:szCs w:val="24"/>
              </w:rPr>
              <w:t>100%</w:t>
            </w:r>
          </w:p>
        </w:tc>
        <w:tc>
          <w:tcPr>
            <w:tcW w:w="631" w:type="dxa"/>
            <w:hideMark/>
          </w:tcPr>
          <w:p>
            <w:pPr>
              <w:spacing w:after="0" w:line="264" w:lineRule="auto"/>
              <w:jc w:val="right"/>
              <w:rPr>
                <w:noProof/>
                <w:color w:val="000000"/>
                <w:sz w:val="22"/>
                <w:szCs w:val="24"/>
              </w:rPr>
            </w:pPr>
            <w:r>
              <w:rPr>
                <w:noProof/>
                <w:color w:val="000000"/>
                <w:sz w:val="22"/>
                <w:szCs w:val="24"/>
              </w:rPr>
              <w:t>0</w:t>
            </w:r>
          </w:p>
        </w:tc>
        <w:tc>
          <w:tcPr>
            <w:tcW w:w="2101" w:type="dxa"/>
            <w:hideMark/>
          </w:tcPr>
          <w:p>
            <w:pPr>
              <w:spacing w:after="0" w:line="264" w:lineRule="auto"/>
              <w:jc w:val="right"/>
              <w:rPr>
                <w:noProof/>
                <w:color w:val="000000"/>
                <w:sz w:val="22"/>
                <w:szCs w:val="24"/>
              </w:rPr>
            </w:pPr>
            <w:r>
              <w:rPr>
                <w:noProof/>
                <w:color w:val="000000"/>
                <w:sz w:val="22"/>
                <w:szCs w:val="24"/>
              </w:rPr>
              <w:t>10% of the TA provided</w:t>
            </w:r>
          </w:p>
        </w:tc>
        <w:tc>
          <w:tcPr>
            <w:tcW w:w="1785" w:type="dxa"/>
            <w:hideMark/>
          </w:tcPr>
          <w:p>
            <w:pPr>
              <w:spacing w:after="0" w:line="264" w:lineRule="auto"/>
              <w:jc w:val="right"/>
              <w:rPr>
                <w:noProof/>
                <w:color w:val="000000"/>
                <w:sz w:val="22"/>
                <w:szCs w:val="24"/>
              </w:rPr>
            </w:pPr>
            <w:r>
              <w:rPr>
                <w:noProof/>
                <w:color w:val="000000"/>
                <w:sz w:val="22"/>
                <w:szCs w:val="24"/>
              </w:rPr>
              <w:t xml:space="preserve">279,000,000 </w:t>
            </w:r>
          </w:p>
        </w:tc>
        <w:tc>
          <w:tcPr>
            <w:tcW w:w="1695" w:type="dxa"/>
            <w:hideMark/>
          </w:tcPr>
          <w:p>
            <w:pPr>
              <w:spacing w:after="0" w:line="264" w:lineRule="auto"/>
              <w:jc w:val="right"/>
              <w:rPr>
                <w:noProof/>
                <w:color w:val="000000"/>
                <w:sz w:val="22"/>
                <w:szCs w:val="24"/>
              </w:rPr>
            </w:pPr>
            <w:r>
              <w:rPr>
                <w:noProof/>
                <w:color w:val="000000"/>
                <w:sz w:val="22"/>
                <w:szCs w:val="24"/>
              </w:rPr>
              <w:t>2014-2020</w:t>
            </w:r>
          </w:p>
        </w:tc>
      </w:tr>
      <w:tr>
        <w:trPr>
          <w:trHeight w:val="615"/>
        </w:trPr>
        <w:tc>
          <w:tcPr>
            <w:tcW w:w="1668" w:type="dxa"/>
            <w:hideMark/>
          </w:tcPr>
          <w:p>
            <w:pPr>
              <w:spacing w:after="0" w:line="264" w:lineRule="auto"/>
              <w:rPr>
                <w:b/>
                <w:noProof/>
                <w:color w:val="000000"/>
                <w:sz w:val="22"/>
                <w:szCs w:val="24"/>
              </w:rPr>
            </w:pPr>
            <w:r>
              <w:rPr>
                <w:noProof/>
                <w:color w:val="000000"/>
                <w:sz w:val="22"/>
                <w:szCs w:val="24"/>
              </w:rPr>
              <w:t>InnovFin Advisory</w:t>
            </w:r>
          </w:p>
        </w:tc>
        <w:tc>
          <w:tcPr>
            <w:tcW w:w="1264" w:type="dxa"/>
            <w:hideMark/>
          </w:tcPr>
          <w:p>
            <w:pPr>
              <w:spacing w:after="0" w:line="264" w:lineRule="auto"/>
              <w:rPr>
                <w:noProof/>
                <w:color w:val="000000"/>
                <w:sz w:val="22"/>
                <w:szCs w:val="24"/>
              </w:rPr>
            </w:pPr>
            <w:r>
              <w:rPr>
                <w:noProof/>
                <w:color w:val="000000"/>
                <w:sz w:val="22"/>
                <w:szCs w:val="24"/>
              </w:rPr>
              <w:t>FPA/SGA</w:t>
            </w:r>
          </w:p>
        </w:tc>
        <w:tc>
          <w:tcPr>
            <w:tcW w:w="1613" w:type="dxa"/>
            <w:hideMark/>
          </w:tcPr>
          <w:p>
            <w:pPr>
              <w:spacing w:after="0" w:line="264" w:lineRule="auto"/>
              <w:rPr>
                <w:noProof/>
                <w:color w:val="000000"/>
                <w:sz w:val="22"/>
                <w:szCs w:val="24"/>
              </w:rPr>
            </w:pPr>
            <w:r>
              <w:rPr>
                <w:noProof/>
                <w:color w:val="000000"/>
                <w:sz w:val="22"/>
                <w:szCs w:val="24"/>
              </w:rPr>
              <w:t>EIB</w:t>
            </w:r>
          </w:p>
        </w:tc>
        <w:tc>
          <w:tcPr>
            <w:tcW w:w="1906" w:type="dxa"/>
            <w:hideMark/>
          </w:tcPr>
          <w:p>
            <w:pPr>
              <w:spacing w:after="0" w:line="264" w:lineRule="auto"/>
              <w:rPr>
                <w:noProof/>
                <w:color w:val="000000"/>
                <w:sz w:val="22"/>
                <w:szCs w:val="24"/>
              </w:rPr>
            </w:pPr>
            <w:r>
              <w:rPr>
                <w:noProof/>
                <w:color w:val="000000"/>
                <w:sz w:val="22"/>
                <w:szCs w:val="24"/>
              </w:rPr>
              <w:t>EIB</w:t>
            </w:r>
          </w:p>
        </w:tc>
        <w:tc>
          <w:tcPr>
            <w:tcW w:w="1357" w:type="dxa"/>
            <w:hideMark/>
          </w:tcPr>
          <w:p>
            <w:pPr>
              <w:spacing w:after="0" w:line="264" w:lineRule="auto"/>
              <w:rPr>
                <w:noProof/>
                <w:color w:val="000000"/>
                <w:sz w:val="22"/>
                <w:szCs w:val="24"/>
              </w:rPr>
            </w:pPr>
            <w:r>
              <w:rPr>
                <w:noProof/>
                <w:color w:val="000000"/>
                <w:sz w:val="22"/>
                <w:szCs w:val="24"/>
              </w:rPr>
              <w:t>cost coverage (FAFA rates)</w:t>
            </w:r>
          </w:p>
        </w:tc>
        <w:tc>
          <w:tcPr>
            <w:tcW w:w="1220" w:type="dxa"/>
            <w:hideMark/>
          </w:tcPr>
          <w:p>
            <w:pPr>
              <w:spacing w:after="0" w:line="264" w:lineRule="auto"/>
              <w:jc w:val="right"/>
              <w:rPr>
                <w:noProof/>
                <w:color w:val="000000"/>
                <w:sz w:val="22"/>
                <w:szCs w:val="24"/>
              </w:rPr>
            </w:pPr>
            <w:r>
              <w:rPr>
                <w:noProof/>
                <w:color w:val="000000"/>
                <w:sz w:val="22"/>
                <w:szCs w:val="24"/>
              </w:rPr>
              <w:t>100%</w:t>
            </w:r>
          </w:p>
        </w:tc>
        <w:tc>
          <w:tcPr>
            <w:tcW w:w="631" w:type="dxa"/>
            <w:hideMark/>
          </w:tcPr>
          <w:p>
            <w:pPr>
              <w:spacing w:after="0" w:line="264" w:lineRule="auto"/>
              <w:jc w:val="right"/>
              <w:rPr>
                <w:noProof/>
                <w:color w:val="000000"/>
                <w:sz w:val="22"/>
                <w:szCs w:val="24"/>
              </w:rPr>
            </w:pPr>
            <w:r>
              <w:rPr>
                <w:noProof/>
                <w:color w:val="000000"/>
                <w:sz w:val="22"/>
                <w:szCs w:val="24"/>
              </w:rPr>
              <w:t>0</w:t>
            </w:r>
          </w:p>
        </w:tc>
        <w:tc>
          <w:tcPr>
            <w:tcW w:w="2101" w:type="dxa"/>
            <w:hideMark/>
          </w:tcPr>
          <w:p>
            <w:pPr>
              <w:spacing w:after="0" w:line="264" w:lineRule="auto"/>
              <w:jc w:val="right"/>
              <w:rPr>
                <w:noProof/>
                <w:color w:val="000000"/>
                <w:sz w:val="22"/>
                <w:szCs w:val="24"/>
              </w:rPr>
            </w:pPr>
            <w:r>
              <w:rPr>
                <w:noProof/>
                <w:color w:val="000000"/>
                <w:sz w:val="22"/>
                <w:szCs w:val="24"/>
              </w:rPr>
              <w:t>0</w:t>
            </w:r>
          </w:p>
        </w:tc>
        <w:tc>
          <w:tcPr>
            <w:tcW w:w="1785" w:type="dxa"/>
            <w:hideMark/>
          </w:tcPr>
          <w:p>
            <w:pPr>
              <w:spacing w:after="0" w:line="264" w:lineRule="auto"/>
              <w:jc w:val="right"/>
              <w:rPr>
                <w:noProof/>
                <w:color w:val="000000"/>
                <w:sz w:val="22"/>
                <w:szCs w:val="24"/>
              </w:rPr>
            </w:pPr>
            <w:r>
              <w:rPr>
                <w:noProof/>
                <w:color w:val="000000"/>
                <w:sz w:val="22"/>
                <w:szCs w:val="24"/>
              </w:rPr>
              <w:t>28,000,000</w:t>
            </w:r>
          </w:p>
        </w:tc>
        <w:tc>
          <w:tcPr>
            <w:tcW w:w="1695" w:type="dxa"/>
            <w:hideMark/>
          </w:tcPr>
          <w:p>
            <w:pPr>
              <w:spacing w:after="0" w:line="264" w:lineRule="auto"/>
              <w:jc w:val="right"/>
              <w:rPr>
                <w:noProof/>
                <w:color w:val="000000"/>
                <w:sz w:val="22"/>
                <w:szCs w:val="24"/>
              </w:rPr>
            </w:pPr>
            <w:r>
              <w:rPr>
                <w:noProof/>
                <w:color w:val="000000"/>
                <w:sz w:val="22"/>
                <w:szCs w:val="24"/>
              </w:rPr>
              <w:t>2014-2020</w:t>
            </w:r>
          </w:p>
        </w:tc>
      </w:tr>
      <w:tr>
        <w:trPr>
          <w:trHeight w:val="615"/>
        </w:trPr>
        <w:tc>
          <w:tcPr>
            <w:tcW w:w="1668" w:type="dxa"/>
          </w:tcPr>
          <w:p>
            <w:pPr>
              <w:spacing w:after="0" w:line="264" w:lineRule="auto"/>
              <w:rPr>
                <w:b/>
                <w:noProof/>
                <w:color w:val="000000"/>
                <w:sz w:val="22"/>
                <w:szCs w:val="24"/>
              </w:rPr>
            </w:pPr>
            <w:r>
              <w:rPr>
                <w:noProof/>
                <w:color w:val="000000"/>
                <w:sz w:val="22"/>
                <w:szCs w:val="24"/>
              </w:rPr>
              <w:t>EEEF European Commission Technical Assistance</w:t>
            </w:r>
          </w:p>
        </w:tc>
        <w:tc>
          <w:tcPr>
            <w:tcW w:w="1264" w:type="dxa"/>
          </w:tcPr>
          <w:p>
            <w:pPr>
              <w:spacing w:after="0" w:line="264" w:lineRule="auto"/>
              <w:rPr>
                <w:noProof/>
                <w:color w:val="000000"/>
                <w:sz w:val="22"/>
                <w:szCs w:val="24"/>
              </w:rPr>
            </w:pPr>
            <w:r>
              <w:rPr>
                <w:noProof/>
                <w:color w:val="000000"/>
                <w:sz w:val="22"/>
                <w:szCs w:val="24"/>
              </w:rPr>
              <w:t xml:space="preserve">EEEF Issue Document </w:t>
            </w:r>
          </w:p>
        </w:tc>
        <w:tc>
          <w:tcPr>
            <w:tcW w:w="1613" w:type="dxa"/>
          </w:tcPr>
          <w:p>
            <w:pPr>
              <w:spacing w:after="0" w:line="264" w:lineRule="auto"/>
              <w:rPr>
                <w:noProof/>
                <w:color w:val="000000"/>
                <w:sz w:val="22"/>
                <w:szCs w:val="24"/>
              </w:rPr>
            </w:pPr>
            <w:r>
              <w:rPr>
                <w:noProof/>
                <w:color w:val="000000"/>
                <w:sz w:val="22"/>
                <w:szCs w:val="24"/>
              </w:rPr>
              <w:t>EIB sub-delegation agreement with EEEF Fund manager (DB)</w:t>
            </w:r>
          </w:p>
        </w:tc>
        <w:tc>
          <w:tcPr>
            <w:tcW w:w="1906" w:type="dxa"/>
          </w:tcPr>
          <w:p>
            <w:pPr>
              <w:spacing w:after="0" w:line="264" w:lineRule="auto"/>
              <w:rPr>
                <w:noProof/>
                <w:color w:val="000000"/>
                <w:sz w:val="22"/>
                <w:szCs w:val="24"/>
              </w:rPr>
            </w:pPr>
            <w:r>
              <w:rPr>
                <w:noProof/>
                <w:color w:val="000000"/>
                <w:sz w:val="22"/>
                <w:szCs w:val="24"/>
              </w:rPr>
              <w:t>External consultants</w:t>
            </w:r>
          </w:p>
        </w:tc>
        <w:tc>
          <w:tcPr>
            <w:tcW w:w="1357" w:type="dxa"/>
          </w:tcPr>
          <w:p>
            <w:pPr>
              <w:spacing w:after="0" w:line="264" w:lineRule="auto"/>
              <w:rPr>
                <w:noProof/>
                <w:color w:val="000000"/>
                <w:sz w:val="22"/>
                <w:szCs w:val="24"/>
              </w:rPr>
            </w:pPr>
            <w:r>
              <w:rPr>
                <w:noProof/>
                <w:color w:val="000000"/>
                <w:sz w:val="22"/>
                <w:szCs w:val="24"/>
              </w:rPr>
              <w:t>6.5% of the TA provided</w:t>
            </w:r>
          </w:p>
        </w:tc>
        <w:tc>
          <w:tcPr>
            <w:tcW w:w="1220" w:type="dxa"/>
          </w:tcPr>
          <w:p>
            <w:pPr>
              <w:spacing w:after="0" w:line="264" w:lineRule="auto"/>
              <w:jc w:val="right"/>
              <w:rPr>
                <w:noProof/>
                <w:color w:val="000000"/>
                <w:sz w:val="22"/>
                <w:szCs w:val="24"/>
              </w:rPr>
            </w:pPr>
            <w:r>
              <w:rPr>
                <w:noProof/>
                <w:color w:val="000000"/>
                <w:sz w:val="22"/>
                <w:szCs w:val="24"/>
              </w:rPr>
              <w:t>100%</w:t>
            </w:r>
          </w:p>
        </w:tc>
        <w:tc>
          <w:tcPr>
            <w:tcW w:w="631" w:type="dxa"/>
          </w:tcPr>
          <w:p>
            <w:pPr>
              <w:spacing w:after="0" w:line="264" w:lineRule="auto"/>
              <w:jc w:val="right"/>
              <w:rPr>
                <w:noProof/>
                <w:color w:val="000000"/>
                <w:sz w:val="22"/>
                <w:szCs w:val="24"/>
              </w:rPr>
            </w:pPr>
            <w:r>
              <w:rPr>
                <w:noProof/>
                <w:color w:val="000000"/>
                <w:sz w:val="22"/>
                <w:szCs w:val="24"/>
              </w:rPr>
              <w:t>0</w:t>
            </w:r>
          </w:p>
        </w:tc>
        <w:tc>
          <w:tcPr>
            <w:tcW w:w="2101" w:type="dxa"/>
          </w:tcPr>
          <w:p>
            <w:pPr>
              <w:spacing w:after="0" w:line="264" w:lineRule="auto"/>
              <w:jc w:val="right"/>
              <w:rPr>
                <w:noProof/>
                <w:color w:val="000000"/>
                <w:sz w:val="22"/>
                <w:szCs w:val="24"/>
              </w:rPr>
            </w:pPr>
            <w:r>
              <w:rPr>
                <w:noProof/>
                <w:color w:val="000000"/>
                <w:sz w:val="22"/>
                <w:szCs w:val="24"/>
              </w:rPr>
              <w:t>10% of the allocated TA</w:t>
            </w:r>
          </w:p>
        </w:tc>
        <w:tc>
          <w:tcPr>
            <w:tcW w:w="1785" w:type="dxa"/>
          </w:tcPr>
          <w:p>
            <w:pPr>
              <w:spacing w:after="0" w:line="264" w:lineRule="auto"/>
              <w:jc w:val="right"/>
              <w:rPr>
                <w:noProof/>
                <w:color w:val="000000"/>
                <w:sz w:val="22"/>
                <w:szCs w:val="24"/>
              </w:rPr>
            </w:pPr>
            <w:r>
              <w:rPr>
                <w:noProof/>
                <w:color w:val="000000"/>
                <w:sz w:val="22"/>
                <w:szCs w:val="24"/>
              </w:rPr>
              <w:t>20,000,000</w:t>
            </w:r>
          </w:p>
        </w:tc>
        <w:tc>
          <w:tcPr>
            <w:tcW w:w="1695" w:type="dxa"/>
          </w:tcPr>
          <w:p>
            <w:pPr>
              <w:spacing w:after="0" w:line="264" w:lineRule="auto"/>
              <w:jc w:val="right"/>
              <w:rPr>
                <w:noProof/>
                <w:color w:val="000000"/>
                <w:sz w:val="22"/>
                <w:szCs w:val="24"/>
              </w:rPr>
            </w:pPr>
            <w:r>
              <w:rPr>
                <w:noProof/>
                <w:color w:val="000000"/>
                <w:sz w:val="22"/>
                <w:szCs w:val="24"/>
              </w:rPr>
              <w:t>2012-2017</w:t>
            </w:r>
          </w:p>
        </w:tc>
      </w:tr>
      <w:tr>
        <w:trPr>
          <w:trHeight w:val="615"/>
        </w:trPr>
        <w:tc>
          <w:tcPr>
            <w:tcW w:w="1668" w:type="dxa"/>
            <w:hideMark/>
          </w:tcPr>
          <w:p>
            <w:pPr>
              <w:spacing w:after="0" w:line="264" w:lineRule="auto"/>
              <w:rPr>
                <w:b/>
                <w:noProof/>
                <w:color w:val="000000"/>
                <w:sz w:val="22"/>
                <w:szCs w:val="24"/>
              </w:rPr>
            </w:pPr>
            <w:r>
              <w:rPr>
                <w:noProof/>
                <w:color w:val="000000"/>
                <w:sz w:val="22"/>
                <w:szCs w:val="24"/>
              </w:rPr>
              <w:t xml:space="preserve">EEEF Technical Assistance Facility </w:t>
            </w:r>
          </w:p>
        </w:tc>
        <w:tc>
          <w:tcPr>
            <w:tcW w:w="1264" w:type="dxa"/>
            <w:hideMark/>
          </w:tcPr>
          <w:p>
            <w:pPr>
              <w:spacing w:after="0" w:line="264" w:lineRule="auto"/>
              <w:rPr>
                <w:noProof/>
                <w:color w:val="000000"/>
                <w:sz w:val="22"/>
                <w:szCs w:val="24"/>
              </w:rPr>
            </w:pPr>
            <w:r>
              <w:rPr>
                <w:noProof/>
                <w:color w:val="000000"/>
                <w:sz w:val="22"/>
                <w:szCs w:val="24"/>
              </w:rPr>
              <w:t>DA</w:t>
            </w:r>
          </w:p>
        </w:tc>
        <w:tc>
          <w:tcPr>
            <w:tcW w:w="1613" w:type="dxa"/>
            <w:hideMark/>
          </w:tcPr>
          <w:p>
            <w:pPr>
              <w:spacing w:after="0" w:line="264" w:lineRule="auto"/>
              <w:rPr>
                <w:noProof/>
                <w:color w:val="000000"/>
                <w:sz w:val="22"/>
                <w:szCs w:val="24"/>
              </w:rPr>
            </w:pPr>
            <w:r>
              <w:rPr>
                <w:noProof/>
                <w:color w:val="000000"/>
                <w:sz w:val="22"/>
                <w:szCs w:val="24"/>
              </w:rPr>
              <w:t>EEEF Fund manager</w:t>
            </w:r>
          </w:p>
        </w:tc>
        <w:tc>
          <w:tcPr>
            <w:tcW w:w="1906" w:type="dxa"/>
            <w:hideMark/>
          </w:tcPr>
          <w:p>
            <w:pPr>
              <w:spacing w:after="0" w:line="264" w:lineRule="auto"/>
              <w:rPr>
                <w:noProof/>
                <w:color w:val="000000"/>
                <w:sz w:val="22"/>
                <w:szCs w:val="24"/>
              </w:rPr>
            </w:pPr>
            <w:r>
              <w:rPr>
                <w:noProof/>
                <w:color w:val="000000"/>
                <w:sz w:val="22"/>
                <w:szCs w:val="24"/>
              </w:rPr>
              <w:t>External consultants hired by EEEF</w:t>
            </w:r>
          </w:p>
        </w:tc>
        <w:tc>
          <w:tcPr>
            <w:tcW w:w="1357" w:type="dxa"/>
            <w:hideMark/>
          </w:tcPr>
          <w:p>
            <w:pPr>
              <w:spacing w:after="0" w:line="264" w:lineRule="auto"/>
              <w:rPr>
                <w:noProof/>
                <w:color w:val="000000"/>
                <w:sz w:val="22"/>
                <w:szCs w:val="24"/>
              </w:rPr>
            </w:pPr>
            <w:r>
              <w:rPr>
                <w:noProof/>
                <w:color w:val="000000"/>
                <w:sz w:val="22"/>
                <w:szCs w:val="24"/>
              </w:rPr>
              <w:t> 20% of the TA disbursed</w:t>
            </w:r>
          </w:p>
        </w:tc>
        <w:tc>
          <w:tcPr>
            <w:tcW w:w="1220" w:type="dxa"/>
            <w:hideMark/>
          </w:tcPr>
          <w:p>
            <w:pPr>
              <w:spacing w:after="0" w:line="264" w:lineRule="auto"/>
              <w:jc w:val="right"/>
              <w:rPr>
                <w:noProof/>
                <w:color w:val="000000"/>
                <w:sz w:val="22"/>
                <w:szCs w:val="24"/>
              </w:rPr>
            </w:pPr>
            <w:r>
              <w:rPr>
                <w:noProof/>
                <w:color w:val="000000"/>
                <w:sz w:val="22"/>
                <w:szCs w:val="24"/>
              </w:rPr>
              <w:t>-</w:t>
            </w:r>
          </w:p>
        </w:tc>
        <w:tc>
          <w:tcPr>
            <w:tcW w:w="631" w:type="dxa"/>
            <w:noWrap/>
            <w:hideMark/>
          </w:tcPr>
          <w:p>
            <w:pPr>
              <w:spacing w:after="0" w:line="264" w:lineRule="auto"/>
              <w:jc w:val="right"/>
              <w:rPr>
                <w:noProof/>
                <w:color w:val="000000"/>
                <w:sz w:val="22"/>
                <w:szCs w:val="24"/>
              </w:rPr>
            </w:pPr>
            <w:r>
              <w:rPr>
                <w:noProof/>
                <w:color w:val="000000"/>
                <w:sz w:val="22"/>
                <w:szCs w:val="24"/>
              </w:rPr>
              <w:t>-</w:t>
            </w:r>
          </w:p>
        </w:tc>
        <w:tc>
          <w:tcPr>
            <w:tcW w:w="2101" w:type="dxa"/>
            <w:hideMark/>
          </w:tcPr>
          <w:p>
            <w:pPr>
              <w:spacing w:after="0" w:line="264" w:lineRule="auto"/>
              <w:jc w:val="right"/>
              <w:rPr>
                <w:noProof/>
                <w:color w:val="000000"/>
                <w:sz w:val="22"/>
                <w:szCs w:val="24"/>
              </w:rPr>
            </w:pPr>
            <w:r>
              <w:rPr>
                <w:noProof/>
                <w:color w:val="000000"/>
                <w:sz w:val="22"/>
                <w:szCs w:val="24"/>
              </w:rPr>
              <w:t>0</w:t>
            </w:r>
          </w:p>
        </w:tc>
        <w:tc>
          <w:tcPr>
            <w:tcW w:w="1785" w:type="dxa"/>
            <w:hideMark/>
          </w:tcPr>
          <w:p>
            <w:pPr>
              <w:spacing w:after="0" w:line="264" w:lineRule="auto"/>
              <w:jc w:val="right"/>
              <w:rPr>
                <w:noProof/>
                <w:color w:val="000000"/>
                <w:sz w:val="22"/>
                <w:szCs w:val="24"/>
              </w:rPr>
            </w:pPr>
            <w:r>
              <w:rPr>
                <w:noProof/>
                <w:color w:val="000000"/>
                <w:sz w:val="22"/>
                <w:szCs w:val="24"/>
              </w:rPr>
              <w:t>subject on availability of funds (EEEF income waterfall)</w:t>
            </w:r>
          </w:p>
        </w:tc>
        <w:tc>
          <w:tcPr>
            <w:tcW w:w="1695" w:type="dxa"/>
            <w:hideMark/>
          </w:tcPr>
          <w:p>
            <w:pPr>
              <w:spacing w:after="0" w:line="264" w:lineRule="auto"/>
              <w:jc w:val="right"/>
              <w:rPr>
                <w:noProof/>
                <w:color w:val="000000"/>
                <w:sz w:val="22"/>
                <w:szCs w:val="24"/>
              </w:rPr>
            </w:pPr>
            <w:r>
              <w:rPr>
                <w:noProof/>
                <w:color w:val="000000"/>
                <w:sz w:val="22"/>
                <w:szCs w:val="24"/>
              </w:rPr>
              <w:t>2017+</w:t>
            </w:r>
          </w:p>
        </w:tc>
      </w:tr>
      <w:tr>
        <w:trPr>
          <w:trHeight w:val="615"/>
        </w:trPr>
        <w:tc>
          <w:tcPr>
            <w:tcW w:w="1668" w:type="dxa"/>
            <w:hideMark/>
          </w:tcPr>
          <w:p>
            <w:pPr>
              <w:spacing w:after="0" w:line="264" w:lineRule="auto"/>
              <w:rPr>
                <w:b/>
                <w:noProof/>
                <w:color w:val="000000"/>
                <w:sz w:val="22"/>
                <w:szCs w:val="24"/>
              </w:rPr>
            </w:pPr>
            <w:r>
              <w:rPr>
                <w:noProof/>
                <w:color w:val="000000"/>
                <w:sz w:val="22"/>
                <w:szCs w:val="24"/>
              </w:rPr>
              <w:t>CEF</w:t>
            </w:r>
          </w:p>
        </w:tc>
        <w:tc>
          <w:tcPr>
            <w:tcW w:w="1264" w:type="dxa"/>
            <w:hideMark/>
          </w:tcPr>
          <w:p>
            <w:pPr>
              <w:spacing w:after="0" w:line="264" w:lineRule="auto"/>
              <w:rPr>
                <w:noProof/>
                <w:color w:val="000000"/>
                <w:sz w:val="22"/>
                <w:szCs w:val="24"/>
              </w:rPr>
            </w:pPr>
            <w:r>
              <w:rPr>
                <w:noProof/>
                <w:color w:val="000000"/>
                <w:sz w:val="22"/>
                <w:szCs w:val="24"/>
              </w:rPr>
              <w:t>FPA/SGA</w:t>
            </w:r>
          </w:p>
        </w:tc>
        <w:tc>
          <w:tcPr>
            <w:tcW w:w="1613" w:type="dxa"/>
            <w:hideMark/>
          </w:tcPr>
          <w:p>
            <w:pPr>
              <w:spacing w:after="0" w:line="264" w:lineRule="auto"/>
              <w:rPr>
                <w:noProof/>
                <w:color w:val="000000"/>
                <w:sz w:val="22"/>
                <w:szCs w:val="24"/>
              </w:rPr>
            </w:pPr>
            <w:r>
              <w:rPr>
                <w:noProof/>
                <w:color w:val="000000"/>
                <w:sz w:val="22"/>
                <w:szCs w:val="24"/>
              </w:rPr>
              <w:t xml:space="preserve">EIB </w:t>
            </w:r>
          </w:p>
        </w:tc>
        <w:tc>
          <w:tcPr>
            <w:tcW w:w="1906" w:type="dxa"/>
            <w:hideMark/>
          </w:tcPr>
          <w:p>
            <w:pPr>
              <w:spacing w:after="0" w:line="264" w:lineRule="auto"/>
              <w:rPr>
                <w:noProof/>
                <w:color w:val="000000"/>
                <w:sz w:val="22"/>
                <w:szCs w:val="24"/>
              </w:rPr>
            </w:pPr>
            <w:r>
              <w:rPr>
                <w:noProof/>
                <w:color w:val="000000"/>
                <w:sz w:val="22"/>
                <w:szCs w:val="24"/>
              </w:rPr>
              <w:t>EIB / External consultants</w:t>
            </w:r>
          </w:p>
        </w:tc>
        <w:tc>
          <w:tcPr>
            <w:tcW w:w="1357" w:type="dxa"/>
            <w:hideMark/>
          </w:tcPr>
          <w:p>
            <w:pPr>
              <w:spacing w:after="0" w:line="264" w:lineRule="auto"/>
              <w:rPr>
                <w:noProof/>
                <w:color w:val="000000"/>
                <w:sz w:val="22"/>
                <w:szCs w:val="24"/>
              </w:rPr>
            </w:pPr>
            <w:r>
              <w:rPr>
                <w:noProof/>
                <w:color w:val="000000"/>
                <w:sz w:val="22"/>
                <w:szCs w:val="24"/>
              </w:rPr>
              <w:t>cost coverage (FAFA rates)</w:t>
            </w:r>
          </w:p>
        </w:tc>
        <w:tc>
          <w:tcPr>
            <w:tcW w:w="1220" w:type="dxa"/>
            <w:hideMark/>
          </w:tcPr>
          <w:p>
            <w:pPr>
              <w:spacing w:after="0" w:line="264" w:lineRule="auto"/>
              <w:jc w:val="right"/>
              <w:rPr>
                <w:noProof/>
                <w:color w:val="000000"/>
                <w:sz w:val="22"/>
                <w:szCs w:val="24"/>
              </w:rPr>
            </w:pPr>
            <w:r>
              <w:rPr>
                <w:noProof/>
                <w:color w:val="000000"/>
                <w:sz w:val="22"/>
                <w:szCs w:val="24"/>
              </w:rPr>
              <w:t>90%</w:t>
            </w:r>
          </w:p>
        </w:tc>
        <w:tc>
          <w:tcPr>
            <w:tcW w:w="631" w:type="dxa"/>
            <w:hideMark/>
          </w:tcPr>
          <w:p>
            <w:pPr>
              <w:spacing w:after="0" w:line="264" w:lineRule="auto"/>
              <w:jc w:val="right"/>
              <w:rPr>
                <w:noProof/>
                <w:color w:val="000000"/>
                <w:sz w:val="22"/>
                <w:szCs w:val="24"/>
              </w:rPr>
            </w:pPr>
            <w:r>
              <w:rPr>
                <w:noProof/>
                <w:color w:val="000000"/>
                <w:sz w:val="22"/>
                <w:szCs w:val="24"/>
              </w:rPr>
              <w:t>10%</w:t>
            </w:r>
          </w:p>
        </w:tc>
        <w:tc>
          <w:tcPr>
            <w:tcW w:w="2101" w:type="dxa"/>
            <w:hideMark/>
          </w:tcPr>
          <w:p>
            <w:pPr>
              <w:spacing w:after="0" w:line="264" w:lineRule="auto"/>
              <w:jc w:val="right"/>
              <w:rPr>
                <w:noProof/>
                <w:color w:val="000000"/>
                <w:sz w:val="22"/>
                <w:szCs w:val="24"/>
              </w:rPr>
            </w:pPr>
            <w:r>
              <w:rPr>
                <w:noProof/>
                <w:color w:val="000000"/>
                <w:sz w:val="22"/>
                <w:szCs w:val="24"/>
              </w:rPr>
              <w:t>0</w:t>
            </w:r>
          </w:p>
        </w:tc>
        <w:tc>
          <w:tcPr>
            <w:tcW w:w="1785" w:type="dxa"/>
            <w:hideMark/>
          </w:tcPr>
          <w:p>
            <w:pPr>
              <w:spacing w:after="0" w:line="264" w:lineRule="auto"/>
              <w:jc w:val="right"/>
              <w:rPr>
                <w:noProof/>
                <w:color w:val="000000"/>
                <w:sz w:val="22"/>
                <w:szCs w:val="24"/>
              </w:rPr>
            </w:pPr>
            <w:r>
              <w:rPr>
                <w:noProof/>
                <w:color w:val="000000"/>
                <w:sz w:val="22"/>
                <w:szCs w:val="24"/>
              </w:rPr>
              <w:t>1,262,170</w:t>
            </w:r>
          </w:p>
        </w:tc>
        <w:tc>
          <w:tcPr>
            <w:tcW w:w="1695" w:type="dxa"/>
            <w:hideMark/>
          </w:tcPr>
          <w:p>
            <w:pPr>
              <w:spacing w:after="0" w:line="264" w:lineRule="auto"/>
              <w:jc w:val="right"/>
              <w:rPr>
                <w:noProof/>
                <w:color w:val="000000"/>
                <w:sz w:val="22"/>
                <w:szCs w:val="24"/>
              </w:rPr>
            </w:pPr>
            <w:r>
              <w:rPr>
                <w:noProof/>
                <w:color w:val="000000"/>
                <w:sz w:val="22"/>
                <w:szCs w:val="24"/>
              </w:rPr>
              <w:t>2015-2017</w:t>
            </w:r>
          </w:p>
        </w:tc>
      </w:tr>
      <w:tr>
        <w:trPr>
          <w:trHeight w:val="900"/>
        </w:trPr>
        <w:tc>
          <w:tcPr>
            <w:tcW w:w="1668" w:type="dxa"/>
            <w:hideMark/>
          </w:tcPr>
          <w:p>
            <w:pPr>
              <w:spacing w:after="0" w:line="264" w:lineRule="auto"/>
              <w:rPr>
                <w:b/>
                <w:noProof/>
                <w:color w:val="000000"/>
                <w:sz w:val="22"/>
                <w:szCs w:val="24"/>
              </w:rPr>
            </w:pPr>
            <w:r>
              <w:rPr>
                <w:noProof/>
                <w:color w:val="000000"/>
                <w:sz w:val="22"/>
                <w:szCs w:val="24"/>
              </w:rPr>
              <w:t>CEF - MSs</w:t>
            </w:r>
          </w:p>
        </w:tc>
        <w:tc>
          <w:tcPr>
            <w:tcW w:w="1264" w:type="dxa"/>
            <w:hideMark/>
          </w:tcPr>
          <w:p>
            <w:pPr>
              <w:spacing w:after="0" w:line="264" w:lineRule="auto"/>
              <w:rPr>
                <w:noProof/>
                <w:color w:val="000000"/>
                <w:sz w:val="22"/>
                <w:szCs w:val="24"/>
              </w:rPr>
            </w:pPr>
            <w:r>
              <w:rPr>
                <w:noProof/>
                <w:color w:val="000000"/>
                <w:sz w:val="22"/>
                <w:szCs w:val="24"/>
              </w:rPr>
              <w:t>Grant agreement</w:t>
            </w:r>
          </w:p>
        </w:tc>
        <w:tc>
          <w:tcPr>
            <w:tcW w:w="1613" w:type="dxa"/>
            <w:hideMark/>
          </w:tcPr>
          <w:p>
            <w:pPr>
              <w:spacing w:after="0" w:line="264" w:lineRule="auto"/>
              <w:rPr>
                <w:noProof/>
                <w:color w:val="000000"/>
                <w:sz w:val="22"/>
                <w:szCs w:val="24"/>
              </w:rPr>
            </w:pPr>
            <w:r>
              <w:rPr>
                <w:noProof/>
                <w:color w:val="000000"/>
                <w:sz w:val="22"/>
                <w:szCs w:val="24"/>
              </w:rPr>
              <w:t>Rail infra manager/ Ministries</w:t>
            </w:r>
          </w:p>
        </w:tc>
        <w:tc>
          <w:tcPr>
            <w:tcW w:w="1906" w:type="dxa"/>
            <w:hideMark/>
          </w:tcPr>
          <w:p>
            <w:pPr>
              <w:spacing w:after="0" w:line="264" w:lineRule="auto"/>
              <w:rPr>
                <w:noProof/>
                <w:color w:val="000000"/>
                <w:sz w:val="22"/>
                <w:szCs w:val="24"/>
              </w:rPr>
            </w:pPr>
            <w:r>
              <w:rPr>
                <w:noProof/>
                <w:color w:val="000000"/>
                <w:sz w:val="22"/>
                <w:szCs w:val="24"/>
              </w:rPr>
              <w:t>External consultants</w:t>
            </w:r>
          </w:p>
        </w:tc>
        <w:tc>
          <w:tcPr>
            <w:tcW w:w="1357" w:type="dxa"/>
            <w:hideMark/>
          </w:tcPr>
          <w:p>
            <w:pPr>
              <w:spacing w:after="0" w:line="264" w:lineRule="auto"/>
              <w:rPr>
                <w:noProof/>
                <w:color w:val="000000"/>
                <w:sz w:val="22"/>
                <w:szCs w:val="24"/>
              </w:rPr>
            </w:pPr>
            <w:r>
              <w:rPr>
                <w:noProof/>
                <w:color w:val="000000"/>
                <w:sz w:val="22"/>
                <w:szCs w:val="24"/>
              </w:rPr>
              <w:t>real costs</w:t>
            </w:r>
          </w:p>
        </w:tc>
        <w:tc>
          <w:tcPr>
            <w:tcW w:w="1220" w:type="dxa"/>
            <w:hideMark/>
          </w:tcPr>
          <w:p>
            <w:pPr>
              <w:spacing w:after="0" w:line="264" w:lineRule="auto"/>
              <w:jc w:val="right"/>
              <w:rPr>
                <w:noProof/>
                <w:color w:val="000000"/>
                <w:sz w:val="22"/>
                <w:szCs w:val="24"/>
              </w:rPr>
            </w:pPr>
            <w:r>
              <w:rPr>
                <w:noProof/>
                <w:color w:val="000000"/>
                <w:sz w:val="22"/>
                <w:szCs w:val="24"/>
              </w:rPr>
              <w:t>100%</w:t>
            </w:r>
          </w:p>
        </w:tc>
        <w:tc>
          <w:tcPr>
            <w:tcW w:w="631" w:type="dxa"/>
            <w:hideMark/>
          </w:tcPr>
          <w:p>
            <w:pPr>
              <w:spacing w:after="0" w:line="264" w:lineRule="auto"/>
              <w:jc w:val="right"/>
              <w:rPr>
                <w:noProof/>
                <w:color w:val="000000"/>
                <w:sz w:val="22"/>
                <w:szCs w:val="24"/>
              </w:rPr>
            </w:pPr>
            <w:r>
              <w:rPr>
                <w:noProof/>
                <w:color w:val="000000"/>
                <w:sz w:val="22"/>
                <w:szCs w:val="24"/>
              </w:rPr>
              <w:t>0</w:t>
            </w:r>
          </w:p>
        </w:tc>
        <w:tc>
          <w:tcPr>
            <w:tcW w:w="2101" w:type="dxa"/>
            <w:hideMark/>
          </w:tcPr>
          <w:p>
            <w:pPr>
              <w:spacing w:after="0" w:line="264" w:lineRule="auto"/>
              <w:jc w:val="right"/>
              <w:rPr>
                <w:noProof/>
                <w:color w:val="000000"/>
                <w:sz w:val="22"/>
                <w:szCs w:val="24"/>
              </w:rPr>
            </w:pPr>
            <w:r>
              <w:rPr>
                <w:noProof/>
                <w:color w:val="000000"/>
                <w:sz w:val="22"/>
                <w:szCs w:val="24"/>
              </w:rPr>
              <w:t>0</w:t>
            </w:r>
          </w:p>
        </w:tc>
        <w:tc>
          <w:tcPr>
            <w:tcW w:w="1785" w:type="dxa"/>
            <w:hideMark/>
          </w:tcPr>
          <w:p>
            <w:pPr>
              <w:spacing w:after="0" w:line="264" w:lineRule="auto"/>
              <w:jc w:val="right"/>
              <w:rPr>
                <w:noProof/>
                <w:color w:val="000000"/>
                <w:sz w:val="22"/>
                <w:szCs w:val="24"/>
              </w:rPr>
            </w:pPr>
            <w:r>
              <w:rPr>
                <w:noProof/>
                <w:color w:val="000000"/>
                <w:sz w:val="22"/>
                <w:szCs w:val="24"/>
              </w:rPr>
              <w:t>11,644,862</w:t>
            </w:r>
          </w:p>
        </w:tc>
        <w:tc>
          <w:tcPr>
            <w:tcW w:w="1695" w:type="dxa"/>
            <w:hideMark/>
          </w:tcPr>
          <w:p>
            <w:pPr>
              <w:spacing w:after="0" w:line="264" w:lineRule="auto"/>
              <w:jc w:val="right"/>
              <w:rPr>
                <w:noProof/>
                <w:color w:val="000000"/>
                <w:sz w:val="22"/>
                <w:szCs w:val="24"/>
              </w:rPr>
            </w:pPr>
            <w:r>
              <w:rPr>
                <w:noProof/>
                <w:color w:val="000000"/>
                <w:sz w:val="22"/>
                <w:szCs w:val="24"/>
              </w:rPr>
              <w:t>2014-2020</w:t>
            </w:r>
          </w:p>
        </w:tc>
      </w:tr>
      <w:tr>
        <w:trPr>
          <w:trHeight w:val="615"/>
        </w:trPr>
        <w:tc>
          <w:tcPr>
            <w:tcW w:w="1668" w:type="dxa"/>
            <w:hideMark/>
          </w:tcPr>
          <w:p>
            <w:pPr>
              <w:spacing w:after="0" w:line="264" w:lineRule="auto"/>
              <w:rPr>
                <w:b/>
                <w:noProof/>
                <w:color w:val="000000"/>
                <w:sz w:val="22"/>
                <w:szCs w:val="24"/>
              </w:rPr>
            </w:pPr>
            <w:r>
              <w:rPr>
                <w:noProof/>
                <w:color w:val="000000"/>
                <w:sz w:val="22"/>
                <w:szCs w:val="24"/>
              </w:rPr>
              <w:t>H2020 (EE11 PDA)</w:t>
            </w:r>
          </w:p>
        </w:tc>
        <w:tc>
          <w:tcPr>
            <w:tcW w:w="1264" w:type="dxa"/>
            <w:hideMark/>
          </w:tcPr>
          <w:p>
            <w:pPr>
              <w:spacing w:after="0" w:line="264" w:lineRule="auto"/>
              <w:rPr>
                <w:noProof/>
                <w:color w:val="000000"/>
                <w:sz w:val="22"/>
                <w:szCs w:val="24"/>
              </w:rPr>
            </w:pPr>
            <w:r>
              <w:rPr>
                <w:noProof/>
                <w:color w:val="000000"/>
                <w:sz w:val="22"/>
                <w:szCs w:val="24"/>
              </w:rPr>
              <w:t>Agency</w:t>
            </w:r>
          </w:p>
        </w:tc>
        <w:tc>
          <w:tcPr>
            <w:tcW w:w="1613" w:type="dxa"/>
            <w:hideMark/>
          </w:tcPr>
          <w:p>
            <w:pPr>
              <w:spacing w:after="0" w:line="264" w:lineRule="auto"/>
              <w:rPr>
                <w:noProof/>
                <w:color w:val="000000"/>
                <w:sz w:val="22"/>
                <w:szCs w:val="24"/>
              </w:rPr>
            </w:pPr>
            <w:r>
              <w:rPr>
                <w:noProof/>
                <w:color w:val="000000"/>
                <w:sz w:val="22"/>
                <w:szCs w:val="24"/>
              </w:rPr>
              <w:t>EASME</w:t>
            </w:r>
          </w:p>
        </w:tc>
        <w:tc>
          <w:tcPr>
            <w:tcW w:w="1906" w:type="dxa"/>
            <w:hideMark/>
          </w:tcPr>
          <w:p>
            <w:pPr>
              <w:spacing w:after="0" w:line="264" w:lineRule="auto"/>
              <w:rPr>
                <w:noProof/>
                <w:color w:val="000000"/>
                <w:sz w:val="22"/>
                <w:szCs w:val="24"/>
              </w:rPr>
            </w:pPr>
            <w:r>
              <w:rPr>
                <w:noProof/>
                <w:color w:val="000000"/>
                <w:sz w:val="22"/>
                <w:szCs w:val="24"/>
              </w:rPr>
              <w:t>External consultants</w:t>
            </w:r>
          </w:p>
        </w:tc>
        <w:tc>
          <w:tcPr>
            <w:tcW w:w="1357" w:type="dxa"/>
            <w:hideMark/>
          </w:tcPr>
          <w:p>
            <w:pPr>
              <w:spacing w:after="0" w:line="264" w:lineRule="auto"/>
              <w:jc w:val="right"/>
              <w:rPr>
                <w:noProof/>
                <w:color w:val="000000"/>
                <w:sz w:val="22"/>
                <w:szCs w:val="24"/>
              </w:rPr>
            </w:pPr>
            <w:r>
              <w:rPr>
                <w:noProof/>
                <w:color w:val="000000"/>
                <w:sz w:val="22"/>
                <w:szCs w:val="24"/>
              </w:rPr>
              <w:t>-</w:t>
            </w:r>
          </w:p>
        </w:tc>
        <w:tc>
          <w:tcPr>
            <w:tcW w:w="1220" w:type="dxa"/>
            <w:hideMark/>
          </w:tcPr>
          <w:p>
            <w:pPr>
              <w:spacing w:after="0" w:line="264" w:lineRule="auto"/>
              <w:jc w:val="right"/>
              <w:rPr>
                <w:noProof/>
                <w:color w:val="000000"/>
                <w:sz w:val="22"/>
                <w:szCs w:val="24"/>
              </w:rPr>
            </w:pPr>
            <w:r>
              <w:rPr>
                <w:noProof/>
                <w:color w:val="000000"/>
                <w:sz w:val="22"/>
                <w:szCs w:val="24"/>
              </w:rPr>
              <w:t>-</w:t>
            </w:r>
          </w:p>
        </w:tc>
        <w:tc>
          <w:tcPr>
            <w:tcW w:w="631" w:type="dxa"/>
            <w:hideMark/>
          </w:tcPr>
          <w:p>
            <w:pPr>
              <w:spacing w:after="0" w:line="264" w:lineRule="auto"/>
              <w:jc w:val="right"/>
              <w:rPr>
                <w:noProof/>
                <w:color w:val="000000"/>
                <w:sz w:val="22"/>
                <w:szCs w:val="24"/>
              </w:rPr>
            </w:pPr>
            <w:r>
              <w:rPr>
                <w:noProof/>
                <w:color w:val="000000"/>
                <w:sz w:val="22"/>
                <w:szCs w:val="24"/>
              </w:rPr>
              <w:t>-</w:t>
            </w:r>
          </w:p>
        </w:tc>
        <w:tc>
          <w:tcPr>
            <w:tcW w:w="2101" w:type="dxa"/>
            <w:hideMark/>
          </w:tcPr>
          <w:p>
            <w:pPr>
              <w:spacing w:after="0" w:line="264" w:lineRule="auto"/>
              <w:jc w:val="right"/>
              <w:rPr>
                <w:noProof/>
                <w:color w:val="000000"/>
                <w:sz w:val="22"/>
                <w:szCs w:val="24"/>
              </w:rPr>
            </w:pPr>
            <w:r>
              <w:rPr>
                <w:noProof/>
                <w:color w:val="000000"/>
                <w:sz w:val="22"/>
                <w:szCs w:val="24"/>
              </w:rPr>
              <w:t>0 </w:t>
            </w:r>
          </w:p>
        </w:tc>
        <w:tc>
          <w:tcPr>
            <w:tcW w:w="1785" w:type="dxa"/>
            <w:hideMark/>
          </w:tcPr>
          <w:p>
            <w:pPr>
              <w:spacing w:after="0" w:line="264" w:lineRule="auto"/>
              <w:jc w:val="right"/>
              <w:rPr>
                <w:noProof/>
                <w:color w:val="000000"/>
                <w:sz w:val="22"/>
                <w:szCs w:val="24"/>
              </w:rPr>
            </w:pPr>
            <w:r>
              <w:rPr>
                <w:noProof/>
                <w:color w:val="000000"/>
                <w:sz w:val="22"/>
                <w:szCs w:val="24"/>
              </w:rPr>
              <w:t>H2020 grants </w:t>
            </w:r>
          </w:p>
        </w:tc>
        <w:tc>
          <w:tcPr>
            <w:tcW w:w="1695" w:type="dxa"/>
            <w:hideMark/>
          </w:tcPr>
          <w:p>
            <w:pPr>
              <w:spacing w:after="0" w:line="264" w:lineRule="auto"/>
              <w:jc w:val="right"/>
              <w:rPr>
                <w:noProof/>
                <w:color w:val="000000"/>
                <w:sz w:val="22"/>
                <w:szCs w:val="24"/>
              </w:rPr>
            </w:pPr>
            <w:r>
              <w:rPr>
                <w:noProof/>
                <w:color w:val="000000"/>
                <w:sz w:val="22"/>
                <w:szCs w:val="24"/>
              </w:rPr>
              <w:t>2011-2020</w:t>
            </w:r>
          </w:p>
        </w:tc>
      </w:tr>
      <w:tr>
        <w:trPr>
          <w:trHeight w:val="615"/>
        </w:trPr>
        <w:tc>
          <w:tcPr>
            <w:tcW w:w="1668" w:type="dxa"/>
          </w:tcPr>
          <w:p>
            <w:pPr>
              <w:spacing w:after="0" w:line="264" w:lineRule="auto"/>
              <w:rPr>
                <w:b/>
                <w:noProof/>
                <w:color w:val="000000"/>
                <w:sz w:val="22"/>
                <w:szCs w:val="24"/>
              </w:rPr>
            </w:pPr>
            <w:r>
              <w:rPr>
                <w:noProof/>
                <w:color w:val="000000"/>
                <w:sz w:val="22"/>
                <w:szCs w:val="24"/>
              </w:rPr>
              <w:t>NCFF</w:t>
            </w:r>
          </w:p>
        </w:tc>
        <w:tc>
          <w:tcPr>
            <w:tcW w:w="1264" w:type="dxa"/>
          </w:tcPr>
          <w:p>
            <w:pPr>
              <w:spacing w:after="0" w:line="264" w:lineRule="auto"/>
              <w:rPr>
                <w:noProof/>
                <w:color w:val="000000"/>
                <w:sz w:val="22"/>
                <w:szCs w:val="24"/>
              </w:rPr>
            </w:pPr>
            <w:r>
              <w:rPr>
                <w:noProof/>
                <w:color w:val="000000"/>
                <w:sz w:val="22"/>
                <w:szCs w:val="24"/>
              </w:rPr>
              <w:t>DA</w:t>
            </w:r>
          </w:p>
        </w:tc>
        <w:tc>
          <w:tcPr>
            <w:tcW w:w="1613" w:type="dxa"/>
          </w:tcPr>
          <w:p>
            <w:pPr>
              <w:spacing w:after="0" w:line="264" w:lineRule="auto"/>
              <w:rPr>
                <w:noProof/>
                <w:color w:val="000000"/>
                <w:sz w:val="22"/>
                <w:szCs w:val="24"/>
              </w:rPr>
            </w:pPr>
            <w:r>
              <w:rPr>
                <w:noProof/>
                <w:color w:val="000000"/>
                <w:sz w:val="22"/>
                <w:szCs w:val="24"/>
              </w:rPr>
              <w:t>EIB</w:t>
            </w:r>
          </w:p>
        </w:tc>
        <w:tc>
          <w:tcPr>
            <w:tcW w:w="1906" w:type="dxa"/>
          </w:tcPr>
          <w:p>
            <w:pPr>
              <w:spacing w:after="0" w:line="264" w:lineRule="auto"/>
              <w:rPr>
                <w:noProof/>
                <w:color w:val="000000"/>
                <w:sz w:val="22"/>
                <w:szCs w:val="24"/>
              </w:rPr>
            </w:pPr>
            <w:r>
              <w:rPr>
                <w:noProof/>
                <w:color w:val="000000"/>
                <w:sz w:val="22"/>
                <w:szCs w:val="24"/>
              </w:rPr>
              <w:t>External consultants</w:t>
            </w:r>
          </w:p>
        </w:tc>
        <w:tc>
          <w:tcPr>
            <w:tcW w:w="1357" w:type="dxa"/>
          </w:tcPr>
          <w:p>
            <w:pPr>
              <w:spacing w:after="0" w:line="264" w:lineRule="auto"/>
              <w:rPr>
                <w:noProof/>
                <w:color w:val="000000"/>
                <w:sz w:val="22"/>
                <w:szCs w:val="24"/>
              </w:rPr>
            </w:pPr>
            <w:r>
              <w:rPr>
                <w:noProof/>
                <w:color w:val="000000"/>
                <w:sz w:val="22"/>
                <w:szCs w:val="24"/>
              </w:rPr>
              <w:t>5% of the EU contribution committed</w:t>
            </w:r>
          </w:p>
        </w:tc>
        <w:tc>
          <w:tcPr>
            <w:tcW w:w="1220" w:type="dxa"/>
          </w:tcPr>
          <w:p>
            <w:pPr>
              <w:spacing w:after="0" w:line="264" w:lineRule="auto"/>
              <w:jc w:val="right"/>
              <w:rPr>
                <w:noProof/>
                <w:color w:val="000000"/>
                <w:sz w:val="22"/>
                <w:szCs w:val="24"/>
              </w:rPr>
            </w:pPr>
            <w:r>
              <w:rPr>
                <w:noProof/>
                <w:color w:val="000000"/>
                <w:sz w:val="22"/>
                <w:szCs w:val="24"/>
              </w:rPr>
              <w:t>100%</w:t>
            </w:r>
          </w:p>
        </w:tc>
        <w:tc>
          <w:tcPr>
            <w:tcW w:w="631" w:type="dxa"/>
          </w:tcPr>
          <w:p>
            <w:pPr>
              <w:spacing w:after="0" w:line="264" w:lineRule="auto"/>
              <w:jc w:val="right"/>
              <w:rPr>
                <w:noProof/>
                <w:color w:val="000000"/>
                <w:sz w:val="22"/>
                <w:szCs w:val="24"/>
              </w:rPr>
            </w:pPr>
            <w:r>
              <w:rPr>
                <w:noProof/>
                <w:color w:val="000000"/>
                <w:sz w:val="22"/>
                <w:szCs w:val="24"/>
              </w:rPr>
              <w:t>0</w:t>
            </w:r>
          </w:p>
        </w:tc>
        <w:tc>
          <w:tcPr>
            <w:tcW w:w="2101" w:type="dxa"/>
          </w:tcPr>
          <w:p>
            <w:pPr>
              <w:spacing w:after="0" w:line="264" w:lineRule="auto"/>
              <w:jc w:val="center"/>
              <w:rPr>
                <w:noProof/>
                <w:color w:val="000000"/>
                <w:sz w:val="22"/>
                <w:szCs w:val="24"/>
              </w:rPr>
            </w:pPr>
            <w:r>
              <w:rPr>
                <w:noProof/>
                <w:color w:val="000000"/>
                <w:sz w:val="22"/>
                <w:szCs w:val="24"/>
              </w:rPr>
              <w:t>0 (Beneficiary may be asked for a financial contribution on case by case basis)</w:t>
            </w:r>
          </w:p>
        </w:tc>
        <w:tc>
          <w:tcPr>
            <w:tcW w:w="1785" w:type="dxa"/>
          </w:tcPr>
          <w:p>
            <w:pPr>
              <w:spacing w:after="0" w:line="264" w:lineRule="auto"/>
              <w:jc w:val="right"/>
              <w:rPr>
                <w:noProof/>
                <w:color w:val="000000"/>
                <w:sz w:val="22"/>
                <w:szCs w:val="24"/>
              </w:rPr>
            </w:pPr>
            <w:r>
              <w:rPr>
                <w:noProof/>
                <w:color w:val="000000"/>
                <w:sz w:val="22"/>
                <w:szCs w:val="24"/>
              </w:rPr>
              <w:t>10,000,000</w:t>
            </w:r>
          </w:p>
        </w:tc>
        <w:tc>
          <w:tcPr>
            <w:tcW w:w="1695" w:type="dxa"/>
          </w:tcPr>
          <w:p>
            <w:pPr>
              <w:spacing w:after="0" w:line="264" w:lineRule="auto"/>
              <w:jc w:val="right"/>
              <w:rPr>
                <w:noProof/>
                <w:color w:val="000000"/>
                <w:sz w:val="22"/>
                <w:szCs w:val="24"/>
              </w:rPr>
            </w:pPr>
            <w:r>
              <w:rPr>
                <w:noProof/>
                <w:color w:val="000000"/>
                <w:sz w:val="22"/>
                <w:szCs w:val="24"/>
              </w:rPr>
              <w:t>2015-2019 + (extension under consideration)</w:t>
            </w:r>
          </w:p>
        </w:tc>
      </w:tr>
      <w:tr>
        <w:trPr>
          <w:trHeight w:val="615"/>
        </w:trPr>
        <w:tc>
          <w:tcPr>
            <w:tcW w:w="1668" w:type="dxa"/>
          </w:tcPr>
          <w:p>
            <w:pPr>
              <w:spacing w:after="0" w:line="264" w:lineRule="auto"/>
              <w:rPr>
                <w:b/>
                <w:noProof/>
                <w:color w:val="000000"/>
                <w:sz w:val="22"/>
                <w:szCs w:val="24"/>
              </w:rPr>
            </w:pPr>
            <w:r>
              <w:rPr>
                <w:noProof/>
                <w:color w:val="000000"/>
                <w:sz w:val="22"/>
                <w:szCs w:val="24"/>
              </w:rPr>
              <w:t>PF4EE</w:t>
            </w:r>
          </w:p>
        </w:tc>
        <w:tc>
          <w:tcPr>
            <w:tcW w:w="1264" w:type="dxa"/>
          </w:tcPr>
          <w:p>
            <w:pPr>
              <w:spacing w:after="0" w:line="264" w:lineRule="auto"/>
              <w:rPr>
                <w:noProof/>
                <w:color w:val="000000"/>
                <w:sz w:val="22"/>
                <w:szCs w:val="24"/>
              </w:rPr>
            </w:pPr>
            <w:r>
              <w:rPr>
                <w:noProof/>
                <w:color w:val="000000"/>
                <w:sz w:val="22"/>
                <w:szCs w:val="24"/>
              </w:rPr>
              <w:t>DA</w:t>
            </w:r>
          </w:p>
        </w:tc>
        <w:tc>
          <w:tcPr>
            <w:tcW w:w="1613" w:type="dxa"/>
          </w:tcPr>
          <w:p>
            <w:pPr>
              <w:spacing w:after="0" w:line="264" w:lineRule="auto"/>
              <w:rPr>
                <w:noProof/>
                <w:color w:val="000000"/>
                <w:sz w:val="22"/>
                <w:szCs w:val="24"/>
              </w:rPr>
            </w:pPr>
            <w:r>
              <w:rPr>
                <w:noProof/>
                <w:color w:val="000000"/>
                <w:sz w:val="22"/>
                <w:szCs w:val="24"/>
              </w:rPr>
              <w:t>EIB</w:t>
            </w:r>
          </w:p>
        </w:tc>
        <w:tc>
          <w:tcPr>
            <w:tcW w:w="1906" w:type="dxa"/>
          </w:tcPr>
          <w:p>
            <w:pPr>
              <w:spacing w:after="0" w:line="264" w:lineRule="auto"/>
              <w:rPr>
                <w:noProof/>
                <w:color w:val="000000"/>
                <w:sz w:val="22"/>
                <w:szCs w:val="24"/>
              </w:rPr>
            </w:pPr>
            <w:r>
              <w:rPr>
                <w:noProof/>
                <w:color w:val="000000"/>
                <w:sz w:val="22"/>
                <w:szCs w:val="24"/>
              </w:rPr>
              <w:t>EIB/ Financial intermediaries</w:t>
            </w:r>
          </w:p>
        </w:tc>
        <w:tc>
          <w:tcPr>
            <w:tcW w:w="1357" w:type="dxa"/>
          </w:tcPr>
          <w:p>
            <w:pPr>
              <w:spacing w:after="0" w:line="264" w:lineRule="auto"/>
              <w:rPr>
                <w:noProof/>
                <w:color w:val="000000"/>
                <w:sz w:val="22"/>
                <w:szCs w:val="24"/>
              </w:rPr>
            </w:pPr>
            <w:r>
              <w:rPr>
                <w:noProof/>
                <w:color w:val="000000"/>
                <w:sz w:val="22"/>
                <w:szCs w:val="24"/>
              </w:rPr>
              <w:t>6% of the EU contribution committed</w:t>
            </w:r>
          </w:p>
        </w:tc>
        <w:tc>
          <w:tcPr>
            <w:tcW w:w="1220" w:type="dxa"/>
          </w:tcPr>
          <w:p>
            <w:pPr>
              <w:spacing w:after="0" w:line="264" w:lineRule="auto"/>
              <w:jc w:val="right"/>
              <w:rPr>
                <w:noProof/>
                <w:color w:val="000000"/>
                <w:sz w:val="22"/>
                <w:szCs w:val="24"/>
              </w:rPr>
            </w:pPr>
            <w:r>
              <w:rPr>
                <w:noProof/>
                <w:color w:val="000000"/>
                <w:sz w:val="22"/>
                <w:szCs w:val="24"/>
              </w:rPr>
              <w:t>100% </w:t>
            </w:r>
          </w:p>
        </w:tc>
        <w:tc>
          <w:tcPr>
            <w:tcW w:w="631" w:type="dxa"/>
          </w:tcPr>
          <w:p>
            <w:pPr>
              <w:spacing w:after="0" w:line="264" w:lineRule="auto"/>
              <w:jc w:val="right"/>
              <w:rPr>
                <w:noProof/>
                <w:color w:val="000000"/>
                <w:sz w:val="22"/>
                <w:szCs w:val="24"/>
              </w:rPr>
            </w:pPr>
            <w:r>
              <w:rPr>
                <w:noProof/>
                <w:color w:val="000000"/>
                <w:sz w:val="22"/>
                <w:szCs w:val="24"/>
              </w:rPr>
              <w:t>0 </w:t>
            </w:r>
          </w:p>
        </w:tc>
        <w:tc>
          <w:tcPr>
            <w:tcW w:w="2101" w:type="dxa"/>
          </w:tcPr>
          <w:p>
            <w:pPr>
              <w:spacing w:after="0" w:line="264" w:lineRule="auto"/>
              <w:jc w:val="center"/>
              <w:rPr>
                <w:noProof/>
                <w:color w:val="000000"/>
                <w:sz w:val="22"/>
                <w:szCs w:val="24"/>
              </w:rPr>
            </w:pPr>
            <w:r>
              <w:rPr>
                <w:noProof/>
                <w:color w:val="000000"/>
                <w:sz w:val="22"/>
                <w:szCs w:val="24"/>
              </w:rPr>
              <w:t>0 </w:t>
            </w:r>
          </w:p>
        </w:tc>
        <w:tc>
          <w:tcPr>
            <w:tcW w:w="1785" w:type="dxa"/>
          </w:tcPr>
          <w:p>
            <w:pPr>
              <w:spacing w:after="0" w:line="264" w:lineRule="auto"/>
              <w:jc w:val="right"/>
              <w:rPr>
                <w:noProof/>
                <w:color w:val="000000"/>
                <w:sz w:val="22"/>
                <w:szCs w:val="24"/>
              </w:rPr>
            </w:pPr>
            <w:r>
              <w:rPr>
                <w:noProof/>
                <w:color w:val="000000"/>
                <w:sz w:val="22"/>
                <w:szCs w:val="24"/>
              </w:rPr>
              <w:t>3,200,000</w:t>
            </w:r>
          </w:p>
        </w:tc>
        <w:tc>
          <w:tcPr>
            <w:tcW w:w="1695" w:type="dxa"/>
          </w:tcPr>
          <w:p>
            <w:pPr>
              <w:spacing w:after="0" w:line="264" w:lineRule="auto"/>
              <w:jc w:val="right"/>
              <w:rPr>
                <w:noProof/>
                <w:color w:val="000000"/>
                <w:sz w:val="22"/>
                <w:szCs w:val="24"/>
              </w:rPr>
            </w:pPr>
            <w:r>
              <w:rPr>
                <w:noProof/>
                <w:color w:val="000000"/>
                <w:sz w:val="22"/>
                <w:szCs w:val="24"/>
              </w:rPr>
              <w:t>2014-2019</w:t>
            </w:r>
          </w:p>
        </w:tc>
      </w:tr>
      <w:tr>
        <w:trPr>
          <w:trHeight w:val="330"/>
        </w:trPr>
        <w:tc>
          <w:tcPr>
            <w:tcW w:w="1668" w:type="dxa"/>
          </w:tcPr>
          <w:p>
            <w:pPr>
              <w:spacing w:after="0" w:line="264" w:lineRule="auto"/>
              <w:rPr>
                <w:noProof/>
                <w:color w:val="000000"/>
                <w:sz w:val="22"/>
                <w:szCs w:val="24"/>
              </w:rPr>
            </w:pPr>
            <w:r>
              <w:rPr>
                <w:noProof/>
                <w:color w:val="000000"/>
                <w:sz w:val="22"/>
                <w:szCs w:val="24"/>
              </w:rPr>
              <w:t>Smart Specialisation Platform for industrial modernisation</w:t>
            </w:r>
          </w:p>
        </w:tc>
        <w:tc>
          <w:tcPr>
            <w:tcW w:w="1264" w:type="dxa"/>
            <w:noWrap/>
          </w:tcPr>
          <w:p>
            <w:pPr>
              <w:spacing w:after="0" w:line="264" w:lineRule="auto"/>
              <w:rPr>
                <w:noProof/>
                <w:color w:val="000000"/>
                <w:sz w:val="22"/>
                <w:szCs w:val="24"/>
              </w:rPr>
            </w:pPr>
            <w:r>
              <w:rPr>
                <w:noProof/>
                <w:color w:val="000000"/>
                <w:sz w:val="22"/>
                <w:szCs w:val="24"/>
              </w:rPr>
              <w:t>Service contract</w:t>
            </w:r>
          </w:p>
        </w:tc>
        <w:tc>
          <w:tcPr>
            <w:tcW w:w="1613" w:type="dxa"/>
            <w:noWrap/>
          </w:tcPr>
          <w:p>
            <w:pPr>
              <w:spacing w:after="0" w:line="264" w:lineRule="auto"/>
              <w:rPr>
                <w:noProof/>
                <w:color w:val="000000"/>
                <w:sz w:val="22"/>
                <w:szCs w:val="24"/>
              </w:rPr>
            </w:pPr>
            <w:r>
              <w:rPr>
                <w:noProof/>
                <w:color w:val="000000"/>
                <w:sz w:val="22"/>
                <w:szCs w:val="24"/>
              </w:rPr>
              <w:t>GROW</w:t>
            </w:r>
          </w:p>
        </w:tc>
        <w:tc>
          <w:tcPr>
            <w:tcW w:w="1906" w:type="dxa"/>
            <w:noWrap/>
          </w:tcPr>
          <w:p>
            <w:pPr>
              <w:spacing w:after="0" w:line="264" w:lineRule="auto"/>
              <w:rPr>
                <w:noProof/>
                <w:color w:val="000000"/>
                <w:sz w:val="22"/>
                <w:szCs w:val="24"/>
              </w:rPr>
            </w:pPr>
            <w:r>
              <w:rPr>
                <w:noProof/>
                <w:color w:val="000000"/>
                <w:sz w:val="22"/>
                <w:szCs w:val="24"/>
              </w:rPr>
              <w:t>External consultants</w:t>
            </w:r>
          </w:p>
        </w:tc>
        <w:tc>
          <w:tcPr>
            <w:tcW w:w="1357" w:type="dxa"/>
            <w:noWrap/>
          </w:tcPr>
          <w:p>
            <w:pPr>
              <w:spacing w:after="0" w:line="264" w:lineRule="auto"/>
              <w:rPr>
                <w:noProof/>
                <w:color w:val="000000"/>
                <w:sz w:val="22"/>
                <w:szCs w:val="24"/>
              </w:rPr>
            </w:pPr>
          </w:p>
        </w:tc>
        <w:tc>
          <w:tcPr>
            <w:tcW w:w="1220" w:type="dxa"/>
            <w:noWrap/>
          </w:tcPr>
          <w:p>
            <w:pPr>
              <w:spacing w:after="0" w:line="264" w:lineRule="auto"/>
              <w:jc w:val="right"/>
              <w:rPr>
                <w:noProof/>
                <w:color w:val="000000"/>
                <w:sz w:val="22"/>
                <w:szCs w:val="24"/>
              </w:rPr>
            </w:pPr>
            <w:r>
              <w:rPr>
                <w:noProof/>
                <w:color w:val="000000"/>
                <w:sz w:val="22"/>
                <w:szCs w:val="24"/>
              </w:rPr>
              <w:t>100%</w:t>
            </w:r>
          </w:p>
        </w:tc>
        <w:tc>
          <w:tcPr>
            <w:tcW w:w="631" w:type="dxa"/>
            <w:noWrap/>
          </w:tcPr>
          <w:p>
            <w:pPr>
              <w:spacing w:after="0" w:line="264" w:lineRule="auto"/>
              <w:jc w:val="right"/>
              <w:rPr>
                <w:noProof/>
                <w:color w:val="000000"/>
                <w:sz w:val="22"/>
                <w:szCs w:val="24"/>
              </w:rPr>
            </w:pPr>
            <w:r>
              <w:rPr>
                <w:noProof/>
                <w:color w:val="000000"/>
                <w:sz w:val="22"/>
                <w:szCs w:val="24"/>
              </w:rPr>
              <w:t>n/a</w:t>
            </w:r>
          </w:p>
        </w:tc>
        <w:tc>
          <w:tcPr>
            <w:tcW w:w="2101" w:type="dxa"/>
            <w:noWrap/>
          </w:tcPr>
          <w:p>
            <w:pPr>
              <w:spacing w:after="0" w:line="264" w:lineRule="auto"/>
              <w:rPr>
                <w:noProof/>
                <w:color w:val="000000"/>
                <w:sz w:val="22"/>
                <w:szCs w:val="24"/>
              </w:rPr>
            </w:pPr>
          </w:p>
        </w:tc>
        <w:tc>
          <w:tcPr>
            <w:tcW w:w="1785" w:type="dxa"/>
            <w:noWrap/>
          </w:tcPr>
          <w:p>
            <w:pPr>
              <w:spacing w:after="0" w:line="264" w:lineRule="auto"/>
              <w:jc w:val="right"/>
              <w:rPr>
                <w:noProof/>
                <w:color w:val="000000"/>
                <w:sz w:val="22"/>
                <w:szCs w:val="24"/>
              </w:rPr>
            </w:pPr>
            <w:r>
              <w:rPr>
                <w:noProof/>
                <w:color w:val="000000"/>
                <w:sz w:val="22"/>
                <w:szCs w:val="24"/>
              </w:rPr>
              <w:t>1,500,000</w:t>
            </w:r>
          </w:p>
        </w:tc>
        <w:tc>
          <w:tcPr>
            <w:tcW w:w="1695" w:type="dxa"/>
            <w:noWrap/>
          </w:tcPr>
          <w:p>
            <w:pPr>
              <w:spacing w:after="0" w:line="264" w:lineRule="auto"/>
              <w:jc w:val="right"/>
              <w:rPr>
                <w:noProof/>
                <w:color w:val="000000"/>
                <w:sz w:val="22"/>
                <w:szCs w:val="24"/>
              </w:rPr>
            </w:pPr>
            <w:r>
              <w:rPr>
                <w:noProof/>
                <w:color w:val="000000"/>
                <w:sz w:val="22"/>
                <w:szCs w:val="24"/>
              </w:rPr>
              <w:t>2018-2020</w:t>
            </w:r>
          </w:p>
        </w:tc>
      </w:tr>
      <w:tr>
        <w:trPr>
          <w:trHeight w:val="330"/>
        </w:trPr>
        <w:tc>
          <w:tcPr>
            <w:tcW w:w="1668" w:type="dxa"/>
          </w:tcPr>
          <w:p>
            <w:pPr>
              <w:spacing w:after="0" w:line="264" w:lineRule="auto"/>
              <w:rPr>
                <w:noProof/>
                <w:color w:val="000000"/>
                <w:sz w:val="22"/>
                <w:szCs w:val="24"/>
              </w:rPr>
            </w:pPr>
            <w:r>
              <w:rPr>
                <w:noProof/>
                <w:color w:val="000000"/>
                <w:sz w:val="22"/>
                <w:szCs w:val="24"/>
              </w:rPr>
              <w:t xml:space="preserve">City Facility </w:t>
            </w:r>
          </w:p>
        </w:tc>
        <w:tc>
          <w:tcPr>
            <w:tcW w:w="1264" w:type="dxa"/>
            <w:noWrap/>
          </w:tcPr>
          <w:p>
            <w:pPr>
              <w:spacing w:after="0" w:line="264" w:lineRule="auto"/>
              <w:rPr>
                <w:noProof/>
                <w:color w:val="000000"/>
                <w:sz w:val="22"/>
                <w:szCs w:val="24"/>
              </w:rPr>
            </w:pPr>
            <w:r>
              <w:rPr>
                <w:noProof/>
                <w:color w:val="000000"/>
                <w:sz w:val="22"/>
                <w:szCs w:val="24"/>
              </w:rPr>
              <w:t>Grants</w:t>
            </w:r>
          </w:p>
        </w:tc>
        <w:tc>
          <w:tcPr>
            <w:tcW w:w="1613" w:type="dxa"/>
            <w:noWrap/>
          </w:tcPr>
          <w:p>
            <w:pPr>
              <w:spacing w:after="0" w:line="264" w:lineRule="auto"/>
              <w:rPr>
                <w:noProof/>
                <w:color w:val="000000"/>
                <w:sz w:val="22"/>
                <w:szCs w:val="24"/>
              </w:rPr>
            </w:pPr>
            <w:r>
              <w:rPr>
                <w:noProof/>
                <w:color w:val="000000"/>
                <w:sz w:val="22"/>
                <w:szCs w:val="24"/>
              </w:rPr>
              <w:t>ENER/EASME</w:t>
            </w:r>
          </w:p>
        </w:tc>
        <w:tc>
          <w:tcPr>
            <w:tcW w:w="1906" w:type="dxa"/>
            <w:noWrap/>
          </w:tcPr>
          <w:p>
            <w:pPr>
              <w:spacing w:after="0" w:line="264" w:lineRule="auto"/>
              <w:rPr>
                <w:noProof/>
                <w:color w:val="000000"/>
                <w:sz w:val="22"/>
                <w:szCs w:val="24"/>
              </w:rPr>
            </w:pPr>
            <w:r>
              <w:rPr>
                <w:noProof/>
                <w:color w:val="000000"/>
                <w:sz w:val="22"/>
                <w:szCs w:val="24"/>
              </w:rPr>
              <w:t>Executive Agency</w:t>
            </w:r>
          </w:p>
        </w:tc>
        <w:tc>
          <w:tcPr>
            <w:tcW w:w="1357" w:type="dxa"/>
            <w:noWrap/>
          </w:tcPr>
          <w:p>
            <w:pPr>
              <w:spacing w:after="0" w:line="264" w:lineRule="auto"/>
              <w:rPr>
                <w:noProof/>
                <w:color w:val="000000"/>
                <w:sz w:val="22"/>
                <w:szCs w:val="24"/>
              </w:rPr>
            </w:pPr>
          </w:p>
        </w:tc>
        <w:tc>
          <w:tcPr>
            <w:tcW w:w="1220" w:type="dxa"/>
            <w:noWrap/>
          </w:tcPr>
          <w:p>
            <w:pPr>
              <w:spacing w:after="0" w:line="264" w:lineRule="auto"/>
              <w:jc w:val="right"/>
              <w:rPr>
                <w:noProof/>
                <w:color w:val="000000"/>
                <w:sz w:val="22"/>
                <w:szCs w:val="24"/>
              </w:rPr>
            </w:pPr>
            <w:r>
              <w:rPr>
                <w:noProof/>
                <w:color w:val="000000"/>
                <w:sz w:val="22"/>
                <w:szCs w:val="24"/>
              </w:rPr>
              <w:t>n/a</w:t>
            </w:r>
          </w:p>
        </w:tc>
        <w:tc>
          <w:tcPr>
            <w:tcW w:w="631" w:type="dxa"/>
            <w:noWrap/>
          </w:tcPr>
          <w:p>
            <w:pPr>
              <w:spacing w:after="0" w:line="264" w:lineRule="auto"/>
              <w:jc w:val="right"/>
              <w:rPr>
                <w:noProof/>
                <w:color w:val="000000"/>
                <w:sz w:val="22"/>
                <w:szCs w:val="24"/>
              </w:rPr>
            </w:pPr>
          </w:p>
        </w:tc>
        <w:tc>
          <w:tcPr>
            <w:tcW w:w="2101" w:type="dxa"/>
            <w:noWrap/>
          </w:tcPr>
          <w:p>
            <w:pPr>
              <w:spacing w:after="0" w:line="264" w:lineRule="auto"/>
              <w:rPr>
                <w:noProof/>
                <w:color w:val="000000"/>
                <w:sz w:val="22"/>
                <w:szCs w:val="24"/>
              </w:rPr>
            </w:pPr>
          </w:p>
        </w:tc>
        <w:tc>
          <w:tcPr>
            <w:tcW w:w="1785" w:type="dxa"/>
            <w:noWrap/>
          </w:tcPr>
          <w:p>
            <w:pPr>
              <w:spacing w:after="0" w:line="264" w:lineRule="auto"/>
              <w:jc w:val="right"/>
              <w:rPr>
                <w:noProof/>
                <w:color w:val="000000"/>
                <w:sz w:val="22"/>
                <w:szCs w:val="24"/>
              </w:rPr>
            </w:pPr>
            <w:r>
              <w:rPr>
                <w:noProof/>
                <w:color w:val="000000"/>
                <w:sz w:val="22"/>
                <w:szCs w:val="24"/>
              </w:rPr>
              <w:t>11,000,000</w:t>
            </w:r>
          </w:p>
        </w:tc>
        <w:tc>
          <w:tcPr>
            <w:tcW w:w="1695" w:type="dxa"/>
            <w:noWrap/>
          </w:tcPr>
          <w:p>
            <w:pPr>
              <w:spacing w:after="0" w:line="264" w:lineRule="auto"/>
              <w:jc w:val="right"/>
              <w:rPr>
                <w:noProof/>
                <w:color w:val="000000"/>
                <w:sz w:val="22"/>
                <w:szCs w:val="24"/>
              </w:rPr>
            </w:pPr>
            <w:r>
              <w:rPr>
                <w:noProof/>
                <w:color w:val="000000"/>
                <w:sz w:val="22"/>
                <w:szCs w:val="24"/>
              </w:rPr>
              <w:t>2018-2020</w:t>
            </w:r>
          </w:p>
        </w:tc>
      </w:tr>
      <w:tr>
        <w:trPr>
          <w:trHeight w:val="330"/>
        </w:trPr>
        <w:tc>
          <w:tcPr>
            <w:tcW w:w="1668" w:type="dxa"/>
          </w:tcPr>
          <w:p>
            <w:pPr>
              <w:spacing w:after="0" w:line="264" w:lineRule="auto"/>
              <w:rPr>
                <w:noProof/>
                <w:color w:val="000000"/>
                <w:sz w:val="22"/>
                <w:szCs w:val="24"/>
              </w:rPr>
            </w:pPr>
            <w:r>
              <w:rPr>
                <w:noProof/>
                <w:color w:val="000000"/>
                <w:sz w:val="22"/>
                <w:szCs w:val="24"/>
              </w:rPr>
              <w:t>Islands Facility</w:t>
            </w:r>
          </w:p>
        </w:tc>
        <w:tc>
          <w:tcPr>
            <w:tcW w:w="1264" w:type="dxa"/>
            <w:noWrap/>
          </w:tcPr>
          <w:p>
            <w:pPr>
              <w:spacing w:after="0" w:line="264" w:lineRule="auto"/>
              <w:rPr>
                <w:noProof/>
                <w:color w:val="000000"/>
                <w:sz w:val="22"/>
                <w:szCs w:val="24"/>
              </w:rPr>
            </w:pPr>
            <w:r>
              <w:rPr>
                <w:noProof/>
                <w:color w:val="000000"/>
                <w:sz w:val="22"/>
                <w:szCs w:val="24"/>
              </w:rPr>
              <w:t>Grants</w:t>
            </w:r>
          </w:p>
        </w:tc>
        <w:tc>
          <w:tcPr>
            <w:tcW w:w="1613" w:type="dxa"/>
            <w:noWrap/>
          </w:tcPr>
          <w:p>
            <w:pPr>
              <w:spacing w:after="0" w:line="264" w:lineRule="auto"/>
              <w:rPr>
                <w:noProof/>
                <w:color w:val="000000"/>
                <w:sz w:val="22"/>
                <w:szCs w:val="24"/>
              </w:rPr>
            </w:pPr>
            <w:r>
              <w:rPr>
                <w:noProof/>
                <w:color w:val="000000"/>
                <w:sz w:val="22"/>
                <w:szCs w:val="24"/>
              </w:rPr>
              <w:t>ENER</w:t>
            </w:r>
          </w:p>
        </w:tc>
        <w:tc>
          <w:tcPr>
            <w:tcW w:w="1906" w:type="dxa"/>
            <w:noWrap/>
          </w:tcPr>
          <w:p>
            <w:pPr>
              <w:spacing w:after="0" w:line="264" w:lineRule="auto"/>
              <w:rPr>
                <w:noProof/>
                <w:color w:val="000000"/>
                <w:sz w:val="22"/>
                <w:szCs w:val="24"/>
              </w:rPr>
            </w:pPr>
            <w:r>
              <w:rPr>
                <w:noProof/>
                <w:color w:val="000000"/>
                <w:sz w:val="22"/>
                <w:szCs w:val="24"/>
              </w:rPr>
              <w:t>External consultants</w:t>
            </w:r>
          </w:p>
        </w:tc>
        <w:tc>
          <w:tcPr>
            <w:tcW w:w="1357" w:type="dxa"/>
            <w:noWrap/>
          </w:tcPr>
          <w:p>
            <w:pPr>
              <w:spacing w:after="0" w:line="264" w:lineRule="auto"/>
              <w:rPr>
                <w:noProof/>
                <w:color w:val="000000"/>
                <w:sz w:val="22"/>
                <w:szCs w:val="24"/>
              </w:rPr>
            </w:pPr>
          </w:p>
        </w:tc>
        <w:tc>
          <w:tcPr>
            <w:tcW w:w="1220" w:type="dxa"/>
            <w:noWrap/>
          </w:tcPr>
          <w:p>
            <w:pPr>
              <w:spacing w:after="0" w:line="264" w:lineRule="auto"/>
              <w:jc w:val="right"/>
              <w:rPr>
                <w:noProof/>
                <w:color w:val="000000"/>
                <w:sz w:val="22"/>
                <w:szCs w:val="24"/>
              </w:rPr>
            </w:pPr>
            <w:r>
              <w:rPr>
                <w:noProof/>
                <w:color w:val="000000"/>
                <w:sz w:val="22"/>
                <w:szCs w:val="24"/>
              </w:rPr>
              <w:t>n/a</w:t>
            </w:r>
          </w:p>
        </w:tc>
        <w:tc>
          <w:tcPr>
            <w:tcW w:w="631" w:type="dxa"/>
            <w:noWrap/>
          </w:tcPr>
          <w:p>
            <w:pPr>
              <w:spacing w:after="0" w:line="264" w:lineRule="auto"/>
              <w:rPr>
                <w:noProof/>
                <w:color w:val="000000"/>
                <w:sz w:val="22"/>
                <w:szCs w:val="24"/>
              </w:rPr>
            </w:pPr>
          </w:p>
        </w:tc>
        <w:tc>
          <w:tcPr>
            <w:tcW w:w="2101" w:type="dxa"/>
            <w:noWrap/>
          </w:tcPr>
          <w:p>
            <w:pPr>
              <w:spacing w:after="0" w:line="264" w:lineRule="auto"/>
              <w:rPr>
                <w:noProof/>
                <w:color w:val="000000"/>
                <w:sz w:val="22"/>
                <w:szCs w:val="24"/>
              </w:rPr>
            </w:pPr>
          </w:p>
        </w:tc>
        <w:tc>
          <w:tcPr>
            <w:tcW w:w="1785" w:type="dxa"/>
            <w:noWrap/>
          </w:tcPr>
          <w:p>
            <w:pPr>
              <w:spacing w:after="0" w:line="264" w:lineRule="auto"/>
              <w:jc w:val="right"/>
              <w:rPr>
                <w:noProof/>
                <w:color w:val="000000"/>
                <w:sz w:val="22"/>
                <w:szCs w:val="24"/>
              </w:rPr>
            </w:pPr>
            <w:r>
              <w:rPr>
                <w:noProof/>
                <w:color w:val="000000"/>
                <w:sz w:val="22"/>
                <w:szCs w:val="24"/>
              </w:rPr>
              <w:t>10,000,000</w:t>
            </w:r>
          </w:p>
        </w:tc>
        <w:tc>
          <w:tcPr>
            <w:tcW w:w="1695" w:type="dxa"/>
            <w:noWrap/>
          </w:tcPr>
          <w:p>
            <w:pPr>
              <w:spacing w:after="0" w:line="264" w:lineRule="auto"/>
              <w:jc w:val="right"/>
              <w:rPr>
                <w:noProof/>
                <w:color w:val="000000"/>
                <w:sz w:val="22"/>
                <w:szCs w:val="24"/>
              </w:rPr>
            </w:pPr>
            <w:r>
              <w:rPr>
                <w:noProof/>
                <w:color w:val="000000"/>
                <w:sz w:val="22"/>
                <w:szCs w:val="24"/>
              </w:rPr>
              <w:t>2018-2020</w:t>
            </w:r>
          </w:p>
        </w:tc>
      </w:tr>
      <w:tr>
        <w:trPr>
          <w:trHeight w:val="330"/>
        </w:trPr>
        <w:tc>
          <w:tcPr>
            <w:tcW w:w="1668" w:type="dxa"/>
            <w:shd w:val="clear" w:color="auto" w:fill="auto"/>
          </w:tcPr>
          <w:p>
            <w:pPr>
              <w:spacing w:after="0" w:line="264" w:lineRule="auto"/>
              <w:rPr>
                <w:noProof/>
                <w:color w:val="000000"/>
                <w:sz w:val="22"/>
                <w:szCs w:val="24"/>
              </w:rPr>
            </w:pPr>
            <w:r>
              <w:rPr>
                <w:noProof/>
                <w:color w:val="000000"/>
                <w:sz w:val="22"/>
                <w:szCs w:val="24"/>
              </w:rPr>
              <w:t>Internal Market - Voluntary ex ante mechanism</w:t>
            </w:r>
          </w:p>
        </w:tc>
        <w:tc>
          <w:tcPr>
            <w:tcW w:w="1264" w:type="dxa"/>
            <w:shd w:val="clear" w:color="auto" w:fill="auto"/>
            <w:noWrap/>
          </w:tcPr>
          <w:p>
            <w:pPr>
              <w:spacing w:after="0" w:line="264" w:lineRule="auto"/>
              <w:rPr>
                <w:noProof/>
                <w:color w:val="000000"/>
                <w:sz w:val="22"/>
                <w:szCs w:val="24"/>
              </w:rPr>
            </w:pPr>
            <w:r>
              <w:rPr>
                <w:noProof/>
                <w:color w:val="000000"/>
                <w:sz w:val="22"/>
                <w:szCs w:val="24"/>
              </w:rPr>
              <w:t>Commission services</w:t>
            </w:r>
          </w:p>
        </w:tc>
        <w:tc>
          <w:tcPr>
            <w:tcW w:w="1613" w:type="dxa"/>
            <w:shd w:val="clear" w:color="auto" w:fill="auto"/>
            <w:noWrap/>
          </w:tcPr>
          <w:p>
            <w:pPr>
              <w:spacing w:after="0" w:line="264" w:lineRule="auto"/>
              <w:rPr>
                <w:noProof/>
                <w:color w:val="000000"/>
                <w:sz w:val="22"/>
                <w:szCs w:val="24"/>
              </w:rPr>
            </w:pPr>
            <w:r>
              <w:rPr>
                <w:noProof/>
                <w:color w:val="000000"/>
                <w:sz w:val="22"/>
                <w:szCs w:val="24"/>
              </w:rPr>
              <w:t>GROW</w:t>
            </w:r>
          </w:p>
        </w:tc>
        <w:tc>
          <w:tcPr>
            <w:tcW w:w="1906" w:type="dxa"/>
            <w:shd w:val="clear" w:color="auto" w:fill="auto"/>
            <w:noWrap/>
          </w:tcPr>
          <w:p>
            <w:pPr>
              <w:spacing w:after="0" w:line="264" w:lineRule="auto"/>
              <w:rPr>
                <w:noProof/>
                <w:color w:val="000000"/>
                <w:sz w:val="22"/>
                <w:szCs w:val="24"/>
              </w:rPr>
            </w:pPr>
            <w:r>
              <w:rPr>
                <w:noProof/>
                <w:color w:val="000000"/>
                <w:sz w:val="22"/>
                <w:szCs w:val="24"/>
              </w:rPr>
              <w:t>Commission staff</w:t>
            </w:r>
          </w:p>
        </w:tc>
        <w:tc>
          <w:tcPr>
            <w:tcW w:w="1357" w:type="dxa"/>
            <w:noWrap/>
          </w:tcPr>
          <w:p>
            <w:pPr>
              <w:spacing w:after="0" w:line="264" w:lineRule="auto"/>
              <w:rPr>
                <w:noProof/>
                <w:color w:val="000000"/>
                <w:sz w:val="22"/>
                <w:szCs w:val="24"/>
              </w:rPr>
            </w:pPr>
            <w:r>
              <w:rPr>
                <w:noProof/>
                <w:color w:val="000000"/>
                <w:sz w:val="22"/>
                <w:szCs w:val="24"/>
              </w:rPr>
              <w:t>-</w:t>
            </w:r>
          </w:p>
        </w:tc>
        <w:tc>
          <w:tcPr>
            <w:tcW w:w="1220" w:type="dxa"/>
            <w:noWrap/>
          </w:tcPr>
          <w:p>
            <w:pPr>
              <w:spacing w:after="0" w:line="264" w:lineRule="auto"/>
              <w:jc w:val="right"/>
              <w:rPr>
                <w:noProof/>
                <w:color w:val="000000"/>
                <w:sz w:val="22"/>
                <w:szCs w:val="24"/>
              </w:rPr>
            </w:pPr>
            <w:r>
              <w:rPr>
                <w:noProof/>
                <w:color w:val="000000"/>
                <w:sz w:val="22"/>
                <w:szCs w:val="24"/>
              </w:rPr>
              <w:t>n/a</w:t>
            </w:r>
          </w:p>
        </w:tc>
        <w:tc>
          <w:tcPr>
            <w:tcW w:w="631" w:type="dxa"/>
            <w:noWrap/>
          </w:tcPr>
          <w:p>
            <w:pPr>
              <w:spacing w:after="0" w:line="264" w:lineRule="auto"/>
              <w:rPr>
                <w:noProof/>
                <w:color w:val="000000"/>
                <w:sz w:val="22"/>
                <w:szCs w:val="24"/>
              </w:rPr>
            </w:pPr>
          </w:p>
        </w:tc>
        <w:tc>
          <w:tcPr>
            <w:tcW w:w="2101" w:type="dxa"/>
            <w:shd w:val="clear" w:color="auto" w:fill="auto"/>
            <w:noWrap/>
          </w:tcPr>
          <w:p>
            <w:pPr>
              <w:spacing w:after="0" w:line="264" w:lineRule="auto"/>
              <w:rPr>
                <w:noProof/>
                <w:color w:val="000000"/>
                <w:sz w:val="22"/>
                <w:szCs w:val="24"/>
              </w:rPr>
            </w:pPr>
            <w:r>
              <w:rPr>
                <w:noProof/>
                <w:color w:val="000000"/>
                <w:sz w:val="22"/>
                <w:szCs w:val="24"/>
              </w:rPr>
              <w:t>0</w:t>
            </w:r>
          </w:p>
        </w:tc>
        <w:tc>
          <w:tcPr>
            <w:tcW w:w="1785" w:type="dxa"/>
            <w:shd w:val="clear" w:color="auto" w:fill="auto"/>
            <w:noWrap/>
          </w:tcPr>
          <w:p>
            <w:pPr>
              <w:spacing w:after="0" w:line="264" w:lineRule="auto"/>
              <w:jc w:val="right"/>
              <w:rPr>
                <w:noProof/>
                <w:color w:val="000000"/>
                <w:sz w:val="22"/>
                <w:szCs w:val="24"/>
              </w:rPr>
            </w:pPr>
            <w:r>
              <w:rPr>
                <w:b/>
                <w:noProof/>
                <w:color w:val="000000"/>
                <w:sz w:val="22"/>
                <w:szCs w:val="24"/>
              </w:rPr>
              <w:t>-</w:t>
            </w:r>
          </w:p>
        </w:tc>
        <w:tc>
          <w:tcPr>
            <w:tcW w:w="1695" w:type="dxa"/>
            <w:shd w:val="clear" w:color="auto" w:fill="auto"/>
            <w:noWrap/>
          </w:tcPr>
          <w:p>
            <w:pPr>
              <w:spacing w:after="0" w:line="264" w:lineRule="auto"/>
              <w:jc w:val="right"/>
              <w:rPr>
                <w:noProof/>
                <w:color w:val="000000"/>
                <w:sz w:val="22"/>
                <w:szCs w:val="24"/>
              </w:rPr>
            </w:pPr>
            <w:r>
              <w:rPr>
                <w:noProof/>
                <w:color w:val="000000"/>
                <w:sz w:val="22"/>
                <w:szCs w:val="24"/>
              </w:rPr>
              <w:t>2017- onward</w:t>
            </w:r>
          </w:p>
        </w:tc>
      </w:tr>
      <w:tr>
        <w:trPr>
          <w:trHeight w:val="330"/>
        </w:trPr>
        <w:tc>
          <w:tcPr>
            <w:tcW w:w="1668" w:type="dxa"/>
          </w:tcPr>
          <w:p>
            <w:pPr>
              <w:spacing w:after="0" w:line="264" w:lineRule="auto"/>
              <w:rPr>
                <w:noProof/>
                <w:color w:val="000000"/>
                <w:sz w:val="22"/>
                <w:szCs w:val="24"/>
              </w:rPr>
            </w:pPr>
            <w:r>
              <w:rPr>
                <w:noProof/>
                <w:color w:val="000000"/>
                <w:sz w:val="22"/>
                <w:szCs w:val="24"/>
              </w:rPr>
              <w:t>EaSI</w:t>
            </w:r>
          </w:p>
        </w:tc>
        <w:tc>
          <w:tcPr>
            <w:tcW w:w="1264" w:type="dxa"/>
            <w:noWrap/>
          </w:tcPr>
          <w:p>
            <w:pPr>
              <w:spacing w:after="0" w:line="264" w:lineRule="auto"/>
              <w:rPr>
                <w:noProof/>
                <w:color w:val="000000"/>
                <w:sz w:val="22"/>
                <w:szCs w:val="24"/>
              </w:rPr>
            </w:pPr>
            <w:r>
              <w:rPr>
                <w:noProof/>
                <w:color w:val="000000"/>
                <w:sz w:val="22"/>
                <w:szCs w:val="24"/>
              </w:rPr>
              <w:t>Service contract</w:t>
            </w:r>
          </w:p>
        </w:tc>
        <w:tc>
          <w:tcPr>
            <w:tcW w:w="1613" w:type="dxa"/>
            <w:noWrap/>
          </w:tcPr>
          <w:p>
            <w:pPr>
              <w:spacing w:after="0" w:line="264" w:lineRule="auto"/>
              <w:rPr>
                <w:noProof/>
                <w:color w:val="000000"/>
                <w:sz w:val="22"/>
                <w:szCs w:val="24"/>
              </w:rPr>
            </w:pPr>
            <w:r>
              <w:rPr>
                <w:noProof/>
                <w:color w:val="000000"/>
                <w:sz w:val="22"/>
                <w:szCs w:val="24"/>
              </w:rPr>
              <w:t>EMPL</w:t>
            </w:r>
          </w:p>
        </w:tc>
        <w:tc>
          <w:tcPr>
            <w:tcW w:w="1906" w:type="dxa"/>
            <w:noWrap/>
          </w:tcPr>
          <w:p>
            <w:pPr>
              <w:spacing w:after="0" w:line="264" w:lineRule="auto"/>
              <w:rPr>
                <w:noProof/>
                <w:color w:val="000000"/>
                <w:sz w:val="22"/>
                <w:szCs w:val="24"/>
              </w:rPr>
            </w:pPr>
            <w:r>
              <w:rPr>
                <w:noProof/>
                <w:color w:val="000000"/>
                <w:sz w:val="22"/>
                <w:szCs w:val="24"/>
              </w:rPr>
              <w:t>External consultants</w:t>
            </w:r>
          </w:p>
        </w:tc>
        <w:tc>
          <w:tcPr>
            <w:tcW w:w="1357" w:type="dxa"/>
            <w:noWrap/>
          </w:tcPr>
          <w:p>
            <w:pPr>
              <w:spacing w:after="0" w:line="264" w:lineRule="auto"/>
              <w:rPr>
                <w:noProof/>
                <w:color w:val="000000"/>
                <w:sz w:val="22"/>
                <w:szCs w:val="24"/>
              </w:rPr>
            </w:pPr>
          </w:p>
        </w:tc>
        <w:tc>
          <w:tcPr>
            <w:tcW w:w="1220" w:type="dxa"/>
            <w:noWrap/>
          </w:tcPr>
          <w:p>
            <w:pPr>
              <w:spacing w:after="0" w:line="264" w:lineRule="auto"/>
              <w:jc w:val="right"/>
              <w:rPr>
                <w:noProof/>
                <w:color w:val="000000"/>
                <w:sz w:val="22"/>
                <w:szCs w:val="24"/>
              </w:rPr>
            </w:pPr>
          </w:p>
        </w:tc>
        <w:tc>
          <w:tcPr>
            <w:tcW w:w="631" w:type="dxa"/>
            <w:noWrap/>
          </w:tcPr>
          <w:p>
            <w:pPr>
              <w:spacing w:after="0" w:line="264" w:lineRule="auto"/>
              <w:rPr>
                <w:noProof/>
                <w:color w:val="000000"/>
                <w:sz w:val="22"/>
                <w:szCs w:val="24"/>
              </w:rPr>
            </w:pPr>
          </w:p>
        </w:tc>
        <w:tc>
          <w:tcPr>
            <w:tcW w:w="2101" w:type="dxa"/>
            <w:noWrap/>
          </w:tcPr>
          <w:p>
            <w:pPr>
              <w:spacing w:after="0" w:line="264" w:lineRule="auto"/>
              <w:rPr>
                <w:noProof/>
                <w:color w:val="000000"/>
                <w:sz w:val="22"/>
                <w:szCs w:val="24"/>
              </w:rPr>
            </w:pPr>
          </w:p>
        </w:tc>
        <w:tc>
          <w:tcPr>
            <w:tcW w:w="1785" w:type="dxa"/>
            <w:noWrap/>
          </w:tcPr>
          <w:p>
            <w:pPr>
              <w:spacing w:after="0" w:line="264" w:lineRule="auto"/>
              <w:jc w:val="right"/>
              <w:rPr>
                <w:noProof/>
                <w:color w:val="000000"/>
                <w:sz w:val="22"/>
                <w:szCs w:val="24"/>
              </w:rPr>
            </w:pPr>
            <w:r>
              <w:rPr>
                <w:noProof/>
                <w:color w:val="000000"/>
                <w:sz w:val="22"/>
                <w:szCs w:val="24"/>
              </w:rPr>
              <w:t>13,000,000</w:t>
            </w:r>
          </w:p>
        </w:tc>
        <w:tc>
          <w:tcPr>
            <w:tcW w:w="1695" w:type="dxa"/>
            <w:noWrap/>
          </w:tcPr>
          <w:p>
            <w:pPr>
              <w:spacing w:after="0" w:line="264" w:lineRule="auto"/>
              <w:rPr>
                <w:noProof/>
                <w:color w:val="000000"/>
                <w:sz w:val="22"/>
                <w:szCs w:val="24"/>
              </w:rPr>
            </w:pPr>
          </w:p>
        </w:tc>
      </w:tr>
      <w:tr>
        <w:trPr>
          <w:trHeight w:val="330"/>
        </w:trPr>
        <w:tc>
          <w:tcPr>
            <w:tcW w:w="1668" w:type="dxa"/>
            <w:hideMark/>
          </w:tcPr>
          <w:p>
            <w:pPr>
              <w:spacing w:after="0" w:line="264" w:lineRule="auto"/>
              <w:rPr>
                <w:b/>
                <w:noProof/>
                <w:color w:val="000000"/>
                <w:sz w:val="22"/>
                <w:szCs w:val="24"/>
              </w:rPr>
            </w:pPr>
            <w:r>
              <w:rPr>
                <w:noProof/>
                <w:color w:val="000000"/>
                <w:sz w:val="22"/>
                <w:szCs w:val="24"/>
              </w:rPr>
              <w:t>TOTAL</w:t>
            </w:r>
          </w:p>
        </w:tc>
        <w:tc>
          <w:tcPr>
            <w:tcW w:w="1264" w:type="dxa"/>
            <w:noWrap/>
            <w:hideMark/>
          </w:tcPr>
          <w:p>
            <w:pPr>
              <w:spacing w:after="0" w:line="264" w:lineRule="auto"/>
              <w:rPr>
                <w:noProof/>
                <w:color w:val="000000"/>
                <w:sz w:val="22"/>
                <w:szCs w:val="24"/>
              </w:rPr>
            </w:pPr>
            <w:r>
              <w:rPr>
                <w:noProof/>
                <w:color w:val="000000"/>
                <w:sz w:val="22"/>
                <w:szCs w:val="24"/>
              </w:rPr>
              <w:t> </w:t>
            </w:r>
          </w:p>
        </w:tc>
        <w:tc>
          <w:tcPr>
            <w:tcW w:w="1613" w:type="dxa"/>
            <w:noWrap/>
            <w:hideMark/>
          </w:tcPr>
          <w:p>
            <w:pPr>
              <w:spacing w:after="0" w:line="264" w:lineRule="auto"/>
              <w:rPr>
                <w:noProof/>
                <w:color w:val="000000"/>
                <w:sz w:val="22"/>
                <w:szCs w:val="24"/>
              </w:rPr>
            </w:pPr>
            <w:r>
              <w:rPr>
                <w:noProof/>
                <w:color w:val="000000"/>
                <w:sz w:val="22"/>
                <w:szCs w:val="24"/>
              </w:rPr>
              <w:t> </w:t>
            </w:r>
          </w:p>
        </w:tc>
        <w:tc>
          <w:tcPr>
            <w:tcW w:w="1906" w:type="dxa"/>
            <w:noWrap/>
            <w:hideMark/>
          </w:tcPr>
          <w:p>
            <w:pPr>
              <w:spacing w:after="0" w:line="264" w:lineRule="auto"/>
              <w:rPr>
                <w:noProof/>
                <w:color w:val="000000"/>
                <w:sz w:val="22"/>
                <w:szCs w:val="24"/>
              </w:rPr>
            </w:pPr>
            <w:r>
              <w:rPr>
                <w:noProof/>
                <w:color w:val="000000"/>
                <w:sz w:val="22"/>
                <w:szCs w:val="24"/>
              </w:rPr>
              <w:t> </w:t>
            </w:r>
          </w:p>
        </w:tc>
        <w:tc>
          <w:tcPr>
            <w:tcW w:w="1357" w:type="dxa"/>
            <w:noWrap/>
            <w:hideMark/>
          </w:tcPr>
          <w:p>
            <w:pPr>
              <w:spacing w:after="0" w:line="264" w:lineRule="auto"/>
              <w:rPr>
                <w:noProof/>
                <w:color w:val="000000"/>
                <w:sz w:val="22"/>
                <w:szCs w:val="24"/>
              </w:rPr>
            </w:pPr>
            <w:r>
              <w:rPr>
                <w:noProof/>
                <w:color w:val="000000"/>
                <w:sz w:val="22"/>
                <w:szCs w:val="24"/>
              </w:rPr>
              <w:t> </w:t>
            </w:r>
          </w:p>
        </w:tc>
        <w:tc>
          <w:tcPr>
            <w:tcW w:w="1220" w:type="dxa"/>
            <w:noWrap/>
            <w:hideMark/>
          </w:tcPr>
          <w:p>
            <w:pPr>
              <w:spacing w:after="0" w:line="264" w:lineRule="auto"/>
              <w:rPr>
                <w:noProof/>
                <w:color w:val="000000"/>
                <w:sz w:val="22"/>
                <w:szCs w:val="24"/>
              </w:rPr>
            </w:pPr>
            <w:r>
              <w:rPr>
                <w:noProof/>
                <w:color w:val="000000"/>
                <w:sz w:val="22"/>
                <w:szCs w:val="24"/>
              </w:rPr>
              <w:t> </w:t>
            </w:r>
          </w:p>
        </w:tc>
        <w:tc>
          <w:tcPr>
            <w:tcW w:w="631" w:type="dxa"/>
            <w:noWrap/>
            <w:hideMark/>
          </w:tcPr>
          <w:p>
            <w:pPr>
              <w:spacing w:after="0" w:line="264" w:lineRule="auto"/>
              <w:rPr>
                <w:noProof/>
                <w:color w:val="000000"/>
                <w:sz w:val="22"/>
                <w:szCs w:val="24"/>
              </w:rPr>
            </w:pPr>
            <w:r>
              <w:rPr>
                <w:noProof/>
                <w:color w:val="000000"/>
                <w:sz w:val="22"/>
                <w:szCs w:val="24"/>
              </w:rPr>
              <w:t> </w:t>
            </w:r>
          </w:p>
        </w:tc>
        <w:tc>
          <w:tcPr>
            <w:tcW w:w="2101" w:type="dxa"/>
            <w:noWrap/>
            <w:hideMark/>
          </w:tcPr>
          <w:p>
            <w:pPr>
              <w:spacing w:after="0" w:line="264" w:lineRule="auto"/>
              <w:rPr>
                <w:noProof/>
                <w:color w:val="000000"/>
                <w:sz w:val="22"/>
                <w:szCs w:val="24"/>
              </w:rPr>
            </w:pPr>
            <w:r>
              <w:rPr>
                <w:noProof/>
                <w:color w:val="000000"/>
                <w:sz w:val="22"/>
                <w:szCs w:val="24"/>
              </w:rPr>
              <w:t> </w:t>
            </w:r>
          </w:p>
        </w:tc>
        <w:tc>
          <w:tcPr>
            <w:tcW w:w="1785" w:type="dxa"/>
            <w:noWrap/>
            <w:hideMark/>
          </w:tcPr>
          <w:p>
            <w:pPr>
              <w:spacing w:after="0" w:line="264" w:lineRule="auto"/>
              <w:jc w:val="right"/>
              <w:rPr>
                <w:b/>
                <w:noProof/>
                <w:color w:val="000000"/>
                <w:sz w:val="22"/>
                <w:szCs w:val="24"/>
              </w:rPr>
            </w:pPr>
            <w:r>
              <w:rPr>
                <w:b/>
                <w:noProof/>
                <w:color w:val="000000"/>
                <w:sz w:val="22"/>
                <w:szCs w:val="24"/>
              </w:rPr>
              <w:t xml:space="preserve">731,257,032 </w:t>
            </w:r>
          </w:p>
        </w:tc>
        <w:tc>
          <w:tcPr>
            <w:tcW w:w="1695" w:type="dxa"/>
            <w:noWrap/>
            <w:hideMark/>
          </w:tcPr>
          <w:p>
            <w:pPr>
              <w:spacing w:after="0" w:line="264" w:lineRule="auto"/>
              <w:rPr>
                <w:noProof/>
                <w:color w:val="000000"/>
                <w:sz w:val="22"/>
                <w:szCs w:val="24"/>
              </w:rPr>
            </w:pPr>
            <w:r>
              <w:rPr>
                <w:noProof/>
                <w:color w:val="000000"/>
                <w:sz w:val="22"/>
                <w:szCs w:val="24"/>
              </w:rPr>
              <w:t> </w:t>
            </w:r>
          </w:p>
        </w:tc>
      </w:tr>
    </w:tbl>
    <w:p>
      <w:pPr>
        <w:pStyle w:val="Bulet"/>
        <w:numPr>
          <w:ilvl w:val="0"/>
          <w:numId w:val="0"/>
        </w:numPr>
        <w:spacing w:after="120" w:line="264" w:lineRule="auto"/>
        <w:ind w:left="720"/>
        <w:rPr>
          <w:noProof/>
          <w:szCs w:val="24"/>
        </w:rPr>
      </w:pPr>
    </w:p>
    <w:p>
      <w:pPr>
        <w:rPr>
          <w:noProof/>
        </w:rPr>
      </w:pPr>
      <w:bookmarkStart w:id="9329" w:name="_Toc510613019"/>
      <w:bookmarkStart w:id="9330" w:name="_Toc510683735"/>
    </w:p>
    <w:p>
      <w:pPr>
        <w:pStyle w:val="Heading1"/>
        <w:numPr>
          <w:ilvl w:val="0"/>
          <w:numId w:val="0"/>
        </w:numPr>
        <w:spacing w:before="0" w:after="120" w:line="264" w:lineRule="auto"/>
        <w:ind w:left="431" w:hanging="431"/>
        <w:rPr>
          <w:noProof/>
          <w:szCs w:val="24"/>
        </w:rPr>
        <w:sectPr>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993" w:right="1021" w:bottom="1701" w:left="1021" w:header="601" w:footer="1077" w:gutter="0"/>
          <w:cols w:space="720"/>
          <w:titlePg/>
          <w:docGrid w:linePitch="326"/>
        </w:sectPr>
      </w:pPr>
    </w:p>
    <w:p>
      <w:pPr>
        <w:pStyle w:val="Heading1"/>
        <w:numPr>
          <w:ilvl w:val="0"/>
          <w:numId w:val="0"/>
        </w:numPr>
        <w:spacing w:before="0" w:after="120" w:line="264" w:lineRule="auto"/>
        <w:ind w:left="431" w:hanging="71"/>
        <w:rPr>
          <w:noProof/>
          <w:szCs w:val="24"/>
        </w:rPr>
      </w:pPr>
      <w:bookmarkStart w:id="9331" w:name="_Toc515348905"/>
      <w:r>
        <w:rPr>
          <w:noProof/>
          <w:szCs w:val="24"/>
        </w:rPr>
        <w:t>Annex 7: List of potential indicators for the InvestEU Fund</w:t>
      </w:r>
      <w:bookmarkEnd w:id="9331"/>
    </w:p>
    <w:p>
      <w:pPr>
        <w:pStyle w:val="Text1"/>
        <w:rPr>
          <w:noProof/>
        </w:rPr>
      </w:pPr>
    </w:p>
    <w:p>
      <w:pPr>
        <w:spacing w:line="280" w:lineRule="exact"/>
        <w:ind w:left="567"/>
        <w:rPr>
          <w:rFonts w:cs="Times New Roman"/>
          <w:noProof/>
          <w:color w:val="404040"/>
        </w:rPr>
      </w:pPr>
      <w:r>
        <w:rPr>
          <w:rFonts w:cs="Times New Roman"/>
          <w:noProof/>
          <w:color w:val="404040"/>
        </w:rPr>
        <w:t xml:space="preserve">1. </w:t>
      </w:r>
      <w:r>
        <w:rPr>
          <w:rFonts w:cs="Times New Roman"/>
          <w:b/>
          <w:bCs/>
          <w:noProof/>
          <w:color w:val="404040"/>
        </w:rPr>
        <w:t>Volume of InvestEU financing (broken down by policy window)</w:t>
      </w:r>
    </w:p>
    <w:p>
      <w:pPr>
        <w:spacing w:line="280" w:lineRule="exact"/>
        <w:ind w:left="567"/>
        <w:rPr>
          <w:rFonts w:cs="Times New Roman"/>
          <w:iCs/>
          <w:noProof/>
          <w:color w:val="404040"/>
        </w:rPr>
      </w:pPr>
      <w:r>
        <w:rPr>
          <w:rFonts w:cs="Times New Roman"/>
          <w:iCs/>
          <w:noProof/>
          <w:color w:val="404040"/>
        </w:rPr>
        <w:t>1.1 Volume of operations signed</w:t>
      </w:r>
    </w:p>
    <w:p>
      <w:pPr>
        <w:spacing w:line="280" w:lineRule="exact"/>
        <w:ind w:left="567"/>
        <w:rPr>
          <w:rFonts w:cs="Times New Roman"/>
          <w:iCs/>
          <w:noProof/>
          <w:color w:val="404040"/>
        </w:rPr>
      </w:pPr>
      <w:r>
        <w:rPr>
          <w:rFonts w:cs="Times New Roman"/>
          <w:iCs/>
          <w:noProof/>
          <w:color w:val="404040"/>
        </w:rPr>
        <w:t>1.2 Investment mobilised</w:t>
      </w:r>
    </w:p>
    <w:p>
      <w:pPr>
        <w:spacing w:line="280" w:lineRule="exact"/>
        <w:ind w:left="567"/>
        <w:rPr>
          <w:rFonts w:cs="Times New Roman"/>
          <w:iCs/>
          <w:noProof/>
          <w:color w:val="404040"/>
        </w:rPr>
      </w:pPr>
      <w:r>
        <w:rPr>
          <w:rFonts w:cs="Times New Roman"/>
          <w:iCs/>
          <w:noProof/>
          <w:color w:val="404040"/>
        </w:rPr>
        <w:t>1.3 Amount of private finance mobilised</w:t>
      </w:r>
    </w:p>
    <w:p>
      <w:pPr>
        <w:spacing w:line="280" w:lineRule="exact"/>
        <w:ind w:left="567"/>
        <w:rPr>
          <w:rFonts w:cs="Times New Roman"/>
          <w:iCs/>
          <w:noProof/>
          <w:color w:val="404040"/>
        </w:rPr>
      </w:pPr>
      <w:r>
        <w:rPr>
          <w:rFonts w:cs="Times New Roman"/>
          <w:iCs/>
          <w:noProof/>
          <w:color w:val="404040"/>
        </w:rPr>
        <w:t>1.4 Leverage and multiplier effect achieved</w:t>
      </w:r>
    </w:p>
    <w:p>
      <w:pPr>
        <w:spacing w:line="280" w:lineRule="exact"/>
        <w:ind w:left="567"/>
        <w:rPr>
          <w:rFonts w:cs="Times New Roman"/>
          <w:noProof/>
          <w:color w:val="404040"/>
        </w:rPr>
      </w:pPr>
      <w:r>
        <w:rPr>
          <w:rFonts w:cs="Times New Roman"/>
          <w:noProof/>
          <w:color w:val="404040"/>
        </w:rPr>
        <w:t xml:space="preserve">2. </w:t>
      </w:r>
      <w:r>
        <w:rPr>
          <w:rFonts w:cs="Times New Roman"/>
          <w:b/>
          <w:bCs/>
          <w:noProof/>
          <w:color w:val="404040"/>
        </w:rPr>
        <w:t>Geographical coverage of InvestEU financing (broken down by policy window)</w:t>
      </w:r>
    </w:p>
    <w:p>
      <w:pPr>
        <w:spacing w:line="280" w:lineRule="exact"/>
        <w:ind w:left="567"/>
        <w:rPr>
          <w:rFonts w:cs="Times New Roman"/>
          <w:iCs/>
          <w:noProof/>
          <w:color w:val="404040"/>
        </w:rPr>
      </w:pPr>
      <w:r>
        <w:rPr>
          <w:rFonts w:cs="Times New Roman"/>
          <w:iCs/>
          <w:noProof/>
          <w:color w:val="404040"/>
        </w:rPr>
        <w:t>2.1 Number of countries covered by projects</w:t>
      </w:r>
    </w:p>
    <w:p>
      <w:pPr>
        <w:spacing w:line="280" w:lineRule="exact"/>
        <w:ind w:left="567"/>
        <w:rPr>
          <w:rFonts w:cs="Times New Roman"/>
          <w:noProof/>
          <w:color w:val="404040"/>
        </w:rPr>
      </w:pPr>
      <w:r>
        <w:rPr>
          <w:rFonts w:cs="Times New Roman"/>
          <w:noProof/>
          <w:color w:val="404040"/>
        </w:rPr>
        <w:t>3. </w:t>
      </w:r>
      <w:r>
        <w:rPr>
          <w:rFonts w:cs="Times New Roman"/>
          <w:b/>
          <w:bCs/>
          <w:noProof/>
          <w:color w:val="404040"/>
        </w:rPr>
        <w:t>Impact of InvestEU financing</w:t>
      </w:r>
    </w:p>
    <w:p>
      <w:pPr>
        <w:spacing w:line="280" w:lineRule="exact"/>
        <w:ind w:left="567"/>
        <w:rPr>
          <w:rFonts w:cs="Times New Roman"/>
          <w:iCs/>
          <w:noProof/>
          <w:color w:val="404040"/>
        </w:rPr>
      </w:pPr>
      <w:r>
        <w:rPr>
          <w:rFonts w:cs="Times New Roman"/>
          <w:iCs/>
          <w:noProof/>
          <w:color w:val="404040"/>
        </w:rPr>
        <w:t>3.1 Number of jobs created or supported</w:t>
      </w:r>
    </w:p>
    <w:p>
      <w:pPr>
        <w:spacing w:line="280" w:lineRule="exact"/>
        <w:ind w:left="567"/>
        <w:rPr>
          <w:rFonts w:cs="Times New Roman"/>
          <w:iCs/>
          <w:noProof/>
          <w:color w:val="404040"/>
        </w:rPr>
      </w:pPr>
      <w:r>
        <w:rPr>
          <w:rFonts w:cs="Times New Roman"/>
          <w:iCs/>
          <w:noProof/>
          <w:color w:val="404040"/>
        </w:rPr>
        <w:t>3.2 Investment supporting climate objectives</w:t>
      </w:r>
    </w:p>
    <w:p>
      <w:pPr>
        <w:spacing w:line="280" w:lineRule="exact"/>
        <w:ind w:left="567"/>
        <w:rPr>
          <w:rFonts w:cs="Times New Roman"/>
          <w:iCs/>
          <w:noProof/>
          <w:color w:val="404040"/>
        </w:rPr>
      </w:pPr>
      <w:r>
        <w:rPr>
          <w:rFonts w:cs="Times New Roman"/>
          <w:iCs/>
          <w:noProof/>
          <w:color w:val="404040"/>
        </w:rPr>
        <w:t>3.3 Investment supporting digitalisation</w:t>
      </w:r>
    </w:p>
    <w:p>
      <w:pPr>
        <w:spacing w:line="280" w:lineRule="exact"/>
        <w:ind w:left="567"/>
        <w:rPr>
          <w:rFonts w:cs="Times New Roman"/>
          <w:noProof/>
          <w:color w:val="404040"/>
        </w:rPr>
      </w:pPr>
      <w:r>
        <w:rPr>
          <w:rFonts w:cs="Times New Roman"/>
          <w:noProof/>
          <w:color w:val="404040"/>
        </w:rPr>
        <w:t xml:space="preserve">4. </w:t>
      </w:r>
      <w:r>
        <w:rPr>
          <w:rFonts w:cs="Times New Roman"/>
          <w:b/>
          <w:bCs/>
          <w:noProof/>
          <w:color w:val="404040"/>
        </w:rPr>
        <w:t xml:space="preserve">Sustainable Infrastructure </w:t>
      </w:r>
    </w:p>
    <w:p>
      <w:pPr>
        <w:spacing w:line="280" w:lineRule="exact"/>
        <w:ind w:left="567"/>
        <w:rPr>
          <w:rFonts w:cs="Times New Roman"/>
          <w:iCs/>
          <w:noProof/>
          <w:color w:val="404040"/>
        </w:rPr>
      </w:pPr>
      <w:r>
        <w:rPr>
          <w:rFonts w:cs="Times New Roman"/>
          <w:iCs/>
          <w:noProof/>
          <w:color w:val="404040"/>
        </w:rPr>
        <w:t>4.1 Energy: Additional renewable energy generation capacity installed (MW)</w:t>
      </w:r>
    </w:p>
    <w:p>
      <w:pPr>
        <w:spacing w:line="280" w:lineRule="exact"/>
        <w:ind w:left="567"/>
        <w:rPr>
          <w:rFonts w:cs="Times New Roman"/>
          <w:iCs/>
          <w:noProof/>
          <w:color w:val="404040"/>
        </w:rPr>
      </w:pPr>
      <w:r>
        <w:rPr>
          <w:rFonts w:cs="Times New Roman"/>
          <w:iCs/>
          <w:noProof/>
          <w:color w:val="404040"/>
        </w:rPr>
        <w:t>4.2 Energy: Number of households with improved energy consumption classification</w:t>
      </w:r>
    </w:p>
    <w:p>
      <w:pPr>
        <w:spacing w:line="280" w:lineRule="exact"/>
        <w:ind w:left="567"/>
        <w:rPr>
          <w:rFonts w:cs="Times New Roman"/>
          <w:iCs/>
          <w:noProof/>
          <w:color w:val="404040"/>
        </w:rPr>
      </w:pPr>
      <w:r>
        <w:rPr>
          <w:rFonts w:cs="Times New Roman"/>
          <w:iCs/>
          <w:noProof/>
          <w:color w:val="404040"/>
        </w:rPr>
        <w:t xml:space="preserve">4.3 Digital: Additional households with broadband access of at least 100 Mbps upgradable to Gigabit speed </w:t>
      </w:r>
    </w:p>
    <w:p>
      <w:pPr>
        <w:spacing w:line="280" w:lineRule="exact"/>
        <w:ind w:left="567"/>
        <w:rPr>
          <w:rFonts w:cs="Times New Roman"/>
          <w:iCs/>
          <w:noProof/>
          <w:color w:val="404040"/>
        </w:rPr>
      </w:pPr>
      <w:r>
        <w:rPr>
          <w:rFonts w:cs="Times New Roman"/>
          <w:iCs/>
          <w:noProof/>
          <w:color w:val="404040"/>
        </w:rPr>
        <w:t>4.4 Transport: Investment mobilised in TEN-T of which: TEN-T core</w:t>
      </w:r>
    </w:p>
    <w:p>
      <w:pPr>
        <w:spacing w:line="280" w:lineRule="exact"/>
        <w:ind w:left="567"/>
        <w:rPr>
          <w:rFonts w:cs="Times New Roman"/>
          <w:iCs/>
          <w:noProof/>
          <w:color w:val="404040"/>
        </w:rPr>
      </w:pPr>
      <w:r>
        <w:rPr>
          <w:rFonts w:cs="Times New Roman"/>
          <w:iCs/>
          <w:noProof/>
          <w:color w:val="404040"/>
        </w:rPr>
        <w:t>4.5 Environment: Additional population served by improved water supply and/or improved wastewater treatment</w:t>
      </w:r>
    </w:p>
    <w:p>
      <w:pPr>
        <w:spacing w:line="280" w:lineRule="exact"/>
        <w:ind w:left="567"/>
        <w:rPr>
          <w:rFonts w:cs="Times New Roman"/>
          <w:noProof/>
          <w:color w:val="404040"/>
        </w:rPr>
      </w:pPr>
      <w:r>
        <w:rPr>
          <w:rFonts w:cs="Times New Roman"/>
          <w:noProof/>
          <w:color w:val="404040"/>
        </w:rPr>
        <w:t xml:space="preserve">5. </w:t>
      </w:r>
      <w:r>
        <w:rPr>
          <w:rFonts w:cs="Times New Roman"/>
          <w:b/>
          <w:bCs/>
          <w:noProof/>
          <w:color w:val="404040"/>
        </w:rPr>
        <w:t xml:space="preserve">Research, Innovation and Digitisation </w:t>
      </w:r>
    </w:p>
    <w:p>
      <w:pPr>
        <w:spacing w:line="280" w:lineRule="exact"/>
        <w:ind w:left="567"/>
        <w:rPr>
          <w:rFonts w:cs="Times New Roman"/>
          <w:iCs/>
          <w:noProof/>
          <w:color w:val="404040"/>
        </w:rPr>
      </w:pPr>
      <w:r>
        <w:rPr>
          <w:rFonts w:cs="Times New Roman"/>
          <w:iCs/>
          <w:noProof/>
          <w:color w:val="404040"/>
        </w:rPr>
        <w:t xml:space="preserve">5.1 Contribution to the objective of 3% of the Union's GDP invested in research, development and innovation. </w:t>
      </w:r>
    </w:p>
    <w:p>
      <w:pPr>
        <w:spacing w:line="280" w:lineRule="exact"/>
        <w:ind w:left="567"/>
        <w:rPr>
          <w:rFonts w:cs="Times New Roman"/>
          <w:iCs/>
          <w:noProof/>
          <w:color w:val="404040"/>
        </w:rPr>
      </w:pPr>
      <w:r>
        <w:rPr>
          <w:rFonts w:cs="Times New Roman"/>
          <w:iCs/>
          <w:noProof/>
          <w:color w:val="404040"/>
        </w:rPr>
        <w:t>5.2 Number of enterprises supported carrying out research and innovation projects</w:t>
      </w:r>
    </w:p>
    <w:p>
      <w:pPr>
        <w:spacing w:line="280" w:lineRule="exact"/>
        <w:ind w:left="567"/>
        <w:rPr>
          <w:rFonts w:cs="Times New Roman"/>
          <w:noProof/>
          <w:color w:val="404040"/>
        </w:rPr>
      </w:pPr>
      <w:r>
        <w:rPr>
          <w:rFonts w:cs="Times New Roman"/>
          <w:noProof/>
          <w:color w:val="404040"/>
        </w:rPr>
        <w:t xml:space="preserve">6. </w:t>
      </w:r>
      <w:r>
        <w:rPr>
          <w:rFonts w:cs="Times New Roman"/>
          <w:b/>
          <w:bCs/>
          <w:noProof/>
          <w:color w:val="404040"/>
        </w:rPr>
        <w:t>Reinforcement of SME (broken down by micro, small, medium sized and small mid-caps and stage)</w:t>
      </w:r>
    </w:p>
    <w:p>
      <w:pPr>
        <w:spacing w:line="280" w:lineRule="exact"/>
        <w:ind w:left="567"/>
        <w:rPr>
          <w:rFonts w:cs="Times New Roman"/>
          <w:iCs/>
          <w:noProof/>
          <w:color w:val="404040"/>
        </w:rPr>
      </w:pPr>
      <w:r>
        <w:rPr>
          <w:rFonts w:cs="Times New Roman"/>
          <w:iCs/>
          <w:noProof/>
          <w:color w:val="404040"/>
        </w:rPr>
        <w:t>6.1 Number of enterprises supported</w:t>
      </w:r>
    </w:p>
    <w:p>
      <w:pPr>
        <w:spacing w:line="280" w:lineRule="exact"/>
        <w:ind w:left="567"/>
        <w:rPr>
          <w:rFonts w:cs="Times New Roman"/>
          <w:iCs/>
          <w:noProof/>
          <w:color w:val="404040"/>
        </w:rPr>
      </w:pPr>
      <w:r>
        <w:rPr>
          <w:rFonts w:cs="Times New Roman"/>
          <w:iCs/>
          <w:noProof/>
          <w:color w:val="404040"/>
        </w:rPr>
        <w:t>6.2 Number of enterprises supported by stage of supported enterprises (early, growth/expansion)</w:t>
      </w:r>
    </w:p>
    <w:p>
      <w:pPr>
        <w:spacing w:line="280" w:lineRule="exact"/>
        <w:ind w:left="567"/>
        <w:rPr>
          <w:rFonts w:cs="Times New Roman"/>
          <w:noProof/>
          <w:color w:val="404040"/>
        </w:rPr>
      </w:pPr>
      <w:r>
        <w:rPr>
          <w:rFonts w:cs="Times New Roman"/>
          <w:noProof/>
          <w:color w:val="404040"/>
        </w:rPr>
        <w:t xml:space="preserve">7. </w:t>
      </w:r>
      <w:r>
        <w:rPr>
          <w:rFonts w:cs="Times New Roman"/>
          <w:b/>
          <w:bCs/>
          <w:noProof/>
          <w:color w:val="404040"/>
        </w:rPr>
        <w:t xml:space="preserve">Social Investment and Skills </w:t>
      </w:r>
    </w:p>
    <w:p>
      <w:pPr>
        <w:spacing w:line="280" w:lineRule="exact"/>
        <w:ind w:left="567"/>
        <w:rPr>
          <w:rFonts w:cs="Times New Roman"/>
          <w:iCs/>
          <w:noProof/>
          <w:color w:val="404040"/>
        </w:rPr>
      </w:pPr>
      <w:r>
        <w:rPr>
          <w:rFonts w:cs="Times New Roman"/>
          <w:iCs/>
          <w:noProof/>
          <w:color w:val="404040"/>
        </w:rPr>
        <w:t>7.1 Social infrastructure: Capacity of supported social infrastructure by sector: housing, education, health, other</w:t>
      </w:r>
    </w:p>
    <w:p>
      <w:pPr>
        <w:spacing w:line="280" w:lineRule="exact"/>
        <w:ind w:left="567"/>
        <w:rPr>
          <w:rFonts w:cs="Times New Roman"/>
          <w:iCs/>
          <w:noProof/>
          <w:color w:val="404040"/>
        </w:rPr>
      </w:pPr>
      <w:r>
        <w:rPr>
          <w:rFonts w:cs="Times New Roman"/>
          <w:iCs/>
          <w:noProof/>
          <w:color w:val="404040"/>
        </w:rPr>
        <w:t>7.2 Microfinance and social enterprise finance: Number of social economy enterprises supported</w:t>
      </w:r>
    </w:p>
    <w:p>
      <w:pPr>
        <w:spacing w:line="280" w:lineRule="exact"/>
        <w:ind w:left="567"/>
        <w:rPr>
          <w:rFonts w:cs="Times New Roman"/>
          <w:iCs/>
          <w:noProof/>
          <w:color w:val="404040"/>
        </w:rPr>
      </w:pPr>
      <w:r>
        <w:rPr>
          <w:rFonts w:cs="Times New Roman"/>
          <w:iCs/>
          <w:noProof/>
          <w:color w:val="404040"/>
        </w:rPr>
        <w:t>7.5 Skills: Number of individuals acquiring new skills: formal education and training qualification</w:t>
      </w:r>
    </w:p>
    <w:p>
      <w:pPr>
        <w:spacing w:after="0" w:line="264" w:lineRule="auto"/>
        <w:rPr>
          <w:rFonts w:cs="Times New Roman"/>
          <w:i/>
          <w:noProof/>
          <w:szCs w:val="24"/>
        </w:rPr>
      </w:pPr>
    </w:p>
    <w:p>
      <w:pPr>
        <w:pStyle w:val="Bulet"/>
        <w:numPr>
          <w:ilvl w:val="0"/>
          <w:numId w:val="0"/>
        </w:numPr>
        <w:ind w:left="360" w:hanging="360"/>
        <w:rPr>
          <w:noProof/>
        </w:rPr>
      </w:pPr>
    </w:p>
    <w:p>
      <w:pPr>
        <w:spacing w:after="120" w:line="264" w:lineRule="auto"/>
        <w:rPr>
          <w:rFonts w:cs="Times New Roman"/>
          <w:noProof/>
          <w:szCs w:val="24"/>
        </w:rPr>
      </w:pPr>
    </w:p>
    <w:p>
      <w:pPr>
        <w:pStyle w:val="Heading1"/>
        <w:numPr>
          <w:ilvl w:val="0"/>
          <w:numId w:val="0"/>
        </w:numPr>
        <w:spacing w:before="0" w:after="120" w:line="264" w:lineRule="auto"/>
        <w:ind w:left="432"/>
        <w:rPr>
          <w:noProof/>
          <w:szCs w:val="24"/>
        </w:rPr>
      </w:pPr>
      <w:bookmarkStart w:id="9332" w:name="_Toc515348906"/>
      <w:r>
        <w:rPr>
          <w:noProof/>
          <w:szCs w:val="24"/>
        </w:rPr>
        <w:t>Annex 8: Examples of indicators for the SME Window</w:t>
      </w:r>
      <w:bookmarkEnd w:id="9303"/>
      <w:bookmarkEnd w:id="9304"/>
      <w:bookmarkEnd w:id="9317"/>
      <w:bookmarkEnd w:id="9318"/>
      <w:bookmarkEnd w:id="9319"/>
      <w:bookmarkEnd w:id="9320"/>
      <w:bookmarkEnd w:id="9321"/>
      <w:bookmarkEnd w:id="9329"/>
      <w:bookmarkEnd w:id="9330"/>
      <w:bookmarkEnd w:id="9332"/>
      <w:r>
        <w:rPr>
          <w:noProof/>
          <w:szCs w:val="24"/>
        </w:rPr>
        <w:t xml:space="preserve"> </w:t>
      </w:r>
      <w:bookmarkEnd w:id="9322"/>
      <w:bookmarkEnd w:id="9323"/>
      <w:bookmarkEnd w:id="9324"/>
      <w:bookmarkEnd w:id="9325"/>
      <w:bookmarkEnd w:id="9326"/>
      <w:bookmarkEnd w:id="9327"/>
      <w:bookmarkEnd w:id="9328"/>
    </w:p>
    <w:tbl>
      <w:tblPr>
        <w:tblStyle w:val="TableGrid"/>
        <w:tblW w:w="10586" w:type="dxa"/>
        <w:tblLook w:val="04A0" w:firstRow="1" w:lastRow="0" w:firstColumn="1" w:lastColumn="0" w:noHBand="0" w:noVBand="1"/>
      </w:tblPr>
      <w:tblGrid>
        <w:gridCol w:w="3228"/>
        <w:gridCol w:w="2760"/>
        <w:gridCol w:w="2400"/>
        <w:gridCol w:w="2198"/>
      </w:tblGrid>
      <w:tr>
        <w:trPr>
          <w:tblHeader/>
        </w:trPr>
        <w:tc>
          <w:tcPr>
            <w:tcW w:w="3228" w:type="dxa"/>
            <w:shd w:val="clear" w:color="auto" w:fill="538DD5"/>
          </w:tcPr>
          <w:p>
            <w:pPr>
              <w:spacing w:after="120" w:line="264" w:lineRule="auto"/>
              <w:jc w:val="center"/>
              <w:rPr>
                <w:noProof/>
                <w:color w:val="FFFFFF" w:themeColor="background1"/>
                <w:sz w:val="22"/>
                <w:szCs w:val="24"/>
              </w:rPr>
            </w:pPr>
          </w:p>
        </w:tc>
        <w:tc>
          <w:tcPr>
            <w:tcW w:w="2760" w:type="dxa"/>
            <w:shd w:val="clear" w:color="auto" w:fill="538DD5"/>
          </w:tcPr>
          <w:p>
            <w:pPr>
              <w:spacing w:after="120" w:line="264" w:lineRule="auto"/>
              <w:jc w:val="center"/>
              <w:rPr>
                <w:b/>
                <w:noProof/>
                <w:color w:val="FFFFFF" w:themeColor="background1"/>
                <w:sz w:val="22"/>
                <w:szCs w:val="24"/>
              </w:rPr>
            </w:pPr>
            <w:r>
              <w:rPr>
                <w:b/>
                <w:noProof/>
                <w:color w:val="FFFFFF" w:themeColor="background1"/>
                <w:sz w:val="22"/>
                <w:szCs w:val="24"/>
              </w:rPr>
              <w:t>Initial two years of the programme</w:t>
            </w:r>
          </w:p>
        </w:tc>
        <w:tc>
          <w:tcPr>
            <w:tcW w:w="2400" w:type="dxa"/>
            <w:shd w:val="clear" w:color="auto" w:fill="538DD5"/>
          </w:tcPr>
          <w:p>
            <w:pPr>
              <w:spacing w:after="120" w:line="264" w:lineRule="auto"/>
              <w:jc w:val="center"/>
              <w:rPr>
                <w:b/>
                <w:noProof/>
                <w:color w:val="FFFFFF" w:themeColor="background1"/>
                <w:sz w:val="22"/>
                <w:szCs w:val="24"/>
              </w:rPr>
            </w:pPr>
            <w:r>
              <w:rPr>
                <w:b/>
                <w:noProof/>
                <w:color w:val="FFFFFF" w:themeColor="background1"/>
                <w:sz w:val="22"/>
                <w:szCs w:val="24"/>
              </w:rPr>
              <w:t>Medium-term</w:t>
            </w:r>
          </w:p>
        </w:tc>
        <w:tc>
          <w:tcPr>
            <w:tcW w:w="2198" w:type="dxa"/>
            <w:shd w:val="clear" w:color="auto" w:fill="538DD5"/>
          </w:tcPr>
          <w:p>
            <w:pPr>
              <w:spacing w:after="120" w:line="264" w:lineRule="auto"/>
              <w:jc w:val="center"/>
              <w:rPr>
                <w:b/>
                <w:noProof/>
                <w:color w:val="FFFFFF" w:themeColor="background1"/>
                <w:sz w:val="22"/>
                <w:szCs w:val="24"/>
              </w:rPr>
            </w:pPr>
            <w:r>
              <w:rPr>
                <w:b/>
                <w:noProof/>
                <w:color w:val="FFFFFF" w:themeColor="background1"/>
                <w:sz w:val="22"/>
                <w:szCs w:val="24"/>
              </w:rPr>
              <w:t>Long-term</w:t>
            </w:r>
          </w:p>
          <w:p>
            <w:pPr>
              <w:spacing w:after="120" w:line="264" w:lineRule="auto"/>
              <w:jc w:val="center"/>
              <w:rPr>
                <w:b/>
                <w:noProof/>
                <w:color w:val="FFFFFF" w:themeColor="background1"/>
                <w:sz w:val="22"/>
                <w:szCs w:val="24"/>
              </w:rPr>
            </w:pPr>
          </w:p>
        </w:tc>
      </w:tr>
      <w:tr>
        <w:tc>
          <w:tcPr>
            <w:tcW w:w="3228" w:type="dxa"/>
          </w:tcPr>
          <w:p>
            <w:pPr>
              <w:spacing w:after="120" w:line="264" w:lineRule="auto"/>
              <w:ind w:left="284" w:hanging="284"/>
              <w:rPr>
                <w:b/>
                <w:noProof/>
                <w:sz w:val="22"/>
                <w:szCs w:val="24"/>
              </w:rPr>
            </w:pPr>
            <w:r>
              <w:rPr>
                <w:b/>
                <w:noProof/>
                <w:sz w:val="22"/>
                <w:szCs w:val="24"/>
              </w:rPr>
              <w:t>1. Signature of agreement with implementing partner</w:t>
            </w:r>
          </w:p>
          <w:p>
            <w:pPr>
              <w:spacing w:after="120" w:line="264" w:lineRule="auto"/>
              <w:rPr>
                <w:noProof/>
                <w:sz w:val="22"/>
                <w:szCs w:val="24"/>
              </w:rPr>
            </w:pPr>
            <w:r>
              <w:rPr>
                <w:noProof/>
                <w:sz w:val="22"/>
                <w:szCs w:val="24"/>
              </w:rPr>
              <w:t xml:space="preserve">(As the SME guarantee facility will be implemented through the </w:t>
            </w:r>
            <w:r>
              <w:rPr>
                <w:b/>
                <w:noProof/>
                <w:sz w:val="22"/>
                <w:szCs w:val="24"/>
              </w:rPr>
              <w:t>SME Window of the Single Fund</w:t>
            </w:r>
            <w:r>
              <w:rPr>
                <w:noProof/>
                <w:sz w:val="22"/>
                <w:szCs w:val="24"/>
              </w:rPr>
              <w:t>, the agreement for the single fund will have been singed and the respective product annex covering the SME guarantee facility will have been included)</w:t>
            </w:r>
          </w:p>
        </w:tc>
        <w:tc>
          <w:tcPr>
            <w:tcW w:w="276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within first year of the programme</w:t>
            </w:r>
          </w:p>
          <w:p>
            <w:pPr>
              <w:spacing w:after="120" w:line="264" w:lineRule="auto"/>
              <w:jc w:val="center"/>
              <w:rPr>
                <w:noProof/>
                <w:sz w:val="22"/>
                <w:szCs w:val="24"/>
              </w:rPr>
            </w:pPr>
          </w:p>
          <w:p>
            <w:pPr>
              <w:spacing w:after="120" w:line="264" w:lineRule="auto"/>
              <w:jc w:val="center"/>
              <w:rPr>
                <w:noProof/>
                <w:sz w:val="22"/>
                <w:szCs w:val="24"/>
              </w:rPr>
            </w:pPr>
            <w:r>
              <w:rPr>
                <w:noProof/>
                <w:sz w:val="22"/>
                <w:szCs w:val="24"/>
              </w:rPr>
              <w:t>How is this monitored: Annual operational report from implementing partner</w:t>
            </w:r>
          </w:p>
        </w:tc>
        <w:tc>
          <w:tcPr>
            <w:tcW w:w="240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r>
              <w:rPr>
                <w:noProof/>
                <w:sz w:val="22"/>
                <w:szCs w:val="24"/>
              </w:rPr>
              <w:t>N/A</w:t>
            </w:r>
          </w:p>
        </w:tc>
        <w:tc>
          <w:tcPr>
            <w:tcW w:w="2198"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r>
              <w:rPr>
                <w:noProof/>
                <w:sz w:val="22"/>
                <w:szCs w:val="24"/>
              </w:rPr>
              <w:t>N/A</w:t>
            </w:r>
          </w:p>
        </w:tc>
      </w:tr>
      <w:tr>
        <w:tc>
          <w:tcPr>
            <w:tcW w:w="3228" w:type="dxa"/>
          </w:tcPr>
          <w:p>
            <w:pPr>
              <w:spacing w:after="120" w:line="264" w:lineRule="auto"/>
              <w:ind w:left="284" w:hanging="284"/>
              <w:rPr>
                <w:b/>
                <w:noProof/>
                <w:sz w:val="22"/>
                <w:szCs w:val="24"/>
              </w:rPr>
            </w:pPr>
            <w:r>
              <w:rPr>
                <w:b/>
                <w:noProof/>
                <w:sz w:val="22"/>
                <w:szCs w:val="24"/>
              </w:rPr>
              <w:t>2. Launch of calls for expression of interest</w:t>
            </w:r>
            <w:r>
              <w:rPr>
                <w:rStyle w:val="FootnoteReference"/>
                <w:b/>
                <w:noProof/>
                <w:sz w:val="22"/>
                <w:szCs w:val="24"/>
              </w:rPr>
              <w:footnoteReference w:id="174"/>
            </w:r>
            <w:r>
              <w:rPr>
                <w:b/>
                <w:noProof/>
                <w:sz w:val="22"/>
                <w:szCs w:val="24"/>
              </w:rPr>
              <w:t xml:space="preserve"> </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noProof/>
                <w:sz w:val="22"/>
                <w:szCs w:val="24"/>
              </w:rPr>
            </w:pPr>
            <w:r>
              <w:rPr>
                <w:noProof/>
                <w:sz w:val="22"/>
                <w:szCs w:val="24"/>
              </w:rPr>
              <w:t>Annual operational report from implementing partner</w:t>
            </w:r>
          </w:p>
        </w:tc>
        <w:tc>
          <w:tcPr>
            <w:tcW w:w="276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within first year of the programme</w:t>
            </w:r>
          </w:p>
          <w:p>
            <w:pPr>
              <w:spacing w:after="120" w:line="264" w:lineRule="auto"/>
              <w:jc w:val="center"/>
              <w:rPr>
                <w:noProof/>
                <w:sz w:val="22"/>
                <w:szCs w:val="24"/>
              </w:rPr>
            </w:pPr>
          </w:p>
        </w:tc>
        <w:tc>
          <w:tcPr>
            <w:tcW w:w="240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r>
              <w:rPr>
                <w:noProof/>
                <w:sz w:val="22"/>
                <w:szCs w:val="24"/>
              </w:rPr>
              <w:t>N/A</w:t>
            </w:r>
          </w:p>
        </w:tc>
        <w:tc>
          <w:tcPr>
            <w:tcW w:w="2198"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noProof/>
                <w:sz w:val="22"/>
                <w:szCs w:val="24"/>
              </w:rPr>
            </w:pPr>
            <w:r>
              <w:rPr>
                <w:noProof/>
                <w:sz w:val="22"/>
                <w:szCs w:val="24"/>
              </w:rPr>
              <w:t>N/A</w:t>
            </w:r>
          </w:p>
        </w:tc>
      </w:tr>
      <w:tr>
        <w:tc>
          <w:tcPr>
            <w:tcW w:w="3228" w:type="dxa"/>
          </w:tcPr>
          <w:p>
            <w:pPr>
              <w:spacing w:after="120" w:line="264" w:lineRule="auto"/>
              <w:ind w:left="284" w:hanging="284"/>
              <w:rPr>
                <w:noProof/>
                <w:sz w:val="22"/>
                <w:szCs w:val="24"/>
              </w:rPr>
            </w:pPr>
            <w:r>
              <w:rPr>
                <w:b/>
                <w:noProof/>
                <w:sz w:val="22"/>
                <w:szCs w:val="24"/>
              </w:rPr>
              <w:t xml:space="preserve">3. </w:t>
            </w:r>
            <w:r>
              <w:rPr>
                <w:b/>
                <w:noProof/>
                <w:sz w:val="22"/>
                <w:szCs w:val="24"/>
              </w:rPr>
              <w:tab/>
              <w:t>Signature of agreements with financial intermediaries</w:t>
            </w:r>
            <w:r>
              <w:rPr>
                <w:noProof/>
                <w:sz w:val="22"/>
                <w:szCs w:val="24"/>
              </w:rPr>
              <w:t xml:space="preserve"> </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Annual operational report from implementing partner reports on transactions signed</w:t>
            </w:r>
          </w:p>
          <w:p>
            <w:pPr>
              <w:pStyle w:val="ListParagraph"/>
              <w:numPr>
                <w:ilvl w:val="0"/>
                <w:numId w:val="4"/>
              </w:numPr>
              <w:spacing w:after="120" w:line="264" w:lineRule="auto"/>
              <w:ind w:left="426" w:hanging="284"/>
              <w:jc w:val="left"/>
              <w:rPr>
                <w:b/>
                <w:noProof/>
                <w:sz w:val="22"/>
                <w:szCs w:val="24"/>
              </w:rPr>
            </w:pPr>
            <w:r>
              <w:rPr>
                <w:noProof/>
                <w:sz w:val="22"/>
                <w:szCs w:val="24"/>
              </w:rPr>
              <w:t>DG GROW to track financing gap for SMEs per Member States on a regular basis (at least once per year) through continuously integrating latest available data</w:t>
            </w:r>
            <w:r>
              <w:rPr>
                <w:rStyle w:val="FootnoteReference"/>
                <w:noProof/>
                <w:sz w:val="22"/>
                <w:szCs w:val="24"/>
              </w:rPr>
              <w:footnoteReference w:id="175"/>
            </w:r>
          </w:p>
        </w:tc>
        <w:tc>
          <w:tcPr>
            <w:tcW w:w="276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rPr>
                <w:b/>
                <w:noProof/>
                <w:sz w:val="22"/>
                <w:szCs w:val="24"/>
              </w:rPr>
            </w:pPr>
            <w:r>
              <w:rPr>
                <w:b/>
                <w:noProof/>
                <w:sz w:val="22"/>
                <w:szCs w:val="24"/>
              </w:rPr>
              <w:t>Target: first agreement signed within first year of the programme</w:t>
            </w:r>
          </w:p>
          <w:p>
            <w:pPr>
              <w:spacing w:after="120" w:line="264" w:lineRule="auto"/>
              <w:rPr>
                <w:b/>
                <w:noProof/>
                <w:sz w:val="22"/>
                <w:szCs w:val="24"/>
              </w:rPr>
            </w:pPr>
          </w:p>
          <w:p>
            <w:pPr>
              <w:spacing w:after="120" w:line="264" w:lineRule="auto"/>
              <w:jc w:val="center"/>
              <w:rPr>
                <w:b/>
                <w:noProof/>
                <w:sz w:val="22"/>
                <w:szCs w:val="24"/>
              </w:rPr>
            </w:pPr>
          </w:p>
        </w:tc>
        <w:tc>
          <w:tcPr>
            <w:tcW w:w="240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within the first three years guarantee agreements signed in at least half of the countries identified to have a significant financing gap which is not covered through national/regional interventions (measured in % of GDP)</w:t>
            </w:r>
          </w:p>
        </w:tc>
        <w:tc>
          <w:tcPr>
            <w:tcW w:w="2198"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by the end of the programme period guarantee agreements signed in all of the countries identified to have a significant financing gap which is not covered through national/regional interventions (measured in % of GDP)</w:t>
            </w:r>
          </w:p>
        </w:tc>
      </w:tr>
      <w:tr>
        <w:tc>
          <w:tcPr>
            <w:tcW w:w="3228" w:type="dxa"/>
          </w:tcPr>
          <w:p>
            <w:pPr>
              <w:spacing w:after="120" w:line="264" w:lineRule="auto"/>
              <w:ind w:left="284" w:hanging="284"/>
              <w:rPr>
                <w:b/>
                <w:noProof/>
                <w:sz w:val="22"/>
                <w:szCs w:val="24"/>
              </w:rPr>
            </w:pPr>
            <w:r>
              <w:rPr>
                <w:b/>
                <w:noProof/>
                <w:sz w:val="22"/>
                <w:szCs w:val="24"/>
              </w:rPr>
              <w:t>4. Additionality of transactions / no crowding-out of existing national/regional support schemes</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Annual operational report from implementing partner (implementing partner to report how existing support schemes have been taken into consideration when deciding on the scope of the guarantee agreements signed)</w:t>
            </w:r>
          </w:p>
          <w:p>
            <w:pPr>
              <w:spacing w:after="120" w:line="264" w:lineRule="auto"/>
              <w:ind w:left="284" w:hanging="284"/>
              <w:rPr>
                <w:noProof/>
                <w:sz w:val="22"/>
                <w:szCs w:val="24"/>
              </w:rPr>
            </w:pPr>
            <w:r>
              <w:rPr>
                <w:noProof/>
                <w:sz w:val="22"/>
                <w:szCs w:val="24"/>
              </w:rPr>
              <w:t>COM to monitor official complaints received by any of the Commission services</w:t>
            </w:r>
            <w:r>
              <w:rPr>
                <w:rStyle w:val="FootnoteReference"/>
                <w:b/>
                <w:noProof/>
                <w:sz w:val="22"/>
                <w:szCs w:val="24"/>
              </w:rPr>
              <w:footnoteReference w:id="176"/>
            </w:r>
          </w:p>
        </w:tc>
        <w:tc>
          <w:tcPr>
            <w:tcW w:w="2760" w:type="dxa"/>
          </w:tcPr>
          <w:p>
            <w:pPr>
              <w:spacing w:after="120" w:line="264" w:lineRule="auto"/>
              <w:rPr>
                <w:noProof/>
                <w:sz w:val="22"/>
                <w:szCs w:val="24"/>
              </w:rPr>
            </w:pPr>
          </w:p>
          <w:p>
            <w:pPr>
              <w:spacing w:after="120" w:line="264" w:lineRule="auto"/>
              <w:rPr>
                <w:b/>
                <w:noProof/>
                <w:sz w:val="22"/>
                <w:szCs w:val="24"/>
              </w:rPr>
            </w:pPr>
            <w:r>
              <w:rPr>
                <w:b/>
                <w:noProof/>
                <w:sz w:val="22"/>
                <w:szCs w:val="24"/>
              </w:rPr>
              <w:t xml:space="preserve">Target: no complaints about clearly identifiable crowding-out effects from national/regional support schemes </w:t>
            </w:r>
          </w:p>
        </w:tc>
        <w:tc>
          <w:tcPr>
            <w:tcW w:w="2400" w:type="dxa"/>
          </w:tcPr>
          <w:p>
            <w:pPr>
              <w:spacing w:after="120" w:line="264" w:lineRule="auto"/>
              <w:rPr>
                <w:noProof/>
                <w:sz w:val="22"/>
                <w:szCs w:val="24"/>
              </w:rPr>
            </w:pPr>
          </w:p>
          <w:p>
            <w:pPr>
              <w:spacing w:after="120" w:line="264" w:lineRule="auto"/>
              <w:rPr>
                <w:b/>
                <w:noProof/>
                <w:sz w:val="22"/>
                <w:szCs w:val="24"/>
              </w:rPr>
            </w:pPr>
            <w:r>
              <w:rPr>
                <w:b/>
                <w:noProof/>
                <w:sz w:val="22"/>
                <w:szCs w:val="24"/>
              </w:rPr>
              <w:t>Target: no complaints about clearly identifiable crowding-out effects from national/regional support schemes</w:t>
            </w:r>
          </w:p>
        </w:tc>
        <w:tc>
          <w:tcPr>
            <w:tcW w:w="2198" w:type="dxa"/>
          </w:tcPr>
          <w:p>
            <w:pPr>
              <w:spacing w:after="120" w:line="264" w:lineRule="auto"/>
              <w:rPr>
                <w:noProof/>
                <w:sz w:val="22"/>
                <w:szCs w:val="24"/>
              </w:rPr>
            </w:pPr>
          </w:p>
          <w:p>
            <w:pPr>
              <w:spacing w:after="120" w:line="264" w:lineRule="auto"/>
              <w:rPr>
                <w:b/>
                <w:noProof/>
                <w:sz w:val="22"/>
                <w:szCs w:val="24"/>
              </w:rPr>
            </w:pPr>
            <w:r>
              <w:rPr>
                <w:b/>
                <w:noProof/>
                <w:sz w:val="22"/>
                <w:szCs w:val="24"/>
              </w:rPr>
              <w:t>Target: no complaints about clearly identifiable crowding-out effects from national/regional support schemes</w:t>
            </w:r>
          </w:p>
        </w:tc>
      </w:tr>
      <w:tr>
        <w:tc>
          <w:tcPr>
            <w:tcW w:w="3228" w:type="dxa"/>
          </w:tcPr>
          <w:p>
            <w:pPr>
              <w:spacing w:after="120" w:line="264" w:lineRule="auto"/>
              <w:ind w:left="284" w:hanging="284"/>
              <w:rPr>
                <w:b/>
                <w:noProof/>
                <w:sz w:val="22"/>
                <w:szCs w:val="24"/>
              </w:rPr>
            </w:pPr>
            <w:r>
              <w:rPr>
                <w:b/>
                <w:noProof/>
                <w:sz w:val="22"/>
                <w:szCs w:val="24"/>
              </w:rPr>
              <w:t>5. Additionality of transactions / no support of activities which financial intermediaries would have undertaken also in the absence of the guarantee support according to its business practices</w:t>
            </w:r>
            <w:r>
              <w:rPr>
                <w:rStyle w:val="FootnoteReference"/>
                <w:b/>
                <w:noProof/>
                <w:sz w:val="22"/>
                <w:szCs w:val="24"/>
              </w:rPr>
              <w:footnoteReference w:id="177"/>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 xml:space="preserve">COM to establish mechanism which allows monitoring of portfolio criteria established in the agreements with the implementing partner, compliance to be verified before signature takes place </w:t>
            </w:r>
          </w:p>
          <w:p>
            <w:pPr>
              <w:pStyle w:val="ListParagraph"/>
              <w:numPr>
                <w:ilvl w:val="0"/>
                <w:numId w:val="4"/>
              </w:numPr>
              <w:spacing w:after="120" w:line="264" w:lineRule="auto"/>
              <w:ind w:left="426" w:hanging="284"/>
              <w:jc w:val="left"/>
              <w:rPr>
                <w:noProof/>
                <w:sz w:val="22"/>
                <w:szCs w:val="24"/>
              </w:rPr>
            </w:pPr>
            <w:r>
              <w:rPr>
                <w:noProof/>
                <w:sz w:val="22"/>
                <w:szCs w:val="24"/>
              </w:rPr>
              <w:t>Regular monitoring visits to financial intermediaries (COM may accompany implementing partner)</w:t>
            </w:r>
          </w:p>
        </w:tc>
        <w:tc>
          <w:tcPr>
            <w:tcW w:w="2760" w:type="dxa"/>
          </w:tcPr>
          <w:p>
            <w:pPr>
              <w:spacing w:after="120" w:line="264" w:lineRule="auto"/>
              <w:rPr>
                <w:noProof/>
                <w:sz w:val="22"/>
                <w:szCs w:val="24"/>
              </w:rPr>
            </w:pPr>
          </w:p>
          <w:p>
            <w:pPr>
              <w:spacing w:after="120" w:line="264" w:lineRule="auto"/>
              <w:rPr>
                <w:b/>
                <w:noProof/>
                <w:sz w:val="22"/>
                <w:szCs w:val="24"/>
              </w:rPr>
            </w:pPr>
            <w:r>
              <w:rPr>
                <w:b/>
                <w:noProof/>
                <w:sz w:val="22"/>
                <w:szCs w:val="24"/>
              </w:rPr>
              <w:t>Target: No guarantee agreements identified which would allow financial intermediaries to finance activities within its normal business practices</w:t>
            </w:r>
          </w:p>
        </w:tc>
        <w:tc>
          <w:tcPr>
            <w:tcW w:w="2400" w:type="dxa"/>
          </w:tcPr>
          <w:p>
            <w:pPr>
              <w:spacing w:after="120" w:line="264" w:lineRule="auto"/>
              <w:rPr>
                <w:noProof/>
                <w:sz w:val="22"/>
                <w:szCs w:val="24"/>
              </w:rPr>
            </w:pPr>
          </w:p>
          <w:p>
            <w:pPr>
              <w:spacing w:after="120" w:line="264" w:lineRule="auto"/>
              <w:rPr>
                <w:b/>
                <w:noProof/>
                <w:sz w:val="22"/>
                <w:szCs w:val="24"/>
              </w:rPr>
            </w:pPr>
            <w:r>
              <w:rPr>
                <w:b/>
                <w:noProof/>
                <w:sz w:val="22"/>
                <w:szCs w:val="24"/>
              </w:rPr>
              <w:t>Target: No guarantee agreements identified which would allow financial intermediaries to finance activities within its normal business practices</w:t>
            </w:r>
          </w:p>
        </w:tc>
        <w:tc>
          <w:tcPr>
            <w:tcW w:w="2198" w:type="dxa"/>
          </w:tcPr>
          <w:p>
            <w:pPr>
              <w:spacing w:after="120" w:line="264" w:lineRule="auto"/>
              <w:rPr>
                <w:noProof/>
                <w:sz w:val="22"/>
                <w:szCs w:val="24"/>
              </w:rPr>
            </w:pPr>
          </w:p>
          <w:p>
            <w:pPr>
              <w:spacing w:after="120" w:line="264" w:lineRule="auto"/>
              <w:rPr>
                <w:b/>
                <w:noProof/>
                <w:sz w:val="22"/>
                <w:szCs w:val="24"/>
              </w:rPr>
            </w:pPr>
            <w:r>
              <w:rPr>
                <w:b/>
                <w:noProof/>
                <w:sz w:val="22"/>
                <w:szCs w:val="24"/>
              </w:rPr>
              <w:t>Target: No guarantee agreements identified which would allow financial intermediaries to finance activities within its normal business practices</w:t>
            </w:r>
          </w:p>
        </w:tc>
      </w:tr>
      <w:tr>
        <w:tc>
          <w:tcPr>
            <w:tcW w:w="3228" w:type="dxa"/>
          </w:tcPr>
          <w:p>
            <w:pPr>
              <w:spacing w:after="120" w:line="264" w:lineRule="auto"/>
              <w:ind w:left="284" w:hanging="284"/>
              <w:rPr>
                <w:b/>
                <w:noProof/>
                <w:sz w:val="22"/>
                <w:szCs w:val="24"/>
              </w:rPr>
            </w:pPr>
            <w:r>
              <w:rPr>
                <w:b/>
                <w:noProof/>
                <w:sz w:val="22"/>
                <w:szCs w:val="24"/>
              </w:rPr>
              <w:t xml:space="preserve">6. Additionality of transaction at the level of the final recipients (would the final recipient have received the financing for the same amount and under the same conditions in the absence of the guarantee?) </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On a survey/sample basis as part of the mid-term and ex-post evaluation</w:t>
            </w:r>
          </w:p>
          <w:p>
            <w:pPr>
              <w:pStyle w:val="ListParagraph"/>
              <w:spacing w:after="120" w:line="264" w:lineRule="auto"/>
              <w:ind w:left="426"/>
              <w:rPr>
                <w:b/>
                <w:noProof/>
                <w:sz w:val="22"/>
                <w:szCs w:val="24"/>
              </w:rPr>
            </w:pPr>
          </w:p>
          <w:p>
            <w:pPr>
              <w:spacing w:after="120" w:line="264" w:lineRule="auto"/>
              <w:rPr>
                <w:i/>
                <w:noProof/>
                <w:sz w:val="22"/>
                <w:szCs w:val="24"/>
              </w:rPr>
            </w:pPr>
            <w:r>
              <w:rPr>
                <w:i/>
                <w:noProof/>
                <w:sz w:val="22"/>
                <w:szCs w:val="24"/>
              </w:rPr>
              <w:t xml:space="preserve">Please note that an ex-post monitoring or a detailed ex-ante assessment for each individual transaction or for a very significant number of transactions is unrealistic and would create significant administrative burden for financial intermediaries, final recipients and the Commission services involved. </w:t>
            </w:r>
          </w:p>
        </w:tc>
        <w:tc>
          <w:tcPr>
            <w:tcW w:w="2760" w:type="dxa"/>
          </w:tcPr>
          <w:p>
            <w:pPr>
              <w:spacing w:after="120" w:line="264" w:lineRule="auto"/>
              <w:rPr>
                <w:noProof/>
                <w:sz w:val="22"/>
                <w:szCs w:val="24"/>
              </w:rPr>
            </w:pPr>
          </w:p>
        </w:tc>
        <w:tc>
          <w:tcPr>
            <w:tcW w:w="2400" w:type="dxa"/>
          </w:tcPr>
          <w:p>
            <w:pPr>
              <w:spacing w:after="120" w:line="264" w:lineRule="auto"/>
              <w:rPr>
                <w:noProof/>
                <w:sz w:val="22"/>
                <w:szCs w:val="24"/>
              </w:rPr>
            </w:pPr>
          </w:p>
          <w:p>
            <w:pPr>
              <w:spacing w:after="120" w:line="264" w:lineRule="auto"/>
              <w:rPr>
                <w:b/>
                <w:noProof/>
                <w:sz w:val="22"/>
                <w:szCs w:val="24"/>
              </w:rPr>
            </w:pPr>
            <w:r>
              <w:rPr>
                <w:b/>
                <w:noProof/>
                <w:sz w:val="22"/>
                <w:szCs w:val="24"/>
              </w:rPr>
              <w:t>Target: Identified deadweight not more than 35%</w:t>
            </w:r>
          </w:p>
        </w:tc>
        <w:tc>
          <w:tcPr>
            <w:tcW w:w="2198" w:type="dxa"/>
          </w:tcPr>
          <w:p>
            <w:pPr>
              <w:spacing w:after="120" w:line="264" w:lineRule="auto"/>
              <w:rPr>
                <w:noProof/>
                <w:sz w:val="22"/>
                <w:szCs w:val="24"/>
              </w:rPr>
            </w:pPr>
          </w:p>
          <w:p>
            <w:pPr>
              <w:spacing w:after="120" w:line="264" w:lineRule="auto"/>
              <w:jc w:val="center"/>
              <w:rPr>
                <w:b/>
                <w:noProof/>
                <w:sz w:val="22"/>
                <w:szCs w:val="24"/>
              </w:rPr>
            </w:pPr>
            <w:r>
              <w:rPr>
                <w:b/>
                <w:noProof/>
                <w:sz w:val="22"/>
                <w:szCs w:val="24"/>
              </w:rPr>
              <w:t>Target: Identified deadweight not more than 35%</w:t>
            </w:r>
          </w:p>
        </w:tc>
      </w:tr>
      <w:tr>
        <w:tc>
          <w:tcPr>
            <w:tcW w:w="3228" w:type="dxa"/>
          </w:tcPr>
          <w:p>
            <w:pPr>
              <w:spacing w:after="120" w:line="264" w:lineRule="auto"/>
              <w:ind w:left="284" w:hanging="284"/>
              <w:rPr>
                <w:noProof/>
                <w:sz w:val="22"/>
                <w:szCs w:val="24"/>
              </w:rPr>
            </w:pPr>
            <w:r>
              <w:rPr>
                <w:b/>
                <w:noProof/>
                <w:sz w:val="22"/>
                <w:szCs w:val="24"/>
              </w:rPr>
              <w:t>7. Number of SMEs supported</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Through regular operational reports from the implementing partner</w:t>
            </w:r>
          </w:p>
        </w:tc>
        <w:tc>
          <w:tcPr>
            <w:tcW w:w="2760" w:type="dxa"/>
          </w:tcPr>
          <w:p>
            <w:pPr>
              <w:spacing w:after="120" w:line="264" w:lineRule="auto"/>
              <w:jc w:val="center"/>
              <w:rPr>
                <w:noProof/>
                <w:sz w:val="22"/>
                <w:szCs w:val="24"/>
              </w:rPr>
            </w:pPr>
          </w:p>
          <w:p>
            <w:pPr>
              <w:spacing w:after="120" w:line="264" w:lineRule="auto"/>
              <w:rPr>
                <w:b/>
                <w:noProof/>
                <w:sz w:val="22"/>
                <w:szCs w:val="24"/>
              </w:rPr>
            </w:pPr>
            <w:r>
              <w:rPr>
                <w:b/>
                <w:noProof/>
                <w:sz w:val="22"/>
                <w:szCs w:val="24"/>
              </w:rPr>
              <w:t>Target: to be set in function of the available budget</w:t>
            </w:r>
          </w:p>
        </w:tc>
        <w:tc>
          <w:tcPr>
            <w:tcW w:w="2400" w:type="dxa"/>
          </w:tcPr>
          <w:p>
            <w:pPr>
              <w:spacing w:after="120" w:line="264" w:lineRule="auto"/>
              <w:jc w:val="center"/>
              <w:rPr>
                <w:noProof/>
                <w:sz w:val="22"/>
                <w:szCs w:val="24"/>
              </w:rPr>
            </w:pPr>
          </w:p>
          <w:p>
            <w:pPr>
              <w:spacing w:after="120" w:line="264" w:lineRule="auto"/>
              <w:rPr>
                <w:b/>
                <w:noProof/>
                <w:sz w:val="22"/>
                <w:szCs w:val="24"/>
              </w:rPr>
            </w:pPr>
            <w:r>
              <w:rPr>
                <w:b/>
                <w:noProof/>
                <w:sz w:val="22"/>
                <w:szCs w:val="24"/>
              </w:rPr>
              <w:t>Target: to be set in function of the available budget</w:t>
            </w:r>
          </w:p>
        </w:tc>
        <w:tc>
          <w:tcPr>
            <w:tcW w:w="2198" w:type="dxa"/>
          </w:tcPr>
          <w:p>
            <w:pPr>
              <w:spacing w:after="120" w:line="264" w:lineRule="auto"/>
              <w:jc w:val="center"/>
              <w:rPr>
                <w:noProof/>
                <w:sz w:val="22"/>
                <w:szCs w:val="24"/>
              </w:rPr>
            </w:pPr>
          </w:p>
          <w:p>
            <w:pPr>
              <w:spacing w:after="120" w:line="264" w:lineRule="auto"/>
              <w:rPr>
                <w:b/>
                <w:noProof/>
                <w:sz w:val="22"/>
                <w:szCs w:val="24"/>
              </w:rPr>
            </w:pPr>
            <w:r>
              <w:rPr>
                <w:b/>
                <w:noProof/>
                <w:sz w:val="22"/>
                <w:szCs w:val="24"/>
              </w:rPr>
              <w:t>Target: to be set in function of the available budget</w:t>
            </w:r>
          </w:p>
        </w:tc>
      </w:tr>
      <w:tr>
        <w:tc>
          <w:tcPr>
            <w:tcW w:w="3228" w:type="dxa"/>
          </w:tcPr>
          <w:p>
            <w:pPr>
              <w:spacing w:after="120" w:line="264" w:lineRule="auto"/>
              <w:ind w:left="284" w:hanging="284"/>
              <w:rPr>
                <w:b/>
                <w:noProof/>
                <w:sz w:val="22"/>
                <w:szCs w:val="24"/>
              </w:rPr>
            </w:pPr>
            <w:r>
              <w:rPr>
                <w:b/>
                <w:noProof/>
                <w:sz w:val="22"/>
                <w:szCs w:val="24"/>
              </w:rPr>
              <w:t xml:space="preserve">8. </w:t>
            </w:r>
            <w:r>
              <w:rPr>
                <w:b/>
                <w:noProof/>
                <w:sz w:val="22"/>
                <w:szCs w:val="24"/>
              </w:rPr>
              <w:tab/>
              <w:t>Financing made available to SMEs supported</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Through regular operational reports from the implementing partner</w:t>
            </w:r>
          </w:p>
          <w:p>
            <w:pPr>
              <w:spacing w:after="120" w:line="264" w:lineRule="auto"/>
              <w:rPr>
                <w:noProof/>
                <w:sz w:val="22"/>
                <w:szCs w:val="24"/>
              </w:rPr>
            </w:pPr>
            <w:r>
              <w:rPr>
                <w:noProof/>
                <w:sz w:val="22"/>
                <w:szCs w:val="24"/>
              </w:rPr>
              <w:t xml:space="preserve">(Assumptions made: </w:t>
            </w:r>
          </w:p>
          <w:p>
            <w:pPr>
              <w:spacing w:after="120" w:line="264" w:lineRule="auto"/>
              <w:rPr>
                <w:noProof/>
                <w:sz w:val="22"/>
                <w:szCs w:val="24"/>
              </w:rPr>
            </w:pPr>
            <w:r>
              <w:rPr>
                <w:noProof/>
                <w:sz w:val="22"/>
                <w:szCs w:val="24"/>
              </w:rPr>
              <w:t>target range 1:10 – 1:20</w:t>
            </w:r>
          </w:p>
          <w:p>
            <w:pPr>
              <w:spacing w:after="120" w:line="264" w:lineRule="auto"/>
              <w:rPr>
                <w:noProof/>
                <w:sz w:val="22"/>
                <w:szCs w:val="24"/>
              </w:rPr>
            </w:pPr>
            <w:r>
              <w:rPr>
                <w:noProof/>
                <w:sz w:val="22"/>
                <w:szCs w:val="24"/>
              </w:rPr>
              <w:t>Average size of financing transaction: EUR 100,000)</w:t>
            </w:r>
          </w:p>
        </w:tc>
        <w:tc>
          <w:tcPr>
            <w:tcW w:w="2760" w:type="dxa"/>
          </w:tcPr>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 xml:space="preserve">Target: to be set in function of the available budget </w:t>
            </w:r>
          </w:p>
          <w:p>
            <w:pPr>
              <w:spacing w:after="120" w:line="264" w:lineRule="auto"/>
              <w:jc w:val="center"/>
              <w:rPr>
                <w:b/>
                <w:noProof/>
                <w:sz w:val="22"/>
                <w:szCs w:val="24"/>
              </w:rPr>
            </w:pPr>
          </w:p>
          <w:p>
            <w:pPr>
              <w:spacing w:after="120" w:line="264" w:lineRule="auto"/>
              <w:jc w:val="center"/>
              <w:rPr>
                <w:noProof/>
                <w:sz w:val="22"/>
                <w:szCs w:val="24"/>
              </w:rPr>
            </w:pPr>
            <w:r>
              <w:rPr>
                <w:noProof/>
                <w:sz w:val="22"/>
                <w:szCs w:val="24"/>
              </w:rPr>
              <w:t>(Formula to be used: Available budget * target range * average size of financing transactions)</w:t>
            </w:r>
          </w:p>
        </w:tc>
        <w:tc>
          <w:tcPr>
            <w:tcW w:w="2400" w:type="dxa"/>
          </w:tcPr>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to be set in function of the available budget</w:t>
            </w:r>
          </w:p>
          <w:p>
            <w:pPr>
              <w:spacing w:after="120" w:line="264" w:lineRule="auto"/>
              <w:jc w:val="center"/>
              <w:rPr>
                <w:b/>
                <w:noProof/>
                <w:sz w:val="22"/>
                <w:szCs w:val="24"/>
              </w:rPr>
            </w:pPr>
          </w:p>
          <w:p>
            <w:pPr>
              <w:spacing w:after="120" w:line="264" w:lineRule="auto"/>
              <w:jc w:val="center"/>
              <w:rPr>
                <w:noProof/>
                <w:sz w:val="22"/>
                <w:szCs w:val="24"/>
              </w:rPr>
            </w:pPr>
            <w:r>
              <w:rPr>
                <w:noProof/>
                <w:sz w:val="22"/>
                <w:szCs w:val="24"/>
              </w:rPr>
              <w:t xml:space="preserve">(Formula to be used: Available budget * target range * average size of financing transactions) </w:t>
            </w:r>
          </w:p>
        </w:tc>
        <w:tc>
          <w:tcPr>
            <w:tcW w:w="2198" w:type="dxa"/>
          </w:tcPr>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 xml:space="preserve">Target: to be set in function of the available budget </w:t>
            </w:r>
          </w:p>
          <w:p>
            <w:pPr>
              <w:spacing w:after="120" w:line="264" w:lineRule="auto"/>
              <w:jc w:val="center"/>
              <w:rPr>
                <w:b/>
                <w:noProof/>
                <w:sz w:val="22"/>
                <w:szCs w:val="24"/>
              </w:rPr>
            </w:pPr>
          </w:p>
          <w:p>
            <w:pPr>
              <w:spacing w:after="120" w:line="264" w:lineRule="auto"/>
              <w:jc w:val="center"/>
              <w:rPr>
                <w:noProof/>
                <w:sz w:val="22"/>
                <w:szCs w:val="24"/>
              </w:rPr>
            </w:pPr>
            <w:r>
              <w:rPr>
                <w:noProof/>
                <w:sz w:val="22"/>
                <w:szCs w:val="24"/>
              </w:rPr>
              <w:t>(Formula to be used: Available budget * target range * average size of financing transactions)</w:t>
            </w:r>
          </w:p>
        </w:tc>
      </w:tr>
      <w:tr>
        <w:tc>
          <w:tcPr>
            <w:tcW w:w="3228" w:type="dxa"/>
          </w:tcPr>
          <w:p>
            <w:pPr>
              <w:spacing w:after="120" w:line="264" w:lineRule="auto"/>
              <w:ind w:left="284" w:hanging="284"/>
              <w:rPr>
                <w:b/>
                <w:noProof/>
                <w:sz w:val="22"/>
                <w:szCs w:val="24"/>
              </w:rPr>
            </w:pPr>
            <w:r>
              <w:rPr>
                <w:b/>
                <w:noProof/>
                <w:sz w:val="22"/>
                <w:szCs w:val="24"/>
              </w:rPr>
              <w:t xml:space="preserve">9. </w:t>
            </w:r>
            <w:r>
              <w:rPr>
                <w:b/>
                <w:noProof/>
                <w:sz w:val="22"/>
                <w:szCs w:val="24"/>
              </w:rPr>
              <w:tab/>
              <w:t>Jobs maintained/employment created in supported SMEs</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 xml:space="preserve">Annual </w:t>
            </w:r>
            <w:r>
              <w:rPr>
                <w:b/>
                <w:noProof/>
                <w:sz w:val="22"/>
                <w:szCs w:val="24"/>
              </w:rPr>
              <w:t>employment</w:t>
            </w:r>
            <w:r>
              <w:rPr>
                <w:noProof/>
                <w:sz w:val="22"/>
                <w:szCs w:val="24"/>
              </w:rPr>
              <w:t>/growth reports from the implementing partner. Report to be submitted for the first time in the fourth year of the programme with data as per end of the third year of the programme.</w:t>
            </w:r>
          </w:p>
          <w:p>
            <w:pPr>
              <w:pStyle w:val="ListParagraph"/>
              <w:numPr>
                <w:ilvl w:val="0"/>
                <w:numId w:val="4"/>
              </w:numPr>
              <w:spacing w:after="120" w:line="264" w:lineRule="auto"/>
              <w:ind w:left="426" w:hanging="284"/>
              <w:jc w:val="left"/>
              <w:rPr>
                <w:b/>
                <w:noProof/>
                <w:sz w:val="22"/>
                <w:szCs w:val="24"/>
              </w:rPr>
            </w:pPr>
            <w:r>
              <w:rPr>
                <w:noProof/>
                <w:sz w:val="22"/>
                <w:szCs w:val="24"/>
              </w:rPr>
              <w:t>COM to monitor the general employment growth in the overall SME population (currently Commission established the annual report on European SMEs)</w:t>
            </w:r>
          </w:p>
          <w:p>
            <w:pPr>
              <w:pStyle w:val="ListParagraph"/>
              <w:numPr>
                <w:ilvl w:val="0"/>
                <w:numId w:val="4"/>
              </w:numPr>
              <w:spacing w:after="120" w:line="264" w:lineRule="auto"/>
              <w:ind w:left="426" w:hanging="284"/>
              <w:jc w:val="left"/>
              <w:rPr>
                <w:noProof/>
                <w:sz w:val="22"/>
                <w:szCs w:val="24"/>
              </w:rPr>
            </w:pPr>
            <w:r>
              <w:rPr>
                <w:noProof/>
                <w:sz w:val="22"/>
                <w:szCs w:val="24"/>
              </w:rPr>
              <w:t xml:space="preserve">As part of the </w:t>
            </w:r>
            <w:r>
              <w:rPr>
                <w:b/>
                <w:noProof/>
                <w:sz w:val="22"/>
                <w:szCs w:val="24"/>
              </w:rPr>
              <w:t>ex-post evaluation</w:t>
            </w:r>
            <w:r>
              <w:rPr>
                <w:noProof/>
                <w:sz w:val="22"/>
                <w:szCs w:val="24"/>
              </w:rPr>
              <w:t xml:space="preserve">: econometric study to determine how employment has grown in supported SMEs compared to non-supported SMEs. </w:t>
            </w:r>
          </w:p>
        </w:tc>
        <w:tc>
          <w:tcPr>
            <w:tcW w:w="2760" w:type="dxa"/>
          </w:tcPr>
          <w:p>
            <w:pPr>
              <w:spacing w:after="120" w:line="264" w:lineRule="auto"/>
              <w:jc w:val="center"/>
              <w:rPr>
                <w:noProof/>
                <w:sz w:val="22"/>
                <w:szCs w:val="24"/>
              </w:rPr>
            </w:pPr>
            <w:r>
              <w:rPr>
                <w:noProof/>
                <w:sz w:val="22"/>
                <w:szCs w:val="24"/>
              </w:rPr>
              <w:t>N/A</w:t>
            </w:r>
          </w:p>
        </w:tc>
        <w:tc>
          <w:tcPr>
            <w:tcW w:w="2400" w:type="dxa"/>
          </w:tcPr>
          <w:p>
            <w:pPr>
              <w:spacing w:after="120" w:line="264" w:lineRule="auto"/>
              <w:rPr>
                <w:noProof/>
                <w:sz w:val="22"/>
                <w:szCs w:val="24"/>
              </w:rPr>
            </w:pPr>
          </w:p>
          <w:p>
            <w:pPr>
              <w:spacing w:after="120" w:line="264" w:lineRule="auto"/>
              <w:jc w:val="center"/>
              <w:rPr>
                <w:b/>
                <w:noProof/>
                <w:sz w:val="22"/>
                <w:szCs w:val="24"/>
              </w:rPr>
            </w:pPr>
            <w:r>
              <w:rPr>
                <w:b/>
                <w:noProof/>
                <w:sz w:val="22"/>
                <w:szCs w:val="24"/>
              </w:rPr>
              <w:t>Target: Employment growth in supported SMEs to exceed employment growth of the overall SME population</w:t>
            </w:r>
          </w:p>
          <w:p>
            <w:pPr>
              <w:spacing w:after="120" w:line="264" w:lineRule="auto"/>
              <w:jc w:val="center"/>
              <w:rPr>
                <w:noProof/>
                <w:sz w:val="22"/>
                <w:szCs w:val="24"/>
              </w:rPr>
            </w:pPr>
          </w:p>
          <w:p>
            <w:pPr>
              <w:spacing w:after="120" w:line="264" w:lineRule="auto"/>
              <w:jc w:val="center"/>
              <w:rPr>
                <w:noProof/>
                <w:sz w:val="22"/>
                <w:szCs w:val="24"/>
              </w:rPr>
            </w:pPr>
          </w:p>
        </w:tc>
        <w:tc>
          <w:tcPr>
            <w:tcW w:w="2198" w:type="dxa"/>
          </w:tcPr>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Target: Employment growth in supported SMEs to exceed employment growth of the overall SME population</w:t>
            </w:r>
          </w:p>
          <w:p>
            <w:pPr>
              <w:spacing w:after="120" w:line="264" w:lineRule="auto"/>
              <w:jc w:val="center"/>
              <w:rPr>
                <w:noProof/>
                <w:sz w:val="22"/>
                <w:szCs w:val="24"/>
              </w:rPr>
            </w:pPr>
          </w:p>
        </w:tc>
      </w:tr>
      <w:tr>
        <w:tc>
          <w:tcPr>
            <w:tcW w:w="3228" w:type="dxa"/>
          </w:tcPr>
          <w:p>
            <w:pPr>
              <w:spacing w:after="120" w:line="264" w:lineRule="auto"/>
              <w:ind w:left="284" w:hanging="284"/>
              <w:rPr>
                <w:noProof/>
                <w:sz w:val="22"/>
                <w:szCs w:val="24"/>
              </w:rPr>
            </w:pPr>
            <w:r>
              <w:rPr>
                <w:noProof/>
                <w:sz w:val="22"/>
                <w:szCs w:val="24"/>
              </w:rPr>
              <w:t>10.</w:t>
            </w:r>
            <w:r>
              <w:rPr>
                <w:noProof/>
                <w:sz w:val="22"/>
                <w:szCs w:val="24"/>
              </w:rPr>
              <w:tab/>
            </w:r>
            <w:r>
              <w:rPr>
                <w:b/>
                <w:noProof/>
                <w:sz w:val="22"/>
                <w:szCs w:val="24"/>
              </w:rPr>
              <w:t>Turnover growth in supported SMEs</w:t>
            </w:r>
          </w:p>
          <w:p>
            <w:pPr>
              <w:spacing w:after="120" w:line="264" w:lineRule="auto"/>
              <w:rPr>
                <w:noProof/>
                <w:sz w:val="22"/>
                <w:szCs w:val="24"/>
              </w:rPr>
            </w:pPr>
            <w:r>
              <w:rPr>
                <w:noProof/>
                <w:sz w:val="22"/>
                <w:szCs w:val="24"/>
              </w:rPr>
              <w:t xml:space="preserve">How is this monitored: </w:t>
            </w:r>
          </w:p>
          <w:p>
            <w:pPr>
              <w:pStyle w:val="ListParagraph"/>
              <w:numPr>
                <w:ilvl w:val="0"/>
                <w:numId w:val="4"/>
              </w:numPr>
              <w:spacing w:after="120" w:line="264" w:lineRule="auto"/>
              <w:ind w:left="426" w:hanging="284"/>
              <w:jc w:val="left"/>
              <w:rPr>
                <w:b/>
                <w:noProof/>
                <w:sz w:val="22"/>
                <w:szCs w:val="24"/>
              </w:rPr>
            </w:pPr>
            <w:r>
              <w:rPr>
                <w:noProof/>
                <w:sz w:val="22"/>
                <w:szCs w:val="24"/>
              </w:rPr>
              <w:t>Annual employment/</w:t>
            </w:r>
            <w:r>
              <w:rPr>
                <w:b/>
                <w:noProof/>
                <w:sz w:val="22"/>
                <w:szCs w:val="24"/>
              </w:rPr>
              <w:t>growth</w:t>
            </w:r>
            <w:r>
              <w:rPr>
                <w:noProof/>
                <w:sz w:val="22"/>
                <w:szCs w:val="24"/>
              </w:rPr>
              <w:t xml:space="preserve"> reports from the implementing partner. Report to be submitted for the first time in the fourth year of the programme with data as per end of the third year of the programme.</w:t>
            </w:r>
          </w:p>
          <w:p>
            <w:pPr>
              <w:pStyle w:val="ListParagraph"/>
              <w:numPr>
                <w:ilvl w:val="0"/>
                <w:numId w:val="4"/>
              </w:numPr>
              <w:spacing w:after="120" w:line="264" w:lineRule="auto"/>
              <w:ind w:left="426" w:hanging="284"/>
              <w:jc w:val="left"/>
              <w:rPr>
                <w:b/>
                <w:noProof/>
                <w:sz w:val="22"/>
                <w:szCs w:val="24"/>
              </w:rPr>
            </w:pPr>
            <w:r>
              <w:rPr>
                <w:noProof/>
                <w:sz w:val="22"/>
                <w:szCs w:val="24"/>
              </w:rPr>
              <w:t>COM to compare turnover growth in supported SMEs to general GDP growth</w:t>
            </w:r>
          </w:p>
          <w:p>
            <w:pPr>
              <w:pStyle w:val="ListParagraph"/>
              <w:numPr>
                <w:ilvl w:val="0"/>
                <w:numId w:val="4"/>
              </w:numPr>
              <w:spacing w:after="120" w:line="264" w:lineRule="auto"/>
              <w:ind w:left="426" w:hanging="284"/>
              <w:jc w:val="left"/>
              <w:rPr>
                <w:noProof/>
                <w:sz w:val="22"/>
                <w:szCs w:val="24"/>
              </w:rPr>
            </w:pPr>
            <w:r>
              <w:rPr>
                <w:noProof/>
                <w:sz w:val="22"/>
                <w:szCs w:val="24"/>
              </w:rPr>
              <w:t xml:space="preserve">As part of the </w:t>
            </w:r>
            <w:r>
              <w:rPr>
                <w:b/>
                <w:noProof/>
                <w:sz w:val="22"/>
                <w:szCs w:val="24"/>
              </w:rPr>
              <w:t>ex-post evaluation</w:t>
            </w:r>
            <w:r>
              <w:rPr>
                <w:noProof/>
                <w:sz w:val="22"/>
                <w:szCs w:val="24"/>
              </w:rPr>
              <w:t xml:space="preserve">: econometric study to determine how turnover has grown in supported SMEs compared to non-supported SMEs. </w:t>
            </w:r>
          </w:p>
        </w:tc>
        <w:tc>
          <w:tcPr>
            <w:tcW w:w="2760" w:type="dxa"/>
          </w:tcPr>
          <w:p>
            <w:pPr>
              <w:spacing w:after="120" w:line="264" w:lineRule="auto"/>
              <w:jc w:val="center"/>
              <w:rPr>
                <w:noProof/>
                <w:sz w:val="22"/>
                <w:szCs w:val="24"/>
              </w:rPr>
            </w:pPr>
            <w:r>
              <w:rPr>
                <w:noProof/>
                <w:sz w:val="22"/>
                <w:szCs w:val="24"/>
              </w:rPr>
              <w:t>N/A</w:t>
            </w:r>
          </w:p>
        </w:tc>
        <w:tc>
          <w:tcPr>
            <w:tcW w:w="2400"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 xml:space="preserve">Target: Turnover growth in supported SMEs to exceed overall GDP growth </w:t>
            </w:r>
          </w:p>
          <w:p>
            <w:pPr>
              <w:spacing w:after="120" w:line="264" w:lineRule="auto"/>
              <w:jc w:val="center"/>
              <w:rPr>
                <w:b/>
                <w:noProof/>
                <w:sz w:val="22"/>
                <w:szCs w:val="24"/>
              </w:rPr>
            </w:pPr>
          </w:p>
          <w:p>
            <w:pPr>
              <w:spacing w:after="120" w:line="264" w:lineRule="auto"/>
              <w:jc w:val="center"/>
              <w:rPr>
                <w:noProof/>
                <w:sz w:val="22"/>
                <w:szCs w:val="24"/>
              </w:rPr>
            </w:pPr>
          </w:p>
        </w:tc>
        <w:tc>
          <w:tcPr>
            <w:tcW w:w="2198" w:type="dxa"/>
          </w:tcPr>
          <w:p>
            <w:pPr>
              <w:spacing w:after="120" w:line="264" w:lineRule="auto"/>
              <w:jc w:val="center"/>
              <w:rPr>
                <w:noProof/>
                <w:sz w:val="22"/>
                <w:szCs w:val="24"/>
              </w:rPr>
            </w:pPr>
          </w:p>
          <w:p>
            <w:pPr>
              <w:spacing w:after="120" w:line="264" w:lineRule="auto"/>
              <w:jc w:val="center"/>
              <w:rPr>
                <w:noProof/>
                <w:sz w:val="22"/>
                <w:szCs w:val="24"/>
              </w:rPr>
            </w:pPr>
          </w:p>
          <w:p>
            <w:pPr>
              <w:spacing w:after="120" w:line="264" w:lineRule="auto"/>
              <w:jc w:val="center"/>
              <w:rPr>
                <w:b/>
                <w:noProof/>
                <w:sz w:val="22"/>
                <w:szCs w:val="24"/>
              </w:rPr>
            </w:pPr>
            <w:r>
              <w:rPr>
                <w:b/>
                <w:noProof/>
                <w:sz w:val="22"/>
                <w:szCs w:val="24"/>
              </w:rPr>
              <w:t xml:space="preserve">Target: Turnover growth in supported SMEs to exceed overall GDP growth </w:t>
            </w:r>
          </w:p>
          <w:p>
            <w:pPr>
              <w:spacing w:after="120" w:line="264" w:lineRule="auto"/>
              <w:jc w:val="center"/>
              <w:rPr>
                <w:noProof/>
                <w:sz w:val="22"/>
                <w:szCs w:val="24"/>
              </w:rPr>
            </w:pPr>
          </w:p>
        </w:tc>
      </w:tr>
    </w:tbl>
    <w:p>
      <w:pPr>
        <w:pStyle w:val="AnnexTitle"/>
        <w:tabs>
          <w:tab w:val="left" w:pos="4486"/>
          <w:tab w:val="center" w:pos="7398"/>
        </w:tabs>
        <w:spacing w:after="120" w:line="264" w:lineRule="auto"/>
        <w:jc w:val="left"/>
        <w:rPr>
          <w:noProof/>
          <w:sz w:val="24"/>
          <w:szCs w:val="24"/>
        </w:rPr>
      </w:pPr>
      <w:r>
        <w:rPr>
          <w:noProof/>
          <w:sz w:val="24"/>
          <w:szCs w:val="24"/>
        </w:rPr>
        <w:tab/>
      </w:r>
      <w:r>
        <w:rPr>
          <w:noProof/>
          <w:sz w:val="24"/>
          <w:szCs w:val="24"/>
        </w:rPr>
        <w:tab/>
      </w:r>
    </w:p>
    <w:p>
      <w:pPr>
        <w:spacing w:after="200" w:line="264" w:lineRule="auto"/>
        <w:jc w:val="left"/>
        <w:rPr>
          <w:rFonts w:eastAsia="Times New Roman" w:cs="Times New Roman"/>
          <w:b/>
          <w:noProof/>
          <w:szCs w:val="24"/>
        </w:rPr>
      </w:pPr>
      <w:r>
        <w:rPr>
          <w:rFonts w:cs="Times New Roman"/>
          <w:noProof/>
          <w:szCs w:val="24"/>
        </w:rPr>
        <w:br w:type="page"/>
      </w:r>
    </w:p>
    <w:p>
      <w:pPr>
        <w:pStyle w:val="Heading1"/>
        <w:numPr>
          <w:ilvl w:val="0"/>
          <w:numId w:val="0"/>
        </w:numPr>
        <w:spacing w:line="264" w:lineRule="auto"/>
        <w:ind w:left="432"/>
        <w:rPr>
          <w:noProof/>
          <w:szCs w:val="24"/>
        </w:rPr>
      </w:pPr>
      <w:bookmarkStart w:id="9333" w:name="_Toc510517875"/>
      <w:bookmarkStart w:id="9334" w:name="_Toc510613020"/>
      <w:bookmarkStart w:id="9335" w:name="_Toc510683736"/>
      <w:bookmarkStart w:id="9336" w:name="_Toc515348907"/>
      <w:r>
        <w:rPr>
          <w:noProof/>
          <w:szCs w:val="24"/>
        </w:rPr>
        <w:t xml:space="preserve">Annex 9: Examples of indicators for </w:t>
      </w:r>
      <w:bookmarkEnd w:id="9333"/>
      <w:bookmarkEnd w:id="9334"/>
      <w:bookmarkEnd w:id="9335"/>
      <w:r>
        <w:rPr>
          <w:noProof/>
          <w:szCs w:val="24"/>
        </w:rPr>
        <w:t>Social Investment and Skills Window</w:t>
      </w:r>
      <w:bookmarkEnd w:id="9336"/>
    </w:p>
    <w:p>
      <w:pPr>
        <w:pStyle w:val="Text2"/>
        <w:spacing w:line="264" w:lineRule="auto"/>
        <w:ind w:left="0"/>
        <w:rPr>
          <w:noProof/>
          <w:szCs w:val="24"/>
        </w:rPr>
      </w:pPr>
      <w:r>
        <w:rPr>
          <w:noProof/>
          <w:szCs w:val="24"/>
        </w:rPr>
        <w:t xml:space="preserve">The table below illustrates an example of monitoring indicators developed for the Student Loan Guarantee, one of the products currently in place in the field of education. Specific indicators will be developed at the product level under the Social Investment and Skills Window.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158"/>
        <w:gridCol w:w="1475"/>
        <w:gridCol w:w="1291"/>
        <w:gridCol w:w="2818"/>
        <w:gridCol w:w="931"/>
      </w:tblGrid>
      <w:tr>
        <w:trPr>
          <w:tblHeader/>
        </w:trPr>
        <w:tc>
          <w:tcPr>
            <w:tcW w:w="544"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What</w:t>
            </w:r>
          </w:p>
        </w:tc>
        <w:tc>
          <w:tcPr>
            <w:tcW w:w="450"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Where does it stem from</w:t>
            </w:r>
          </w:p>
        </w:tc>
        <w:tc>
          <w:tcPr>
            <w:tcW w:w="569"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How collected</w:t>
            </w:r>
          </w:p>
        </w:tc>
        <w:tc>
          <w:tcPr>
            <w:tcW w:w="396"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When</w:t>
            </w:r>
          </w:p>
        </w:tc>
        <w:tc>
          <w:tcPr>
            <w:tcW w:w="2760"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Detail</w:t>
            </w:r>
          </w:p>
        </w:tc>
        <w:tc>
          <w:tcPr>
            <w:tcW w:w="281" w:type="pct"/>
            <w:shd w:val="clear" w:color="auto" w:fill="538DD5"/>
          </w:tcPr>
          <w:p>
            <w:pPr>
              <w:spacing w:line="264" w:lineRule="auto"/>
              <w:jc w:val="center"/>
              <w:rPr>
                <w:rFonts w:cs="Times New Roman"/>
                <w:b/>
                <w:noProof/>
                <w:color w:val="FFFFFF" w:themeColor="background1"/>
                <w:sz w:val="22"/>
                <w:szCs w:val="24"/>
              </w:rPr>
            </w:pPr>
            <w:r>
              <w:rPr>
                <w:rFonts w:cs="Times New Roman"/>
                <w:b/>
                <w:noProof/>
                <w:color w:val="FFFFFF" w:themeColor="background1"/>
                <w:sz w:val="22"/>
                <w:szCs w:val="24"/>
              </w:rPr>
              <w:t>Target</w:t>
            </w:r>
          </w:p>
        </w:tc>
      </w:tr>
      <w:tr>
        <w:tc>
          <w:tcPr>
            <w:tcW w:w="544" w:type="pct"/>
            <w:shd w:val="clear" w:color="auto" w:fill="auto"/>
          </w:tcPr>
          <w:p>
            <w:pPr>
              <w:spacing w:line="264" w:lineRule="auto"/>
              <w:rPr>
                <w:rFonts w:cs="Times New Roman"/>
                <w:b/>
                <w:noProof/>
                <w:sz w:val="22"/>
                <w:szCs w:val="24"/>
              </w:rPr>
            </w:pPr>
            <w:r>
              <w:rPr>
                <w:rFonts w:cs="Times New Roman"/>
                <w:b/>
                <w:noProof/>
                <w:sz w:val="22"/>
                <w:szCs w:val="24"/>
              </w:rPr>
              <w:t>Number of students supported</w:t>
            </w:r>
          </w:p>
        </w:tc>
        <w:tc>
          <w:tcPr>
            <w:tcW w:w="450" w:type="pct"/>
            <w:shd w:val="clear" w:color="auto" w:fill="auto"/>
          </w:tcPr>
          <w:p>
            <w:pPr>
              <w:spacing w:line="264" w:lineRule="auto"/>
              <w:rPr>
                <w:rFonts w:cs="Times New Roman"/>
                <w:b/>
                <w:noProof/>
                <w:sz w:val="22"/>
                <w:szCs w:val="24"/>
              </w:rPr>
            </w:pPr>
            <w:r>
              <w:rPr>
                <w:rFonts w:cs="Times New Roman"/>
                <w:b/>
                <w:noProof/>
                <w:sz w:val="22"/>
                <w:szCs w:val="24"/>
              </w:rPr>
              <w:t>Legal base indicator (headline)</w:t>
            </w:r>
          </w:p>
          <w:p>
            <w:pPr>
              <w:spacing w:line="264" w:lineRule="auto"/>
              <w:rPr>
                <w:rFonts w:cs="Times New Roman"/>
                <w:noProof/>
                <w:sz w:val="22"/>
                <w:szCs w:val="24"/>
              </w:rPr>
            </w:pPr>
          </w:p>
        </w:tc>
        <w:tc>
          <w:tcPr>
            <w:tcW w:w="569" w:type="pct"/>
            <w:shd w:val="clear" w:color="auto" w:fill="auto"/>
          </w:tcPr>
          <w:p>
            <w:pPr>
              <w:spacing w:line="264" w:lineRule="auto"/>
              <w:rPr>
                <w:rFonts w:cs="Times New Roman"/>
                <w:b/>
                <w:noProof/>
                <w:sz w:val="22"/>
                <w:szCs w:val="24"/>
              </w:rPr>
            </w:pPr>
            <w:r>
              <w:rPr>
                <w:rFonts w:cs="Times New Roman"/>
                <w:b/>
                <w:noProof/>
                <w:sz w:val="22"/>
                <w:szCs w:val="24"/>
              </w:rPr>
              <w:t xml:space="preserve">Financial Intermediary </w:t>
            </w:r>
          </w:p>
        </w:tc>
        <w:tc>
          <w:tcPr>
            <w:tcW w:w="396" w:type="pct"/>
          </w:tcPr>
          <w:p>
            <w:pPr>
              <w:spacing w:line="264" w:lineRule="auto"/>
              <w:rPr>
                <w:rFonts w:cs="Times New Roman"/>
                <w:noProof/>
                <w:sz w:val="22"/>
                <w:szCs w:val="24"/>
              </w:rPr>
            </w:pPr>
            <w:r>
              <w:rPr>
                <w:rFonts w:cs="Times New Roman"/>
                <w:b/>
                <w:noProof/>
                <w:sz w:val="22"/>
                <w:szCs w:val="24"/>
              </w:rPr>
              <w:t>Quarterly</w:t>
            </w:r>
          </w:p>
        </w:tc>
        <w:tc>
          <w:tcPr>
            <w:tcW w:w="2760" w:type="pct"/>
            <w:shd w:val="clear" w:color="auto" w:fill="auto"/>
          </w:tcPr>
          <w:p>
            <w:pPr>
              <w:spacing w:line="264" w:lineRule="auto"/>
              <w:rPr>
                <w:rFonts w:cs="Times New Roman"/>
                <w:i/>
                <w:noProof/>
                <w:sz w:val="22"/>
                <w:szCs w:val="24"/>
              </w:rPr>
            </w:pPr>
            <w:r>
              <w:rPr>
                <w:rFonts w:cs="Times New Roman"/>
                <w:noProof/>
                <w:sz w:val="22"/>
                <w:szCs w:val="24"/>
              </w:rPr>
              <w:t xml:space="preserve">Annex II (3) (a) </w:t>
            </w:r>
            <w:r>
              <w:rPr>
                <w:rFonts w:cs="Times New Roman"/>
                <w:i/>
                <w:noProof/>
                <w:sz w:val="22"/>
                <w:szCs w:val="24"/>
              </w:rPr>
              <w:t>the number of students in receipt of loans backed by the Facility , including data on their completion rates</w:t>
            </w:r>
          </w:p>
          <w:p>
            <w:pPr>
              <w:spacing w:line="264" w:lineRule="auto"/>
              <w:rPr>
                <w:rFonts w:cs="Times New Roman"/>
                <w:i/>
                <w:noProof/>
                <w:sz w:val="22"/>
                <w:szCs w:val="24"/>
              </w:rPr>
            </w:pPr>
            <w:r>
              <w:rPr>
                <w:rFonts w:cs="Times New Roman"/>
                <w:i/>
                <w:noProof/>
                <w:sz w:val="22"/>
                <w:szCs w:val="24"/>
              </w:rPr>
              <w:t>- number of students with loan</w:t>
            </w:r>
          </w:p>
          <w:p>
            <w:pPr>
              <w:spacing w:line="264" w:lineRule="auto"/>
              <w:rPr>
                <w:rFonts w:cs="Times New Roman"/>
                <w:b/>
                <w:i/>
                <w:noProof/>
                <w:sz w:val="22"/>
                <w:szCs w:val="24"/>
              </w:rPr>
            </w:pPr>
            <w:r>
              <w:rPr>
                <w:rFonts w:cs="Times New Roman"/>
                <w:i/>
                <w:noProof/>
                <w:sz w:val="22"/>
                <w:szCs w:val="24"/>
              </w:rPr>
              <w:t>- number of students finishing their programme</w:t>
            </w:r>
          </w:p>
        </w:tc>
        <w:tc>
          <w:tcPr>
            <w:tcW w:w="281" w:type="pct"/>
            <w:shd w:val="clear" w:color="auto" w:fill="auto"/>
          </w:tcPr>
          <w:p>
            <w:pPr>
              <w:spacing w:line="264" w:lineRule="auto"/>
              <w:rPr>
                <w:rFonts w:cs="Times New Roman"/>
                <w:b/>
                <w:noProof/>
                <w:sz w:val="22"/>
                <w:szCs w:val="24"/>
              </w:rPr>
            </w:pPr>
            <w:r>
              <w:rPr>
                <w:rFonts w:cs="Times New Roman"/>
                <w:b/>
                <w:noProof/>
                <w:sz w:val="22"/>
                <w:szCs w:val="24"/>
              </w:rPr>
              <w:t>200,000</w:t>
            </w:r>
          </w:p>
        </w:tc>
      </w:tr>
      <w:tr>
        <w:tc>
          <w:tcPr>
            <w:tcW w:w="544" w:type="pct"/>
            <w:shd w:val="clear" w:color="auto" w:fill="auto"/>
          </w:tcPr>
          <w:p>
            <w:pPr>
              <w:spacing w:line="264" w:lineRule="auto"/>
              <w:rPr>
                <w:rFonts w:cs="Times New Roman"/>
                <w:b/>
                <w:noProof/>
                <w:sz w:val="22"/>
                <w:szCs w:val="24"/>
              </w:rPr>
            </w:pPr>
            <w:r>
              <w:rPr>
                <w:rFonts w:cs="Times New Roman"/>
                <w:b/>
                <w:noProof/>
                <w:sz w:val="22"/>
                <w:szCs w:val="24"/>
              </w:rPr>
              <w:t>Volume of lending</w:t>
            </w:r>
          </w:p>
        </w:tc>
        <w:tc>
          <w:tcPr>
            <w:tcW w:w="450" w:type="pct"/>
            <w:shd w:val="clear" w:color="auto" w:fill="auto"/>
          </w:tcPr>
          <w:p>
            <w:pPr>
              <w:spacing w:line="264" w:lineRule="auto"/>
              <w:rPr>
                <w:rFonts w:cs="Times New Roman"/>
                <w:b/>
                <w:noProof/>
                <w:sz w:val="22"/>
                <w:szCs w:val="24"/>
              </w:rPr>
            </w:pPr>
            <w:r>
              <w:rPr>
                <w:rFonts w:cs="Times New Roman"/>
                <w:b/>
                <w:noProof/>
                <w:sz w:val="22"/>
                <w:szCs w:val="24"/>
              </w:rPr>
              <w:t>Legal base indicator (headline)</w:t>
            </w:r>
          </w:p>
        </w:tc>
        <w:tc>
          <w:tcPr>
            <w:tcW w:w="569" w:type="pct"/>
            <w:shd w:val="clear" w:color="auto" w:fill="auto"/>
          </w:tcPr>
          <w:p>
            <w:pPr>
              <w:spacing w:line="264" w:lineRule="auto"/>
              <w:rPr>
                <w:rFonts w:cs="Times New Roman"/>
                <w:noProof/>
                <w:sz w:val="22"/>
                <w:szCs w:val="24"/>
              </w:rPr>
            </w:pPr>
            <w:r>
              <w:rPr>
                <w:rFonts w:cs="Times New Roman"/>
                <w:b/>
                <w:noProof/>
                <w:sz w:val="22"/>
                <w:szCs w:val="24"/>
              </w:rPr>
              <w:t>Financial Intermediary</w:t>
            </w:r>
          </w:p>
        </w:tc>
        <w:tc>
          <w:tcPr>
            <w:tcW w:w="396" w:type="pct"/>
          </w:tcPr>
          <w:p>
            <w:pPr>
              <w:spacing w:line="264" w:lineRule="auto"/>
              <w:rPr>
                <w:rFonts w:cs="Times New Roman"/>
                <w:noProof/>
                <w:sz w:val="22"/>
                <w:szCs w:val="24"/>
              </w:rPr>
            </w:pPr>
            <w:r>
              <w:rPr>
                <w:rFonts w:cs="Times New Roman"/>
                <w:b/>
                <w:noProof/>
                <w:sz w:val="22"/>
                <w:szCs w:val="24"/>
              </w:rPr>
              <w:t>Quarterly</w:t>
            </w:r>
          </w:p>
        </w:tc>
        <w:tc>
          <w:tcPr>
            <w:tcW w:w="2760" w:type="pct"/>
            <w:shd w:val="clear" w:color="auto" w:fill="auto"/>
          </w:tcPr>
          <w:p>
            <w:pPr>
              <w:spacing w:line="264" w:lineRule="auto"/>
              <w:rPr>
                <w:rFonts w:cs="Times New Roman"/>
                <w:b/>
                <w:i/>
                <w:noProof/>
                <w:sz w:val="22"/>
                <w:szCs w:val="24"/>
              </w:rPr>
            </w:pPr>
            <w:r>
              <w:rPr>
                <w:rFonts w:cs="Times New Roman"/>
                <w:noProof/>
                <w:sz w:val="22"/>
                <w:szCs w:val="24"/>
              </w:rPr>
              <w:t xml:space="preserve">Annex II (3) (b) </w:t>
            </w:r>
            <w:r>
              <w:rPr>
                <w:rFonts w:cs="Times New Roman"/>
                <w:i/>
                <w:noProof/>
                <w:sz w:val="22"/>
                <w:szCs w:val="24"/>
              </w:rPr>
              <w:t xml:space="preserve">the volume of lending contracted by financial intermediaries </w:t>
            </w:r>
          </w:p>
        </w:tc>
        <w:tc>
          <w:tcPr>
            <w:tcW w:w="281" w:type="pct"/>
            <w:shd w:val="clear" w:color="auto" w:fill="auto"/>
          </w:tcPr>
          <w:p>
            <w:pPr>
              <w:spacing w:line="264" w:lineRule="auto"/>
              <w:rPr>
                <w:rFonts w:cs="Times New Roman"/>
                <w:b/>
                <w:noProof/>
                <w:sz w:val="22"/>
                <w:szCs w:val="24"/>
              </w:rPr>
            </w:pPr>
            <w:r>
              <w:rPr>
                <w:rFonts w:cs="Times New Roman"/>
                <w:b/>
                <w:noProof/>
                <w:sz w:val="22"/>
                <w:szCs w:val="24"/>
              </w:rPr>
              <w:t>EUR 3.2 bn</w:t>
            </w:r>
          </w:p>
        </w:tc>
      </w:tr>
      <w:tr>
        <w:tc>
          <w:tcPr>
            <w:tcW w:w="544" w:type="pct"/>
            <w:shd w:val="clear" w:color="auto" w:fill="auto"/>
          </w:tcPr>
          <w:p>
            <w:pPr>
              <w:spacing w:line="264" w:lineRule="auto"/>
              <w:ind w:left="720"/>
              <w:jc w:val="right"/>
              <w:rPr>
                <w:rFonts w:cs="Times New Roman"/>
                <w:noProof/>
                <w:sz w:val="22"/>
                <w:szCs w:val="24"/>
              </w:rPr>
            </w:pPr>
            <w:r>
              <w:rPr>
                <w:rFonts w:cs="Times New Roman"/>
                <w:noProof/>
                <w:sz w:val="22"/>
                <w:szCs w:val="24"/>
              </w:rPr>
              <w:t>Leverage</w:t>
            </w:r>
          </w:p>
        </w:tc>
        <w:tc>
          <w:tcPr>
            <w:tcW w:w="450" w:type="pct"/>
            <w:shd w:val="clear" w:color="auto" w:fill="auto"/>
          </w:tcPr>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EIF calculate</w:t>
            </w:r>
          </w:p>
        </w:tc>
        <w:tc>
          <w:tcPr>
            <w:tcW w:w="396" w:type="pct"/>
          </w:tcPr>
          <w:p>
            <w:pPr>
              <w:spacing w:line="264" w:lineRule="auto"/>
              <w:rPr>
                <w:rFonts w:cs="Times New Roman"/>
                <w:noProof/>
                <w:sz w:val="22"/>
                <w:szCs w:val="24"/>
              </w:rPr>
            </w:pPr>
          </w:p>
        </w:tc>
        <w:tc>
          <w:tcPr>
            <w:tcW w:w="2760" w:type="pct"/>
            <w:shd w:val="clear" w:color="auto" w:fill="auto"/>
          </w:tcPr>
          <w:p>
            <w:pPr>
              <w:spacing w:line="264" w:lineRule="auto"/>
              <w:rPr>
                <w:rFonts w:cs="Times New Roman"/>
                <w:noProof/>
                <w:sz w:val="22"/>
                <w:szCs w:val="24"/>
              </w:rPr>
            </w:pPr>
            <w:r>
              <w:rPr>
                <w:rFonts w:cs="Times New Roman"/>
                <w:noProof/>
                <w:sz w:val="22"/>
                <w:szCs w:val="24"/>
              </w:rPr>
              <w:t>calculated from the volume of lending committed and EU contribution</w:t>
            </w:r>
          </w:p>
        </w:tc>
        <w:tc>
          <w:tcPr>
            <w:tcW w:w="281" w:type="pct"/>
            <w:shd w:val="clear" w:color="auto" w:fill="auto"/>
          </w:tcPr>
          <w:p>
            <w:pPr>
              <w:spacing w:line="264" w:lineRule="auto"/>
              <w:rPr>
                <w:rFonts w:cs="Times New Roman"/>
                <w:noProof/>
                <w:sz w:val="22"/>
                <w:szCs w:val="24"/>
              </w:rPr>
            </w:pPr>
            <w:r>
              <w:rPr>
                <w:rFonts w:cs="Times New Roman"/>
                <w:noProof/>
                <w:sz w:val="22"/>
                <w:szCs w:val="24"/>
              </w:rPr>
              <w:t>x6.17</w:t>
            </w:r>
          </w:p>
        </w:tc>
      </w:tr>
      <w:tr>
        <w:tc>
          <w:tcPr>
            <w:tcW w:w="544" w:type="pct"/>
            <w:shd w:val="clear" w:color="auto" w:fill="auto"/>
          </w:tcPr>
          <w:p>
            <w:pPr>
              <w:spacing w:line="264" w:lineRule="auto"/>
              <w:jc w:val="right"/>
              <w:rPr>
                <w:rFonts w:cs="Times New Roman"/>
                <w:noProof/>
                <w:sz w:val="22"/>
                <w:szCs w:val="24"/>
              </w:rPr>
            </w:pPr>
            <w:r>
              <w:rPr>
                <w:rFonts w:cs="Times New Roman"/>
                <w:noProof/>
                <w:sz w:val="22"/>
                <w:szCs w:val="24"/>
              </w:rPr>
              <w:t xml:space="preserve"> Average size of loan </w:t>
            </w:r>
          </w:p>
        </w:tc>
        <w:tc>
          <w:tcPr>
            <w:tcW w:w="450" w:type="pct"/>
            <w:shd w:val="clear" w:color="auto" w:fill="auto"/>
          </w:tcPr>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EIF calculate</w:t>
            </w:r>
          </w:p>
        </w:tc>
        <w:tc>
          <w:tcPr>
            <w:tcW w:w="396" w:type="pct"/>
          </w:tcPr>
          <w:p>
            <w:pPr>
              <w:spacing w:line="264" w:lineRule="auto"/>
              <w:rPr>
                <w:rFonts w:cs="Times New Roman"/>
                <w:noProof/>
                <w:sz w:val="22"/>
                <w:szCs w:val="24"/>
              </w:rPr>
            </w:pPr>
          </w:p>
        </w:tc>
        <w:tc>
          <w:tcPr>
            <w:tcW w:w="2760" w:type="pct"/>
            <w:shd w:val="clear" w:color="auto" w:fill="auto"/>
          </w:tcPr>
          <w:p>
            <w:pPr>
              <w:spacing w:line="264" w:lineRule="auto"/>
              <w:rPr>
                <w:rFonts w:cs="Times New Roman"/>
                <w:noProof/>
                <w:sz w:val="22"/>
                <w:szCs w:val="24"/>
              </w:rPr>
            </w:pPr>
            <w:r>
              <w:rPr>
                <w:rFonts w:cs="Times New Roman"/>
                <w:noProof/>
                <w:sz w:val="22"/>
                <w:szCs w:val="24"/>
              </w:rPr>
              <w:t xml:space="preserve">calculated from the volume and number of students </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 xml:space="preserve">Geographic coverage </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p>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EIF</w:t>
            </w:r>
          </w:p>
          <w:p>
            <w:pPr>
              <w:spacing w:line="264" w:lineRule="auto"/>
              <w:rPr>
                <w:rFonts w:cs="Times New Roman"/>
                <w:noProof/>
                <w:sz w:val="22"/>
                <w:szCs w:val="24"/>
              </w:rPr>
            </w:pPr>
          </w:p>
        </w:tc>
        <w:tc>
          <w:tcPr>
            <w:tcW w:w="396" w:type="pct"/>
          </w:tcPr>
          <w:p>
            <w:pPr>
              <w:spacing w:line="264" w:lineRule="auto"/>
              <w:rPr>
                <w:rFonts w:cs="Times New Roman"/>
                <w:noProof/>
                <w:sz w:val="22"/>
                <w:szCs w:val="24"/>
              </w:rPr>
            </w:pPr>
          </w:p>
        </w:tc>
        <w:tc>
          <w:tcPr>
            <w:tcW w:w="2760" w:type="pct"/>
            <w:shd w:val="clear" w:color="auto" w:fill="auto"/>
          </w:tcPr>
          <w:p>
            <w:pPr>
              <w:spacing w:line="264" w:lineRule="auto"/>
              <w:rPr>
                <w:rFonts w:cs="Times New Roman"/>
                <w:noProof/>
                <w:sz w:val="22"/>
                <w:szCs w:val="24"/>
              </w:rPr>
            </w:pPr>
            <w:r>
              <w:rPr>
                <w:rFonts w:cs="Times New Roman"/>
                <w:noProof/>
                <w:sz w:val="22"/>
                <w:szCs w:val="24"/>
              </w:rPr>
              <w:t xml:space="preserve">Number of financial intermediaries, from which countries </w:t>
            </w:r>
          </w:p>
          <w:p>
            <w:pPr>
              <w:spacing w:line="264" w:lineRule="auto"/>
              <w:rPr>
                <w:rFonts w:cs="Times New Roman"/>
                <w:noProof/>
                <w:sz w:val="22"/>
                <w:szCs w:val="24"/>
              </w:rPr>
            </w:pPr>
            <w:r>
              <w:rPr>
                <w:rFonts w:cs="Times New Roman"/>
                <w:noProof/>
                <w:sz w:val="22"/>
                <w:szCs w:val="24"/>
              </w:rPr>
              <w:t>Article 20 legal base</w:t>
            </w:r>
          </w:p>
          <w:p>
            <w:pPr>
              <w:spacing w:line="264" w:lineRule="auto"/>
              <w:rPr>
                <w:rFonts w:cs="Times New Roman"/>
                <w:i/>
                <w:noProof/>
                <w:sz w:val="22"/>
                <w:szCs w:val="24"/>
              </w:rPr>
            </w:pPr>
            <w:r>
              <w:rPr>
                <w:rFonts w:cs="Times New Roman"/>
                <w:i/>
                <w:noProof/>
                <w:sz w:val="22"/>
                <w:szCs w:val="24"/>
              </w:rPr>
              <w:t>EIF shall endeavour to select a financial intermediary from each Programme country, in order to ensure that students from all Programme countries have access to the Student Loan Guarantee Facility in a consistent and non-discriminatory manner</w:t>
            </w:r>
          </w:p>
          <w:p>
            <w:pPr>
              <w:spacing w:line="264" w:lineRule="auto"/>
              <w:rPr>
                <w:rFonts w:cs="Times New Roman"/>
                <w:i/>
                <w:noProof/>
                <w:sz w:val="22"/>
                <w:szCs w:val="24"/>
              </w:rPr>
            </w:pPr>
            <w:r>
              <w:rPr>
                <w:rFonts w:cs="Times New Roman"/>
                <w:i/>
                <w:noProof/>
                <w:sz w:val="22"/>
                <w:szCs w:val="24"/>
              </w:rPr>
              <w:t xml:space="preserve">+ </w:t>
            </w:r>
          </w:p>
          <w:p>
            <w:pPr>
              <w:spacing w:line="264" w:lineRule="auto"/>
              <w:rPr>
                <w:rFonts w:cs="Times New Roman"/>
                <w:noProof/>
                <w:sz w:val="22"/>
                <w:szCs w:val="24"/>
              </w:rPr>
            </w:pPr>
            <w:r>
              <w:rPr>
                <w:rFonts w:cs="Times New Roman"/>
                <w:noProof/>
                <w:sz w:val="22"/>
                <w:szCs w:val="24"/>
              </w:rPr>
              <w:t>Annex II (1) (c) + Annex II (3) (h)</w:t>
            </w:r>
          </w:p>
          <w:p>
            <w:pPr>
              <w:spacing w:line="264" w:lineRule="auto"/>
              <w:rPr>
                <w:rFonts w:cs="Times New Roman"/>
                <w:i/>
                <w:noProof/>
                <w:sz w:val="22"/>
                <w:szCs w:val="24"/>
              </w:rPr>
            </w:pPr>
            <w:r>
              <w:rPr>
                <w:rFonts w:cs="Times New Roman"/>
                <w:i/>
                <w:noProof/>
                <w:sz w:val="22"/>
                <w:szCs w:val="24"/>
              </w:rPr>
              <w:t>Access to finance by all residents of Programme countries as referred to in Article 24(1)</w:t>
            </w:r>
          </w:p>
        </w:tc>
        <w:tc>
          <w:tcPr>
            <w:tcW w:w="281" w:type="pct"/>
            <w:shd w:val="clear" w:color="auto" w:fill="auto"/>
          </w:tcPr>
          <w:p>
            <w:pPr>
              <w:spacing w:line="264" w:lineRule="auto"/>
              <w:rPr>
                <w:rFonts w:cs="Times New Roman"/>
                <w:noProof/>
                <w:sz w:val="22"/>
                <w:szCs w:val="24"/>
              </w:rPr>
            </w:pPr>
            <w:r>
              <w:rPr>
                <w:rFonts w:cs="Times New Roman"/>
                <w:noProof/>
                <w:sz w:val="22"/>
                <w:szCs w:val="24"/>
              </w:rPr>
              <w:t>35</w:t>
            </w:r>
          </w:p>
        </w:tc>
      </w:tr>
      <w:tr>
        <w:tc>
          <w:tcPr>
            <w:tcW w:w="544" w:type="pct"/>
            <w:shd w:val="clear" w:color="auto" w:fill="auto"/>
          </w:tcPr>
          <w:p>
            <w:pPr>
              <w:spacing w:line="264" w:lineRule="auto"/>
              <w:rPr>
                <w:rFonts w:cs="Times New Roman"/>
                <w:noProof/>
                <w:sz w:val="22"/>
                <w:szCs w:val="24"/>
              </w:rPr>
            </w:pPr>
            <w:r>
              <w:rPr>
                <w:rFonts w:cs="Times New Roman"/>
                <w:noProof/>
                <w:sz w:val="22"/>
                <w:szCs w:val="24"/>
              </w:rPr>
              <w:t>Amount of guarantee drawn down</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Financial indicator </w:t>
            </w:r>
          </w:p>
        </w:tc>
        <w:tc>
          <w:tcPr>
            <w:tcW w:w="569" w:type="pct"/>
            <w:shd w:val="clear" w:color="auto" w:fill="auto"/>
          </w:tcPr>
          <w:p>
            <w:pPr>
              <w:spacing w:line="264" w:lineRule="auto"/>
              <w:rPr>
                <w:rFonts w:cs="Times New Roman"/>
                <w:noProof/>
                <w:sz w:val="22"/>
                <w:szCs w:val="24"/>
              </w:rPr>
            </w:pPr>
            <w:r>
              <w:rPr>
                <w:rFonts w:cs="Times New Roman"/>
                <w:noProof/>
                <w:sz w:val="22"/>
                <w:szCs w:val="24"/>
              </w:rPr>
              <w:t>EIF calculate</w:t>
            </w:r>
          </w:p>
        </w:tc>
        <w:tc>
          <w:tcPr>
            <w:tcW w:w="396" w:type="pct"/>
          </w:tcPr>
          <w:p>
            <w:pPr>
              <w:spacing w:line="264" w:lineRule="auto"/>
              <w:rPr>
                <w:rFonts w:cs="Times New Roman"/>
                <w:noProof/>
                <w:sz w:val="22"/>
                <w:szCs w:val="24"/>
              </w:rPr>
            </w:pPr>
          </w:p>
        </w:tc>
        <w:tc>
          <w:tcPr>
            <w:tcW w:w="2760" w:type="pct"/>
            <w:shd w:val="clear" w:color="auto" w:fill="auto"/>
          </w:tcPr>
          <w:p>
            <w:pPr>
              <w:spacing w:line="264" w:lineRule="auto"/>
              <w:rPr>
                <w:rFonts w:cs="Times New Roman"/>
                <w:noProof/>
                <w:sz w:val="22"/>
                <w:szCs w:val="24"/>
              </w:rPr>
            </w:pP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b/>
                <w:noProof/>
                <w:sz w:val="22"/>
                <w:szCs w:val="24"/>
              </w:rPr>
            </w:pPr>
            <w:r>
              <w:rPr>
                <w:rFonts w:cs="Times New Roman"/>
                <w:b/>
                <w:noProof/>
                <w:sz w:val="22"/>
                <w:szCs w:val="24"/>
              </w:rPr>
              <w:t>Level of interest rates</w:t>
            </w:r>
          </w:p>
        </w:tc>
        <w:tc>
          <w:tcPr>
            <w:tcW w:w="450" w:type="pct"/>
            <w:shd w:val="clear" w:color="auto" w:fill="auto"/>
          </w:tcPr>
          <w:p>
            <w:pPr>
              <w:spacing w:line="264" w:lineRule="auto"/>
              <w:rPr>
                <w:rFonts w:cs="Times New Roman"/>
                <w:b/>
                <w:noProof/>
                <w:sz w:val="22"/>
                <w:szCs w:val="24"/>
              </w:rPr>
            </w:pPr>
            <w:r>
              <w:rPr>
                <w:rFonts w:cs="Times New Roman"/>
                <w:b/>
                <w:noProof/>
                <w:sz w:val="22"/>
                <w:szCs w:val="24"/>
              </w:rPr>
              <w:t>Legal base indicator</w:t>
            </w:r>
          </w:p>
          <w:p>
            <w:pPr>
              <w:spacing w:line="264" w:lineRule="auto"/>
              <w:rPr>
                <w:rFonts w:cs="Times New Roman"/>
                <w:b/>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 xml:space="preserve">Quarterly </w:t>
            </w:r>
          </w:p>
        </w:tc>
        <w:tc>
          <w:tcPr>
            <w:tcW w:w="2760" w:type="pct"/>
            <w:shd w:val="clear" w:color="auto" w:fill="auto"/>
          </w:tcPr>
          <w:p>
            <w:pPr>
              <w:spacing w:line="264" w:lineRule="auto"/>
              <w:rPr>
                <w:rFonts w:cs="Times New Roman"/>
                <w:i/>
                <w:noProof/>
                <w:sz w:val="22"/>
                <w:szCs w:val="24"/>
              </w:rPr>
            </w:pPr>
            <w:r>
              <w:rPr>
                <w:rFonts w:cs="Times New Roman"/>
                <w:noProof/>
                <w:sz w:val="22"/>
                <w:szCs w:val="24"/>
              </w:rPr>
              <w:t xml:space="preserve">Annex II (3) (c) </w:t>
            </w:r>
            <w:r>
              <w:rPr>
                <w:rFonts w:cs="Times New Roman"/>
                <w:i/>
                <w:noProof/>
                <w:sz w:val="22"/>
                <w:szCs w:val="24"/>
              </w:rPr>
              <w:t>the level of interest rates</w:t>
            </w:r>
          </w:p>
          <w:p>
            <w:pPr>
              <w:spacing w:line="264" w:lineRule="auto"/>
              <w:rPr>
                <w:rFonts w:cs="Times New Roman"/>
                <w:noProof/>
                <w:sz w:val="22"/>
                <w:szCs w:val="24"/>
              </w:rPr>
            </w:pPr>
          </w:p>
          <w:p>
            <w:pPr>
              <w:spacing w:line="264" w:lineRule="auto"/>
              <w:rPr>
                <w:rFonts w:cs="Times New Roman"/>
                <w:noProof/>
                <w:sz w:val="22"/>
                <w:szCs w:val="24"/>
              </w:rPr>
            </w:pPr>
            <w:r>
              <w:rPr>
                <w:rFonts w:cs="Times New Roman"/>
                <w:noProof/>
                <w:sz w:val="22"/>
                <w:szCs w:val="24"/>
              </w:rPr>
              <w:t>Ave interest rate for their portfolio by financial intermediary</w:t>
            </w:r>
          </w:p>
          <w:p>
            <w:pPr>
              <w:spacing w:line="264" w:lineRule="auto"/>
              <w:rPr>
                <w:rFonts w:cs="Times New Roman"/>
                <w:noProof/>
                <w:sz w:val="22"/>
                <w:szCs w:val="24"/>
              </w:rPr>
            </w:pPr>
          </w:p>
          <w:p>
            <w:pPr>
              <w:spacing w:line="264" w:lineRule="auto"/>
              <w:rPr>
                <w:rFonts w:cs="Times New Roman"/>
                <w:noProof/>
                <w:sz w:val="22"/>
                <w:szCs w:val="24"/>
              </w:rPr>
            </w:pPr>
            <w:r>
              <w:rPr>
                <w:rFonts w:cs="Times New Roman"/>
                <w:noProof/>
                <w:sz w:val="22"/>
                <w:szCs w:val="24"/>
              </w:rPr>
              <w:t>The call for expression of interests to include a requirement for banks to demonstrate how they intend to pass on the benefit of the EU guarantee in terms of a reduction on the interest rate. Banks should monitor and report on how they are doing this – the actual level of interest that they are offering and the % reduction it represents on the interest rate they would otherwise charge</w:t>
            </w:r>
          </w:p>
        </w:tc>
        <w:tc>
          <w:tcPr>
            <w:tcW w:w="281" w:type="pct"/>
            <w:shd w:val="clear" w:color="auto" w:fill="auto"/>
          </w:tcPr>
          <w:p>
            <w:pPr>
              <w:spacing w:line="264" w:lineRule="auto"/>
              <w:rPr>
                <w:rFonts w:cs="Times New Roman"/>
                <w:b/>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Outstanding debt and default</w:t>
            </w:r>
          </w:p>
        </w:tc>
        <w:tc>
          <w:tcPr>
            <w:tcW w:w="450" w:type="pct"/>
            <w:shd w:val="clear" w:color="auto" w:fill="auto"/>
          </w:tcPr>
          <w:p>
            <w:pPr>
              <w:spacing w:line="264" w:lineRule="auto"/>
              <w:rPr>
                <w:rFonts w:cs="Times New Roman"/>
                <w:noProof/>
                <w:sz w:val="22"/>
                <w:szCs w:val="24"/>
              </w:rPr>
            </w:pPr>
            <w:r>
              <w:rPr>
                <w:rFonts w:cs="Times New Roman"/>
                <w:noProof/>
                <w:sz w:val="22"/>
                <w:szCs w:val="24"/>
              </w:rPr>
              <w:t>Legal base</w:t>
            </w: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i/>
                <w:noProof/>
                <w:sz w:val="22"/>
                <w:szCs w:val="24"/>
              </w:rPr>
            </w:pPr>
            <w:r>
              <w:rPr>
                <w:rFonts w:cs="Times New Roman"/>
                <w:noProof/>
                <w:sz w:val="22"/>
                <w:szCs w:val="24"/>
              </w:rPr>
              <w:t xml:space="preserve">Annex II (3) (d) </w:t>
            </w:r>
            <w:r>
              <w:rPr>
                <w:rFonts w:cs="Times New Roman"/>
                <w:i/>
                <w:noProof/>
                <w:sz w:val="22"/>
                <w:szCs w:val="24"/>
              </w:rPr>
              <w:t>Outstanding debt and default levels, including any measures taken by financial intermediaries against those who default on their loans</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Fraud prevention measures</w:t>
            </w:r>
          </w:p>
        </w:tc>
        <w:tc>
          <w:tcPr>
            <w:tcW w:w="450" w:type="pct"/>
            <w:shd w:val="clear" w:color="auto" w:fill="auto"/>
          </w:tcPr>
          <w:p>
            <w:pPr>
              <w:spacing w:line="264" w:lineRule="auto"/>
              <w:rPr>
                <w:rFonts w:cs="Times New Roman"/>
                <w:noProof/>
                <w:sz w:val="22"/>
                <w:szCs w:val="24"/>
              </w:rPr>
            </w:pPr>
            <w:r>
              <w:rPr>
                <w:rFonts w:cs="Times New Roman"/>
                <w:noProof/>
                <w:sz w:val="22"/>
                <w:szCs w:val="24"/>
              </w:rPr>
              <w:t>Legal base</w:t>
            </w:r>
          </w:p>
        </w:tc>
        <w:tc>
          <w:tcPr>
            <w:tcW w:w="569" w:type="pct"/>
            <w:shd w:val="clear" w:color="auto" w:fill="auto"/>
          </w:tcPr>
          <w:p>
            <w:pPr>
              <w:spacing w:line="264" w:lineRule="auto"/>
              <w:rPr>
                <w:rFonts w:cs="Times New Roman"/>
                <w:noProof/>
                <w:sz w:val="22"/>
                <w:szCs w:val="24"/>
              </w:rPr>
            </w:pPr>
            <w:r>
              <w:rPr>
                <w:rFonts w:cs="Times New Roman"/>
                <w:noProof/>
                <w:sz w:val="22"/>
                <w:szCs w:val="24"/>
              </w:rPr>
              <w:t xml:space="preserve">Financial Intermediary </w:t>
            </w:r>
          </w:p>
        </w:tc>
        <w:tc>
          <w:tcPr>
            <w:tcW w:w="396" w:type="pct"/>
          </w:tcPr>
          <w:p>
            <w:pPr>
              <w:spacing w:line="264" w:lineRule="auto"/>
              <w:rPr>
                <w:rFonts w:cs="Times New Roman"/>
                <w:noProof/>
                <w:sz w:val="22"/>
                <w:szCs w:val="24"/>
              </w:rPr>
            </w:pPr>
            <w:r>
              <w:rPr>
                <w:rFonts w:cs="Times New Roman"/>
                <w:noProof/>
                <w:sz w:val="22"/>
                <w:szCs w:val="24"/>
              </w:rPr>
              <w:t xml:space="preserve">Business Plan </w:t>
            </w:r>
          </w:p>
          <w:p>
            <w:pPr>
              <w:spacing w:line="264" w:lineRule="auto"/>
              <w:rPr>
                <w:rFonts w:cs="Times New Roman"/>
                <w:noProof/>
                <w:sz w:val="22"/>
                <w:szCs w:val="24"/>
              </w:rPr>
            </w:pPr>
            <w:r>
              <w:rPr>
                <w:rFonts w:cs="Times New Roman"/>
                <w:noProof/>
                <w:sz w:val="22"/>
                <w:szCs w:val="24"/>
              </w:rPr>
              <w:t>(+ quarterly update if appropriate)</w:t>
            </w:r>
          </w:p>
        </w:tc>
        <w:tc>
          <w:tcPr>
            <w:tcW w:w="2760" w:type="pct"/>
            <w:shd w:val="clear" w:color="auto" w:fill="auto"/>
          </w:tcPr>
          <w:p>
            <w:pPr>
              <w:spacing w:line="264" w:lineRule="auto"/>
              <w:rPr>
                <w:rFonts w:cs="Times New Roman"/>
                <w:noProof/>
                <w:sz w:val="22"/>
                <w:szCs w:val="24"/>
              </w:rPr>
            </w:pPr>
          </w:p>
          <w:p>
            <w:pPr>
              <w:spacing w:line="264" w:lineRule="auto"/>
              <w:rPr>
                <w:rFonts w:cs="Times New Roman"/>
                <w:i/>
                <w:noProof/>
                <w:sz w:val="22"/>
                <w:szCs w:val="24"/>
              </w:rPr>
            </w:pPr>
            <w:r>
              <w:rPr>
                <w:rFonts w:cs="Times New Roman"/>
                <w:noProof/>
                <w:sz w:val="22"/>
                <w:szCs w:val="24"/>
              </w:rPr>
              <w:t xml:space="preserve">Annex II (3) (e) </w:t>
            </w:r>
            <w:r>
              <w:rPr>
                <w:rFonts w:cs="Times New Roman"/>
                <w:i/>
                <w:noProof/>
                <w:sz w:val="22"/>
                <w:szCs w:val="24"/>
              </w:rPr>
              <w:t>fraud prevention measures taken by financial intermediaries</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sex</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w:t>
            </w:r>
          </w:p>
        </w:tc>
        <w:tc>
          <w:tcPr>
            <w:tcW w:w="569" w:type="pct"/>
            <w:shd w:val="clear" w:color="auto" w:fill="auto"/>
          </w:tcPr>
          <w:p>
            <w:pPr>
              <w:spacing w:line="264" w:lineRule="auto"/>
              <w:rPr>
                <w:rFonts w:cs="Times New Roman"/>
                <w:noProof/>
                <w:sz w:val="22"/>
                <w:szCs w:val="24"/>
              </w:rPr>
            </w:pPr>
            <w:r>
              <w:rPr>
                <w:rFonts w:cs="Times New Roman"/>
                <w:noProof/>
                <w:sz w:val="22"/>
                <w:szCs w:val="24"/>
              </w:rPr>
              <w:t xml:space="preserve">Financial Intermediary </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Question: male/female</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age</w:t>
            </w:r>
          </w:p>
        </w:tc>
        <w:tc>
          <w:tcPr>
            <w:tcW w:w="450" w:type="pct"/>
            <w:shd w:val="clear" w:color="auto" w:fill="auto"/>
          </w:tcPr>
          <w:p>
            <w:pPr>
              <w:spacing w:line="264" w:lineRule="auto"/>
              <w:rPr>
                <w:rFonts w:cs="Times New Roman"/>
                <w:noProof/>
                <w:sz w:val="22"/>
                <w:szCs w:val="24"/>
              </w:rPr>
            </w:pPr>
            <w:r>
              <w:rPr>
                <w:rFonts w:cs="Times New Roman"/>
                <w:noProof/>
                <w:sz w:val="22"/>
                <w:szCs w:val="24"/>
              </w:rPr>
              <w:t>Legal base</w:t>
            </w:r>
            <w:r>
              <w:rPr>
                <w:rFonts w:cs="Times New Roman"/>
                <w:i/>
                <w:noProof/>
                <w:sz w:val="22"/>
                <w:szCs w:val="24"/>
              </w:rPr>
              <w:t xml:space="preserve"> Annex II (3) (f)</w:t>
            </w: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Question: date of birth</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origin 1</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 +</w:t>
            </w:r>
          </w:p>
          <w:p>
            <w:pPr>
              <w:spacing w:line="264" w:lineRule="auto"/>
              <w:rPr>
                <w:rFonts w:cs="Times New Roman"/>
                <w:noProof/>
                <w:sz w:val="22"/>
                <w:szCs w:val="24"/>
              </w:rPr>
            </w:pPr>
            <w:r>
              <w:rPr>
                <w:rFonts w:cs="Times New Roman"/>
                <w:noProof/>
                <w:sz w:val="22"/>
                <w:szCs w:val="24"/>
              </w:rPr>
              <w:t>Eligibility criterion</w:t>
            </w:r>
          </w:p>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Question: What is your home country or country of normal residence?</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origin 2</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 +</w:t>
            </w:r>
          </w:p>
          <w:p>
            <w:pPr>
              <w:spacing w:line="264" w:lineRule="auto"/>
              <w:rPr>
                <w:rFonts w:cs="Times New Roman"/>
                <w:noProof/>
                <w:sz w:val="22"/>
                <w:szCs w:val="24"/>
              </w:rPr>
            </w:pPr>
            <w:r>
              <w:rPr>
                <w:rFonts w:cs="Times New Roman"/>
                <w:noProof/>
                <w:sz w:val="22"/>
                <w:szCs w:val="24"/>
              </w:rPr>
              <w:t>Eligibility criterion</w:t>
            </w: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Question: In which country did you obtain your Bachelor degree (or the equivalent qualification) which qualifies you to apply to the masters programme that you want to follow?</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destination</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 +</w:t>
            </w:r>
          </w:p>
          <w:p>
            <w:pPr>
              <w:spacing w:line="264" w:lineRule="auto"/>
              <w:rPr>
                <w:rFonts w:cs="Times New Roman"/>
                <w:noProof/>
                <w:sz w:val="22"/>
                <w:szCs w:val="24"/>
              </w:rPr>
            </w:pPr>
            <w:r>
              <w:rPr>
                <w:rFonts w:cs="Times New Roman"/>
                <w:noProof/>
                <w:sz w:val="22"/>
                <w:szCs w:val="24"/>
              </w:rPr>
              <w:t>Eligibility criterion</w:t>
            </w: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Question: In which country is the Master programme (or equivalent) which you wish to follow</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Study field</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w:t>
            </w: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Which of the following study fields corresponds most closely to your chosen programme:</w:t>
            </w:r>
          </w:p>
          <w:p>
            <w:pPr>
              <w:numPr>
                <w:ilvl w:val="0"/>
                <w:numId w:val="7"/>
              </w:numPr>
              <w:spacing w:after="0" w:line="264" w:lineRule="auto"/>
              <w:jc w:val="left"/>
              <w:rPr>
                <w:rFonts w:cs="Times New Roman"/>
                <w:noProof/>
                <w:sz w:val="22"/>
                <w:szCs w:val="24"/>
              </w:rPr>
            </w:pPr>
            <w:r>
              <w:rPr>
                <w:rFonts w:cs="Times New Roman"/>
                <w:noProof/>
                <w:sz w:val="22"/>
                <w:szCs w:val="24"/>
              </w:rPr>
              <w:t xml:space="preserve">Education </w:t>
            </w:r>
          </w:p>
          <w:p>
            <w:pPr>
              <w:numPr>
                <w:ilvl w:val="0"/>
                <w:numId w:val="7"/>
              </w:numPr>
              <w:spacing w:after="0" w:line="264" w:lineRule="auto"/>
              <w:jc w:val="left"/>
              <w:rPr>
                <w:rFonts w:cs="Times New Roman"/>
                <w:noProof/>
                <w:sz w:val="22"/>
                <w:szCs w:val="24"/>
              </w:rPr>
            </w:pPr>
            <w:r>
              <w:rPr>
                <w:rFonts w:cs="Times New Roman"/>
                <w:noProof/>
                <w:sz w:val="22"/>
                <w:szCs w:val="24"/>
              </w:rPr>
              <w:t>Arts and Humanities</w:t>
            </w:r>
          </w:p>
          <w:p>
            <w:pPr>
              <w:numPr>
                <w:ilvl w:val="0"/>
                <w:numId w:val="7"/>
              </w:numPr>
              <w:spacing w:after="0" w:line="264" w:lineRule="auto"/>
              <w:jc w:val="left"/>
              <w:rPr>
                <w:rFonts w:cs="Times New Roman"/>
                <w:noProof/>
                <w:sz w:val="22"/>
                <w:szCs w:val="24"/>
              </w:rPr>
            </w:pPr>
            <w:r>
              <w:rPr>
                <w:rFonts w:cs="Times New Roman"/>
                <w:noProof/>
                <w:sz w:val="22"/>
                <w:szCs w:val="24"/>
              </w:rPr>
              <w:t xml:space="preserve">Social Sciences, Journalism and information </w:t>
            </w:r>
          </w:p>
          <w:p>
            <w:pPr>
              <w:numPr>
                <w:ilvl w:val="0"/>
                <w:numId w:val="7"/>
              </w:numPr>
              <w:spacing w:after="0" w:line="264" w:lineRule="auto"/>
              <w:jc w:val="left"/>
              <w:rPr>
                <w:rFonts w:cs="Times New Roman"/>
                <w:noProof/>
                <w:sz w:val="22"/>
                <w:szCs w:val="24"/>
              </w:rPr>
            </w:pPr>
            <w:r>
              <w:rPr>
                <w:rFonts w:cs="Times New Roman"/>
                <w:noProof/>
                <w:sz w:val="22"/>
                <w:szCs w:val="24"/>
              </w:rPr>
              <w:t>Business, Administration and Law</w:t>
            </w:r>
          </w:p>
          <w:p>
            <w:pPr>
              <w:numPr>
                <w:ilvl w:val="0"/>
                <w:numId w:val="7"/>
              </w:numPr>
              <w:spacing w:after="0" w:line="264" w:lineRule="auto"/>
              <w:jc w:val="left"/>
              <w:rPr>
                <w:rFonts w:cs="Times New Roman"/>
                <w:noProof/>
                <w:sz w:val="22"/>
                <w:szCs w:val="24"/>
              </w:rPr>
            </w:pPr>
            <w:r>
              <w:rPr>
                <w:rFonts w:cs="Times New Roman"/>
                <w:noProof/>
                <w:sz w:val="22"/>
                <w:szCs w:val="24"/>
              </w:rPr>
              <w:t>Natural sciences, Mathematics and statistics</w:t>
            </w:r>
          </w:p>
          <w:p>
            <w:pPr>
              <w:numPr>
                <w:ilvl w:val="0"/>
                <w:numId w:val="7"/>
              </w:numPr>
              <w:spacing w:after="0" w:line="264" w:lineRule="auto"/>
              <w:jc w:val="left"/>
              <w:rPr>
                <w:rFonts w:cs="Times New Roman"/>
                <w:noProof/>
                <w:sz w:val="22"/>
                <w:szCs w:val="24"/>
              </w:rPr>
            </w:pPr>
            <w:r>
              <w:rPr>
                <w:rFonts w:cs="Times New Roman"/>
                <w:noProof/>
                <w:sz w:val="22"/>
                <w:szCs w:val="24"/>
              </w:rPr>
              <w:t xml:space="preserve">Information and Communication Technologies </w:t>
            </w:r>
          </w:p>
          <w:p>
            <w:pPr>
              <w:numPr>
                <w:ilvl w:val="0"/>
                <w:numId w:val="7"/>
              </w:numPr>
              <w:spacing w:after="0" w:line="264" w:lineRule="auto"/>
              <w:jc w:val="left"/>
              <w:rPr>
                <w:rFonts w:cs="Times New Roman"/>
                <w:noProof/>
                <w:sz w:val="22"/>
                <w:szCs w:val="24"/>
              </w:rPr>
            </w:pPr>
            <w:r>
              <w:rPr>
                <w:rFonts w:cs="Times New Roman"/>
                <w:noProof/>
                <w:sz w:val="22"/>
                <w:szCs w:val="24"/>
              </w:rPr>
              <w:t>Engineering, Manufacturing, Construction</w:t>
            </w:r>
          </w:p>
          <w:p>
            <w:pPr>
              <w:numPr>
                <w:ilvl w:val="0"/>
                <w:numId w:val="7"/>
              </w:numPr>
              <w:spacing w:after="0" w:line="264" w:lineRule="auto"/>
              <w:jc w:val="left"/>
              <w:rPr>
                <w:rFonts w:cs="Times New Roman"/>
                <w:noProof/>
                <w:sz w:val="22"/>
                <w:szCs w:val="24"/>
              </w:rPr>
            </w:pPr>
            <w:r>
              <w:rPr>
                <w:rFonts w:cs="Times New Roman"/>
                <w:noProof/>
                <w:sz w:val="22"/>
                <w:szCs w:val="24"/>
              </w:rPr>
              <w:t>Agriculture, Forestry, Fisheries and Veterinary</w:t>
            </w:r>
          </w:p>
          <w:p>
            <w:pPr>
              <w:numPr>
                <w:ilvl w:val="0"/>
                <w:numId w:val="7"/>
              </w:numPr>
              <w:spacing w:after="0" w:line="264" w:lineRule="auto"/>
              <w:jc w:val="left"/>
              <w:rPr>
                <w:rFonts w:cs="Times New Roman"/>
                <w:noProof/>
                <w:sz w:val="22"/>
                <w:szCs w:val="24"/>
              </w:rPr>
            </w:pPr>
            <w:r>
              <w:rPr>
                <w:rFonts w:cs="Times New Roman"/>
                <w:noProof/>
                <w:sz w:val="22"/>
                <w:szCs w:val="24"/>
              </w:rPr>
              <w:t>Health and Welfare</w:t>
            </w:r>
          </w:p>
          <w:p>
            <w:pPr>
              <w:numPr>
                <w:ilvl w:val="0"/>
                <w:numId w:val="7"/>
              </w:numPr>
              <w:spacing w:after="0" w:line="264" w:lineRule="auto"/>
              <w:jc w:val="left"/>
              <w:rPr>
                <w:rFonts w:cs="Times New Roman"/>
                <w:noProof/>
                <w:sz w:val="22"/>
                <w:szCs w:val="24"/>
              </w:rPr>
            </w:pPr>
            <w:r>
              <w:rPr>
                <w:rFonts w:cs="Times New Roman"/>
                <w:noProof/>
                <w:sz w:val="22"/>
                <w:szCs w:val="24"/>
              </w:rPr>
              <w:t xml:space="preserve">Other </w:t>
            </w:r>
          </w:p>
          <w:p>
            <w:pPr>
              <w:spacing w:line="264" w:lineRule="auto"/>
              <w:rPr>
                <w:rFonts w:cs="Times New Roman"/>
                <w:noProof/>
                <w:sz w:val="22"/>
                <w:szCs w:val="24"/>
              </w:rPr>
            </w:pPr>
            <w:r>
              <w:rPr>
                <w:rFonts w:cs="Times New Roman"/>
                <w:noProof/>
                <w:sz w:val="22"/>
                <w:szCs w:val="24"/>
              </w:rPr>
              <w:t>To have no influence on the loan decision</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Student contact details</w:t>
            </w:r>
          </w:p>
        </w:tc>
        <w:tc>
          <w:tcPr>
            <w:tcW w:w="450" w:type="pct"/>
            <w:shd w:val="clear" w:color="auto" w:fill="auto"/>
          </w:tcPr>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Information to be collected once at loan application stage by student</w:t>
            </w:r>
          </w:p>
          <w:p>
            <w:pPr>
              <w:spacing w:line="264" w:lineRule="auto"/>
              <w:rPr>
                <w:rFonts w:cs="Times New Roman"/>
                <w:noProof/>
                <w:sz w:val="22"/>
                <w:szCs w:val="24"/>
              </w:rPr>
            </w:pPr>
            <w:r>
              <w:rPr>
                <w:rFonts w:cs="Times New Roman"/>
                <w:noProof/>
                <w:sz w:val="22"/>
                <w:szCs w:val="24"/>
              </w:rPr>
              <w:t>Address, contact phone number, email</w:t>
            </w:r>
          </w:p>
          <w:p>
            <w:pPr>
              <w:spacing w:line="264" w:lineRule="auto"/>
              <w:rPr>
                <w:rFonts w:cs="Times New Roman"/>
                <w:noProof/>
                <w:sz w:val="22"/>
                <w:szCs w:val="24"/>
              </w:rPr>
            </w:pPr>
            <w:r>
              <w:rPr>
                <w:rFonts w:cs="Times New Roman"/>
                <w:noProof/>
                <w:sz w:val="22"/>
                <w:szCs w:val="24"/>
              </w:rPr>
              <w:t xml:space="preserve">Needed by banks </w:t>
            </w:r>
          </w:p>
          <w:p>
            <w:pPr>
              <w:spacing w:line="264" w:lineRule="auto"/>
              <w:rPr>
                <w:rFonts w:cs="Times New Roman"/>
                <w:noProof/>
                <w:sz w:val="22"/>
                <w:szCs w:val="24"/>
              </w:rPr>
            </w:pPr>
          </w:p>
          <w:p>
            <w:pPr>
              <w:spacing w:line="264" w:lineRule="auto"/>
              <w:rPr>
                <w:rFonts w:cs="Times New Roman"/>
                <w:noProof/>
                <w:sz w:val="22"/>
                <w:szCs w:val="24"/>
              </w:rPr>
            </w:pPr>
            <w:r>
              <w:rPr>
                <w:rFonts w:cs="Times New Roman"/>
                <w:noProof/>
                <w:sz w:val="22"/>
                <w:szCs w:val="24"/>
              </w:rPr>
              <w:t>Statement: By signing this application you confirm that you are content with your contact details being passed on to an independent research body contracted by the European do conduct an evaluation of the loan facility.</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Socio-economic background</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(f)</w:t>
            </w:r>
          </w:p>
          <w:p>
            <w:pPr>
              <w:spacing w:line="264" w:lineRule="auto"/>
              <w:rPr>
                <w:rFonts w:cs="Times New Roman"/>
                <w:noProof/>
                <w:sz w:val="22"/>
                <w:szCs w:val="24"/>
              </w:rPr>
            </w:pPr>
          </w:p>
        </w:tc>
        <w:tc>
          <w:tcPr>
            <w:tcW w:w="569" w:type="pct"/>
            <w:shd w:val="clear" w:color="auto" w:fill="auto"/>
          </w:tcPr>
          <w:p>
            <w:pPr>
              <w:spacing w:line="264" w:lineRule="auto"/>
              <w:rPr>
                <w:rFonts w:cs="Times New Roman"/>
                <w:noProof/>
                <w:sz w:val="22"/>
                <w:szCs w:val="24"/>
              </w:rPr>
            </w:pPr>
            <w:r>
              <w:rPr>
                <w:rFonts w:cs="Times New Roman"/>
                <w:noProof/>
                <w:sz w:val="22"/>
                <w:szCs w:val="24"/>
              </w:rPr>
              <w:t>Financial Intermediary</w:t>
            </w:r>
          </w:p>
        </w:tc>
        <w:tc>
          <w:tcPr>
            <w:tcW w:w="396" w:type="pct"/>
          </w:tcPr>
          <w:p>
            <w:pPr>
              <w:spacing w:line="264" w:lineRule="auto"/>
              <w:rPr>
                <w:rFonts w:cs="Times New Roman"/>
                <w:noProof/>
                <w:sz w:val="22"/>
                <w:szCs w:val="24"/>
              </w:rPr>
            </w:pPr>
            <w:r>
              <w:rPr>
                <w:rFonts w:cs="Times New Roman"/>
                <w:noProof/>
                <w:sz w:val="22"/>
                <w:szCs w:val="24"/>
              </w:rPr>
              <w:t>Quarterly</w:t>
            </w:r>
          </w:p>
        </w:tc>
        <w:tc>
          <w:tcPr>
            <w:tcW w:w="2760" w:type="pct"/>
            <w:shd w:val="clear" w:color="auto" w:fill="auto"/>
          </w:tcPr>
          <w:p>
            <w:pPr>
              <w:spacing w:line="264" w:lineRule="auto"/>
              <w:rPr>
                <w:rFonts w:cs="Times New Roman"/>
                <w:noProof/>
                <w:sz w:val="22"/>
                <w:szCs w:val="24"/>
              </w:rPr>
            </w:pPr>
            <w:r>
              <w:rPr>
                <w:rFonts w:cs="Times New Roman"/>
                <w:noProof/>
                <w:sz w:val="22"/>
                <w:szCs w:val="24"/>
              </w:rPr>
              <w:t>Question: Does either of your parents have a higher education qualification (yes/no/don’t know or prefer not to say)</w:t>
            </w:r>
          </w:p>
        </w:tc>
        <w:tc>
          <w:tcPr>
            <w:tcW w:w="281" w:type="pct"/>
            <w:shd w:val="clear" w:color="auto" w:fill="auto"/>
          </w:tcPr>
          <w:p>
            <w:pPr>
              <w:spacing w:line="264" w:lineRule="auto"/>
              <w:rPr>
                <w:rFonts w:cs="Times New Roman"/>
                <w:noProof/>
                <w:sz w:val="22"/>
                <w:szCs w:val="24"/>
              </w:rPr>
            </w:pPr>
          </w:p>
        </w:tc>
      </w:tr>
      <w:tr>
        <w:tc>
          <w:tcPr>
            <w:tcW w:w="544" w:type="pct"/>
            <w:shd w:val="clear" w:color="auto" w:fill="auto"/>
          </w:tcPr>
          <w:p>
            <w:pPr>
              <w:spacing w:line="264" w:lineRule="auto"/>
              <w:rPr>
                <w:rFonts w:cs="Times New Roman"/>
                <w:noProof/>
                <w:sz w:val="22"/>
                <w:szCs w:val="24"/>
              </w:rPr>
            </w:pPr>
            <w:r>
              <w:rPr>
                <w:rFonts w:cs="Times New Roman"/>
                <w:noProof/>
                <w:sz w:val="22"/>
                <w:szCs w:val="24"/>
              </w:rPr>
              <w:t>Geographical balance of uptake</w:t>
            </w:r>
          </w:p>
        </w:tc>
        <w:tc>
          <w:tcPr>
            <w:tcW w:w="450" w:type="pct"/>
            <w:shd w:val="clear" w:color="auto" w:fill="auto"/>
          </w:tcPr>
          <w:p>
            <w:pPr>
              <w:spacing w:line="264" w:lineRule="auto"/>
              <w:rPr>
                <w:rFonts w:cs="Times New Roman"/>
                <w:noProof/>
                <w:sz w:val="22"/>
                <w:szCs w:val="24"/>
              </w:rPr>
            </w:pPr>
            <w:r>
              <w:rPr>
                <w:rFonts w:cs="Times New Roman"/>
                <w:noProof/>
                <w:sz w:val="22"/>
                <w:szCs w:val="24"/>
              </w:rPr>
              <w:t xml:space="preserve">Legal base </w:t>
            </w:r>
            <w:r>
              <w:rPr>
                <w:rFonts w:cs="Times New Roman"/>
                <w:i/>
                <w:noProof/>
                <w:sz w:val="22"/>
                <w:szCs w:val="24"/>
              </w:rPr>
              <w:t>Annex II (3) (g)</w:t>
            </w:r>
          </w:p>
        </w:tc>
        <w:tc>
          <w:tcPr>
            <w:tcW w:w="569" w:type="pct"/>
            <w:shd w:val="clear" w:color="auto" w:fill="auto"/>
          </w:tcPr>
          <w:p>
            <w:pPr>
              <w:spacing w:line="264" w:lineRule="auto"/>
              <w:rPr>
                <w:rFonts w:cs="Times New Roman"/>
                <w:noProof/>
                <w:sz w:val="22"/>
                <w:szCs w:val="24"/>
              </w:rPr>
            </w:pPr>
            <w:r>
              <w:rPr>
                <w:rFonts w:cs="Times New Roman"/>
                <w:noProof/>
                <w:sz w:val="22"/>
                <w:szCs w:val="24"/>
              </w:rPr>
              <w:t>EIF</w:t>
            </w:r>
          </w:p>
        </w:tc>
        <w:tc>
          <w:tcPr>
            <w:tcW w:w="396" w:type="pct"/>
          </w:tcPr>
          <w:p>
            <w:pPr>
              <w:spacing w:line="264" w:lineRule="auto"/>
              <w:rPr>
                <w:rFonts w:cs="Times New Roman"/>
                <w:noProof/>
                <w:sz w:val="22"/>
                <w:szCs w:val="24"/>
              </w:rPr>
            </w:pPr>
            <w:r>
              <w:rPr>
                <w:rFonts w:cs="Times New Roman"/>
                <w:noProof/>
                <w:sz w:val="22"/>
                <w:szCs w:val="24"/>
              </w:rPr>
              <w:t>Calculated</w:t>
            </w:r>
          </w:p>
        </w:tc>
        <w:tc>
          <w:tcPr>
            <w:tcW w:w="2760" w:type="pct"/>
            <w:shd w:val="clear" w:color="auto" w:fill="auto"/>
          </w:tcPr>
          <w:p>
            <w:pPr>
              <w:spacing w:line="264" w:lineRule="auto"/>
              <w:rPr>
                <w:rFonts w:cs="Times New Roman"/>
                <w:noProof/>
                <w:sz w:val="22"/>
                <w:szCs w:val="24"/>
              </w:rPr>
            </w:pPr>
            <w:r>
              <w:rPr>
                <w:rFonts w:cs="Times New Roman"/>
                <w:noProof/>
                <w:sz w:val="22"/>
                <w:szCs w:val="24"/>
              </w:rPr>
              <w:t>Legal Base Annex II (3) (f) – this is to be drawn from the student origin and destination data</w:t>
            </w:r>
          </w:p>
        </w:tc>
        <w:tc>
          <w:tcPr>
            <w:tcW w:w="281" w:type="pct"/>
            <w:shd w:val="clear" w:color="auto" w:fill="auto"/>
          </w:tcPr>
          <w:p>
            <w:pPr>
              <w:spacing w:line="264" w:lineRule="auto"/>
              <w:rPr>
                <w:rFonts w:cs="Times New Roman"/>
                <w:noProof/>
                <w:sz w:val="22"/>
                <w:szCs w:val="24"/>
              </w:rPr>
            </w:pPr>
          </w:p>
        </w:tc>
      </w:tr>
    </w:tbl>
    <w:p>
      <w:pPr>
        <w:pStyle w:val="Text2"/>
        <w:spacing w:line="264" w:lineRule="auto"/>
        <w:ind w:left="0"/>
        <w:rPr>
          <w:noProof/>
          <w:szCs w:val="24"/>
        </w:rPr>
      </w:pPr>
    </w:p>
    <w:p>
      <w:pPr>
        <w:spacing w:after="120" w:line="264" w:lineRule="auto"/>
        <w:jc w:val="left"/>
        <w:rPr>
          <w:rFonts w:cs="Times New Roman"/>
          <w:noProof/>
          <w:szCs w:val="24"/>
        </w:rPr>
      </w:pPr>
    </w:p>
    <w:p>
      <w:pPr>
        <w:spacing w:after="120" w:line="264" w:lineRule="auto"/>
        <w:jc w:val="left"/>
        <w:rPr>
          <w:rFonts w:cs="Times New Roman"/>
          <w:noProof/>
          <w:szCs w:val="24"/>
        </w:rPr>
        <w:sectPr>
          <w:headerReference w:type="even" r:id="rId130"/>
          <w:headerReference w:type="default" r:id="rId131"/>
          <w:footerReference w:type="even" r:id="rId132"/>
          <w:footerReference w:type="default" r:id="rId133"/>
          <w:headerReference w:type="first" r:id="rId134"/>
          <w:footerReference w:type="first" r:id="rId135"/>
          <w:pgSz w:w="11906" w:h="16838"/>
          <w:pgMar w:top="1021" w:right="1701" w:bottom="1021" w:left="993" w:header="601" w:footer="818" w:gutter="0"/>
          <w:cols w:space="720"/>
          <w:titlePg/>
          <w:docGrid w:linePitch="326"/>
        </w:sectPr>
      </w:pPr>
    </w:p>
    <w:p>
      <w:pPr>
        <w:pStyle w:val="Heading1"/>
        <w:numPr>
          <w:ilvl w:val="0"/>
          <w:numId w:val="0"/>
        </w:numPr>
        <w:spacing w:line="264" w:lineRule="auto"/>
        <w:ind w:left="431"/>
        <w:rPr>
          <w:noProof/>
          <w:szCs w:val="24"/>
        </w:rPr>
      </w:pPr>
      <w:bookmarkStart w:id="9337" w:name="_Toc509384232"/>
      <w:bookmarkStart w:id="9338" w:name="_Toc509333109"/>
      <w:bookmarkStart w:id="9339" w:name="_Toc509333522"/>
      <w:bookmarkStart w:id="9340" w:name="_Toc509333935"/>
      <w:bookmarkStart w:id="9341" w:name="_Toc509334061"/>
      <w:bookmarkStart w:id="9342" w:name="_Toc509334780"/>
      <w:bookmarkStart w:id="9343" w:name="_Toc509335338"/>
      <w:bookmarkStart w:id="9344" w:name="_Toc509334158"/>
      <w:bookmarkStart w:id="9345" w:name="_Toc509335435"/>
      <w:bookmarkStart w:id="9346" w:name="_Toc509335854"/>
      <w:bookmarkStart w:id="9347" w:name="_Toc509336797"/>
      <w:bookmarkStart w:id="9348" w:name="_Toc509337224"/>
      <w:bookmarkStart w:id="9349" w:name="_Toc509337652"/>
      <w:bookmarkStart w:id="9350" w:name="_Toc509338079"/>
      <w:bookmarkStart w:id="9351" w:name="_Toc509338409"/>
      <w:bookmarkStart w:id="9352" w:name="_Toc509382953"/>
      <w:bookmarkStart w:id="9353" w:name="_Toc509383385"/>
      <w:bookmarkStart w:id="9354" w:name="_Toc509384262"/>
      <w:bookmarkStart w:id="9355" w:name="_Toc509333114"/>
      <w:bookmarkStart w:id="9356" w:name="_Toc509333527"/>
      <w:bookmarkStart w:id="9357" w:name="_Toc509333940"/>
      <w:bookmarkStart w:id="9358" w:name="_Toc509334066"/>
      <w:bookmarkStart w:id="9359" w:name="_Toc509334785"/>
      <w:bookmarkStart w:id="9360" w:name="_Toc509335343"/>
      <w:bookmarkStart w:id="9361" w:name="_Toc509334163"/>
      <w:bookmarkStart w:id="9362" w:name="_Toc509335440"/>
      <w:bookmarkStart w:id="9363" w:name="_Toc509335859"/>
      <w:bookmarkStart w:id="9364" w:name="_Toc509336802"/>
      <w:bookmarkStart w:id="9365" w:name="_Toc509337229"/>
      <w:bookmarkStart w:id="9366" w:name="_Toc509337657"/>
      <w:bookmarkStart w:id="9367" w:name="_Toc509338084"/>
      <w:bookmarkStart w:id="9368" w:name="_Toc509338414"/>
      <w:bookmarkStart w:id="9369" w:name="_Toc509382958"/>
      <w:bookmarkStart w:id="9370" w:name="_Toc509383390"/>
      <w:bookmarkStart w:id="9371" w:name="_Toc509384267"/>
      <w:bookmarkStart w:id="9372" w:name="_Toc508623883"/>
      <w:bookmarkStart w:id="9373" w:name="_Toc508623983"/>
      <w:bookmarkStart w:id="9374" w:name="_Toc508624022"/>
      <w:bookmarkStart w:id="9375" w:name="_Toc508624061"/>
      <w:bookmarkStart w:id="9376" w:name="_Toc508624100"/>
      <w:bookmarkStart w:id="9377" w:name="_Toc508623888"/>
      <w:bookmarkStart w:id="9378" w:name="_Toc508623988"/>
      <w:bookmarkStart w:id="9379" w:name="_Toc508624027"/>
      <w:bookmarkStart w:id="9380" w:name="_Toc508624066"/>
      <w:bookmarkStart w:id="9381" w:name="_Toc508624105"/>
      <w:bookmarkStart w:id="9382" w:name="_Toc510517878"/>
      <w:bookmarkStart w:id="9383" w:name="_Toc510517879"/>
      <w:bookmarkStart w:id="9384" w:name="_Toc510613021"/>
      <w:bookmarkStart w:id="9385" w:name="_Toc510683737"/>
      <w:bookmarkStart w:id="9386" w:name="_Toc515348908"/>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r>
        <w:rPr>
          <w:noProof/>
          <w:szCs w:val="24"/>
        </w:rPr>
        <w:t>Annex 10: Defining and assessing additionality</w:t>
      </w:r>
      <w:bookmarkEnd w:id="9383"/>
      <w:bookmarkEnd w:id="9384"/>
      <w:bookmarkEnd w:id="9385"/>
      <w:bookmarkEnd w:id="9386"/>
    </w:p>
    <w:p>
      <w:pPr>
        <w:spacing w:line="264" w:lineRule="auto"/>
        <w:rPr>
          <w:rFonts w:cs="Times New Roman"/>
          <w:noProof/>
          <w:szCs w:val="24"/>
          <w:lang w:eastAsia="en-GB"/>
        </w:rPr>
      </w:pPr>
      <w:bookmarkStart w:id="9387" w:name="_Toc510517880"/>
      <w:r>
        <w:rPr>
          <w:rFonts w:cs="Times New Roman"/>
          <w:noProof/>
          <w:szCs w:val="24"/>
          <w:lang w:eastAsia="en-GB"/>
        </w:rPr>
        <w:t>Additionality is a key principle underpinning EU support whether provided as grants or in the form of financial instruments. The general principle of additionality as set out in the EU Financial Regulation</w:t>
      </w:r>
      <w:r>
        <w:rPr>
          <w:rFonts w:cs="Times New Roman"/>
          <w:noProof/>
          <w:szCs w:val="24"/>
          <w:vertAlign w:val="superscript"/>
        </w:rPr>
        <w:footnoteReference w:id="178"/>
      </w:r>
      <w:r>
        <w:rPr>
          <w:rFonts w:cs="Times New Roman"/>
          <w:noProof/>
          <w:szCs w:val="24"/>
          <w:lang w:eastAsia="en-GB"/>
        </w:rPr>
        <w:t xml:space="preserve">, stipulates that EU financial instruments should not crowd-out or substitute existing sources of funding (whether EU, national or private). In other words, if a project or investment can be financed with own means, private sources of finance or by means of another public intervention (whether EU or national) at affordable conditions, the support from EU financial instrument is not additional, but a substitution. Additionality therefore represents the extent to which a project or investment can be carried out in reasonable terms as a result of support from the EU financial instrument in consideration. A similar concept is expected to be laid out in the amended Financial Regulation. </w:t>
      </w:r>
    </w:p>
    <w:p>
      <w:pPr>
        <w:spacing w:line="264" w:lineRule="auto"/>
        <w:rPr>
          <w:rFonts w:cs="Times New Roman"/>
          <w:noProof/>
          <w:szCs w:val="24"/>
          <w:lang w:eastAsia="en-GB"/>
        </w:rPr>
      </w:pPr>
      <w:r>
        <w:rPr>
          <w:rFonts w:cs="Times New Roman"/>
          <w:noProof/>
          <w:szCs w:val="24"/>
          <w:lang w:eastAsia="en-GB"/>
        </w:rPr>
        <w:t>Empirical evidence on additionality of existing EU central financial instruments and EFSI is mostly based on small sample sizes of beneficiaries and/or opinions of stakeholders. Gathering data evidence for the purpose of assessing the additionality of EU support ex-ante has proven difficult. Therefore when designing new financial interventions, it is critical that attention is paid to the ex-ante assessment of potential substitution or cannibalising effect of the new instrument on existing financing initiatives. Furthermore, evidence and analysis of additionality should be systematically collected and reviewed ex-post, for the operations under support.</w:t>
      </w:r>
    </w:p>
    <w:p>
      <w:pPr>
        <w:spacing w:line="264" w:lineRule="auto"/>
        <w:rPr>
          <w:rFonts w:eastAsia="Arial" w:cs="Times New Roman"/>
          <w:noProof/>
          <w:szCs w:val="24"/>
          <w:lang w:eastAsia="en-GB"/>
        </w:rPr>
      </w:pPr>
      <w:r>
        <w:rPr>
          <w:rFonts w:cs="Times New Roman"/>
          <w:noProof/>
          <w:szCs w:val="24"/>
          <w:lang w:bidi="en-GB"/>
        </w:rPr>
        <w:t>Although additionality cannot be ‘proven’ or ‘exactly measured’, it is possible to enhance its assessments in practical ways, with the aim to enable the relevant EU programme to improve its effectiveness</w:t>
      </w:r>
      <w:r>
        <w:rPr>
          <w:rFonts w:eastAsia="Arial" w:cs="Times New Roman"/>
          <w:noProof/>
          <w:szCs w:val="24"/>
          <w:lang w:bidi="en-GB"/>
        </w:rPr>
        <w:t>.</w:t>
      </w:r>
    </w:p>
    <w:p>
      <w:pPr>
        <w:spacing w:line="264" w:lineRule="auto"/>
        <w:rPr>
          <w:rFonts w:cs="Times New Roman"/>
          <w:b/>
          <w:noProof/>
          <w:color w:val="000000" w:themeColor="text1"/>
          <w:szCs w:val="24"/>
        </w:rPr>
      </w:pPr>
      <w:r>
        <w:rPr>
          <w:rFonts w:cs="Times New Roman"/>
          <w:b/>
          <w:noProof/>
          <w:color w:val="000000" w:themeColor="text1"/>
          <w:szCs w:val="24"/>
        </w:rPr>
        <w:t>Suggested additionality criteria for the InvestEU Fund</w:t>
      </w:r>
    </w:p>
    <w:p>
      <w:pPr>
        <w:spacing w:line="264" w:lineRule="auto"/>
        <w:rPr>
          <w:rFonts w:eastAsia="Arial" w:cs="Times New Roman"/>
          <w:noProof/>
          <w:szCs w:val="24"/>
          <w:lang w:eastAsia="en-GB"/>
        </w:rPr>
      </w:pPr>
      <w:r>
        <w:rPr>
          <w:rFonts w:cs="Times New Roman"/>
          <w:noProof/>
          <w:szCs w:val="24"/>
          <w:lang w:eastAsia="en-GB"/>
        </w:rPr>
        <w:t xml:space="preserve">General principles of additionality have been adopted by all key multilateral and bilateral agencies working in the area of private sector development. In line with their collective agreements on common concepts guiding their work with the private sector, and building upon the lessons learned from past experience in implementing EU financial instruments and EFSI, one can distinguish between financial and non-financial additionality. The particular terms and structuring of a financing operation (including not only pricing but also other key aspects such as tenor, grace period, repayment schedule), together with the risk mitigation and mobilisation of private resources constitute the financial aspects of additionality. Non-financial additionality is represented by all other features that the InvestEU Fund support brings into the project, including economic additionality (i.e. whether the envisaged support addresses market failures or sub-optimal investment situations), specialist advice or expertise, etc. </w:t>
      </w:r>
    </w:p>
    <w:p>
      <w:pPr>
        <w:spacing w:line="264" w:lineRule="auto"/>
        <w:rPr>
          <w:rFonts w:cs="Times New Roman"/>
          <w:noProof/>
          <w:szCs w:val="24"/>
          <w:lang w:eastAsia="en-GB"/>
        </w:rPr>
      </w:pPr>
      <w:r>
        <w:rPr>
          <w:rFonts w:cs="Times New Roman"/>
          <w:noProof/>
          <w:szCs w:val="24"/>
          <w:lang w:eastAsia="en-GB"/>
        </w:rPr>
        <w:t xml:space="preserve">Given the above, the following </w:t>
      </w:r>
      <w:r>
        <w:rPr>
          <w:rFonts w:eastAsia="Arial" w:cs="Times New Roman"/>
          <w:noProof/>
          <w:szCs w:val="24"/>
          <w:lang w:eastAsia="en-GB"/>
        </w:rPr>
        <w:t xml:space="preserve">non-exhaustive list of criteria can be drawn up potentially for the assessment of the additionality of the InvestEU Fund support both at portfolio, and at project level. These criteria and the underlying indicators could then be considered as positive factors when assessing additionality. In all circumstances, however, the implementing partner should demonstrate that the proposed operation tackles a </w:t>
      </w:r>
      <w:r>
        <w:rPr>
          <w:rFonts w:eastAsia="Times New Roman" w:cs="Times New Roman"/>
          <w:noProof/>
          <w:szCs w:val="24"/>
        </w:rPr>
        <w:t>market failure or suboptimal investment situation</w:t>
      </w:r>
      <w:r>
        <w:rPr>
          <w:rFonts w:eastAsia="Arial" w:cs="Times New Roman"/>
          <w:noProof/>
          <w:szCs w:val="24"/>
          <w:lang w:eastAsia="en-GB"/>
        </w:rPr>
        <w:t xml:space="preserve">. </w:t>
      </w:r>
    </w:p>
    <w:p>
      <w:pPr>
        <w:spacing w:line="264" w:lineRule="auto"/>
        <w:rPr>
          <w:rFonts w:eastAsia="Arial" w:cs="Times New Roman"/>
          <w:noProof/>
          <w:szCs w:val="24"/>
          <w:lang w:eastAsia="en-GB"/>
        </w:rPr>
      </w:pPr>
      <w:r>
        <w:rPr>
          <w:rFonts w:eastAsia="Arial" w:cs="Times New Roman"/>
          <w:noProof/>
          <w:szCs w:val="24"/>
          <w:lang w:eastAsia="en-GB"/>
        </w:rPr>
        <w:t>The main criteria could be the following:</w:t>
      </w:r>
    </w:p>
    <w:p>
      <w:pPr>
        <w:pStyle w:val="Bulet"/>
        <w:spacing w:line="264" w:lineRule="auto"/>
        <w:rPr>
          <w:rFonts w:eastAsia="Arial"/>
          <w:noProof/>
          <w:szCs w:val="24"/>
          <w:lang w:eastAsia="en-GB" w:bidi="en-GB"/>
        </w:rPr>
      </w:pPr>
      <w:r>
        <w:rPr>
          <w:rFonts w:eastAsia="Arial"/>
          <w:noProof/>
          <w:szCs w:val="24"/>
          <w:lang w:eastAsia="en-GB" w:bidi="en-GB"/>
        </w:rPr>
        <w:t>Identified market failures (for example information asymmetry or difficult access to market or resources) which constrain the availability of finance or the terms on which finance is available for projects;</w:t>
      </w:r>
    </w:p>
    <w:p>
      <w:pPr>
        <w:pStyle w:val="Bulet"/>
        <w:spacing w:line="264" w:lineRule="auto"/>
        <w:rPr>
          <w:rFonts w:eastAsia="Arial"/>
          <w:noProof/>
          <w:szCs w:val="24"/>
          <w:lang w:eastAsia="en-GB" w:bidi="en-GB"/>
        </w:rPr>
      </w:pPr>
      <w:r>
        <w:rPr>
          <w:rFonts w:eastAsia="Arial"/>
          <w:noProof/>
          <w:szCs w:val="24"/>
          <w:lang w:eastAsia="en-GB" w:bidi="en-GB"/>
        </w:rPr>
        <w:t>The project or investment is expected to deliver a significant societal return, but the financial return is not in line with the expectations of the market;</w:t>
      </w:r>
    </w:p>
    <w:p>
      <w:pPr>
        <w:pStyle w:val="Bulet"/>
        <w:spacing w:line="264" w:lineRule="auto"/>
        <w:rPr>
          <w:rFonts w:eastAsia="Arial"/>
          <w:noProof/>
          <w:szCs w:val="24"/>
          <w:lang w:eastAsia="en-GB" w:bidi="en-GB"/>
        </w:rPr>
      </w:pPr>
      <w:r>
        <w:rPr>
          <w:rFonts w:eastAsia="Arial"/>
          <w:noProof/>
          <w:szCs w:val="24"/>
          <w:lang w:eastAsia="en-GB" w:bidi="en-GB"/>
        </w:rPr>
        <w:t>Underdeveloped capital markets restricting the volume and/ or type of finance available;</w:t>
      </w:r>
    </w:p>
    <w:p>
      <w:pPr>
        <w:pStyle w:val="Bulet"/>
        <w:spacing w:line="264" w:lineRule="auto"/>
        <w:rPr>
          <w:rFonts w:eastAsia="Arial"/>
          <w:noProof/>
          <w:szCs w:val="24"/>
          <w:lang w:eastAsia="en-GB" w:bidi="en-GB"/>
        </w:rPr>
      </w:pPr>
      <w:r>
        <w:rPr>
          <w:rFonts w:eastAsia="Arial"/>
          <w:noProof/>
          <w:szCs w:val="24"/>
          <w:lang w:eastAsia="en-GB" w:bidi="en-GB"/>
        </w:rPr>
        <w:t>High levels of perceived or actual risk in certain sectors or countries, beyond levels that private financial actors are able or willing to accept;</w:t>
      </w:r>
    </w:p>
    <w:p>
      <w:pPr>
        <w:pStyle w:val="Bulet"/>
        <w:spacing w:line="264" w:lineRule="auto"/>
        <w:rPr>
          <w:rFonts w:eastAsia="Arial"/>
          <w:noProof/>
          <w:szCs w:val="24"/>
          <w:lang w:eastAsia="en-GB" w:bidi="en-GB"/>
        </w:rPr>
      </w:pPr>
      <w:r>
        <w:rPr>
          <w:rFonts w:eastAsia="Arial"/>
          <w:noProof/>
          <w:szCs w:val="24"/>
          <w:lang w:eastAsia="en-GB" w:bidi="en-GB"/>
        </w:rPr>
        <w:t>Support from the InvestEU Fund is provided through a subordinated position within the funding structure or for long tenors, which allows for a high risk absorption capacity;</w:t>
      </w:r>
    </w:p>
    <w:p>
      <w:pPr>
        <w:pStyle w:val="Bulet"/>
        <w:spacing w:line="264" w:lineRule="auto"/>
        <w:rPr>
          <w:rFonts w:eastAsia="Arial"/>
          <w:noProof/>
          <w:szCs w:val="24"/>
          <w:lang w:eastAsia="en-GB" w:bidi="en-GB"/>
        </w:rPr>
      </w:pPr>
      <w:r>
        <w:rPr>
          <w:rFonts w:eastAsia="Arial"/>
          <w:noProof/>
          <w:szCs w:val="24"/>
          <w:lang w:eastAsia="en-GB" w:bidi="en-GB"/>
        </w:rPr>
        <w:t>Regulatory constraints;</w:t>
      </w:r>
    </w:p>
    <w:p>
      <w:pPr>
        <w:pStyle w:val="Bulet"/>
        <w:spacing w:line="264" w:lineRule="auto"/>
        <w:rPr>
          <w:rFonts w:eastAsia="Arial"/>
          <w:noProof/>
          <w:szCs w:val="24"/>
          <w:lang w:eastAsia="en-GB" w:bidi="en-GB"/>
        </w:rPr>
      </w:pPr>
      <w:r>
        <w:rPr>
          <w:rFonts w:eastAsia="Arial"/>
          <w:noProof/>
          <w:szCs w:val="24"/>
          <w:lang w:eastAsia="en-GB" w:bidi="en-GB"/>
        </w:rPr>
        <w:t>Public/private support will be made available as a result of the financing support provided under the InvestEU Fund</w:t>
      </w:r>
    </w:p>
    <w:p>
      <w:pPr>
        <w:pStyle w:val="Bulet"/>
        <w:spacing w:line="264" w:lineRule="auto"/>
        <w:rPr>
          <w:rFonts w:eastAsia="Arial"/>
          <w:noProof/>
          <w:szCs w:val="24"/>
          <w:lang w:eastAsia="en-GB" w:bidi="en-GB"/>
        </w:rPr>
      </w:pPr>
      <w:r>
        <w:rPr>
          <w:rFonts w:eastAsia="Arial"/>
          <w:noProof/>
          <w:szCs w:val="24"/>
          <w:lang w:eastAsia="en-GB" w:bidi="en-GB"/>
        </w:rPr>
        <w:t xml:space="preserve">EU intervention can significantly enhance the environmental benefit or will have a positive impact on social integration </w:t>
      </w:r>
    </w:p>
    <w:p>
      <w:pPr>
        <w:pStyle w:val="Bulet"/>
        <w:spacing w:line="264" w:lineRule="auto"/>
        <w:rPr>
          <w:rFonts w:eastAsia="Arial"/>
          <w:noProof/>
          <w:szCs w:val="24"/>
          <w:lang w:eastAsia="en-GB" w:bidi="en-GB"/>
        </w:rPr>
      </w:pPr>
      <w:r>
        <w:rPr>
          <w:rFonts w:eastAsia="Arial"/>
          <w:noProof/>
          <w:szCs w:val="24"/>
          <w:lang w:eastAsia="en-GB" w:bidi="en-GB"/>
        </w:rPr>
        <w:t>Cross-border projects or related services.</w:t>
      </w:r>
    </w:p>
    <w:p>
      <w:pPr>
        <w:spacing w:line="264" w:lineRule="auto"/>
        <w:rPr>
          <w:rFonts w:eastAsia="Arial" w:cs="Times New Roman"/>
          <w:noProof/>
          <w:szCs w:val="24"/>
          <w:lang w:eastAsia="en-GB" w:bidi="en-GB"/>
        </w:rPr>
      </w:pPr>
      <w:r>
        <w:rPr>
          <w:rFonts w:cs="Times New Roman"/>
          <w:noProof/>
          <w:szCs w:val="24"/>
          <w:lang w:eastAsia="en-GB" w:bidi="en-GB"/>
        </w:rPr>
        <w:t xml:space="preserve">These criteria are further elaborated in the table below. Moreover, the table below also sets out a series of proxy indicators which </w:t>
      </w:r>
      <w:r>
        <w:rPr>
          <w:rFonts w:eastAsia="Arial" w:cs="Times New Roman"/>
          <w:noProof/>
          <w:szCs w:val="24"/>
          <w:lang w:eastAsia="en-GB" w:bidi="en-GB"/>
        </w:rPr>
        <w:t>could be used to assess additionality of the activity undertaken by the implementing entity receiving EU support. At a very basic level, EU support should enable the implementing entity to take higher risks to address the above conditions (for example, by creating new, riskier products or adjusting pricing levels of existing products) and/ or create higher volumes of activity.</w:t>
      </w:r>
      <w:bookmarkEnd w:id="9387"/>
    </w:p>
    <w:p>
      <w:pPr>
        <w:spacing w:line="264" w:lineRule="auto"/>
        <w:rPr>
          <w:rFonts w:cs="Times New Roman"/>
          <w:b/>
          <w:noProof/>
          <w:szCs w:val="24"/>
        </w:rPr>
        <w:sectPr>
          <w:headerReference w:type="even" r:id="rId136"/>
          <w:headerReference w:type="default" r:id="rId137"/>
          <w:footerReference w:type="even" r:id="rId138"/>
          <w:footerReference w:type="default" r:id="rId139"/>
          <w:headerReference w:type="first" r:id="rId140"/>
          <w:footerReference w:type="first" r:id="rId141"/>
          <w:pgSz w:w="11900" w:h="16840"/>
          <w:pgMar w:top="1440" w:right="1440" w:bottom="1440" w:left="1440" w:header="720" w:footer="720" w:gutter="0"/>
          <w:cols w:space="720"/>
          <w:docGrid w:linePitch="360"/>
        </w:sectPr>
      </w:pPr>
    </w:p>
    <w:tbl>
      <w:tblPr>
        <w:tblStyle w:val="TableGrid"/>
        <w:tblW w:w="13864" w:type="dxa"/>
        <w:tblLook w:val="04A0" w:firstRow="1" w:lastRow="0" w:firstColumn="1" w:lastColumn="0" w:noHBand="0" w:noVBand="1"/>
      </w:tblPr>
      <w:tblGrid>
        <w:gridCol w:w="1415"/>
        <w:gridCol w:w="2000"/>
        <w:gridCol w:w="5198"/>
        <w:gridCol w:w="5245"/>
        <w:gridCol w:w="6"/>
      </w:tblGrid>
      <w:tr>
        <w:trPr>
          <w:tblHeader/>
        </w:trPr>
        <w:tc>
          <w:tcPr>
            <w:tcW w:w="13864" w:type="dxa"/>
            <w:gridSpan w:val="5"/>
            <w:tcBorders>
              <w:top w:val="nil"/>
              <w:left w:val="nil"/>
              <w:bottom w:val="single" w:sz="4" w:space="0" w:color="auto"/>
              <w:right w:val="nil"/>
            </w:tcBorders>
            <w:shd w:val="clear" w:color="auto" w:fill="auto"/>
          </w:tcPr>
          <w:p>
            <w:pPr>
              <w:pStyle w:val="BodyText"/>
              <w:spacing w:line="264" w:lineRule="auto"/>
              <w:rPr>
                <w:rFonts w:ascii="Times New Roman" w:hAnsi="Times New Roman"/>
                <w:b/>
                <w:noProof/>
              </w:rPr>
            </w:pPr>
            <w:r>
              <w:rPr>
                <w:rFonts w:ascii="Times New Roman" w:hAnsi="Times New Roman"/>
                <w:b/>
                <w:noProof/>
                <w:sz w:val="24"/>
              </w:rPr>
              <w:t>Table1 : Indicative additionality criteria for support to be provided under the InvestEU Fund</w:t>
            </w:r>
          </w:p>
        </w:tc>
      </w:tr>
      <w:tr>
        <w:trPr>
          <w:gridAfter w:val="1"/>
          <w:wAfter w:w="6" w:type="dxa"/>
          <w:tblHeader/>
        </w:trPr>
        <w:tc>
          <w:tcPr>
            <w:tcW w:w="1415" w:type="dxa"/>
            <w:tcBorders>
              <w:top w:val="single" w:sz="4" w:space="0" w:color="auto"/>
            </w:tcBorders>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Type of additionality</w:t>
            </w:r>
          </w:p>
        </w:tc>
        <w:tc>
          <w:tcPr>
            <w:tcW w:w="2000" w:type="dxa"/>
            <w:tcBorders>
              <w:top w:val="single" w:sz="4" w:space="0" w:color="auto"/>
            </w:tcBorders>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 xml:space="preserve">Additionality criteria </w:t>
            </w:r>
          </w:p>
        </w:tc>
        <w:tc>
          <w:tcPr>
            <w:tcW w:w="5198" w:type="dxa"/>
            <w:tcBorders>
              <w:top w:val="single" w:sz="4" w:space="0" w:color="auto"/>
            </w:tcBorders>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Explanation</w:t>
            </w:r>
          </w:p>
        </w:tc>
        <w:tc>
          <w:tcPr>
            <w:tcW w:w="5245" w:type="dxa"/>
            <w:tcBorders>
              <w:top w:val="single" w:sz="4" w:space="0" w:color="auto"/>
            </w:tcBorders>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Suggested indicators for verifying additionality of InvestEU Fund support</w:t>
            </w:r>
          </w:p>
        </w:tc>
      </w:tr>
      <w:tr>
        <w:trPr>
          <w:gridAfter w:val="1"/>
          <w:wAfter w:w="6" w:type="dxa"/>
          <w:trHeight w:val="1403"/>
        </w:trPr>
        <w:tc>
          <w:tcPr>
            <w:tcW w:w="1415" w:type="dxa"/>
            <w:vMerge w:val="restart"/>
          </w:tcPr>
          <w:p>
            <w:pPr>
              <w:pStyle w:val="BodyText"/>
              <w:spacing w:line="264" w:lineRule="auto"/>
              <w:rPr>
                <w:rFonts w:ascii="Times New Roman" w:hAnsi="Times New Roman"/>
                <w:noProof/>
              </w:rPr>
            </w:pPr>
            <w:r>
              <w:rPr>
                <w:rFonts w:ascii="Times New Roman" w:hAnsi="Times New Roman"/>
                <w:noProof/>
              </w:rPr>
              <w:t>Financial</w:t>
            </w:r>
          </w:p>
        </w:tc>
        <w:tc>
          <w:tcPr>
            <w:tcW w:w="2000" w:type="dxa"/>
          </w:tcPr>
          <w:p>
            <w:pPr>
              <w:pStyle w:val="BodyText"/>
              <w:spacing w:line="264" w:lineRule="auto"/>
              <w:rPr>
                <w:rFonts w:ascii="Times New Roman" w:hAnsi="Times New Roman"/>
                <w:noProof/>
              </w:rPr>
            </w:pPr>
            <w:r>
              <w:rPr>
                <w:rFonts w:ascii="Times New Roman" w:hAnsi="Times New Roman"/>
                <w:noProof/>
              </w:rPr>
              <w:t>Market failures – information failures</w:t>
            </w:r>
          </w:p>
        </w:tc>
        <w:tc>
          <w:tcPr>
            <w:tcW w:w="5198" w:type="dxa"/>
          </w:tcPr>
          <w:p>
            <w:pPr>
              <w:pStyle w:val="BodyText"/>
              <w:spacing w:line="264" w:lineRule="auto"/>
              <w:jc w:val="both"/>
              <w:rPr>
                <w:rFonts w:ascii="Times New Roman" w:hAnsi="Times New Roman"/>
                <w:noProof/>
              </w:rPr>
            </w:pPr>
            <w:r>
              <w:rPr>
                <w:rFonts w:ascii="Times New Roman" w:hAnsi="Times New Roman"/>
                <w:noProof/>
              </w:rPr>
              <w:t xml:space="preserve">Although the project / business is viable, it encounters difficulties to obtain financing from the market for the requested volume on reasonable terms due to information asymmetries e.g. in the case of SMEs, specific transaction characteristics (e.g. first time borrower, first time VC team) </w:t>
            </w:r>
          </w:p>
        </w:tc>
        <w:tc>
          <w:tcPr>
            <w:tcW w:w="5245" w:type="dxa"/>
          </w:tcPr>
          <w:p>
            <w:pPr>
              <w:pStyle w:val="BodyText"/>
              <w:widowControl w:val="0"/>
              <w:numPr>
                <w:ilvl w:val="0"/>
                <w:numId w:val="15"/>
              </w:numPr>
              <w:autoSpaceDE w:val="0"/>
              <w:autoSpaceDN w:val="0"/>
              <w:spacing w:before="0" w:after="0" w:line="264" w:lineRule="auto"/>
              <w:ind w:left="340" w:hanging="270"/>
              <w:rPr>
                <w:rFonts w:ascii="Times New Roman" w:hAnsi="Times New Roman"/>
                <w:noProof/>
              </w:rPr>
            </w:pPr>
            <w:r>
              <w:rPr>
                <w:rFonts w:ascii="Times New Roman" w:hAnsi="Times New Roman"/>
                <w:noProof/>
              </w:rPr>
              <w:t>Development of riskier financing products to cover under-served market segments</w:t>
            </w:r>
          </w:p>
          <w:p>
            <w:pPr>
              <w:pStyle w:val="BodyText"/>
              <w:widowControl w:val="0"/>
              <w:numPr>
                <w:ilvl w:val="0"/>
                <w:numId w:val="15"/>
              </w:numPr>
              <w:autoSpaceDE w:val="0"/>
              <w:autoSpaceDN w:val="0"/>
              <w:spacing w:before="0" w:after="0" w:line="264" w:lineRule="auto"/>
              <w:ind w:left="340" w:hanging="270"/>
              <w:rPr>
                <w:rFonts w:ascii="Times New Roman" w:hAnsi="Times New Roman"/>
                <w:noProof/>
              </w:rPr>
            </w:pPr>
            <w:r>
              <w:rPr>
                <w:rFonts w:ascii="Times New Roman" w:hAnsi="Times New Roman"/>
                <w:noProof/>
              </w:rPr>
              <w:t>Share of operations representing first time counterparts</w:t>
            </w:r>
          </w:p>
          <w:p>
            <w:pPr>
              <w:pStyle w:val="BodyText"/>
              <w:widowControl w:val="0"/>
              <w:numPr>
                <w:ilvl w:val="0"/>
                <w:numId w:val="15"/>
              </w:numPr>
              <w:autoSpaceDE w:val="0"/>
              <w:autoSpaceDN w:val="0"/>
              <w:spacing w:before="0" w:after="0" w:line="264" w:lineRule="auto"/>
              <w:ind w:left="340" w:hanging="270"/>
              <w:rPr>
                <w:rFonts w:ascii="Times New Roman" w:hAnsi="Times New Roman"/>
                <w:noProof/>
              </w:rPr>
            </w:pPr>
            <w:r>
              <w:rPr>
                <w:rFonts w:ascii="Times New Roman" w:hAnsi="Times New Roman"/>
                <w:noProof/>
              </w:rPr>
              <w:t>Share of investment going to first time VC teams</w:t>
            </w:r>
          </w:p>
        </w:tc>
      </w:tr>
      <w:tr>
        <w:trPr>
          <w:gridAfter w:val="1"/>
          <w:wAfter w:w="6" w:type="dxa"/>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Market failures - gap between private and social returns (public goods, externalities)</w:t>
            </w:r>
          </w:p>
        </w:tc>
        <w:tc>
          <w:tcPr>
            <w:tcW w:w="5198" w:type="dxa"/>
          </w:tcPr>
          <w:p>
            <w:pPr>
              <w:pStyle w:val="BodyText"/>
              <w:spacing w:line="264" w:lineRule="auto"/>
              <w:jc w:val="both"/>
              <w:rPr>
                <w:rFonts w:ascii="Times New Roman" w:hAnsi="Times New Roman"/>
                <w:noProof/>
              </w:rPr>
            </w:pPr>
            <w:r>
              <w:rPr>
                <w:rFonts w:ascii="Times New Roman" w:hAnsi="Times New Roman"/>
                <w:noProof/>
              </w:rPr>
              <w:t>The project or investment is expected to deliver a significant societal return, but the financial return is not in line with the expectations of the market</w:t>
            </w:r>
          </w:p>
          <w:p>
            <w:pPr>
              <w:pStyle w:val="BodyText"/>
              <w:spacing w:line="264" w:lineRule="auto"/>
              <w:jc w:val="both"/>
              <w:rPr>
                <w:rFonts w:ascii="Times New Roman" w:hAnsi="Times New Roman"/>
                <w:noProof/>
              </w:rPr>
            </w:pPr>
            <w:r>
              <w:rPr>
                <w:rFonts w:ascii="Times New Roman" w:hAnsi="Times New Roman"/>
                <w:noProof/>
              </w:rPr>
              <w:t>The benefits expected from the positive externalities of the projects (such as emissions reductions, enhancing biological diversity, research and development and deployment of innovative technologies, or affordable provision of basic infrastructure services) may not be fully monetized by investors immediately. This could make the private financial internal rate of return lower than the true economic rate of return for society.</w:t>
            </w:r>
          </w:p>
        </w:tc>
        <w:tc>
          <w:tcPr>
            <w:tcW w:w="5245" w:type="dxa"/>
          </w:tcPr>
          <w:p>
            <w:pPr>
              <w:pStyle w:val="BodyText"/>
              <w:widowControl w:val="0"/>
              <w:numPr>
                <w:ilvl w:val="0"/>
                <w:numId w:val="15"/>
              </w:numPr>
              <w:autoSpaceDE w:val="0"/>
              <w:autoSpaceDN w:val="0"/>
              <w:spacing w:before="0" w:after="0" w:line="264" w:lineRule="auto"/>
              <w:ind w:left="340" w:hanging="270"/>
              <w:rPr>
                <w:rFonts w:ascii="Times New Roman" w:hAnsi="Times New Roman"/>
                <w:noProof/>
              </w:rPr>
            </w:pPr>
            <w:r>
              <w:rPr>
                <w:rFonts w:ascii="Times New Roman" w:hAnsi="Times New Roman"/>
                <w:noProof/>
              </w:rPr>
              <w:t>Increase in volume of financing provided to sectors with high positive externalities e.g.</w:t>
            </w:r>
          </w:p>
          <w:p>
            <w:pPr>
              <w:pStyle w:val="BodyText"/>
              <w:widowControl w:val="0"/>
              <w:numPr>
                <w:ilvl w:val="0"/>
                <w:numId w:val="16"/>
              </w:numPr>
              <w:autoSpaceDE w:val="0"/>
              <w:autoSpaceDN w:val="0"/>
              <w:spacing w:before="0" w:after="0" w:line="264" w:lineRule="auto"/>
              <w:ind w:left="970"/>
              <w:rPr>
                <w:rFonts w:ascii="Times New Roman" w:hAnsi="Times New Roman"/>
                <w:noProof/>
              </w:rPr>
            </w:pPr>
            <w:r>
              <w:rPr>
                <w:rFonts w:ascii="Times New Roman" w:hAnsi="Times New Roman"/>
                <w:noProof/>
              </w:rPr>
              <w:t>Microfinance</w:t>
            </w:r>
          </w:p>
          <w:p>
            <w:pPr>
              <w:pStyle w:val="BodyText"/>
              <w:widowControl w:val="0"/>
              <w:numPr>
                <w:ilvl w:val="0"/>
                <w:numId w:val="16"/>
              </w:numPr>
              <w:autoSpaceDE w:val="0"/>
              <w:autoSpaceDN w:val="0"/>
              <w:spacing w:before="0" w:after="0" w:line="264" w:lineRule="auto"/>
              <w:ind w:left="970"/>
              <w:rPr>
                <w:rFonts w:ascii="Times New Roman" w:hAnsi="Times New Roman"/>
                <w:noProof/>
              </w:rPr>
            </w:pPr>
            <w:r>
              <w:rPr>
                <w:rFonts w:ascii="Times New Roman" w:hAnsi="Times New Roman"/>
                <w:noProof/>
              </w:rPr>
              <w:t>Climate change</w:t>
            </w:r>
          </w:p>
          <w:p>
            <w:pPr>
              <w:pStyle w:val="BodyText"/>
              <w:widowControl w:val="0"/>
              <w:numPr>
                <w:ilvl w:val="0"/>
                <w:numId w:val="16"/>
              </w:numPr>
              <w:autoSpaceDE w:val="0"/>
              <w:autoSpaceDN w:val="0"/>
              <w:spacing w:before="0" w:after="0" w:line="264" w:lineRule="auto"/>
              <w:ind w:left="970"/>
              <w:rPr>
                <w:rFonts w:ascii="Times New Roman" w:hAnsi="Times New Roman"/>
                <w:noProof/>
              </w:rPr>
            </w:pPr>
            <w:r>
              <w:rPr>
                <w:rFonts w:ascii="Times New Roman" w:hAnsi="Times New Roman"/>
                <w:noProof/>
              </w:rPr>
              <w:t xml:space="preserve">Environment </w:t>
            </w:r>
          </w:p>
          <w:p>
            <w:pPr>
              <w:pStyle w:val="BodyText"/>
              <w:widowControl w:val="0"/>
              <w:numPr>
                <w:ilvl w:val="0"/>
                <w:numId w:val="16"/>
              </w:numPr>
              <w:autoSpaceDE w:val="0"/>
              <w:autoSpaceDN w:val="0"/>
              <w:spacing w:before="0" w:after="0" w:line="264" w:lineRule="auto"/>
              <w:ind w:left="970"/>
              <w:rPr>
                <w:rFonts w:ascii="Times New Roman" w:hAnsi="Times New Roman"/>
                <w:noProof/>
              </w:rPr>
            </w:pPr>
            <w:r>
              <w:rPr>
                <w:rFonts w:ascii="Times New Roman" w:hAnsi="Times New Roman"/>
                <w:noProof/>
              </w:rPr>
              <w:t>Research and innovation</w:t>
            </w:r>
          </w:p>
          <w:p>
            <w:pPr>
              <w:pStyle w:val="BodyText"/>
              <w:spacing w:line="264" w:lineRule="auto"/>
              <w:rPr>
                <w:rFonts w:ascii="Times New Roman" w:hAnsi="Times New Roman"/>
                <w:noProof/>
              </w:rPr>
            </w:pPr>
          </w:p>
        </w:tc>
      </w:tr>
      <w:tr>
        <w:trPr>
          <w:gridAfter w:val="1"/>
          <w:wAfter w:w="6" w:type="dxa"/>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Market imperfections – under-developed markets</w:t>
            </w:r>
          </w:p>
        </w:tc>
        <w:tc>
          <w:tcPr>
            <w:tcW w:w="5198" w:type="dxa"/>
          </w:tcPr>
          <w:p>
            <w:pPr>
              <w:pStyle w:val="BodyText"/>
              <w:spacing w:line="264" w:lineRule="auto"/>
              <w:jc w:val="both"/>
              <w:rPr>
                <w:rFonts w:ascii="Times New Roman" w:hAnsi="Times New Roman"/>
                <w:noProof/>
              </w:rPr>
            </w:pPr>
            <w:r>
              <w:rPr>
                <w:rFonts w:ascii="Times New Roman" w:hAnsi="Times New Roman"/>
                <w:noProof/>
              </w:rPr>
              <w:t>Financial players or products or certain features of products (e.g. long tenors, loan amount) not being available in certain countries</w:t>
            </w:r>
          </w:p>
        </w:tc>
        <w:tc>
          <w:tcPr>
            <w:tcW w:w="5245" w:type="dxa"/>
          </w:tcPr>
          <w:p>
            <w:pPr>
              <w:pStyle w:val="BodyText"/>
              <w:spacing w:line="264" w:lineRule="auto"/>
              <w:rPr>
                <w:rFonts w:ascii="Times New Roman" w:hAnsi="Times New Roman"/>
                <w:b/>
                <w:noProof/>
                <w:u w:val="single"/>
              </w:rPr>
            </w:pPr>
            <w:r>
              <w:rPr>
                <w:rFonts w:ascii="Times New Roman" w:hAnsi="Times New Roman"/>
                <w:b/>
                <w:noProof/>
                <w:u w:val="single"/>
              </w:rPr>
              <w:t>Applies to implementing partner only</w:t>
            </w:r>
          </w:p>
          <w:p>
            <w:pPr>
              <w:pStyle w:val="BodyText"/>
              <w:numPr>
                <w:ilvl w:val="0"/>
                <w:numId w:val="14"/>
              </w:numPr>
              <w:spacing w:line="264" w:lineRule="auto"/>
              <w:rPr>
                <w:rFonts w:ascii="Times New Roman" w:hAnsi="Times New Roman"/>
                <w:noProof/>
              </w:rPr>
            </w:pPr>
            <w:r>
              <w:rPr>
                <w:rFonts w:ascii="Times New Roman" w:hAnsi="Times New Roman"/>
                <w:noProof/>
              </w:rPr>
              <w:t>Increase in volume of financing to countries with under-developed capital markets</w:t>
            </w:r>
          </w:p>
          <w:p>
            <w:pPr>
              <w:pStyle w:val="BodyText"/>
              <w:numPr>
                <w:ilvl w:val="0"/>
                <w:numId w:val="14"/>
              </w:numPr>
              <w:spacing w:line="264" w:lineRule="auto"/>
              <w:rPr>
                <w:rFonts w:ascii="Times New Roman" w:hAnsi="Times New Roman"/>
                <w:noProof/>
              </w:rPr>
            </w:pPr>
            <w:r>
              <w:rPr>
                <w:rFonts w:ascii="Times New Roman" w:hAnsi="Times New Roman"/>
                <w:noProof/>
              </w:rPr>
              <w:t>Development of specific products (possibly with higher levels of subordination) for under-developed financial markets</w:t>
            </w:r>
          </w:p>
        </w:tc>
      </w:tr>
      <w:tr>
        <w:trPr>
          <w:gridAfter w:val="1"/>
          <w:wAfter w:w="6" w:type="dxa"/>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 xml:space="preserve">High sector or country risk </w:t>
            </w:r>
          </w:p>
        </w:tc>
        <w:tc>
          <w:tcPr>
            <w:tcW w:w="5198" w:type="dxa"/>
          </w:tcPr>
          <w:p>
            <w:pPr>
              <w:pStyle w:val="BodyText"/>
              <w:spacing w:line="264" w:lineRule="auto"/>
              <w:jc w:val="both"/>
              <w:rPr>
                <w:rFonts w:ascii="Times New Roman" w:hAnsi="Times New Roman"/>
                <w:noProof/>
              </w:rPr>
            </w:pPr>
            <w:r>
              <w:rPr>
                <w:rFonts w:ascii="Times New Roman" w:hAnsi="Times New Roman"/>
                <w:noProof/>
              </w:rPr>
              <w:t xml:space="preserve">The project / activity would not be otherwise undertaken because of their relative novelty, high perceived risk, or high initial cost of an undemonstrated market behaviour, currently adverse or as of yet still untested regulatory framework, or untested technology </w:t>
            </w:r>
          </w:p>
          <w:p>
            <w:pPr>
              <w:pStyle w:val="BodyText"/>
              <w:spacing w:line="264" w:lineRule="auto"/>
              <w:rPr>
                <w:rFonts w:ascii="Times New Roman" w:hAnsi="Times New Roman"/>
                <w:noProof/>
              </w:rPr>
            </w:pPr>
            <w:r>
              <w:rPr>
                <w:rFonts w:ascii="Times New Roman" w:hAnsi="Times New Roman"/>
                <w:noProof/>
              </w:rPr>
              <w:t>Although the project is considered viable, the political risks in the country deter private investors.</w:t>
            </w:r>
          </w:p>
        </w:tc>
        <w:tc>
          <w:tcPr>
            <w:tcW w:w="5245" w:type="dxa"/>
          </w:tcPr>
          <w:p>
            <w:pPr>
              <w:pStyle w:val="BodyText"/>
              <w:numPr>
                <w:ilvl w:val="0"/>
                <w:numId w:val="14"/>
              </w:numPr>
              <w:spacing w:line="264" w:lineRule="auto"/>
              <w:rPr>
                <w:rFonts w:ascii="Times New Roman" w:hAnsi="Times New Roman"/>
                <w:noProof/>
              </w:rPr>
            </w:pPr>
            <w:r>
              <w:rPr>
                <w:rFonts w:ascii="Times New Roman" w:hAnsi="Times New Roman"/>
                <w:noProof/>
              </w:rPr>
              <w:t>Increase in volume of financing to specific high risk sectors</w:t>
            </w:r>
          </w:p>
          <w:p>
            <w:pPr>
              <w:pStyle w:val="BodyText"/>
              <w:numPr>
                <w:ilvl w:val="0"/>
                <w:numId w:val="14"/>
              </w:numPr>
              <w:spacing w:line="264" w:lineRule="auto"/>
              <w:rPr>
                <w:rFonts w:ascii="Times New Roman" w:hAnsi="Times New Roman"/>
                <w:noProof/>
              </w:rPr>
            </w:pPr>
            <w:r>
              <w:rPr>
                <w:rFonts w:ascii="Times New Roman" w:hAnsi="Times New Roman"/>
                <w:noProof/>
              </w:rPr>
              <w:t>Increase in volume of financing to high risk countries</w:t>
            </w:r>
          </w:p>
          <w:p>
            <w:pPr>
              <w:pStyle w:val="BodyText"/>
              <w:numPr>
                <w:ilvl w:val="0"/>
                <w:numId w:val="14"/>
              </w:numPr>
              <w:spacing w:line="264" w:lineRule="auto"/>
              <w:rPr>
                <w:rFonts w:ascii="Times New Roman" w:hAnsi="Times New Roman"/>
                <w:noProof/>
              </w:rPr>
            </w:pPr>
            <w:r>
              <w:rPr>
                <w:rFonts w:ascii="Times New Roman" w:hAnsi="Times New Roman"/>
                <w:noProof/>
              </w:rPr>
              <w:t>Development of specific products / product features for high risk sectors</w:t>
            </w:r>
          </w:p>
          <w:p>
            <w:pPr>
              <w:pStyle w:val="BodyText"/>
              <w:numPr>
                <w:ilvl w:val="0"/>
                <w:numId w:val="14"/>
              </w:numPr>
              <w:spacing w:line="264" w:lineRule="auto"/>
              <w:rPr>
                <w:rFonts w:ascii="Times New Roman" w:hAnsi="Times New Roman"/>
                <w:noProof/>
              </w:rPr>
            </w:pPr>
            <w:r>
              <w:rPr>
                <w:rFonts w:ascii="Times New Roman" w:hAnsi="Times New Roman"/>
                <w:noProof/>
              </w:rPr>
              <w:t>Development of specific products / product features for high risk countries</w:t>
            </w:r>
          </w:p>
          <w:p>
            <w:pPr>
              <w:pStyle w:val="BodyText"/>
              <w:spacing w:line="264" w:lineRule="auto"/>
              <w:ind w:left="720"/>
              <w:rPr>
                <w:rFonts w:ascii="Times New Roman" w:hAnsi="Times New Roman"/>
                <w:noProof/>
              </w:rPr>
            </w:pPr>
          </w:p>
        </w:tc>
      </w:tr>
      <w:tr>
        <w:trPr>
          <w:gridAfter w:val="1"/>
          <w:wAfter w:w="6" w:type="dxa"/>
          <w:trHeight w:val="1286"/>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Capacity to attract further financing</w:t>
            </w:r>
          </w:p>
        </w:tc>
        <w:tc>
          <w:tcPr>
            <w:tcW w:w="5198" w:type="dxa"/>
          </w:tcPr>
          <w:p>
            <w:pPr>
              <w:pStyle w:val="BodyText"/>
              <w:spacing w:line="264" w:lineRule="auto"/>
              <w:jc w:val="both"/>
              <w:rPr>
                <w:rFonts w:ascii="Times New Roman" w:hAnsi="Times New Roman"/>
                <w:noProof/>
              </w:rPr>
            </w:pPr>
            <w:r>
              <w:rPr>
                <w:rFonts w:ascii="Times New Roman" w:hAnsi="Times New Roman"/>
                <w:noProof/>
              </w:rPr>
              <w:t>The financing provided with support from the InvestEU Fund allows to attract resources from long term investors through its subordinated features</w:t>
            </w:r>
          </w:p>
        </w:tc>
        <w:tc>
          <w:tcPr>
            <w:tcW w:w="5245" w:type="dxa"/>
          </w:tcPr>
          <w:p>
            <w:pPr>
              <w:pStyle w:val="BodyText"/>
              <w:numPr>
                <w:ilvl w:val="0"/>
                <w:numId w:val="54"/>
              </w:numPr>
              <w:spacing w:line="264" w:lineRule="auto"/>
              <w:rPr>
                <w:rFonts w:ascii="Times New Roman" w:hAnsi="Times New Roman"/>
                <w:noProof/>
                <w:u w:val="single"/>
              </w:rPr>
            </w:pPr>
            <w:r>
              <w:rPr>
                <w:rFonts w:ascii="Times New Roman" w:hAnsi="Times New Roman"/>
                <w:noProof/>
                <w:u w:val="single"/>
              </w:rPr>
              <w:t xml:space="preserve">Deployment of subordinated products </w:t>
            </w:r>
          </w:p>
        </w:tc>
      </w:tr>
      <w:tr>
        <w:trPr>
          <w:gridAfter w:val="1"/>
          <w:wAfter w:w="6" w:type="dxa"/>
          <w:trHeight w:val="1286"/>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Regulatory constraints</w:t>
            </w:r>
          </w:p>
        </w:tc>
        <w:tc>
          <w:tcPr>
            <w:tcW w:w="5198" w:type="dxa"/>
          </w:tcPr>
          <w:p>
            <w:pPr>
              <w:pStyle w:val="BodyText"/>
              <w:spacing w:line="264" w:lineRule="auto"/>
              <w:jc w:val="both"/>
              <w:rPr>
                <w:rFonts w:ascii="Times New Roman" w:hAnsi="Times New Roman"/>
                <w:noProof/>
              </w:rPr>
            </w:pPr>
            <w:r>
              <w:rPr>
                <w:rFonts w:ascii="Times New Roman" w:hAnsi="Times New Roman"/>
                <w:noProof/>
              </w:rPr>
              <w:t>Regulatory constraints limiting FIs’ capacity to lend to certain sectors / segments (e.g. exposure limits or capital requirements imposed by banking regulations) or undertake certain types of investment (e.g. cross-border investment)</w:t>
            </w:r>
          </w:p>
        </w:tc>
        <w:tc>
          <w:tcPr>
            <w:tcW w:w="5245" w:type="dxa"/>
          </w:tcPr>
          <w:p>
            <w:pPr>
              <w:pStyle w:val="BodyText"/>
              <w:spacing w:line="264" w:lineRule="auto"/>
              <w:rPr>
                <w:rFonts w:ascii="Times New Roman" w:hAnsi="Times New Roman"/>
                <w:b/>
                <w:noProof/>
                <w:u w:val="single"/>
              </w:rPr>
            </w:pPr>
            <w:r>
              <w:rPr>
                <w:rFonts w:ascii="Times New Roman" w:hAnsi="Times New Roman"/>
                <w:b/>
                <w:noProof/>
                <w:u w:val="single"/>
              </w:rPr>
              <w:t>Applies to implementing partner only</w:t>
            </w:r>
          </w:p>
          <w:p>
            <w:pPr>
              <w:pStyle w:val="BodyText"/>
              <w:numPr>
                <w:ilvl w:val="0"/>
                <w:numId w:val="14"/>
              </w:numPr>
              <w:spacing w:line="264" w:lineRule="auto"/>
              <w:rPr>
                <w:rFonts w:ascii="Times New Roman" w:hAnsi="Times New Roman"/>
                <w:noProof/>
              </w:rPr>
            </w:pPr>
            <w:r>
              <w:rPr>
                <w:rFonts w:ascii="Times New Roman" w:hAnsi="Times New Roman"/>
                <w:noProof/>
              </w:rPr>
              <w:t xml:space="preserve">Increase in volume of financing to sectors / segments affected by regulatory constraints </w:t>
            </w:r>
          </w:p>
          <w:p>
            <w:pPr>
              <w:pStyle w:val="BodyText"/>
              <w:numPr>
                <w:ilvl w:val="0"/>
                <w:numId w:val="14"/>
              </w:numPr>
              <w:spacing w:line="264" w:lineRule="auto"/>
              <w:rPr>
                <w:rFonts w:ascii="Times New Roman" w:hAnsi="Times New Roman"/>
                <w:noProof/>
              </w:rPr>
            </w:pPr>
            <w:r>
              <w:rPr>
                <w:rFonts w:ascii="Times New Roman" w:hAnsi="Times New Roman"/>
                <w:noProof/>
              </w:rPr>
              <w:t>Increase in certain types of activity e.g. SME securitisation, cross-border VC activity</w:t>
            </w:r>
          </w:p>
        </w:tc>
      </w:tr>
      <w:tr>
        <w:trPr>
          <w:gridAfter w:val="1"/>
          <w:wAfter w:w="6" w:type="dxa"/>
        </w:trPr>
        <w:tc>
          <w:tcPr>
            <w:tcW w:w="1415" w:type="dxa"/>
            <w:vMerge w:val="restart"/>
          </w:tcPr>
          <w:p>
            <w:pPr>
              <w:pStyle w:val="BodyText"/>
              <w:spacing w:line="264" w:lineRule="auto"/>
              <w:rPr>
                <w:rFonts w:ascii="Times New Roman" w:hAnsi="Times New Roman"/>
                <w:noProof/>
              </w:rPr>
            </w:pPr>
            <w:r>
              <w:rPr>
                <w:rFonts w:ascii="Times New Roman" w:hAnsi="Times New Roman"/>
                <w:noProof/>
              </w:rPr>
              <w:t>Non-financial</w:t>
            </w:r>
          </w:p>
        </w:tc>
        <w:tc>
          <w:tcPr>
            <w:tcW w:w="2000" w:type="dxa"/>
          </w:tcPr>
          <w:p>
            <w:pPr>
              <w:pStyle w:val="BodyText"/>
              <w:spacing w:line="264" w:lineRule="auto"/>
              <w:rPr>
                <w:rFonts w:ascii="Times New Roman" w:hAnsi="Times New Roman"/>
                <w:noProof/>
              </w:rPr>
            </w:pPr>
            <w:r>
              <w:rPr>
                <w:rFonts w:ascii="Times New Roman" w:hAnsi="Times New Roman"/>
                <w:noProof/>
              </w:rPr>
              <w:t xml:space="preserve">Social or environmental impact additionality </w:t>
            </w:r>
          </w:p>
        </w:tc>
        <w:tc>
          <w:tcPr>
            <w:tcW w:w="5198" w:type="dxa"/>
          </w:tcPr>
          <w:p>
            <w:pPr>
              <w:pStyle w:val="BodyText"/>
              <w:spacing w:line="264" w:lineRule="auto"/>
              <w:jc w:val="both"/>
              <w:rPr>
                <w:rFonts w:ascii="Times New Roman" w:hAnsi="Times New Roman"/>
                <w:noProof/>
              </w:rPr>
            </w:pPr>
            <w:r>
              <w:rPr>
                <w:rFonts w:ascii="Times New Roman" w:hAnsi="Times New Roman"/>
                <w:noProof/>
              </w:rPr>
              <w:t xml:space="preserve">EU financing helps enhance the social or environmental impact of the project beyond what was originally envisaged, for example by fostering higher environmental or energy efficiency considerations in the design and implementation of supported projects or supporting the adoption of latest and more expensive technology </w:t>
            </w:r>
          </w:p>
        </w:tc>
        <w:tc>
          <w:tcPr>
            <w:tcW w:w="5245" w:type="dxa"/>
          </w:tcPr>
          <w:p>
            <w:pPr>
              <w:pStyle w:val="BodyText"/>
              <w:spacing w:line="264" w:lineRule="auto"/>
              <w:rPr>
                <w:rFonts w:ascii="Times New Roman" w:hAnsi="Times New Roman"/>
                <w:noProof/>
              </w:rPr>
            </w:pPr>
            <w:r>
              <w:rPr>
                <w:rFonts w:ascii="Times New Roman" w:hAnsi="Times New Roman"/>
                <w:noProof/>
              </w:rPr>
              <w:t>Incremental societal or environmental impacts expected in return</w:t>
            </w:r>
          </w:p>
          <w:p>
            <w:pPr>
              <w:pStyle w:val="BodyText"/>
              <w:spacing w:line="264" w:lineRule="auto"/>
              <w:rPr>
                <w:rFonts w:ascii="Times New Roman" w:hAnsi="Times New Roman"/>
                <w:noProof/>
              </w:rPr>
            </w:pPr>
          </w:p>
        </w:tc>
      </w:tr>
      <w:tr>
        <w:trPr>
          <w:gridAfter w:val="1"/>
          <w:wAfter w:w="6" w:type="dxa"/>
        </w:trPr>
        <w:tc>
          <w:tcPr>
            <w:tcW w:w="1415" w:type="dxa"/>
            <w:vMerge/>
          </w:tcPr>
          <w:p>
            <w:pPr>
              <w:pStyle w:val="BodyText"/>
              <w:spacing w:line="264" w:lineRule="auto"/>
              <w:rPr>
                <w:rFonts w:ascii="Times New Roman" w:hAnsi="Times New Roman"/>
                <w:noProof/>
              </w:rPr>
            </w:pPr>
          </w:p>
        </w:tc>
        <w:tc>
          <w:tcPr>
            <w:tcW w:w="2000" w:type="dxa"/>
          </w:tcPr>
          <w:p>
            <w:pPr>
              <w:pStyle w:val="BodyText"/>
              <w:spacing w:line="264" w:lineRule="auto"/>
              <w:rPr>
                <w:rFonts w:ascii="Times New Roman" w:hAnsi="Times New Roman"/>
                <w:noProof/>
              </w:rPr>
            </w:pPr>
            <w:r>
              <w:rPr>
                <w:rFonts w:ascii="Times New Roman" w:hAnsi="Times New Roman"/>
                <w:noProof/>
              </w:rPr>
              <w:t>Cross border dimension</w:t>
            </w:r>
          </w:p>
        </w:tc>
        <w:tc>
          <w:tcPr>
            <w:tcW w:w="5198" w:type="dxa"/>
          </w:tcPr>
          <w:p>
            <w:pPr>
              <w:pStyle w:val="BodyText"/>
              <w:spacing w:line="264" w:lineRule="auto"/>
              <w:jc w:val="both"/>
              <w:rPr>
                <w:rFonts w:ascii="Times New Roman" w:hAnsi="Times New Roman"/>
                <w:noProof/>
              </w:rPr>
            </w:pPr>
            <w:r>
              <w:rPr>
                <w:rFonts w:ascii="Times New Roman" w:hAnsi="Times New Roman"/>
                <w:noProof/>
              </w:rPr>
              <w:t xml:space="preserve">The project / investment is of a strategic cross-border nature e.g. energy or transport infrastructure connecting several Member States </w:t>
            </w:r>
          </w:p>
        </w:tc>
        <w:tc>
          <w:tcPr>
            <w:tcW w:w="5245" w:type="dxa"/>
          </w:tcPr>
          <w:p>
            <w:pPr>
              <w:pStyle w:val="BodyText"/>
              <w:spacing w:line="264" w:lineRule="auto"/>
              <w:rPr>
                <w:rFonts w:ascii="Times New Roman" w:hAnsi="Times New Roman"/>
                <w:noProof/>
              </w:rPr>
            </w:pPr>
            <w:r>
              <w:rPr>
                <w:rFonts w:ascii="Times New Roman" w:hAnsi="Times New Roman"/>
                <w:noProof/>
              </w:rPr>
              <w:t>Increase in financing of cross border projects</w:t>
            </w:r>
          </w:p>
          <w:p>
            <w:pPr>
              <w:pStyle w:val="BodyText"/>
              <w:spacing w:line="264" w:lineRule="auto"/>
              <w:rPr>
                <w:rFonts w:ascii="Times New Roman" w:hAnsi="Times New Roman"/>
                <w:noProof/>
              </w:rPr>
            </w:pPr>
          </w:p>
        </w:tc>
      </w:tr>
    </w:tbl>
    <w:p>
      <w:pPr>
        <w:spacing w:line="264" w:lineRule="auto"/>
        <w:rPr>
          <w:rFonts w:cs="Times New Roman"/>
          <w:noProof/>
          <w:szCs w:val="24"/>
        </w:rPr>
      </w:pPr>
    </w:p>
    <w:p>
      <w:pPr>
        <w:pStyle w:val="Heading2"/>
        <w:numPr>
          <w:ilvl w:val="0"/>
          <w:numId w:val="0"/>
        </w:numPr>
        <w:spacing w:line="264" w:lineRule="auto"/>
        <w:ind w:left="-216"/>
        <w:rPr>
          <w:noProof/>
          <w:szCs w:val="24"/>
        </w:rPr>
        <w:sectPr>
          <w:headerReference w:type="even" r:id="rId142"/>
          <w:headerReference w:type="default" r:id="rId143"/>
          <w:footerReference w:type="even" r:id="rId144"/>
          <w:footerReference w:type="default" r:id="rId145"/>
          <w:headerReference w:type="first" r:id="rId146"/>
          <w:footerReference w:type="first" r:id="rId147"/>
          <w:pgSz w:w="16840" w:h="11900" w:orient="landscape"/>
          <w:pgMar w:top="1440" w:right="1440" w:bottom="1440" w:left="1440" w:header="720" w:footer="720" w:gutter="0"/>
          <w:cols w:space="720"/>
          <w:docGrid w:linePitch="360"/>
        </w:sectPr>
      </w:pPr>
    </w:p>
    <w:p>
      <w:pPr>
        <w:spacing w:line="264" w:lineRule="auto"/>
        <w:rPr>
          <w:rFonts w:cs="Times New Roman"/>
          <w:b/>
          <w:noProof/>
          <w:szCs w:val="24"/>
        </w:rPr>
      </w:pPr>
      <w:bookmarkStart w:id="9388" w:name="_Toc510517881"/>
      <w:r>
        <w:rPr>
          <w:rFonts w:cs="Times New Roman"/>
          <w:b/>
          <w:noProof/>
          <w:szCs w:val="24"/>
        </w:rPr>
        <w:t>Table 2: Relevance of additionality criteria per policy window</w:t>
      </w:r>
      <w:bookmarkEnd w:id="9388"/>
    </w:p>
    <w:tbl>
      <w:tblPr>
        <w:tblStyle w:val="TableGrid"/>
        <w:tblW w:w="14449" w:type="dxa"/>
        <w:tblLook w:val="04A0" w:firstRow="1" w:lastRow="0" w:firstColumn="1" w:lastColumn="0" w:noHBand="0" w:noVBand="1"/>
      </w:tblPr>
      <w:tblGrid>
        <w:gridCol w:w="2286"/>
        <w:gridCol w:w="3019"/>
        <w:gridCol w:w="2286"/>
        <w:gridCol w:w="2286"/>
        <w:gridCol w:w="2286"/>
        <w:gridCol w:w="2286"/>
      </w:tblGrid>
      <w:tr>
        <w:trPr>
          <w:tblHeader/>
        </w:trPr>
        <w:tc>
          <w:tcPr>
            <w:tcW w:w="2286" w:type="dxa"/>
            <w:shd w:val="clear" w:color="auto" w:fill="DBE5F1" w:themeFill="accent1" w:themeFillTint="33"/>
          </w:tcPr>
          <w:p>
            <w:pPr>
              <w:pStyle w:val="BodyText"/>
              <w:spacing w:line="264" w:lineRule="auto"/>
              <w:rPr>
                <w:rFonts w:ascii="Times New Roman" w:hAnsi="Times New Roman"/>
                <w:noProof/>
              </w:rPr>
            </w:pPr>
          </w:p>
        </w:tc>
        <w:tc>
          <w:tcPr>
            <w:tcW w:w="3019" w:type="dxa"/>
            <w:shd w:val="clear" w:color="auto" w:fill="DBE5F1" w:themeFill="accent1" w:themeFillTint="33"/>
          </w:tcPr>
          <w:p>
            <w:pPr>
              <w:pStyle w:val="BodyText"/>
              <w:spacing w:line="264" w:lineRule="auto"/>
              <w:rPr>
                <w:rFonts w:ascii="Times New Roman" w:hAnsi="Times New Roman"/>
                <w:noProof/>
              </w:rPr>
            </w:pPr>
          </w:p>
        </w:tc>
        <w:tc>
          <w:tcPr>
            <w:tcW w:w="9144" w:type="dxa"/>
            <w:gridSpan w:val="4"/>
            <w:shd w:val="clear" w:color="auto" w:fill="DBE5F1" w:themeFill="accent1" w:themeFillTint="33"/>
          </w:tcPr>
          <w:p>
            <w:pPr>
              <w:pStyle w:val="BodyText"/>
              <w:spacing w:line="264" w:lineRule="auto"/>
              <w:jc w:val="center"/>
              <w:rPr>
                <w:rFonts w:ascii="Times New Roman" w:hAnsi="Times New Roman"/>
                <w:noProof/>
              </w:rPr>
            </w:pPr>
            <w:r>
              <w:rPr>
                <w:rFonts w:ascii="Times New Roman" w:hAnsi="Times New Roman"/>
                <w:noProof/>
              </w:rPr>
              <w:t>Policy window</w:t>
            </w:r>
          </w:p>
        </w:tc>
      </w:tr>
      <w:tr>
        <w:trPr>
          <w:tblHeader/>
        </w:trPr>
        <w:tc>
          <w:tcPr>
            <w:tcW w:w="2286" w:type="dxa"/>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Type of additionality</w:t>
            </w:r>
          </w:p>
        </w:tc>
        <w:tc>
          <w:tcPr>
            <w:tcW w:w="3019" w:type="dxa"/>
            <w:shd w:val="clear" w:color="auto" w:fill="DBE5F1" w:themeFill="accent1" w:themeFillTint="33"/>
          </w:tcPr>
          <w:p>
            <w:pPr>
              <w:pStyle w:val="BodyText"/>
              <w:spacing w:line="264" w:lineRule="auto"/>
              <w:rPr>
                <w:rFonts w:ascii="Times New Roman" w:hAnsi="Times New Roman"/>
                <w:b/>
                <w:noProof/>
              </w:rPr>
            </w:pPr>
            <w:r>
              <w:rPr>
                <w:rFonts w:ascii="Times New Roman" w:hAnsi="Times New Roman"/>
                <w:b/>
                <w:noProof/>
              </w:rPr>
              <w:t>Additionality criteria</w:t>
            </w:r>
          </w:p>
        </w:tc>
        <w:tc>
          <w:tcPr>
            <w:tcW w:w="2286" w:type="dxa"/>
            <w:shd w:val="clear" w:color="auto" w:fill="DBE5F1" w:themeFill="accent1" w:themeFillTint="33"/>
          </w:tcPr>
          <w:p>
            <w:pPr>
              <w:pStyle w:val="BodyText"/>
              <w:spacing w:line="264" w:lineRule="auto"/>
              <w:jc w:val="center"/>
              <w:rPr>
                <w:rFonts w:ascii="Times New Roman" w:hAnsi="Times New Roman"/>
                <w:b/>
                <w:noProof/>
              </w:rPr>
            </w:pPr>
            <w:r>
              <w:rPr>
                <w:rFonts w:ascii="Times New Roman" w:hAnsi="Times New Roman"/>
                <w:b/>
                <w:noProof/>
              </w:rPr>
              <w:t>SME</w:t>
            </w:r>
          </w:p>
        </w:tc>
        <w:tc>
          <w:tcPr>
            <w:tcW w:w="2286" w:type="dxa"/>
            <w:shd w:val="clear" w:color="auto" w:fill="DBE5F1" w:themeFill="accent1" w:themeFillTint="33"/>
          </w:tcPr>
          <w:p>
            <w:pPr>
              <w:pStyle w:val="BodyText"/>
              <w:spacing w:line="264" w:lineRule="auto"/>
              <w:jc w:val="center"/>
              <w:rPr>
                <w:rFonts w:ascii="Times New Roman" w:hAnsi="Times New Roman"/>
                <w:b/>
                <w:noProof/>
              </w:rPr>
            </w:pPr>
            <w:r>
              <w:rPr>
                <w:rFonts w:ascii="Times New Roman" w:hAnsi="Times New Roman"/>
                <w:b/>
                <w:noProof/>
              </w:rPr>
              <w:t>Research &amp; Innovation</w:t>
            </w:r>
          </w:p>
        </w:tc>
        <w:tc>
          <w:tcPr>
            <w:tcW w:w="2286" w:type="dxa"/>
            <w:shd w:val="clear" w:color="auto" w:fill="DBE5F1" w:themeFill="accent1" w:themeFillTint="33"/>
          </w:tcPr>
          <w:p>
            <w:pPr>
              <w:pStyle w:val="BodyText"/>
              <w:spacing w:line="264" w:lineRule="auto"/>
              <w:jc w:val="center"/>
              <w:rPr>
                <w:rFonts w:ascii="Times New Roman" w:hAnsi="Times New Roman"/>
                <w:b/>
                <w:noProof/>
              </w:rPr>
            </w:pPr>
            <w:r>
              <w:rPr>
                <w:rFonts w:ascii="Times New Roman" w:hAnsi="Times New Roman"/>
                <w:b/>
                <w:noProof/>
              </w:rPr>
              <w:t>Social, skills &amp; human capital</w:t>
            </w:r>
          </w:p>
        </w:tc>
        <w:tc>
          <w:tcPr>
            <w:tcW w:w="2286" w:type="dxa"/>
            <w:shd w:val="clear" w:color="auto" w:fill="DBE5F1" w:themeFill="accent1" w:themeFillTint="33"/>
          </w:tcPr>
          <w:p>
            <w:pPr>
              <w:pStyle w:val="BodyText"/>
              <w:spacing w:line="264" w:lineRule="auto"/>
              <w:jc w:val="center"/>
              <w:rPr>
                <w:rFonts w:ascii="Times New Roman" w:hAnsi="Times New Roman"/>
                <w:b/>
                <w:noProof/>
              </w:rPr>
            </w:pPr>
            <w:r>
              <w:rPr>
                <w:rFonts w:ascii="Times New Roman" w:hAnsi="Times New Roman"/>
                <w:b/>
                <w:noProof/>
              </w:rPr>
              <w:t>Sustainable infrastructure</w:t>
            </w:r>
          </w:p>
        </w:tc>
      </w:tr>
      <w:tr>
        <w:tc>
          <w:tcPr>
            <w:tcW w:w="2286" w:type="dxa"/>
            <w:vMerge w:val="restart"/>
          </w:tcPr>
          <w:p>
            <w:pPr>
              <w:pStyle w:val="BodyText"/>
              <w:spacing w:line="264" w:lineRule="auto"/>
              <w:rPr>
                <w:rFonts w:ascii="Times New Roman" w:hAnsi="Times New Roman"/>
                <w:noProof/>
              </w:rPr>
            </w:pPr>
            <w:r>
              <w:rPr>
                <w:rFonts w:ascii="Times New Roman" w:hAnsi="Times New Roman"/>
                <w:noProof/>
              </w:rPr>
              <w:t>Financial</w:t>
            </w:r>
          </w:p>
        </w:tc>
        <w:tc>
          <w:tcPr>
            <w:tcW w:w="3019" w:type="dxa"/>
          </w:tcPr>
          <w:p>
            <w:pPr>
              <w:pStyle w:val="BodyText"/>
              <w:spacing w:line="264" w:lineRule="auto"/>
              <w:rPr>
                <w:rFonts w:ascii="Times New Roman" w:hAnsi="Times New Roman"/>
                <w:noProof/>
              </w:rPr>
            </w:pPr>
            <w:r>
              <w:rPr>
                <w:rFonts w:ascii="Times New Roman" w:hAnsi="Times New Roman"/>
                <w:noProof/>
              </w:rPr>
              <w:t>Market failures – information failures</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(partly, e.g. Microfinance)</w:t>
            </w:r>
          </w:p>
        </w:tc>
        <w:tc>
          <w:tcPr>
            <w:tcW w:w="2286" w:type="dxa"/>
          </w:tcPr>
          <w:p>
            <w:pPr>
              <w:pStyle w:val="BodyText"/>
              <w:spacing w:line="264" w:lineRule="auto"/>
              <w:jc w:val="center"/>
              <w:rPr>
                <w:rFonts w:ascii="Times New Roman" w:hAnsi="Times New Roman"/>
                <w:noProof/>
              </w:rPr>
            </w:pPr>
          </w:p>
        </w:tc>
      </w:tr>
      <w:tr>
        <w:trPr>
          <w:trHeight w:val="566"/>
        </w:trP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Market imperfections – missing or under-developed markets</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 xml:space="preserve">Market failures - gap between private and social returns </w:t>
            </w: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Capacity to attract/mobilise further financing</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Sector or country risk too high</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rPr>
          <w:trHeight w:val="440"/>
        </w:trP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Regulatory constraints</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rPr>
          <w:trHeight w:val="503"/>
        </w:trPr>
        <w:tc>
          <w:tcPr>
            <w:tcW w:w="2286" w:type="dxa"/>
            <w:vMerge w:val="restart"/>
          </w:tcPr>
          <w:p>
            <w:pPr>
              <w:pStyle w:val="BodyText"/>
              <w:spacing w:line="264" w:lineRule="auto"/>
              <w:rPr>
                <w:rFonts w:ascii="Times New Roman" w:hAnsi="Times New Roman"/>
                <w:noProof/>
              </w:rPr>
            </w:pPr>
            <w:r>
              <w:rPr>
                <w:rFonts w:ascii="Times New Roman" w:hAnsi="Times New Roman"/>
                <w:noProof/>
              </w:rPr>
              <w:t>Non-financial</w:t>
            </w:r>
          </w:p>
        </w:tc>
        <w:tc>
          <w:tcPr>
            <w:tcW w:w="3019" w:type="dxa"/>
          </w:tcPr>
          <w:p>
            <w:pPr>
              <w:pStyle w:val="BodyText"/>
              <w:spacing w:line="264" w:lineRule="auto"/>
              <w:rPr>
                <w:rFonts w:ascii="Times New Roman" w:hAnsi="Times New Roman"/>
                <w:noProof/>
              </w:rPr>
            </w:pPr>
            <w:r>
              <w:rPr>
                <w:rFonts w:ascii="Times New Roman" w:hAnsi="Times New Roman"/>
                <w:noProof/>
              </w:rPr>
              <w:t xml:space="preserve">Social or environmental impact </w:t>
            </w: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r>
              <w:rPr>
                <w:rFonts w:ascii="Times New Roman" w:hAnsi="Times New Roman"/>
                <w:noProof/>
              </w:rPr>
              <w:t>(partly e.g. Social Housing)</w:t>
            </w: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r>
        <w:trPr>
          <w:trHeight w:val="170"/>
        </w:trPr>
        <w:tc>
          <w:tcPr>
            <w:tcW w:w="2286" w:type="dxa"/>
            <w:vMerge/>
          </w:tcPr>
          <w:p>
            <w:pPr>
              <w:pStyle w:val="BodyText"/>
              <w:spacing w:line="264" w:lineRule="auto"/>
              <w:rPr>
                <w:rFonts w:ascii="Times New Roman" w:hAnsi="Times New Roman"/>
                <w:noProof/>
              </w:rPr>
            </w:pPr>
          </w:p>
        </w:tc>
        <w:tc>
          <w:tcPr>
            <w:tcW w:w="3019" w:type="dxa"/>
          </w:tcPr>
          <w:p>
            <w:pPr>
              <w:pStyle w:val="BodyText"/>
              <w:spacing w:line="264" w:lineRule="auto"/>
              <w:rPr>
                <w:rFonts w:ascii="Times New Roman" w:hAnsi="Times New Roman"/>
                <w:noProof/>
              </w:rPr>
            </w:pPr>
            <w:r>
              <w:rPr>
                <w:rFonts w:ascii="Times New Roman" w:hAnsi="Times New Roman"/>
                <w:noProof/>
              </w:rPr>
              <w:t>Cross border dimension</w:t>
            </w: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c>
          <w:tcPr>
            <w:tcW w:w="2286" w:type="dxa"/>
          </w:tcPr>
          <w:p>
            <w:pPr>
              <w:pStyle w:val="BodyText"/>
              <w:spacing w:line="264" w:lineRule="auto"/>
              <w:jc w:val="center"/>
              <w:rPr>
                <w:rFonts w:ascii="Times New Roman" w:hAnsi="Times New Roman"/>
                <w:noProof/>
              </w:rPr>
            </w:pPr>
          </w:p>
        </w:tc>
        <w:tc>
          <w:tcPr>
            <w:tcW w:w="2286" w:type="dxa"/>
          </w:tcPr>
          <w:p>
            <w:pPr>
              <w:pStyle w:val="BodyText"/>
              <w:spacing w:line="264" w:lineRule="auto"/>
              <w:jc w:val="center"/>
              <w:rPr>
                <w:rFonts w:ascii="Times New Roman" w:hAnsi="Times New Roman"/>
                <w:noProof/>
              </w:rPr>
            </w:pPr>
            <w:r>
              <w:rPr>
                <w:rFonts w:ascii="Times New Roman" w:hAnsi="Times New Roman"/>
                <w:noProof/>
              </w:rPr>
              <w:t>√</w:t>
            </w:r>
          </w:p>
        </w:tc>
      </w:tr>
    </w:tbl>
    <w:p>
      <w:pPr>
        <w:spacing w:line="264" w:lineRule="auto"/>
        <w:rPr>
          <w:rFonts w:cs="Times New Roman"/>
          <w:noProof/>
          <w:szCs w:val="24"/>
        </w:rPr>
      </w:pPr>
    </w:p>
    <w:p>
      <w:pPr>
        <w:pStyle w:val="Text1"/>
        <w:spacing w:line="264" w:lineRule="auto"/>
        <w:rPr>
          <w:noProof/>
          <w:szCs w:val="24"/>
        </w:rPr>
        <w:sectPr>
          <w:headerReference w:type="even" r:id="rId148"/>
          <w:headerReference w:type="default" r:id="rId149"/>
          <w:footerReference w:type="even" r:id="rId150"/>
          <w:footerReference w:type="default" r:id="rId151"/>
          <w:headerReference w:type="first" r:id="rId152"/>
          <w:footerReference w:type="first" r:id="rId153"/>
          <w:pgSz w:w="16838" w:h="11906" w:orient="landscape"/>
          <w:pgMar w:top="992" w:right="1021" w:bottom="1701" w:left="1021" w:header="601" w:footer="785" w:gutter="0"/>
          <w:cols w:space="720"/>
          <w:titlePg/>
          <w:docGrid w:linePitch="326"/>
        </w:sectPr>
      </w:pPr>
    </w:p>
    <w:p>
      <w:pPr>
        <w:pStyle w:val="Heading1"/>
        <w:numPr>
          <w:ilvl w:val="0"/>
          <w:numId w:val="0"/>
        </w:numPr>
        <w:spacing w:line="264" w:lineRule="auto"/>
        <w:ind w:left="432"/>
        <w:rPr>
          <w:noProof/>
          <w:szCs w:val="24"/>
        </w:rPr>
      </w:pPr>
      <w:bookmarkStart w:id="9389" w:name="_Ref509491568"/>
      <w:bookmarkStart w:id="9390" w:name="_Toc510613022"/>
      <w:bookmarkStart w:id="9391" w:name="_Toc510683738"/>
      <w:bookmarkStart w:id="9392" w:name="_Toc515348909"/>
      <w:r>
        <w:rPr>
          <w:noProof/>
          <w:szCs w:val="24"/>
        </w:rPr>
        <w:t xml:space="preserve">Annex 11: Access of non-EU Member States to EU financial </w:t>
      </w:r>
      <w:bookmarkEnd w:id="9389"/>
      <w:bookmarkEnd w:id="9390"/>
      <w:r>
        <w:rPr>
          <w:noProof/>
          <w:szCs w:val="24"/>
        </w:rPr>
        <w:t>instruments</w:t>
      </w:r>
      <w:bookmarkEnd w:id="9391"/>
      <w:bookmarkEnd w:id="9392"/>
    </w:p>
    <w:tbl>
      <w:tblPr>
        <w:tblW w:w="9290" w:type="dxa"/>
        <w:tblBorders>
          <w:bottom w:val="single" w:sz="2" w:space="0" w:color="F79646" w:themeColor="accent6"/>
          <w:insideH w:val="single" w:sz="2" w:space="0" w:color="F79646" w:themeColor="accent6"/>
          <w:insideV w:val="single" w:sz="2" w:space="0" w:color="F79646" w:themeColor="accent6"/>
        </w:tblBorders>
        <w:tblLayout w:type="fixed"/>
        <w:tblCellMar>
          <w:top w:w="57" w:type="dxa"/>
          <w:left w:w="0" w:type="dxa"/>
          <w:bottom w:w="28" w:type="dxa"/>
          <w:right w:w="0" w:type="dxa"/>
        </w:tblCellMar>
        <w:tblLook w:val="04A0" w:firstRow="1" w:lastRow="0" w:firstColumn="1" w:lastColumn="0" w:noHBand="0" w:noVBand="1"/>
        <w:tblDescription w:val="False|True|True"/>
      </w:tblPr>
      <w:tblGrid>
        <w:gridCol w:w="1985"/>
        <w:gridCol w:w="1495"/>
        <w:gridCol w:w="968"/>
        <w:gridCol w:w="968"/>
        <w:gridCol w:w="969"/>
        <w:gridCol w:w="968"/>
        <w:gridCol w:w="968"/>
        <w:gridCol w:w="969"/>
      </w:tblGrid>
      <w:tr>
        <w:trPr>
          <w:cantSplit/>
          <w:trHeight w:val="315"/>
          <w:tblHeader/>
        </w:trPr>
        <w:tc>
          <w:tcPr>
            <w:tcW w:w="1985"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Category</w:t>
            </w:r>
          </w:p>
        </w:tc>
        <w:tc>
          <w:tcPr>
            <w:tcW w:w="1495"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Country</w:t>
            </w:r>
          </w:p>
        </w:tc>
        <w:tc>
          <w:tcPr>
            <w:tcW w:w="968"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COSME</w:t>
            </w:r>
          </w:p>
        </w:tc>
        <w:tc>
          <w:tcPr>
            <w:tcW w:w="968"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Creative Europe</w:t>
            </w:r>
          </w:p>
        </w:tc>
        <w:tc>
          <w:tcPr>
            <w:tcW w:w="969"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EaSI</w:t>
            </w:r>
          </w:p>
        </w:tc>
        <w:tc>
          <w:tcPr>
            <w:tcW w:w="968"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Erasmus +</w:t>
            </w:r>
          </w:p>
        </w:tc>
        <w:tc>
          <w:tcPr>
            <w:tcW w:w="968"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Horizon2020</w:t>
            </w:r>
          </w:p>
        </w:tc>
        <w:tc>
          <w:tcPr>
            <w:tcW w:w="969" w:type="dxa"/>
            <w:tcBorders>
              <w:top w:val="nil"/>
            </w:tcBorders>
            <w:shd w:val="solid" w:color="4F81BD" w:themeColor="accent1" w:fill="4F81BD" w:themeFill="accent1"/>
            <w:vAlign w:val="bottom"/>
            <w:hideMark/>
          </w:tcPr>
          <w:p>
            <w:pPr>
              <w:pStyle w:val="TableHeadingWhite"/>
              <w:spacing w:line="264" w:lineRule="auto"/>
              <w:rPr>
                <w:rFonts w:ascii="Times New Roman" w:hAnsi="Times New Roman"/>
                <w:noProof/>
                <w:sz w:val="22"/>
                <w:lang w:eastAsia="en-GB"/>
              </w:rPr>
            </w:pPr>
            <w:r>
              <w:rPr>
                <w:rFonts w:ascii="Times New Roman" w:hAnsi="Times New Roman"/>
                <w:noProof/>
                <w:sz w:val="22"/>
                <w:lang w:eastAsia="en-GB"/>
              </w:rPr>
              <w:t>LIFE</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Albania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Algeria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Armenia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Azerbaijan</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Belarus</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Bosnia and Herzegovina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Egypt</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Georgia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EFTA which are part of EEA, European Environmental Agency</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Iceland</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Israel</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Jordan</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Kosovo</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Lebanon</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Libya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EFTA which are part of EEA, European Environmental Agency</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Liechtenstein</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Moldova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Montenegro</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Morocco</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EFTA which are part of EEA, European Environmental Agency</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Norway</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Palestine</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Serbia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Swiss Confederation, EFTA</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Switzerland</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Syria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FYR Macedonia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Tunisia</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Candidates, potential candidates and acceding countries to the Union, European Environmental Agency</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Turkey</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EU Neighbourhood</w:t>
            </w:r>
          </w:p>
        </w:tc>
        <w:tc>
          <w:tcPr>
            <w:tcW w:w="1495"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Ukraine</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c>
          <w:tcPr>
            <w:tcW w:w="969" w:type="dxa"/>
            <w:shd w:val="clear" w:color="auto" w:fill="auto"/>
            <w:noWrap/>
            <w:vAlign w:val="bottom"/>
            <w:hideMark/>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x</w:t>
            </w:r>
          </w:p>
        </w:tc>
      </w:tr>
      <w:tr>
        <w:trPr>
          <w:trHeight w:val="300"/>
        </w:trPr>
        <w:tc>
          <w:tcPr>
            <w:tcW w:w="1985" w:type="dxa"/>
            <w:shd w:val="clear" w:color="auto" w:fill="auto"/>
            <w:noWrap/>
            <w:vAlign w:val="bottom"/>
          </w:tcPr>
          <w:p>
            <w:pPr>
              <w:pStyle w:val="TableTextNoSpace"/>
              <w:spacing w:line="264" w:lineRule="auto"/>
              <w:rPr>
                <w:rFonts w:ascii="Times New Roman" w:hAnsi="Times New Roman"/>
                <w:noProof/>
                <w:sz w:val="22"/>
                <w:lang w:eastAsia="en-GB"/>
              </w:rPr>
            </w:pPr>
          </w:p>
        </w:tc>
        <w:tc>
          <w:tcPr>
            <w:tcW w:w="1495" w:type="dxa"/>
            <w:shd w:val="clear" w:color="auto" w:fill="auto"/>
            <w:noWrap/>
            <w:vAlign w:val="bottom"/>
          </w:tcPr>
          <w:p>
            <w:pPr>
              <w:pStyle w:val="TableTextNoSpace"/>
              <w:spacing w:line="264" w:lineRule="auto"/>
              <w:rPr>
                <w:rFonts w:ascii="Times New Roman" w:hAnsi="Times New Roman"/>
                <w:noProof/>
                <w:sz w:val="22"/>
                <w:lang w:eastAsia="en-GB"/>
              </w:rPr>
            </w:pPr>
          </w:p>
        </w:tc>
        <w:tc>
          <w:tcPr>
            <w:tcW w:w="968"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26</w:t>
            </w:r>
          </w:p>
        </w:tc>
        <w:tc>
          <w:tcPr>
            <w:tcW w:w="968"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23</w:t>
            </w:r>
          </w:p>
        </w:tc>
        <w:tc>
          <w:tcPr>
            <w:tcW w:w="969"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9</w:t>
            </w:r>
          </w:p>
        </w:tc>
        <w:tc>
          <w:tcPr>
            <w:tcW w:w="968"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23</w:t>
            </w:r>
          </w:p>
        </w:tc>
        <w:tc>
          <w:tcPr>
            <w:tcW w:w="968"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27</w:t>
            </w:r>
          </w:p>
        </w:tc>
        <w:tc>
          <w:tcPr>
            <w:tcW w:w="969" w:type="dxa"/>
            <w:shd w:val="clear" w:color="auto" w:fill="auto"/>
            <w:noWrap/>
            <w:vAlign w:val="bottom"/>
          </w:tcPr>
          <w:p>
            <w:pPr>
              <w:pStyle w:val="TableTextNoSpace"/>
              <w:spacing w:line="264" w:lineRule="auto"/>
              <w:rPr>
                <w:rFonts w:ascii="Times New Roman" w:hAnsi="Times New Roman"/>
                <w:noProof/>
                <w:sz w:val="22"/>
                <w:lang w:eastAsia="en-GB"/>
              </w:rPr>
            </w:pPr>
            <w:r>
              <w:rPr>
                <w:rFonts w:ascii="Times New Roman" w:hAnsi="Times New Roman"/>
                <w:noProof/>
                <w:sz w:val="22"/>
                <w:lang w:eastAsia="en-GB"/>
              </w:rPr>
              <w:t>27</w:t>
            </w:r>
          </w:p>
        </w:tc>
      </w:tr>
    </w:tbl>
    <w:p>
      <w:pPr>
        <w:pStyle w:val="BodyText"/>
        <w:spacing w:line="264" w:lineRule="auto"/>
        <w:rPr>
          <w:rFonts w:ascii="Times New Roman" w:hAnsi="Times New Roman"/>
          <w:b/>
          <w:noProof/>
          <w:sz w:val="24"/>
        </w:rPr>
      </w:pPr>
    </w:p>
    <w:p>
      <w:pPr>
        <w:pStyle w:val="Text1"/>
        <w:spacing w:line="264" w:lineRule="auto"/>
        <w:rPr>
          <w:noProof/>
          <w:szCs w:val="24"/>
        </w:rPr>
        <w:sectPr>
          <w:headerReference w:type="even" r:id="rId154"/>
          <w:headerReference w:type="default" r:id="rId155"/>
          <w:footerReference w:type="even" r:id="rId156"/>
          <w:footerReference w:type="default" r:id="rId157"/>
          <w:headerReference w:type="first" r:id="rId158"/>
          <w:footerReference w:type="first" r:id="rId159"/>
          <w:pgSz w:w="11907" w:h="16840" w:code="9"/>
          <w:pgMar w:top="1304" w:right="1418" w:bottom="1021" w:left="1418" w:header="680" w:footer="454" w:gutter="0"/>
          <w:cols w:space="708"/>
          <w:docGrid w:linePitch="360"/>
        </w:sectPr>
      </w:pPr>
    </w:p>
    <w:p>
      <w:pPr>
        <w:pStyle w:val="Heading1"/>
        <w:numPr>
          <w:ilvl w:val="0"/>
          <w:numId w:val="0"/>
        </w:numPr>
        <w:spacing w:line="264" w:lineRule="auto"/>
        <w:ind w:left="431"/>
        <w:rPr>
          <w:noProof/>
          <w:szCs w:val="24"/>
        </w:rPr>
      </w:pPr>
      <w:bookmarkStart w:id="9393" w:name="_Toc515348910"/>
      <w:r>
        <w:rPr>
          <w:noProof/>
          <w:szCs w:val="24"/>
        </w:rPr>
        <w:t>Annex 12: Assessment of duplication, synergies and overlaps</w:t>
      </w:r>
      <w:bookmarkEnd w:id="9393"/>
    </w:p>
    <w:tbl>
      <w:tblPr>
        <w:tblW w:w="8988" w:type="dxa"/>
        <w:tblLook w:val="04A0" w:firstRow="1" w:lastRow="0" w:firstColumn="1" w:lastColumn="0" w:noHBand="0" w:noVBand="1"/>
      </w:tblPr>
      <w:tblGrid>
        <w:gridCol w:w="8988"/>
      </w:tblGrid>
      <w:tr>
        <w:tc>
          <w:tcPr>
            <w:tcW w:w="8988" w:type="dxa"/>
            <w:shd w:val="clear" w:color="auto" w:fill="auto"/>
          </w:tcPr>
          <w:p>
            <w:pPr>
              <w:pStyle w:val="ListNumber"/>
              <w:tabs>
                <w:tab w:val="clear" w:pos="709"/>
              </w:tabs>
              <w:spacing w:line="264" w:lineRule="auto"/>
              <w:ind w:left="0" w:firstLine="0"/>
              <w:rPr>
                <w:b/>
                <w:i/>
                <w:noProof/>
                <w:color w:val="000000" w:themeColor="text1"/>
                <w:szCs w:val="24"/>
              </w:rPr>
            </w:pPr>
          </w:p>
          <w:p>
            <w:pPr>
              <w:spacing w:line="264" w:lineRule="auto"/>
              <w:rPr>
                <w:rFonts w:cs="Times New Roman"/>
                <w:noProof/>
                <w:szCs w:val="24"/>
              </w:rPr>
            </w:pPr>
            <w:r>
              <w:rPr>
                <w:rFonts w:cs="Times New Roman"/>
                <w:noProof/>
                <w:szCs w:val="24"/>
              </w:rPr>
              <w:t xml:space="preserve">Avoiding overlaps among programmes and exploring synergies requires careful attention and coordination among a number of Commission DGs under the current MFF. </w:t>
            </w:r>
          </w:p>
          <w:p>
            <w:pPr>
              <w:spacing w:line="264" w:lineRule="auto"/>
              <w:rPr>
                <w:rFonts w:cs="Times New Roman"/>
                <w:noProof/>
                <w:szCs w:val="24"/>
              </w:rPr>
            </w:pPr>
            <w:r>
              <w:rPr>
                <w:rFonts w:cs="Times New Roman"/>
                <w:noProof/>
                <w:szCs w:val="24"/>
              </w:rPr>
              <w:t>For example, in the area of SME financing, the current MFF has at least 14 different instruments focusing on SMEs under internal, centrally managed EU financial instruments and the EFSI, see the tables on potential overlaps below. They are implemented by 4 different Commission DGs and two implementing partners. Coordination taking place through the FIIEG (Financial Instruments Independent Expert Group) and Steering Committees for each of the instruments as well as Joint Steering Committees for equity and guarantee instruments. Such setup is not perfect and there is indeed evidence of partial overlap, e.g. between COSME Loan Guarantees and EaSI Guarantees.</w:t>
            </w:r>
          </w:p>
          <w:p>
            <w:pPr>
              <w:spacing w:line="264" w:lineRule="auto"/>
              <w:rPr>
                <w:rFonts w:cs="Times New Roman"/>
                <w:noProof/>
                <w:szCs w:val="24"/>
              </w:rPr>
            </w:pPr>
            <w:r>
              <w:rPr>
                <w:rFonts w:cs="Times New Roman"/>
                <w:noProof/>
                <w:szCs w:val="24"/>
              </w:rPr>
              <w:t>Overlaps exist also in other areas, in particular having arisen following the establishment of the EFSI, as recognised by the external EFSI evaluation and the EIB evaluation carried out in 2016. For instance the target group of EFSI support to innovation financing by the EIB could also be partially served by the InnovFin financial instruments under Horizon 2020. In the areas of infrastructure, projects potentially eligible under the Connecting Europe Facility Debt Instrument could also be targeted by the EFSI.</w:t>
            </w:r>
          </w:p>
          <w:p>
            <w:pPr>
              <w:spacing w:line="264" w:lineRule="auto"/>
              <w:rPr>
                <w:rFonts w:cs="Times New Roman"/>
                <w:noProof/>
                <w:szCs w:val="24"/>
              </w:rPr>
            </w:pPr>
            <w:r>
              <w:rPr>
                <w:rFonts w:cs="Times New Roman"/>
                <w:noProof/>
                <w:szCs w:val="24"/>
              </w:rPr>
              <w:t xml:space="preserve">While coordination among Commission DGs (through the FIIEG), inter-service consultations and Steering Committees, as well as informal coordination among DGs, can help avoiding overlaps and make instruments work in synergy, there are still however partial overlaps among programmes. In addition, the coordination requires significant effort. </w:t>
            </w:r>
          </w:p>
          <w:p>
            <w:pPr>
              <w:spacing w:line="264" w:lineRule="auto"/>
              <w:rPr>
                <w:rFonts w:cs="Times New Roman"/>
                <w:noProof/>
                <w:szCs w:val="24"/>
              </w:rPr>
            </w:pPr>
            <w:r>
              <w:rPr>
                <w:rFonts w:cs="Times New Roman"/>
                <w:noProof/>
                <w:szCs w:val="24"/>
              </w:rPr>
              <w:t>The InvestEU Fund with its centralised approach, a single fund, a single Steering Board, a single approval process of the operations by the Investment Committees, a single agreement with each implementing partner and participative involvement of all relevant policy DGs in the Policy Boards and the Inter-Service Coordination Committee would ensure that EU financing is channelled in a coordinated and harmonised manner, without overlaps.</w:t>
            </w:r>
          </w:p>
          <w:p>
            <w:pPr>
              <w:spacing w:line="264" w:lineRule="auto"/>
              <w:rPr>
                <w:rFonts w:cs="Times New Roman"/>
                <w:noProof/>
                <w:szCs w:val="24"/>
              </w:rPr>
            </w:pPr>
          </w:p>
          <w:p>
            <w:pPr>
              <w:pStyle w:val="ListNumber"/>
              <w:tabs>
                <w:tab w:val="clear" w:pos="709"/>
              </w:tabs>
              <w:spacing w:line="264" w:lineRule="auto"/>
              <w:ind w:left="0" w:firstLine="0"/>
              <w:rPr>
                <w:noProof/>
                <w:szCs w:val="24"/>
              </w:rPr>
            </w:pPr>
          </w:p>
        </w:tc>
      </w:tr>
    </w:tbl>
    <w:p>
      <w:pPr>
        <w:spacing w:line="264" w:lineRule="auto"/>
        <w:rPr>
          <w:rFonts w:cs="Times New Roman"/>
          <w:noProof/>
          <w:szCs w:val="24"/>
        </w:rPr>
      </w:pPr>
    </w:p>
    <w:p>
      <w:pPr>
        <w:spacing w:line="264" w:lineRule="auto"/>
        <w:rPr>
          <w:rFonts w:cs="Times New Roman"/>
          <w:noProof/>
          <w:szCs w:val="24"/>
        </w:rPr>
        <w:sectPr>
          <w:headerReference w:type="even" r:id="rId160"/>
          <w:headerReference w:type="default" r:id="rId161"/>
          <w:footerReference w:type="even" r:id="rId162"/>
          <w:footerReference w:type="default" r:id="rId163"/>
          <w:headerReference w:type="first" r:id="rId164"/>
          <w:footerReference w:type="first" r:id="rId165"/>
          <w:pgSz w:w="11906" w:h="16838"/>
          <w:pgMar w:top="1417" w:right="1417" w:bottom="1417" w:left="1417" w:header="708" w:footer="708" w:gutter="0"/>
          <w:cols w:space="708"/>
          <w:docGrid w:linePitch="360"/>
        </w:sectPr>
      </w:pPr>
    </w:p>
    <w:p>
      <w:pPr>
        <w:spacing w:after="0" w:line="264" w:lineRule="auto"/>
        <w:ind w:right="-23"/>
        <w:jc w:val="left"/>
        <w:rPr>
          <w:rFonts w:eastAsiaTheme="minorHAnsi" w:cs="Times New Roman"/>
          <w:b/>
          <w:noProof/>
          <w:szCs w:val="24"/>
          <w:u w:val="single"/>
        </w:rPr>
      </w:pPr>
      <w:r>
        <w:rPr>
          <w:rFonts w:eastAsiaTheme="minorHAnsi" w:cs="Times New Roman"/>
          <w:b/>
          <w:noProof/>
          <w:szCs w:val="24"/>
          <w:u w:val="single"/>
        </w:rPr>
        <w:t>Potential overlaps - DEBT PRODUCTS SUPPORTING LENDING TO SMEs, 2014-2020</w:t>
      </w:r>
    </w:p>
    <w:tbl>
      <w:tblPr>
        <w:tblStyle w:val="TableGrid"/>
        <w:tblW w:w="15701" w:type="dxa"/>
        <w:tblLayout w:type="fixed"/>
        <w:tblLook w:val="04A0" w:firstRow="1" w:lastRow="0" w:firstColumn="1" w:lastColumn="0" w:noHBand="0" w:noVBand="1"/>
      </w:tblPr>
      <w:tblGrid>
        <w:gridCol w:w="285"/>
        <w:gridCol w:w="2658"/>
        <w:gridCol w:w="1276"/>
        <w:gridCol w:w="992"/>
        <w:gridCol w:w="851"/>
        <w:gridCol w:w="2126"/>
        <w:gridCol w:w="2268"/>
        <w:gridCol w:w="1985"/>
        <w:gridCol w:w="3260"/>
      </w:tblGrid>
      <w:tr>
        <w:tc>
          <w:tcPr>
            <w:tcW w:w="2943" w:type="dxa"/>
            <w:gridSpan w:val="2"/>
            <w:shd w:val="clear" w:color="auto" w:fill="002060"/>
          </w:tcPr>
          <w:p>
            <w:pPr>
              <w:spacing w:after="0" w:line="264" w:lineRule="auto"/>
              <w:jc w:val="left"/>
              <w:rPr>
                <w:rFonts w:eastAsiaTheme="minorHAnsi"/>
                <w:noProof/>
                <w:sz w:val="22"/>
                <w:szCs w:val="24"/>
              </w:rPr>
            </w:pPr>
            <w:r>
              <w:rPr>
                <w:rFonts w:eastAsiaTheme="minorHAnsi"/>
                <w:noProof/>
                <w:sz w:val="22"/>
                <w:szCs w:val="24"/>
              </w:rPr>
              <w:t>Product name</w:t>
            </w:r>
          </w:p>
        </w:tc>
        <w:tc>
          <w:tcPr>
            <w:tcW w:w="1276" w:type="dxa"/>
            <w:shd w:val="clear" w:color="auto" w:fill="002060"/>
          </w:tcPr>
          <w:p>
            <w:pPr>
              <w:spacing w:after="0" w:line="264" w:lineRule="auto"/>
              <w:jc w:val="left"/>
              <w:rPr>
                <w:rFonts w:eastAsiaTheme="minorHAnsi"/>
                <w:noProof/>
                <w:sz w:val="22"/>
                <w:szCs w:val="24"/>
              </w:rPr>
            </w:pPr>
            <w:r>
              <w:rPr>
                <w:rFonts w:eastAsiaTheme="minorHAnsi"/>
                <w:noProof/>
                <w:sz w:val="22"/>
                <w:szCs w:val="24"/>
              </w:rPr>
              <w:t>Budget</w:t>
            </w:r>
          </w:p>
          <w:p>
            <w:pPr>
              <w:spacing w:after="0" w:line="264" w:lineRule="auto"/>
              <w:jc w:val="left"/>
              <w:rPr>
                <w:rFonts w:eastAsiaTheme="minorHAnsi"/>
                <w:noProof/>
                <w:sz w:val="22"/>
                <w:szCs w:val="24"/>
              </w:rPr>
            </w:pPr>
            <w:r>
              <w:rPr>
                <w:rFonts w:eastAsiaTheme="minorHAnsi"/>
                <w:noProof/>
                <w:sz w:val="22"/>
                <w:szCs w:val="24"/>
              </w:rPr>
              <w:t>(EUR mln)</w:t>
            </w:r>
          </w:p>
        </w:tc>
        <w:tc>
          <w:tcPr>
            <w:tcW w:w="992" w:type="dxa"/>
            <w:shd w:val="clear" w:color="auto" w:fill="002060"/>
          </w:tcPr>
          <w:p>
            <w:pPr>
              <w:spacing w:after="0" w:line="264" w:lineRule="auto"/>
              <w:jc w:val="left"/>
              <w:rPr>
                <w:rFonts w:eastAsiaTheme="minorHAnsi"/>
                <w:noProof/>
                <w:sz w:val="22"/>
                <w:szCs w:val="24"/>
              </w:rPr>
            </w:pPr>
            <w:r>
              <w:rPr>
                <w:rFonts w:eastAsiaTheme="minorHAnsi"/>
                <w:noProof/>
                <w:sz w:val="22"/>
                <w:szCs w:val="24"/>
              </w:rPr>
              <w:t>DGs in charge</w:t>
            </w:r>
          </w:p>
        </w:tc>
        <w:tc>
          <w:tcPr>
            <w:tcW w:w="851" w:type="dxa"/>
            <w:shd w:val="clear" w:color="auto" w:fill="002060"/>
          </w:tcPr>
          <w:p>
            <w:pPr>
              <w:spacing w:after="0" w:line="264" w:lineRule="auto"/>
              <w:jc w:val="left"/>
              <w:rPr>
                <w:rFonts w:eastAsiaTheme="minorHAnsi"/>
                <w:noProof/>
                <w:sz w:val="22"/>
                <w:szCs w:val="24"/>
              </w:rPr>
            </w:pPr>
            <w:r>
              <w:rPr>
                <w:rFonts w:eastAsiaTheme="minorHAnsi"/>
                <w:noProof/>
                <w:sz w:val="22"/>
                <w:szCs w:val="24"/>
              </w:rPr>
              <w:t>Manager</w:t>
            </w:r>
          </w:p>
        </w:tc>
        <w:tc>
          <w:tcPr>
            <w:tcW w:w="2126" w:type="dxa"/>
            <w:shd w:val="clear" w:color="auto" w:fill="002060"/>
          </w:tcPr>
          <w:p>
            <w:pPr>
              <w:spacing w:after="0" w:line="264" w:lineRule="auto"/>
              <w:jc w:val="left"/>
              <w:rPr>
                <w:rFonts w:eastAsiaTheme="minorHAnsi"/>
                <w:noProof/>
                <w:sz w:val="22"/>
                <w:szCs w:val="24"/>
              </w:rPr>
            </w:pPr>
            <w:r>
              <w:rPr>
                <w:rFonts w:eastAsiaTheme="minorHAnsi"/>
                <w:noProof/>
                <w:sz w:val="22"/>
                <w:szCs w:val="24"/>
              </w:rPr>
              <w:t>Target</w:t>
            </w:r>
          </w:p>
        </w:tc>
        <w:tc>
          <w:tcPr>
            <w:tcW w:w="2268" w:type="dxa"/>
            <w:shd w:val="clear" w:color="auto" w:fill="002060"/>
          </w:tcPr>
          <w:p>
            <w:pPr>
              <w:spacing w:after="0" w:line="264" w:lineRule="auto"/>
              <w:jc w:val="left"/>
              <w:rPr>
                <w:rFonts w:eastAsiaTheme="minorHAnsi"/>
                <w:noProof/>
                <w:sz w:val="22"/>
                <w:szCs w:val="24"/>
              </w:rPr>
            </w:pPr>
            <w:r>
              <w:rPr>
                <w:rFonts w:eastAsiaTheme="minorHAnsi"/>
                <w:noProof/>
                <w:sz w:val="22"/>
                <w:szCs w:val="24"/>
              </w:rPr>
              <w:t>Specific focus</w:t>
            </w:r>
          </w:p>
        </w:tc>
        <w:tc>
          <w:tcPr>
            <w:tcW w:w="1985" w:type="dxa"/>
            <w:shd w:val="clear" w:color="auto" w:fill="002060"/>
          </w:tcPr>
          <w:p>
            <w:pPr>
              <w:spacing w:after="0" w:line="264" w:lineRule="auto"/>
              <w:jc w:val="left"/>
              <w:rPr>
                <w:rFonts w:eastAsiaTheme="minorHAnsi"/>
                <w:noProof/>
                <w:sz w:val="22"/>
                <w:szCs w:val="24"/>
              </w:rPr>
            </w:pPr>
            <w:r>
              <w:rPr>
                <w:rFonts w:eastAsiaTheme="minorHAnsi"/>
                <w:noProof/>
                <w:sz w:val="22"/>
                <w:szCs w:val="24"/>
              </w:rPr>
              <w:t>Comment</w:t>
            </w:r>
          </w:p>
        </w:tc>
        <w:tc>
          <w:tcPr>
            <w:tcW w:w="3260" w:type="dxa"/>
            <w:shd w:val="clear" w:color="auto" w:fill="002060"/>
          </w:tcPr>
          <w:p>
            <w:pPr>
              <w:spacing w:after="0" w:line="264" w:lineRule="auto"/>
              <w:jc w:val="left"/>
              <w:rPr>
                <w:rFonts w:eastAsiaTheme="minorHAnsi"/>
                <w:noProof/>
                <w:sz w:val="22"/>
                <w:szCs w:val="24"/>
              </w:rPr>
            </w:pPr>
            <w:r>
              <w:rPr>
                <w:rFonts w:eastAsiaTheme="minorHAnsi"/>
                <w:noProof/>
                <w:sz w:val="22"/>
                <w:szCs w:val="24"/>
              </w:rPr>
              <w:t>Potential overlap</w:t>
            </w:r>
            <w:r>
              <w:rPr>
                <w:rFonts w:eastAsiaTheme="minorHAnsi"/>
                <w:noProof/>
                <w:sz w:val="22"/>
                <w:szCs w:val="24"/>
                <w:vertAlign w:val="superscript"/>
              </w:rPr>
              <w:footnoteReference w:id="179"/>
            </w:r>
          </w:p>
        </w:tc>
      </w:tr>
      <w:tr>
        <w:tc>
          <w:tcPr>
            <w:tcW w:w="2943" w:type="dxa"/>
            <w:gridSpan w:val="2"/>
            <w:vAlign w:val="center"/>
          </w:tcPr>
          <w:p>
            <w:pPr>
              <w:spacing w:after="0" w:line="264" w:lineRule="auto"/>
              <w:jc w:val="left"/>
              <w:rPr>
                <w:rFonts w:eastAsiaTheme="minorHAnsi"/>
                <w:noProof/>
                <w:sz w:val="22"/>
                <w:szCs w:val="24"/>
              </w:rPr>
            </w:pPr>
            <w:r>
              <w:rPr>
                <w:rFonts w:eastAsiaTheme="minorHAnsi"/>
                <w:noProof/>
                <w:sz w:val="22"/>
                <w:szCs w:val="24"/>
              </w:rPr>
              <w:t>COSME LGF (Loan Guarantee Facility)</w:t>
            </w:r>
          </w:p>
        </w:tc>
        <w:tc>
          <w:tcPr>
            <w:tcW w:w="1276" w:type="dxa"/>
          </w:tcPr>
          <w:p>
            <w:pPr>
              <w:spacing w:after="0" w:line="264" w:lineRule="auto"/>
              <w:jc w:val="left"/>
              <w:rPr>
                <w:rFonts w:eastAsiaTheme="minorHAnsi"/>
                <w:noProof/>
                <w:sz w:val="22"/>
                <w:szCs w:val="24"/>
              </w:rPr>
            </w:pPr>
            <w:r>
              <w:rPr>
                <w:rFonts w:eastAsiaTheme="minorHAnsi"/>
                <w:noProof/>
                <w:sz w:val="22"/>
                <w:szCs w:val="24"/>
              </w:rPr>
              <w:t>840</w:t>
            </w:r>
          </w:p>
        </w:tc>
        <w:tc>
          <w:tcPr>
            <w:tcW w:w="992" w:type="dxa"/>
          </w:tcPr>
          <w:p>
            <w:pPr>
              <w:spacing w:after="0" w:line="264" w:lineRule="auto"/>
              <w:jc w:val="left"/>
              <w:rPr>
                <w:rFonts w:eastAsiaTheme="minorHAnsi"/>
                <w:noProof/>
                <w:sz w:val="22"/>
                <w:szCs w:val="24"/>
              </w:rPr>
            </w:pPr>
            <w:r>
              <w:rPr>
                <w:rFonts w:eastAsiaTheme="minorHAnsi"/>
                <w:noProof/>
                <w:sz w:val="22"/>
                <w:szCs w:val="24"/>
              </w:rPr>
              <w:t>GROW</w:t>
            </w:r>
          </w:p>
        </w:tc>
        <w:tc>
          <w:tcPr>
            <w:tcW w:w="851" w:type="dxa"/>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Pr>
          <w:p>
            <w:pPr>
              <w:spacing w:after="0" w:line="264" w:lineRule="auto"/>
              <w:jc w:val="left"/>
              <w:rPr>
                <w:rFonts w:eastAsiaTheme="minorHAnsi"/>
                <w:noProof/>
                <w:sz w:val="22"/>
                <w:szCs w:val="24"/>
              </w:rPr>
            </w:pPr>
            <w:r>
              <w:rPr>
                <w:rFonts w:eastAsiaTheme="minorHAnsi"/>
                <w:noProof/>
                <w:sz w:val="22"/>
                <w:szCs w:val="24"/>
              </w:rPr>
              <w:t>SMEs</w:t>
            </w:r>
          </w:p>
        </w:tc>
        <w:tc>
          <w:tcPr>
            <w:tcW w:w="2268" w:type="dxa"/>
          </w:tcPr>
          <w:p>
            <w:pPr>
              <w:spacing w:after="0" w:line="264" w:lineRule="auto"/>
              <w:jc w:val="left"/>
              <w:rPr>
                <w:rFonts w:eastAsiaTheme="minorHAnsi"/>
                <w:noProof/>
                <w:sz w:val="22"/>
                <w:szCs w:val="24"/>
              </w:rPr>
            </w:pPr>
            <w:r>
              <w:rPr>
                <w:rFonts w:eastAsiaTheme="minorHAnsi"/>
                <w:noProof/>
                <w:sz w:val="22"/>
                <w:szCs w:val="24"/>
              </w:rPr>
              <w:t>SMEs with a high-risk profile</w:t>
            </w:r>
          </w:p>
        </w:tc>
        <w:tc>
          <w:tcPr>
            <w:tcW w:w="1985" w:type="dxa"/>
          </w:tcPr>
          <w:p>
            <w:pPr>
              <w:spacing w:after="0" w:line="264" w:lineRule="auto"/>
              <w:jc w:val="left"/>
              <w:rPr>
                <w:rFonts w:eastAsiaTheme="minorHAnsi"/>
                <w:noProof/>
                <w:sz w:val="22"/>
                <w:szCs w:val="24"/>
              </w:rPr>
            </w:pPr>
            <w:r>
              <w:rPr>
                <w:rFonts w:eastAsiaTheme="minorHAnsi"/>
                <w:noProof/>
                <w:sz w:val="22"/>
                <w:szCs w:val="24"/>
              </w:rPr>
              <w:t>Contributing to SMEI</w:t>
            </w:r>
          </w:p>
        </w:tc>
        <w:tc>
          <w:tcPr>
            <w:tcW w:w="3260" w:type="dxa"/>
            <w:vMerge w:val="restart"/>
          </w:tcPr>
          <w:p>
            <w:pPr>
              <w:spacing w:after="0" w:line="264" w:lineRule="auto"/>
              <w:jc w:val="left"/>
              <w:rPr>
                <w:rFonts w:eastAsiaTheme="minorHAnsi"/>
                <w:noProof/>
                <w:sz w:val="22"/>
                <w:szCs w:val="24"/>
              </w:rPr>
            </w:pPr>
            <w:r>
              <w:rPr>
                <w:rFonts w:eastAsiaTheme="minorHAnsi"/>
                <w:noProof/>
                <w:sz w:val="22"/>
                <w:szCs w:val="24"/>
              </w:rPr>
              <w:t>Joint governance and loan size differentiation.</w:t>
            </w:r>
          </w:p>
          <w:p>
            <w:pPr>
              <w:spacing w:after="0" w:line="264" w:lineRule="auto"/>
              <w:jc w:val="left"/>
              <w:rPr>
                <w:rFonts w:eastAsiaTheme="minorHAnsi"/>
                <w:noProof/>
                <w:sz w:val="22"/>
                <w:szCs w:val="24"/>
              </w:rPr>
            </w:pPr>
            <w:r>
              <w:rPr>
                <w:rFonts w:eastAsiaTheme="minorHAnsi"/>
                <w:noProof/>
                <w:sz w:val="22"/>
                <w:szCs w:val="24"/>
              </w:rPr>
              <w:t>Possible overlap with the SMEI</w:t>
            </w:r>
          </w:p>
        </w:tc>
      </w:tr>
      <w:tr>
        <w:tc>
          <w:tcPr>
            <w:tcW w:w="2943" w:type="dxa"/>
            <w:gridSpan w:val="2"/>
            <w:vAlign w:val="center"/>
          </w:tcPr>
          <w:p>
            <w:pPr>
              <w:spacing w:after="0" w:line="264" w:lineRule="auto"/>
              <w:jc w:val="left"/>
              <w:rPr>
                <w:rFonts w:eastAsiaTheme="minorHAnsi"/>
                <w:noProof/>
                <w:sz w:val="22"/>
                <w:szCs w:val="24"/>
              </w:rPr>
            </w:pPr>
            <w:r>
              <w:rPr>
                <w:rFonts w:eastAsiaTheme="minorHAnsi"/>
                <w:noProof/>
                <w:sz w:val="22"/>
                <w:szCs w:val="24"/>
              </w:rPr>
              <w:t>InnovFin SMEG (SME Guarantee)</w:t>
            </w:r>
          </w:p>
        </w:tc>
        <w:tc>
          <w:tcPr>
            <w:tcW w:w="1276" w:type="dxa"/>
          </w:tcPr>
          <w:p>
            <w:pPr>
              <w:spacing w:after="0" w:line="264" w:lineRule="auto"/>
              <w:jc w:val="left"/>
              <w:rPr>
                <w:rFonts w:eastAsiaTheme="minorHAnsi"/>
                <w:noProof/>
                <w:sz w:val="22"/>
                <w:szCs w:val="24"/>
              </w:rPr>
            </w:pPr>
            <w:r>
              <w:rPr>
                <w:rFonts w:eastAsiaTheme="minorHAnsi"/>
                <w:noProof/>
                <w:sz w:val="22"/>
                <w:szCs w:val="24"/>
              </w:rPr>
              <w:t>1.060</w:t>
            </w:r>
          </w:p>
        </w:tc>
        <w:tc>
          <w:tcPr>
            <w:tcW w:w="992" w:type="dxa"/>
          </w:tcPr>
          <w:p>
            <w:pPr>
              <w:spacing w:after="0" w:line="264" w:lineRule="auto"/>
              <w:jc w:val="left"/>
              <w:rPr>
                <w:rFonts w:eastAsiaTheme="minorHAnsi"/>
                <w:noProof/>
                <w:sz w:val="22"/>
                <w:szCs w:val="24"/>
              </w:rPr>
            </w:pPr>
            <w:r>
              <w:rPr>
                <w:rFonts w:eastAsiaTheme="minorHAnsi"/>
                <w:noProof/>
                <w:sz w:val="22"/>
                <w:szCs w:val="24"/>
              </w:rPr>
              <w:t>RTD</w:t>
            </w:r>
          </w:p>
        </w:tc>
        <w:tc>
          <w:tcPr>
            <w:tcW w:w="851" w:type="dxa"/>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Pr>
          <w:p>
            <w:pPr>
              <w:spacing w:after="0" w:line="264" w:lineRule="auto"/>
              <w:jc w:val="left"/>
              <w:rPr>
                <w:rFonts w:eastAsiaTheme="minorHAnsi"/>
                <w:noProof/>
                <w:sz w:val="22"/>
                <w:szCs w:val="24"/>
              </w:rPr>
            </w:pPr>
            <w:r>
              <w:rPr>
                <w:rFonts w:eastAsiaTheme="minorHAnsi"/>
                <w:noProof/>
                <w:sz w:val="22"/>
                <w:szCs w:val="24"/>
              </w:rPr>
              <w:t>SMEs and Small Mid-Caps</w:t>
            </w:r>
          </w:p>
        </w:tc>
        <w:tc>
          <w:tcPr>
            <w:tcW w:w="2268" w:type="dxa"/>
          </w:tcPr>
          <w:p>
            <w:pPr>
              <w:spacing w:after="0" w:line="264" w:lineRule="auto"/>
              <w:jc w:val="left"/>
              <w:rPr>
                <w:rFonts w:eastAsiaTheme="minorHAnsi"/>
                <w:noProof/>
                <w:sz w:val="22"/>
                <w:szCs w:val="24"/>
              </w:rPr>
            </w:pPr>
            <w:r>
              <w:rPr>
                <w:rFonts w:eastAsiaTheme="minorHAnsi"/>
                <w:noProof/>
                <w:sz w:val="22"/>
                <w:szCs w:val="24"/>
              </w:rPr>
              <w:t>Innovative and research-intensive SMEs and Small Mid-Caps</w:t>
            </w:r>
          </w:p>
        </w:tc>
        <w:tc>
          <w:tcPr>
            <w:tcW w:w="1985" w:type="dxa"/>
          </w:tcPr>
          <w:p>
            <w:pPr>
              <w:spacing w:after="0" w:line="264" w:lineRule="auto"/>
              <w:jc w:val="left"/>
              <w:rPr>
                <w:rFonts w:eastAsiaTheme="minorHAnsi"/>
                <w:noProof/>
                <w:sz w:val="22"/>
                <w:szCs w:val="24"/>
              </w:rPr>
            </w:pPr>
            <w:r>
              <w:rPr>
                <w:rFonts w:eastAsiaTheme="minorHAnsi"/>
                <w:noProof/>
                <w:sz w:val="22"/>
                <w:szCs w:val="24"/>
              </w:rPr>
              <w:t>Contributing to SMEI</w:t>
            </w:r>
          </w:p>
        </w:tc>
        <w:tc>
          <w:tcPr>
            <w:tcW w:w="3260" w:type="dxa"/>
            <w:vMerge/>
          </w:tcPr>
          <w:p>
            <w:pPr>
              <w:spacing w:after="0" w:line="264" w:lineRule="auto"/>
              <w:jc w:val="left"/>
              <w:rPr>
                <w:rFonts w:eastAsiaTheme="minorHAnsi"/>
                <w:noProof/>
                <w:sz w:val="22"/>
                <w:szCs w:val="24"/>
              </w:rPr>
            </w:pPr>
          </w:p>
        </w:tc>
      </w:tr>
      <w:tr>
        <w:tc>
          <w:tcPr>
            <w:tcW w:w="2943" w:type="dxa"/>
            <w:gridSpan w:val="2"/>
            <w:vAlign w:val="center"/>
          </w:tcPr>
          <w:p>
            <w:pPr>
              <w:spacing w:after="0" w:line="264" w:lineRule="auto"/>
              <w:jc w:val="left"/>
              <w:rPr>
                <w:rFonts w:eastAsiaTheme="minorHAnsi"/>
                <w:noProof/>
                <w:sz w:val="22"/>
                <w:szCs w:val="24"/>
              </w:rPr>
            </w:pPr>
            <w:r>
              <w:rPr>
                <w:rFonts w:eastAsiaTheme="minorHAnsi"/>
                <w:noProof/>
                <w:sz w:val="22"/>
                <w:szCs w:val="24"/>
              </w:rPr>
              <w:t>EaSI Guarantee Instrument</w:t>
            </w:r>
          </w:p>
        </w:tc>
        <w:tc>
          <w:tcPr>
            <w:tcW w:w="1276" w:type="dxa"/>
          </w:tcPr>
          <w:p>
            <w:pPr>
              <w:spacing w:after="0" w:line="264" w:lineRule="auto"/>
              <w:jc w:val="left"/>
              <w:rPr>
                <w:rFonts w:eastAsiaTheme="minorHAnsi"/>
                <w:noProof/>
                <w:sz w:val="22"/>
                <w:szCs w:val="24"/>
              </w:rPr>
            </w:pPr>
            <w:r>
              <w:rPr>
                <w:rFonts w:eastAsiaTheme="minorHAnsi"/>
                <w:noProof/>
                <w:sz w:val="22"/>
                <w:szCs w:val="24"/>
              </w:rPr>
              <w:t>96</w:t>
            </w:r>
          </w:p>
        </w:tc>
        <w:tc>
          <w:tcPr>
            <w:tcW w:w="992" w:type="dxa"/>
          </w:tcPr>
          <w:p>
            <w:pPr>
              <w:spacing w:after="0" w:line="264" w:lineRule="auto"/>
              <w:jc w:val="left"/>
              <w:rPr>
                <w:rFonts w:eastAsiaTheme="minorHAnsi"/>
                <w:noProof/>
                <w:sz w:val="22"/>
                <w:szCs w:val="24"/>
              </w:rPr>
            </w:pPr>
            <w:r>
              <w:rPr>
                <w:rFonts w:eastAsiaTheme="minorHAnsi"/>
                <w:noProof/>
                <w:sz w:val="22"/>
                <w:szCs w:val="24"/>
              </w:rPr>
              <w:t>EMPL</w:t>
            </w:r>
          </w:p>
        </w:tc>
        <w:tc>
          <w:tcPr>
            <w:tcW w:w="851" w:type="dxa"/>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Pr>
          <w:p>
            <w:pPr>
              <w:spacing w:after="0" w:line="264" w:lineRule="auto"/>
              <w:jc w:val="left"/>
              <w:rPr>
                <w:rFonts w:eastAsiaTheme="minorHAnsi"/>
                <w:noProof/>
                <w:sz w:val="22"/>
                <w:szCs w:val="24"/>
              </w:rPr>
            </w:pPr>
            <w:r>
              <w:rPr>
                <w:rFonts w:eastAsiaTheme="minorHAnsi"/>
                <w:noProof/>
                <w:sz w:val="22"/>
                <w:szCs w:val="24"/>
              </w:rPr>
              <w:t>Social enterprises, micro-enterprises and vulnerable groups</w:t>
            </w:r>
          </w:p>
        </w:tc>
        <w:tc>
          <w:tcPr>
            <w:tcW w:w="2268" w:type="dxa"/>
          </w:tcPr>
          <w:p>
            <w:pPr>
              <w:spacing w:after="0" w:line="264" w:lineRule="auto"/>
              <w:jc w:val="left"/>
              <w:rPr>
                <w:rFonts w:eastAsiaTheme="minorHAnsi"/>
                <w:noProof/>
                <w:sz w:val="22"/>
                <w:szCs w:val="24"/>
              </w:rPr>
            </w:pPr>
            <w:r>
              <w:rPr>
                <w:rFonts w:eastAsiaTheme="minorHAnsi"/>
                <w:noProof/>
                <w:sz w:val="22"/>
                <w:szCs w:val="24"/>
              </w:rPr>
              <w:t>Implemented through microcredit providers and social enterprise investors</w:t>
            </w:r>
          </w:p>
        </w:tc>
        <w:tc>
          <w:tcPr>
            <w:tcW w:w="1985" w:type="dxa"/>
          </w:tcPr>
          <w:p>
            <w:pPr>
              <w:spacing w:after="0" w:line="264" w:lineRule="auto"/>
              <w:jc w:val="left"/>
              <w:rPr>
                <w:rFonts w:eastAsiaTheme="minorHAnsi"/>
                <w:noProof/>
                <w:sz w:val="22"/>
                <w:szCs w:val="24"/>
              </w:rPr>
            </w:pPr>
            <w:r>
              <w:rPr>
                <w:rFonts w:eastAsiaTheme="minorHAnsi"/>
                <w:noProof/>
                <w:sz w:val="22"/>
                <w:szCs w:val="24"/>
              </w:rPr>
              <w:t xml:space="preserve">Guarantee </w:t>
            </w:r>
          </w:p>
        </w:tc>
        <w:tc>
          <w:tcPr>
            <w:tcW w:w="3260" w:type="dxa"/>
          </w:tcPr>
          <w:p>
            <w:pPr>
              <w:spacing w:after="0" w:line="264" w:lineRule="auto"/>
              <w:jc w:val="left"/>
              <w:rPr>
                <w:rFonts w:eastAsiaTheme="minorHAnsi"/>
                <w:noProof/>
                <w:sz w:val="22"/>
                <w:szCs w:val="24"/>
              </w:rPr>
            </w:pPr>
            <w:r>
              <w:rPr>
                <w:rFonts w:eastAsiaTheme="minorHAnsi"/>
                <w:noProof/>
                <w:sz w:val="22"/>
                <w:szCs w:val="24"/>
              </w:rPr>
              <w:t>EASI Sub-fund</w:t>
            </w:r>
          </w:p>
          <w:p>
            <w:pPr>
              <w:spacing w:after="0" w:line="264" w:lineRule="auto"/>
              <w:jc w:val="left"/>
              <w:rPr>
                <w:rFonts w:eastAsiaTheme="minorHAnsi"/>
                <w:noProof/>
                <w:sz w:val="22"/>
                <w:szCs w:val="24"/>
              </w:rPr>
            </w:pPr>
            <w:r>
              <w:rPr>
                <w:rFonts w:eastAsiaTheme="minorHAnsi"/>
                <w:noProof/>
                <w:sz w:val="22"/>
                <w:szCs w:val="24"/>
              </w:rPr>
              <w:t>Possibly with COSME LGF</w:t>
            </w:r>
          </w:p>
        </w:tc>
      </w:tr>
      <w:tr>
        <w:tc>
          <w:tcPr>
            <w:tcW w:w="2943" w:type="dxa"/>
            <w:gridSpan w:val="2"/>
            <w:vAlign w:val="center"/>
          </w:tcPr>
          <w:p>
            <w:pPr>
              <w:spacing w:after="0" w:line="264" w:lineRule="auto"/>
              <w:jc w:val="left"/>
              <w:rPr>
                <w:rFonts w:eastAsiaTheme="minorHAnsi"/>
                <w:noProof/>
                <w:sz w:val="22"/>
                <w:szCs w:val="24"/>
              </w:rPr>
            </w:pPr>
            <w:r>
              <w:rPr>
                <w:rFonts w:eastAsiaTheme="minorHAnsi"/>
                <w:noProof/>
                <w:sz w:val="22"/>
                <w:szCs w:val="24"/>
              </w:rPr>
              <w:t>CCS (Cultural and Creative Sectors) Guarantee Facility</w:t>
            </w:r>
          </w:p>
        </w:tc>
        <w:tc>
          <w:tcPr>
            <w:tcW w:w="1276" w:type="dxa"/>
          </w:tcPr>
          <w:p>
            <w:pPr>
              <w:spacing w:after="0" w:line="264" w:lineRule="auto"/>
              <w:jc w:val="left"/>
              <w:rPr>
                <w:rFonts w:eastAsiaTheme="minorHAnsi"/>
                <w:noProof/>
                <w:sz w:val="22"/>
                <w:szCs w:val="24"/>
              </w:rPr>
            </w:pPr>
            <w:r>
              <w:rPr>
                <w:rFonts w:eastAsiaTheme="minorHAnsi"/>
                <w:noProof/>
                <w:sz w:val="22"/>
                <w:szCs w:val="24"/>
              </w:rPr>
              <w:t>121</w:t>
            </w:r>
          </w:p>
        </w:tc>
        <w:tc>
          <w:tcPr>
            <w:tcW w:w="992" w:type="dxa"/>
          </w:tcPr>
          <w:p>
            <w:pPr>
              <w:spacing w:after="0" w:line="264" w:lineRule="auto"/>
              <w:jc w:val="left"/>
              <w:rPr>
                <w:rFonts w:eastAsiaTheme="minorHAnsi"/>
                <w:noProof/>
                <w:sz w:val="22"/>
                <w:szCs w:val="24"/>
              </w:rPr>
            </w:pPr>
            <w:r>
              <w:rPr>
                <w:rFonts w:eastAsiaTheme="minorHAnsi"/>
                <w:noProof/>
                <w:sz w:val="22"/>
                <w:szCs w:val="24"/>
              </w:rPr>
              <w:t>CNECT</w:t>
            </w:r>
          </w:p>
        </w:tc>
        <w:tc>
          <w:tcPr>
            <w:tcW w:w="851" w:type="dxa"/>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Pr>
          <w:p>
            <w:pPr>
              <w:spacing w:after="0" w:line="264" w:lineRule="auto"/>
              <w:jc w:val="left"/>
              <w:rPr>
                <w:rFonts w:eastAsiaTheme="minorHAnsi"/>
                <w:noProof/>
                <w:sz w:val="22"/>
                <w:szCs w:val="24"/>
              </w:rPr>
            </w:pPr>
            <w:r>
              <w:rPr>
                <w:rFonts w:eastAsiaTheme="minorHAnsi"/>
                <w:noProof/>
                <w:sz w:val="22"/>
                <w:szCs w:val="24"/>
              </w:rPr>
              <w:t>SMEs</w:t>
            </w:r>
          </w:p>
        </w:tc>
        <w:tc>
          <w:tcPr>
            <w:tcW w:w="2268" w:type="dxa"/>
          </w:tcPr>
          <w:p>
            <w:pPr>
              <w:spacing w:after="0" w:line="264" w:lineRule="auto"/>
              <w:jc w:val="left"/>
              <w:rPr>
                <w:rFonts w:eastAsiaTheme="minorHAnsi"/>
                <w:noProof/>
                <w:sz w:val="22"/>
                <w:szCs w:val="24"/>
              </w:rPr>
            </w:pPr>
            <w:r>
              <w:rPr>
                <w:rFonts w:eastAsiaTheme="minorHAnsi"/>
                <w:noProof/>
                <w:sz w:val="22"/>
                <w:szCs w:val="24"/>
              </w:rPr>
              <w:t>Cultural and creative sectors</w:t>
            </w:r>
          </w:p>
        </w:tc>
        <w:tc>
          <w:tcPr>
            <w:tcW w:w="1985" w:type="dxa"/>
          </w:tcPr>
          <w:p>
            <w:pPr>
              <w:spacing w:after="0" w:line="264" w:lineRule="auto"/>
              <w:jc w:val="left"/>
              <w:rPr>
                <w:rFonts w:eastAsiaTheme="minorHAnsi"/>
                <w:noProof/>
                <w:sz w:val="22"/>
                <w:szCs w:val="24"/>
              </w:rPr>
            </w:pPr>
            <w:r>
              <w:rPr>
                <w:rFonts w:eastAsiaTheme="minorHAnsi"/>
                <w:noProof/>
                <w:sz w:val="22"/>
                <w:szCs w:val="24"/>
              </w:rPr>
              <w:t>-</w:t>
            </w:r>
          </w:p>
        </w:tc>
        <w:tc>
          <w:tcPr>
            <w:tcW w:w="3260" w:type="dxa"/>
          </w:tcPr>
          <w:p>
            <w:pPr>
              <w:spacing w:after="0" w:line="264" w:lineRule="auto"/>
              <w:jc w:val="left"/>
              <w:rPr>
                <w:rFonts w:eastAsiaTheme="minorHAnsi"/>
                <w:noProof/>
                <w:sz w:val="22"/>
                <w:szCs w:val="24"/>
              </w:rPr>
            </w:pPr>
            <w:r>
              <w:rPr>
                <w:rFonts w:eastAsiaTheme="minorHAnsi"/>
                <w:noProof/>
                <w:sz w:val="22"/>
                <w:szCs w:val="24"/>
              </w:rPr>
              <w:t>COSME LGF</w:t>
            </w:r>
          </w:p>
          <w:p>
            <w:pPr>
              <w:spacing w:after="0" w:line="264" w:lineRule="auto"/>
              <w:jc w:val="left"/>
              <w:rPr>
                <w:rFonts w:eastAsiaTheme="minorHAnsi"/>
                <w:noProof/>
                <w:sz w:val="22"/>
                <w:szCs w:val="24"/>
              </w:rPr>
            </w:pPr>
            <w:r>
              <w:rPr>
                <w:rFonts w:eastAsiaTheme="minorHAnsi"/>
                <w:noProof/>
                <w:sz w:val="22"/>
                <w:szCs w:val="24"/>
              </w:rPr>
              <w:t>InnovFin SMEG</w:t>
            </w:r>
          </w:p>
        </w:tc>
      </w:tr>
      <w:tr>
        <w:tc>
          <w:tcPr>
            <w:tcW w:w="2943" w:type="dxa"/>
            <w:gridSpan w:val="2"/>
            <w:vAlign w:val="center"/>
          </w:tcPr>
          <w:p>
            <w:pPr>
              <w:spacing w:after="0" w:line="264" w:lineRule="auto"/>
              <w:jc w:val="left"/>
              <w:rPr>
                <w:rFonts w:eastAsiaTheme="minorHAnsi"/>
                <w:noProof/>
                <w:sz w:val="22"/>
                <w:szCs w:val="24"/>
              </w:rPr>
            </w:pPr>
            <w:r>
              <w:rPr>
                <w:rFonts w:eastAsiaTheme="minorHAnsi"/>
                <w:noProof/>
                <w:sz w:val="22"/>
                <w:szCs w:val="24"/>
              </w:rPr>
              <w:t>SME Initiative</w:t>
            </w:r>
          </w:p>
        </w:tc>
        <w:tc>
          <w:tcPr>
            <w:tcW w:w="1276" w:type="dxa"/>
          </w:tcPr>
          <w:p>
            <w:pPr>
              <w:spacing w:after="0" w:line="264" w:lineRule="auto"/>
              <w:jc w:val="left"/>
              <w:rPr>
                <w:rFonts w:eastAsiaTheme="minorHAnsi"/>
                <w:noProof/>
                <w:sz w:val="22"/>
                <w:szCs w:val="24"/>
              </w:rPr>
            </w:pPr>
            <w:r>
              <w:rPr>
                <w:rFonts w:eastAsiaTheme="minorHAnsi"/>
                <w:noProof/>
                <w:sz w:val="22"/>
                <w:szCs w:val="24"/>
              </w:rPr>
              <w:t>1.137</w:t>
            </w:r>
          </w:p>
        </w:tc>
        <w:tc>
          <w:tcPr>
            <w:tcW w:w="992" w:type="dxa"/>
          </w:tcPr>
          <w:p>
            <w:pPr>
              <w:spacing w:after="0" w:line="264" w:lineRule="auto"/>
              <w:jc w:val="left"/>
              <w:rPr>
                <w:rFonts w:eastAsiaTheme="minorHAnsi"/>
                <w:noProof/>
                <w:sz w:val="22"/>
                <w:szCs w:val="24"/>
              </w:rPr>
            </w:pPr>
            <w:r>
              <w:rPr>
                <w:rFonts w:eastAsiaTheme="minorHAnsi"/>
                <w:noProof/>
                <w:sz w:val="22"/>
                <w:szCs w:val="24"/>
              </w:rPr>
              <w:t>REGIO GROW RTD</w:t>
            </w:r>
          </w:p>
        </w:tc>
        <w:tc>
          <w:tcPr>
            <w:tcW w:w="851" w:type="dxa"/>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Pr>
          <w:p>
            <w:pPr>
              <w:spacing w:after="0" w:line="264" w:lineRule="auto"/>
              <w:jc w:val="left"/>
              <w:rPr>
                <w:rFonts w:eastAsiaTheme="minorHAnsi"/>
                <w:noProof/>
                <w:sz w:val="22"/>
                <w:szCs w:val="24"/>
              </w:rPr>
            </w:pPr>
            <w:r>
              <w:rPr>
                <w:rFonts w:eastAsiaTheme="minorHAnsi"/>
                <w:noProof/>
                <w:sz w:val="22"/>
                <w:szCs w:val="24"/>
              </w:rPr>
              <w:t>SMEs</w:t>
            </w:r>
          </w:p>
        </w:tc>
        <w:tc>
          <w:tcPr>
            <w:tcW w:w="2268" w:type="dxa"/>
          </w:tcPr>
          <w:p>
            <w:pPr>
              <w:spacing w:after="0" w:line="264" w:lineRule="auto"/>
              <w:jc w:val="left"/>
              <w:rPr>
                <w:rFonts w:eastAsiaTheme="minorHAnsi"/>
                <w:noProof/>
                <w:sz w:val="22"/>
                <w:szCs w:val="24"/>
              </w:rPr>
            </w:pPr>
            <w:r>
              <w:rPr>
                <w:rFonts w:eastAsiaTheme="minorHAnsi"/>
                <w:noProof/>
                <w:sz w:val="22"/>
                <w:szCs w:val="24"/>
              </w:rPr>
              <w:t xml:space="preserve">Developed as an anti-crisis measure. No specific target groups, but focus on participating Countries. </w:t>
            </w:r>
          </w:p>
        </w:tc>
        <w:tc>
          <w:tcPr>
            <w:tcW w:w="1985" w:type="dxa"/>
          </w:tcPr>
          <w:p>
            <w:pPr>
              <w:spacing w:after="0" w:line="264" w:lineRule="auto"/>
              <w:jc w:val="left"/>
              <w:rPr>
                <w:rFonts w:eastAsiaTheme="minorHAnsi"/>
                <w:noProof/>
                <w:sz w:val="22"/>
                <w:szCs w:val="24"/>
                <w:highlight w:val="yellow"/>
              </w:rPr>
            </w:pPr>
            <w:r>
              <w:rPr>
                <w:rFonts w:eastAsiaTheme="minorHAnsi"/>
                <w:noProof/>
                <w:sz w:val="22"/>
                <w:szCs w:val="24"/>
              </w:rPr>
              <w:t>Operational in BG, FI, MT, RO, IT and ES.</w:t>
            </w:r>
          </w:p>
          <w:p>
            <w:pPr>
              <w:spacing w:after="0" w:line="264" w:lineRule="auto"/>
              <w:jc w:val="left"/>
              <w:rPr>
                <w:rFonts w:eastAsiaTheme="minorHAnsi"/>
                <w:noProof/>
                <w:sz w:val="22"/>
                <w:szCs w:val="24"/>
              </w:rPr>
            </w:pPr>
            <w:r>
              <w:rPr>
                <w:rFonts w:eastAsiaTheme="minorHAnsi"/>
                <w:noProof/>
                <w:sz w:val="22"/>
                <w:szCs w:val="24"/>
              </w:rPr>
              <w:t>InnovFin and COSME resources form part of SMEI resources.</w:t>
            </w:r>
          </w:p>
        </w:tc>
        <w:tc>
          <w:tcPr>
            <w:tcW w:w="3260" w:type="dxa"/>
          </w:tcPr>
          <w:p>
            <w:pPr>
              <w:spacing w:after="0" w:line="264" w:lineRule="auto"/>
              <w:jc w:val="left"/>
              <w:rPr>
                <w:rFonts w:eastAsiaTheme="minorHAnsi"/>
                <w:noProof/>
                <w:sz w:val="22"/>
                <w:szCs w:val="24"/>
              </w:rPr>
            </w:pPr>
            <w:r>
              <w:rPr>
                <w:rFonts w:eastAsiaTheme="minorHAnsi"/>
                <w:noProof/>
                <w:sz w:val="22"/>
                <w:szCs w:val="24"/>
              </w:rPr>
              <w:t>InnovFin SMEG</w:t>
            </w:r>
          </w:p>
          <w:p>
            <w:pPr>
              <w:spacing w:after="0" w:line="264" w:lineRule="auto"/>
              <w:jc w:val="left"/>
              <w:rPr>
                <w:rFonts w:eastAsiaTheme="minorHAnsi"/>
                <w:noProof/>
                <w:sz w:val="22"/>
                <w:szCs w:val="24"/>
              </w:rPr>
            </w:pPr>
            <w:r>
              <w:rPr>
                <w:rFonts w:eastAsiaTheme="minorHAnsi"/>
                <w:noProof/>
                <w:sz w:val="22"/>
                <w:szCs w:val="24"/>
              </w:rPr>
              <w:t>COSME LGF</w:t>
            </w:r>
          </w:p>
        </w:tc>
      </w:tr>
      <w:tr>
        <w:tc>
          <w:tcPr>
            <w:tcW w:w="2943" w:type="dxa"/>
            <w:gridSpan w:val="2"/>
            <w:tcBorders>
              <w:bottom w:val="single" w:sz="12" w:space="0" w:color="auto"/>
            </w:tcBorders>
            <w:shd w:val="clear" w:color="auto" w:fill="D9D9D9" w:themeFill="background1" w:themeFillShade="D9"/>
            <w:vAlign w:val="center"/>
          </w:tcPr>
          <w:p>
            <w:pPr>
              <w:spacing w:after="0" w:line="264" w:lineRule="auto"/>
              <w:jc w:val="left"/>
              <w:rPr>
                <w:rFonts w:eastAsiaTheme="minorHAnsi"/>
                <w:noProof/>
                <w:sz w:val="22"/>
                <w:szCs w:val="24"/>
              </w:rPr>
            </w:pPr>
            <w:r>
              <w:rPr>
                <w:rFonts w:eastAsiaTheme="minorHAnsi"/>
                <w:noProof/>
                <w:sz w:val="22"/>
                <w:szCs w:val="24"/>
              </w:rPr>
              <w:t xml:space="preserve">EASI Sub-fund </w:t>
            </w:r>
            <w:r>
              <w:rPr>
                <w:rFonts w:eastAsiaTheme="minorHAnsi"/>
                <w:i/>
                <w:noProof/>
                <w:sz w:val="22"/>
                <w:szCs w:val="24"/>
              </w:rPr>
              <w:t>(under development)</w:t>
            </w:r>
          </w:p>
        </w:tc>
        <w:tc>
          <w:tcPr>
            <w:tcW w:w="1276"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67 EASI + 133 from EIB/EIF</w:t>
            </w:r>
          </w:p>
        </w:tc>
        <w:tc>
          <w:tcPr>
            <w:tcW w:w="992"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EMPL</w:t>
            </w:r>
          </w:p>
        </w:tc>
        <w:tc>
          <w:tcPr>
            <w:tcW w:w="851"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Social enterprises, micro-enterprises and vulnerable groups</w:t>
            </w:r>
          </w:p>
        </w:tc>
        <w:tc>
          <w:tcPr>
            <w:tcW w:w="2268"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Implemented through microcredit providers and social enterprise investors</w:t>
            </w:r>
          </w:p>
        </w:tc>
        <w:tc>
          <w:tcPr>
            <w:tcW w:w="1985"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Funded product</w:t>
            </w:r>
          </w:p>
        </w:tc>
        <w:tc>
          <w:tcPr>
            <w:tcW w:w="3260" w:type="dxa"/>
            <w:tcBorders>
              <w:bottom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EaSI Guarantee Instrument</w:t>
            </w:r>
          </w:p>
        </w:tc>
      </w:tr>
      <w:tr>
        <w:tc>
          <w:tcPr>
            <w:tcW w:w="285" w:type="dxa"/>
            <w:vMerge w:val="restart"/>
            <w:tcBorders>
              <w:top w:val="single" w:sz="12" w:space="0" w:color="auto"/>
              <w:left w:val="single" w:sz="12" w:space="0" w:color="auto"/>
              <w:bottom w:val="single" w:sz="6" w:space="0" w:color="auto"/>
              <w:right w:val="single" w:sz="6" w:space="0" w:color="auto"/>
            </w:tcBorders>
            <w:shd w:val="clear" w:color="auto" w:fill="auto"/>
            <w:textDirection w:val="btLr"/>
            <w:vAlign w:val="center"/>
          </w:tcPr>
          <w:p>
            <w:pPr>
              <w:spacing w:after="0" w:line="264" w:lineRule="auto"/>
              <w:ind w:left="113" w:right="113"/>
              <w:jc w:val="center"/>
              <w:rPr>
                <w:rFonts w:eastAsiaTheme="minorHAnsi"/>
                <w:noProof/>
                <w:sz w:val="22"/>
                <w:szCs w:val="24"/>
              </w:rPr>
            </w:pPr>
            <w:r>
              <w:rPr>
                <w:rFonts w:eastAsiaTheme="minorHAnsi"/>
                <w:noProof/>
                <w:sz w:val="22"/>
                <w:szCs w:val="24"/>
              </w:rPr>
              <w:t>EFSI</w:t>
            </w:r>
          </w:p>
        </w:tc>
        <w:tc>
          <w:tcPr>
            <w:tcW w:w="2658"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i/>
                <w:noProof/>
                <w:sz w:val="22"/>
                <w:szCs w:val="24"/>
              </w:rPr>
            </w:pPr>
            <w:r>
              <w:rPr>
                <w:rFonts w:eastAsiaTheme="minorHAnsi"/>
                <w:noProof/>
                <w:sz w:val="22"/>
                <w:szCs w:val="24"/>
              </w:rPr>
              <w:t xml:space="preserve">COSME LGF Frontloading </w:t>
            </w:r>
            <w:r>
              <w:rPr>
                <w:rFonts w:eastAsiaTheme="minorHAnsi"/>
                <w:i/>
                <w:noProof/>
                <w:sz w:val="22"/>
                <w:szCs w:val="24"/>
              </w:rPr>
              <w:t xml:space="preserve">Top-up </w:t>
            </w:r>
          </w:p>
        </w:tc>
        <w:tc>
          <w:tcPr>
            <w:tcW w:w="1276"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550</w:t>
            </w:r>
          </w:p>
        </w:tc>
        <w:tc>
          <w:tcPr>
            <w:tcW w:w="992" w:type="dxa"/>
            <w:tcBorders>
              <w:top w:val="single" w:sz="12"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ECFIN</w:t>
            </w:r>
          </w:p>
        </w:tc>
        <w:tc>
          <w:tcPr>
            <w:tcW w:w="851" w:type="dxa"/>
            <w:tcBorders>
              <w:top w:val="single" w:sz="12"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126" w:type="dxa"/>
            <w:tcBorders>
              <w:top w:val="single" w:sz="12" w:space="0" w:color="auto"/>
              <w:left w:val="single" w:sz="4" w:space="0" w:color="D9D9D9" w:themeColor="background1" w:themeShade="D9"/>
              <w:bottom w:val="single" w:sz="4"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268" w:type="dxa"/>
            <w:tcBorders>
              <w:top w:val="single" w:sz="12"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Cfr. COSME LGF</w:t>
            </w:r>
          </w:p>
        </w:tc>
        <w:tc>
          <w:tcPr>
            <w:tcW w:w="1985" w:type="dxa"/>
            <w:tcBorders>
              <w:top w:val="single" w:sz="12"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3260" w:type="dxa"/>
            <w:tcBorders>
              <w:top w:val="single" w:sz="12"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64" w:lineRule="auto"/>
              <w:jc w:val="left"/>
              <w:rPr>
                <w:rFonts w:eastAsiaTheme="minorHAnsi"/>
                <w:noProof/>
                <w:sz w:val="22"/>
                <w:szCs w:val="24"/>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64" w:lineRule="auto"/>
              <w:jc w:val="left"/>
              <w:rPr>
                <w:rFonts w:eastAsiaTheme="minorHAnsi"/>
                <w:noProof/>
                <w:sz w:val="22"/>
                <w:szCs w:val="24"/>
              </w:rPr>
            </w:pP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 xml:space="preserve">InnovFin SMEG Frontloading </w:t>
            </w:r>
            <w:r>
              <w:rPr>
                <w:rFonts w:eastAsiaTheme="minorHAnsi"/>
                <w:i/>
                <w:noProof/>
                <w:sz w:val="22"/>
                <w:szCs w:val="24"/>
              </w:rPr>
              <w:t xml:space="preserve">Top-up </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880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ECFIN</w:t>
            </w:r>
          </w:p>
        </w:tc>
        <w:tc>
          <w:tcPr>
            <w:tcW w:w="851"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126" w:type="dxa"/>
            <w:tcBorders>
              <w:top w:val="single" w:sz="4"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268"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Cfr. InnovFin SMEG</w:t>
            </w:r>
          </w:p>
        </w:tc>
        <w:tc>
          <w:tcPr>
            <w:tcW w:w="1985"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3260"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64" w:lineRule="auto"/>
              <w:jc w:val="left"/>
              <w:rPr>
                <w:rFonts w:eastAsiaTheme="minorHAnsi"/>
                <w:noProof/>
                <w:sz w:val="22"/>
                <w:szCs w:val="24"/>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64" w:lineRule="auto"/>
              <w:jc w:val="left"/>
              <w:rPr>
                <w:rFonts w:eastAsiaTheme="minorHAnsi"/>
                <w:noProof/>
                <w:sz w:val="22"/>
                <w:szCs w:val="24"/>
              </w:rPr>
            </w:pP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 xml:space="preserve">EaSI Guarantee Frontloading </w:t>
            </w:r>
            <w:r>
              <w:rPr>
                <w:rFonts w:eastAsiaTheme="minorHAnsi"/>
                <w:i/>
                <w:noProof/>
                <w:sz w:val="22"/>
                <w:szCs w:val="24"/>
              </w:rPr>
              <w:t xml:space="preserve">Top-up </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100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ECFIN</w:t>
            </w:r>
          </w:p>
        </w:tc>
        <w:tc>
          <w:tcPr>
            <w:tcW w:w="851"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126"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268"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Cfr. EaSI Guarantee</w:t>
            </w:r>
          </w:p>
        </w:tc>
        <w:tc>
          <w:tcPr>
            <w:tcW w:w="1985"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3260"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64" w:lineRule="auto"/>
              <w:jc w:val="left"/>
              <w:rPr>
                <w:rFonts w:eastAsiaTheme="minorHAnsi"/>
                <w:noProof/>
                <w:sz w:val="22"/>
                <w:szCs w:val="24"/>
              </w:rPr>
            </w:pPr>
          </w:p>
        </w:tc>
      </w:tr>
      <w:tr>
        <w:tc>
          <w:tcPr>
            <w:tcW w:w="285" w:type="dxa"/>
            <w:vMerge/>
            <w:tcBorders>
              <w:top w:val="single" w:sz="6" w:space="0" w:color="auto"/>
              <w:left w:val="single" w:sz="12" w:space="0" w:color="auto"/>
              <w:bottom w:val="single" w:sz="6" w:space="0" w:color="auto"/>
              <w:right w:val="single" w:sz="6" w:space="0" w:color="auto"/>
            </w:tcBorders>
            <w:shd w:val="clear" w:color="auto" w:fill="auto"/>
          </w:tcPr>
          <w:p>
            <w:pPr>
              <w:spacing w:after="0" w:line="264" w:lineRule="auto"/>
              <w:jc w:val="left"/>
              <w:rPr>
                <w:rFonts w:eastAsiaTheme="minorHAnsi"/>
                <w:noProof/>
                <w:sz w:val="22"/>
                <w:szCs w:val="24"/>
              </w:rPr>
            </w:pPr>
          </w:p>
        </w:tc>
        <w:tc>
          <w:tcPr>
            <w:tcW w:w="2658"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CCS Guarantee</w:t>
            </w:r>
          </w:p>
          <w:p>
            <w:pPr>
              <w:spacing w:after="0" w:line="264" w:lineRule="auto"/>
              <w:jc w:val="left"/>
              <w:rPr>
                <w:rFonts w:eastAsiaTheme="minorHAnsi"/>
                <w:i/>
                <w:noProof/>
                <w:sz w:val="22"/>
                <w:szCs w:val="24"/>
              </w:rPr>
            </w:pPr>
            <w:r>
              <w:rPr>
                <w:rFonts w:eastAsiaTheme="minorHAnsi"/>
                <w:i/>
                <w:noProof/>
                <w:sz w:val="22"/>
                <w:szCs w:val="24"/>
              </w:rPr>
              <w:t xml:space="preserve">Top-up </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60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ECFIN</w:t>
            </w:r>
          </w:p>
        </w:tc>
        <w:tc>
          <w:tcPr>
            <w:tcW w:w="851" w:type="dxa"/>
            <w:tcBorders>
              <w:top w:val="single" w:sz="6" w:space="0" w:color="auto"/>
              <w:left w:val="single" w:sz="6" w:space="0" w:color="auto"/>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126"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2268"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r>
              <w:rPr>
                <w:rFonts w:eastAsiaTheme="minorHAnsi"/>
                <w:noProof/>
                <w:sz w:val="22"/>
                <w:szCs w:val="24"/>
              </w:rPr>
              <w:t>Cfr. CCS Guarantee</w:t>
            </w:r>
          </w:p>
        </w:tc>
        <w:tc>
          <w:tcPr>
            <w:tcW w:w="1985" w:type="dxa"/>
            <w:tcBorders>
              <w:top w:val="single" w:sz="6" w:space="0" w:color="auto"/>
              <w:left w:val="single" w:sz="4" w:space="0" w:color="D9D9D9" w:themeColor="background1" w:themeShade="D9"/>
              <w:bottom w:val="single" w:sz="6" w:space="0" w:color="auto"/>
              <w:right w:val="single" w:sz="4" w:space="0" w:color="D9D9D9" w:themeColor="background1" w:themeShade="D9"/>
            </w:tcBorders>
            <w:shd w:val="clear" w:color="auto" w:fill="FFFFFF" w:themeFill="background1"/>
          </w:tcPr>
          <w:p>
            <w:pPr>
              <w:spacing w:after="0" w:line="264" w:lineRule="auto"/>
              <w:jc w:val="left"/>
              <w:rPr>
                <w:rFonts w:eastAsiaTheme="minorHAnsi"/>
                <w:noProof/>
                <w:sz w:val="22"/>
                <w:szCs w:val="24"/>
              </w:rPr>
            </w:pPr>
          </w:p>
        </w:tc>
        <w:tc>
          <w:tcPr>
            <w:tcW w:w="3260" w:type="dxa"/>
            <w:tcBorders>
              <w:top w:val="single" w:sz="6" w:space="0" w:color="auto"/>
              <w:left w:val="single" w:sz="4" w:space="0" w:color="D9D9D9" w:themeColor="background1" w:themeShade="D9"/>
              <w:bottom w:val="single" w:sz="6" w:space="0" w:color="auto"/>
              <w:right w:val="single" w:sz="12" w:space="0" w:color="auto"/>
            </w:tcBorders>
            <w:shd w:val="clear" w:color="auto" w:fill="FFFFFF" w:themeFill="background1"/>
          </w:tcPr>
          <w:p>
            <w:pPr>
              <w:spacing w:after="0" w:line="264" w:lineRule="auto"/>
              <w:jc w:val="left"/>
              <w:rPr>
                <w:rFonts w:eastAsiaTheme="minorHAnsi"/>
                <w:noProof/>
                <w:sz w:val="22"/>
                <w:szCs w:val="24"/>
              </w:rPr>
            </w:pPr>
          </w:p>
        </w:tc>
      </w:tr>
      <w:tr>
        <w:tc>
          <w:tcPr>
            <w:tcW w:w="285" w:type="dxa"/>
            <w:vMerge/>
            <w:tcBorders>
              <w:top w:val="single" w:sz="6" w:space="0" w:color="auto"/>
              <w:left w:val="single" w:sz="12" w:space="0" w:color="auto"/>
              <w:bottom w:val="single" w:sz="12" w:space="0" w:color="auto"/>
              <w:right w:val="single" w:sz="6" w:space="0" w:color="auto"/>
            </w:tcBorders>
            <w:shd w:val="clear" w:color="auto" w:fill="auto"/>
          </w:tcPr>
          <w:p>
            <w:pPr>
              <w:spacing w:after="0" w:line="264" w:lineRule="auto"/>
              <w:jc w:val="left"/>
              <w:rPr>
                <w:rFonts w:eastAsiaTheme="minorHAnsi"/>
                <w:noProof/>
                <w:sz w:val="22"/>
                <w:szCs w:val="24"/>
              </w:rPr>
            </w:pPr>
          </w:p>
        </w:tc>
        <w:tc>
          <w:tcPr>
            <w:tcW w:w="265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 xml:space="preserve">Securitisation instrument </w:t>
            </w:r>
            <w:r>
              <w:rPr>
                <w:rFonts w:eastAsiaTheme="minorHAnsi"/>
                <w:i/>
                <w:noProof/>
                <w:sz w:val="22"/>
                <w:szCs w:val="24"/>
              </w:rPr>
              <w:t>(under development)</w:t>
            </w:r>
          </w:p>
        </w:tc>
        <w:tc>
          <w:tcPr>
            <w:tcW w:w="127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100 + 100 from EIB/EIF</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ECFIN</w:t>
            </w:r>
          </w:p>
        </w:tc>
        <w:tc>
          <w:tcPr>
            <w:tcW w:w="851"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EIF</w:t>
            </w:r>
          </w:p>
        </w:tc>
        <w:tc>
          <w:tcPr>
            <w:tcW w:w="212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SMEs and Mid-Caps (to be finalised)</w:t>
            </w:r>
          </w:p>
        </w:tc>
        <w:tc>
          <w:tcPr>
            <w:tcW w:w="226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Development of the securitisation market</w:t>
            </w:r>
          </w:p>
        </w:tc>
        <w:tc>
          <w:tcPr>
            <w:tcW w:w="1985"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w:t>
            </w:r>
          </w:p>
        </w:tc>
        <w:tc>
          <w:tcPr>
            <w:tcW w:w="3260" w:type="dxa"/>
            <w:tcBorders>
              <w:top w:val="single" w:sz="6" w:space="0" w:color="auto"/>
              <w:left w:val="single" w:sz="6" w:space="0" w:color="auto"/>
              <w:bottom w:val="single" w:sz="12" w:space="0" w:color="auto"/>
              <w:right w:val="single" w:sz="12" w:space="0" w:color="auto"/>
            </w:tcBorders>
            <w:shd w:val="clear" w:color="auto" w:fill="D9D9D9" w:themeFill="background1" w:themeFillShade="D9"/>
          </w:tcPr>
          <w:p>
            <w:pPr>
              <w:spacing w:after="0" w:line="264" w:lineRule="auto"/>
              <w:jc w:val="left"/>
              <w:rPr>
                <w:rFonts w:eastAsiaTheme="minorHAnsi"/>
                <w:noProof/>
                <w:sz w:val="22"/>
                <w:szCs w:val="24"/>
              </w:rPr>
            </w:pPr>
            <w:r>
              <w:rPr>
                <w:rFonts w:eastAsiaTheme="minorHAnsi"/>
                <w:noProof/>
                <w:sz w:val="22"/>
                <w:szCs w:val="24"/>
              </w:rPr>
              <w:t>COSME LGF securitisation</w:t>
            </w:r>
          </w:p>
        </w:tc>
      </w:tr>
    </w:tbl>
    <w:p>
      <w:pPr>
        <w:spacing w:after="0" w:line="264" w:lineRule="auto"/>
        <w:ind w:right="-23"/>
        <w:jc w:val="left"/>
        <w:rPr>
          <w:rFonts w:eastAsiaTheme="minorHAnsi" w:cs="Times New Roman"/>
          <w:b/>
          <w:noProof/>
          <w:szCs w:val="24"/>
          <w:highlight w:val="yellow"/>
          <w:u w:val="single"/>
        </w:rPr>
      </w:pPr>
    </w:p>
    <w:p>
      <w:pPr>
        <w:spacing w:after="0" w:line="264" w:lineRule="auto"/>
        <w:ind w:right="-23"/>
        <w:jc w:val="left"/>
        <w:rPr>
          <w:rFonts w:eastAsiaTheme="minorHAnsi" w:cs="Times New Roman"/>
          <w:b/>
          <w:noProof/>
          <w:szCs w:val="24"/>
          <w:u w:val="single"/>
        </w:rPr>
      </w:pPr>
      <w:r>
        <w:rPr>
          <w:rFonts w:eastAsiaTheme="minorHAnsi" w:cs="Times New Roman"/>
          <w:b/>
          <w:noProof/>
          <w:szCs w:val="24"/>
          <w:u w:val="single"/>
        </w:rPr>
        <w:t>Potential overlaps - EQUITY PRODUCTS TO SUPPORT CAPITAL INVESTMENT IN SMEs, 2014-2020</w:t>
      </w:r>
    </w:p>
    <w:tbl>
      <w:tblPr>
        <w:tblStyle w:val="TableGrid"/>
        <w:tblpPr w:leftFromText="180" w:rightFromText="180" w:vertAnchor="text" w:tblpY="1"/>
        <w:tblOverlap w:val="never"/>
        <w:tblW w:w="15558" w:type="dxa"/>
        <w:tblLayout w:type="fixed"/>
        <w:tblLook w:val="04A0" w:firstRow="1" w:lastRow="0" w:firstColumn="1" w:lastColumn="0" w:noHBand="0" w:noVBand="1"/>
      </w:tblPr>
      <w:tblGrid>
        <w:gridCol w:w="2660"/>
        <w:gridCol w:w="1843"/>
        <w:gridCol w:w="1005"/>
        <w:gridCol w:w="1080"/>
        <w:gridCol w:w="1884"/>
        <w:gridCol w:w="2551"/>
        <w:gridCol w:w="2410"/>
        <w:gridCol w:w="2125"/>
      </w:tblGrid>
      <w:tr>
        <w:trPr>
          <w:trHeight w:val="243"/>
        </w:trPr>
        <w:tc>
          <w:tcPr>
            <w:tcW w:w="2660"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Product name</w:t>
            </w:r>
          </w:p>
        </w:tc>
        <w:tc>
          <w:tcPr>
            <w:tcW w:w="1843"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Budget</w:t>
            </w:r>
          </w:p>
          <w:p>
            <w:pPr>
              <w:spacing w:after="0" w:line="264" w:lineRule="auto"/>
              <w:contextualSpacing/>
              <w:jc w:val="left"/>
              <w:rPr>
                <w:rFonts w:eastAsiaTheme="minorHAnsi"/>
                <w:noProof/>
                <w:sz w:val="22"/>
                <w:szCs w:val="24"/>
              </w:rPr>
            </w:pPr>
            <w:r>
              <w:rPr>
                <w:rFonts w:eastAsiaTheme="minorHAnsi"/>
                <w:noProof/>
                <w:sz w:val="22"/>
                <w:szCs w:val="24"/>
              </w:rPr>
              <w:t>(EUR mln)</w:t>
            </w:r>
          </w:p>
        </w:tc>
        <w:tc>
          <w:tcPr>
            <w:tcW w:w="1005"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DGs in charge</w:t>
            </w:r>
          </w:p>
        </w:tc>
        <w:tc>
          <w:tcPr>
            <w:tcW w:w="1080"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Manager</w:t>
            </w:r>
          </w:p>
        </w:tc>
        <w:tc>
          <w:tcPr>
            <w:tcW w:w="1884"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Target</w:t>
            </w:r>
          </w:p>
        </w:tc>
        <w:tc>
          <w:tcPr>
            <w:tcW w:w="2551"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Specific focus</w:t>
            </w:r>
          </w:p>
        </w:tc>
        <w:tc>
          <w:tcPr>
            <w:tcW w:w="2410"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Comment</w:t>
            </w:r>
          </w:p>
        </w:tc>
        <w:tc>
          <w:tcPr>
            <w:tcW w:w="2125" w:type="dxa"/>
            <w:shd w:val="clear" w:color="auto" w:fill="002060"/>
          </w:tcPr>
          <w:p>
            <w:pPr>
              <w:spacing w:after="0" w:line="264" w:lineRule="auto"/>
              <w:contextualSpacing/>
              <w:jc w:val="left"/>
              <w:rPr>
                <w:rFonts w:eastAsiaTheme="minorHAnsi"/>
                <w:noProof/>
                <w:sz w:val="22"/>
                <w:szCs w:val="24"/>
              </w:rPr>
            </w:pPr>
            <w:r>
              <w:rPr>
                <w:rFonts w:eastAsiaTheme="minorHAnsi"/>
                <w:noProof/>
                <w:sz w:val="22"/>
                <w:szCs w:val="24"/>
              </w:rPr>
              <w:t>Potential overlap</w:t>
            </w:r>
            <w:r>
              <w:rPr>
                <w:rFonts w:eastAsiaTheme="minorHAnsi"/>
                <w:noProof/>
                <w:sz w:val="22"/>
                <w:szCs w:val="24"/>
                <w:vertAlign w:val="superscript"/>
              </w:rPr>
              <w:footnoteReference w:id="180"/>
            </w:r>
          </w:p>
        </w:tc>
      </w:tr>
      <w:tr>
        <w:tc>
          <w:tcPr>
            <w:tcW w:w="2660" w:type="dxa"/>
          </w:tcPr>
          <w:p>
            <w:pPr>
              <w:spacing w:after="0" w:line="264" w:lineRule="auto"/>
              <w:contextualSpacing/>
              <w:jc w:val="left"/>
              <w:rPr>
                <w:rFonts w:eastAsiaTheme="minorHAnsi"/>
                <w:noProof/>
                <w:sz w:val="22"/>
                <w:szCs w:val="24"/>
              </w:rPr>
            </w:pPr>
            <w:r>
              <w:rPr>
                <w:rFonts w:eastAsiaTheme="minorHAnsi"/>
                <w:noProof/>
                <w:sz w:val="22"/>
                <w:szCs w:val="24"/>
              </w:rPr>
              <w:t>COSME EFG (Equity Facility for Growth)</w:t>
            </w:r>
          </w:p>
        </w:tc>
        <w:tc>
          <w:tcPr>
            <w:tcW w:w="1843" w:type="dxa"/>
          </w:tcPr>
          <w:p>
            <w:pPr>
              <w:spacing w:after="0" w:line="264" w:lineRule="auto"/>
              <w:contextualSpacing/>
              <w:jc w:val="left"/>
              <w:rPr>
                <w:rFonts w:eastAsiaTheme="minorHAnsi"/>
                <w:noProof/>
                <w:sz w:val="22"/>
                <w:szCs w:val="24"/>
              </w:rPr>
            </w:pPr>
            <w:r>
              <w:rPr>
                <w:rFonts w:eastAsiaTheme="minorHAnsi"/>
                <w:noProof/>
                <w:sz w:val="22"/>
                <w:szCs w:val="24"/>
              </w:rPr>
              <w:t>490 (including fees)</w:t>
            </w:r>
          </w:p>
        </w:tc>
        <w:tc>
          <w:tcPr>
            <w:tcW w:w="1005" w:type="dxa"/>
          </w:tcPr>
          <w:p>
            <w:pPr>
              <w:spacing w:after="0" w:line="264" w:lineRule="auto"/>
              <w:contextualSpacing/>
              <w:jc w:val="left"/>
              <w:rPr>
                <w:rFonts w:eastAsiaTheme="minorHAnsi"/>
                <w:noProof/>
                <w:sz w:val="22"/>
                <w:szCs w:val="24"/>
              </w:rPr>
            </w:pPr>
            <w:r>
              <w:rPr>
                <w:rFonts w:eastAsiaTheme="minorHAnsi"/>
                <w:noProof/>
                <w:sz w:val="22"/>
                <w:szCs w:val="24"/>
              </w:rPr>
              <w:t>GROW</w:t>
            </w:r>
          </w:p>
        </w:tc>
        <w:tc>
          <w:tcPr>
            <w:tcW w:w="1080" w:type="dxa"/>
          </w:tcPr>
          <w:p>
            <w:pPr>
              <w:spacing w:after="0" w:line="264" w:lineRule="auto"/>
              <w:contextualSpacing/>
              <w:jc w:val="left"/>
              <w:rPr>
                <w:rFonts w:eastAsiaTheme="minorHAnsi"/>
                <w:noProof/>
                <w:sz w:val="22"/>
                <w:szCs w:val="24"/>
              </w:rPr>
            </w:pPr>
            <w:r>
              <w:rPr>
                <w:rFonts w:eastAsiaTheme="minorHAnsi"/>
                <w:noProof/>
                <w:sz w:val="22"/>
                <w:szCs w:val="24"/>
              </w:rPr>
              <w:t>EIF</w:t>
            </w:r>
          </w:p>
        </w:tc>
        <w:tc>
          <w:tcPr>
            <w:tcW w:w="1884" w:type="dxa"/>
          </w:tcPr>
          <w:p>
            <w:pPr>
              <w:spacing w:after="0" w:line="264" w:lineRule="auto"/>
              <w:contextualSpacing/>
              <w:jc w:val="left"/>
              <w:rPr>
                <w:rFonts w:eastAsiaTheme="minorHAnsi"/>
                <w:noProof/>
                <w:sz w:val="22"/>
                <w:szCs w:val="24"/>
              </w:rPr>
            </w:pPr>
            <w:r>
              <w:rPr>
                <w:rFonts w:eastAsiaTheme="minorHAnsi"/>
                <w:noProof/>
                <w:sz w:val="22"/>
                <w:szCs w:val="24"/>
              </w:rPr>
              <w:t>SMEs</w:t>
            </w:r>
          </w:p>
        </w:tc>
        <w:tc>
          <w:tcPr>
            <w:tcW w:w="2551" w:type="dxa"/>
          </w:tcPr>
          <w:p>
            <w:pPr>
              <w:spacing w:after="0" w:line="264" w:lineRule="auto"/>
              <w:contextualSpacing/>
              <w:jc w:val="left"/>
              <w:rPr>
                <w:rFonts w:eastAsiaTheme="minorHAnsi"/>
                <w:noProof/>
                <w:sz w:val="22"/>
                <w:szCs w:val="24"/>
              </w:rPr>
            </w:pPr>
            <w:r>
              <w:rPr>
                <w:rFonts w:eastAsiaTheme="minorHAnsi"/>
                <w:noProof/>
                <w:sz w:val="22"/>
                <w:szCs w:val="24"/>
              </w:rPr>
              <w:t>Companies in expansion stage</w:t>
            </w:r>
          </w:p>
        </w:tc>
        <w:tc>
          <w:tcPr>
            <w:tcW w:w="2410" w:type="dxa"/>
          </w:tcPr>
          <w:p>
            <w:pPr>
              <w:spacing w:after="0" w:line="264" w:lineRule="auto"/>
              <w:contextualSpacing/>
              <w:jc w:val="left"/>
              <w:rPr>
                <w:rFonts w:eastAsiaTheme="minorHAnsi"/>
                <w:noProof/>
                <w:sz w:val="22"/>
                <w:szCs w:val="24"/>
              </w:rPr>
            </w:pPr>
            <w:r>
              <w:rPr>
                <w:rFonts w:eastAsiaTheme="minorHAnsi"/>
                <w:noProof/>
                <w:sz w:val="22"/>
                <w:szCs w:val="24"/>
              </w:rPr>
              <w:t>Contributes to Pan-EU VC FoF</w:t>
            </w:r>
          </w:p>
        </w:tc>
        <w:tc>
          <w:tcPr>
            <w:tcW w:w="2125" w:type="dxa"/>
          </w:tcPr>
          <w:p>
            <w:pPr>
              <w:spacing w:after="0" w:line="264" w:lineRule="auto"/>
              <w:contextualSpacing/>
              <w:jc w:val="left"/>
              <w:rPr>
                <w:rFonts w:eastAsiaTheme="minorHAnsi"/>
                <w:noProof/>
                <w:sz w:val="22"/>
                <w:szCs w:val="24"/>
              </w:rPr>
            </w:pPr>
            <w:r>
              <w:rPr>
                <w:rFonts w:eastAsiaTheme="minorHAnsi"/>
                <w:noProof/>
                <w:sz w:val="22"/>
                <w:szCs w:val="24"/>
              </w:rPr>
              <w:t>SMEW Eq. Instr.</w:t>
            </w:r>
          </w:p>
          <w:p>
            <w:pPr>
              <w:spacing w:after="0" w:line="264" w:lineRule="auto"/>
              <w:contextualSpacing/>
              <w:jc w:val="left"/>
              <w:rPr>
                <w:rFonts w:eastAsiaTheme="minorHAnsi"/>
                <w:noProof/>
                <w:sz w:val="22"/>
                <w:szCs w:val="24"/>
              </w:rPr>
            </w:pPr>
            <w:r>
              <w:rPr>
                <w:rFonts w:eastAsiaTheme="minorHAnsi"/>
                <w:noProof/>
                <w:sz w:val="22"/>
                <w:szCs w:val="24"/>
              </w:rPr>
              <w:t>Pan-EU VC FoF</w:t>
            </w:r>
          </w:p>
          <w:p>
            <w:pPr>
              <w:spacing w:after="0" w:line="264" w:lineRule="auto"/>
              <w:contextualSpacing/>
              <w:jc w:val="left"/>
              <w:rPr>
                <w:rFonts w:eastAsiaTheme="minorHAnsi"/>
                <w:noProof/>
                <w:sz w:val="22"/>
                <w:szCs w:val="24"/>
              </w:rPr>
            </w:pPr>
            <w:r>
              <w:rPr>
                <w:rFonts w:eastAsiaTheme="minorHAnsi"/>
                <w:noProof/>
                <w:sz w:val="22"/>
                <w:szCs w:val="24"/>
              </w:rPr>
              <w:t>ESCALAR</w:t>
            </w:r>
          </w:p>
          <w:p>
            <w:pPr>
              <w:spacing w:after="0" w:line="264" w:lineRule="auto"/>
              <w:contextualSpacing/>
              <w:jc w:val="left"/>
              <w:rPr>
                <w:rFonts w:eastAsiaTheme="minorHAnsi"/>
                <w:noProof/>
                <w:sz w:val="22"/>
                <w:szCs w:val="24"/>
              </w:rPr>
            </w:pPr>
            <w:r>
              <w:rPr>
                <w:rFonts w:eastAsiaTheme="minorHAnsi"/>
                <w:noProof/>
                <w:sz w:val="22"/>
                <w:szCs w:val="24"/>
              </w:rPr>
              <w:t>RCR</w:t>
            </w:r>
          </w:p>
        </w:tc>
      </w:tr>
      <w:tr>
        <w:tc>
          <w:tcPr>
            <w:tcW w:w="2660"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EaSI Capacity Building Investments Window</w:t>
            </w:r>
          </w:p>
        </w:tc>
        <w:tc>
          <w:tcPr>
            <w:tcW w:w="1843"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16 (including fees)</w:t>
            </w:r>
          </w:p>
        </w:tc>
        <w:tc>
          <w:tcPr>
            <w:tcW w:w="1005"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EMPL</w:t>
            </w:r>
          </w:p>
        </w:tc>
        <w:tc>
          <w:tcPr>
            <w:tcW w:w="1080"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EIF</w:t>
            </w:r>
          </w:p>
        </w:tc>
        <w:tc>
          <w:tcPr>
            <w:tcW w:w="1884"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Micro-credit and social finance providers</w:t>
            </w:r>
          </w:p>
        </w:tc>
        <w:tc>
          <w:tcPr>
            <w:tcW w:w="2551"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Build up of the institutional capacity of financial intermediaries</w:t>
            </w:r>
          </w:p>
        </w:tc>
        <w:tc>
          <w:tcPr>
            <w:tcW w:w="2410" w:type="dxa"/>
            <w:tcBorders>
              <w:bottom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In exceptional cases providing also loans</w:t>
            </w:r>
          </w:p>
        </w:tc>
        <w:tc>
          <w:tcPr>
            <w:tcW w:w="2125" w:type="dxa"/>
            <w:tcBorders>
              <w:bottom w:val="single" w:sz="4" w:space="0" w:color="auto"/>
            </w:tcBorders>
          </w:tcPr>
          <w:p>
            <w:pPr>
              <w:spacing w:after="0" w:line="264" w:lineRule="auto"/>
              <w:contextualSpacing/>
              <w:jc w:val="left"/>
              <w:rPr>
                <w:rFonts w:eastAsiaTheme="minorHAnsi"/>
                <w:noProof/>
                <w:sz w:val="22"/>
                <w:szCs w:val="24"/>
              </w:rPr>
            </w:pPr>
          </w:p>
        </w:tc>
      </w:tr>
      <w:tr>
        <w:tc>
          <w:tcPr>
            <w:tcW w:w="2660"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 xml:space="preserve">ESCALAR </w:t>
            </w:r>
            <w:r>
              <w:rPr>
                <w:rFonts w:eastAsiaTheme="minorHAnsi"/>
                <w:i/>
                <w:noProof/>
                <w:sz w:val="22"/>
                <w:szCs w:val="24"/>
              </w:rPr>
              <w:t>(under development)</w:t>
            </w:r>
          </w:p>
        </w:tc>
        <w:tc>
          <w:tcPr>
            <w:tcW w:w="1843"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tbd</w:t>
            </w:r>
          </w:p>
        </w:tc>
        <w:tc>
          <w:tcPr>
            <w:tcW w:w="1005"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GROWECFIN</w:t>
            </w:r>
          </w:p>
        </w:tc>
        <w:tc>
          <w:tcPr>
            <w:tcW w:w="1080"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tbd</w:t>
            </w:r>
          </w:p>
        </w:tc>
        <w:tc>
          <w:tcPr>
            <w:tcW w:w="1884"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SMEs and mid-caps (to be further specified)</w:t>
            </w:r>
          </w:p>
        </w:tc>
        <w:tc>
          <w:tcPr>
            <w:tcW w:w="2551"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Expansion &amp; growth phase, pre IPO</w:t>
            </w:r>
          </w:p>
        </w:tc>
        <w:tc>
          <w:tcPr>
            <w:tcW w:w="2410"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Innovative support to VC funds through guaranteed loans</w:t>
            </w:r>
          </w:p>
        </w:tc>
        <w:tc>
          <w:tcPr>
            <w:tcW w:w="2125" w:type="dxa"/>
            <w:tcBorders>
              <w:bottom w:val="single" w:sz="4" w:space="0" w:color="auto"/>
            </w:tcBorders>
            <w:shd w:val="clear" w:color="auto" w:fill="D9D9D9" w:themeFill="background1" w:themeFillShade="D9"/>
          </w:tcPr>
          <w:p>
            <w:pPr>
              <w:spacing w:after="0" w:line="264" w:lineRule="auto"/>
              <w:contextualSpacing/>
              <w:jc w:val="left"/>
              <w:rPr>
                <w:rFonts w:eastAsiaTheme="minorHAnsi"/>
                <w:noProof/>
                <w:sz w:val="22"/>
                <w:szCs w:val="24"/>
              </w:rPr>
            </w:pPr>
            <w:r>
              <w:rPr>
                <w:rFonts w:eastAsiaTheme="minorHAnsi"/>
                <w:noProof/>
                <w:sz w:val="22"/>
                <w:szCs w:val="24"/>
              </w:rPr>
              <w:t>COSME EFG</w:t>
            </w:r>
          </w:p>
          <w:p>
            <w:pPr>
              <w:spacing w:after="0" w:line="264" w:lineRule="auto"/>
              <w:contextualSpacing/>
              <w:jc w:val="left"/>
              <w:rPr>
                <w:rFonts w:eastAsiaTheme="minorHAnsi"/>
                <w:noProof/>
                <w:sz w:val="22"/>
                <w:szCs w:val="24"/>
              </w:rPr>
            </w:pPr>
            <w:r>
              <w:rPr>
                <w:rFonts w:eastAsiaTheme="minorHAnsi"/>
                <w:noProof/>
                <w:sz w:val="22"/>
                <w:szCs w:val="24"/>
              </w:rPr>
              <w:t>SMEW Eq. Instr.</w:t>
            </w:r>
          </w:p>
          <w:p>
            <w:pPr>
              <w:spacing w:after="0" w:line="264" w:lineRule="auto"/>
              <w:contextualSpacing/>
              <w:jc w:val="left"/>
              <w:rPr>
                <w:rFonts w:eastAsiaTheme="minorHAnsi"/>
                <w:noProof/>
                <w:sz w:val="22"/>
                <w:szCs w:val="24"/>
              </w:rPr>
            </w:pPr>
            <w:r>
              <w:rPr>
                <w:rFonts w:eastAsiaTheme="minorHAnsi"/>
                <w:noProof/>
                <w:sz w:val="22"/>
                <w:szCs w:val="24"/>
              </w:rPr>
              <w:t>Pan-EU VC FoF</w:t>
            </w:r>
          </w:p>
          <w:p>
            <w:pPr>
              <w:spacing w:after="0" w:line="264" w:lineRule="auto"/>
              <w:contextualSpacing/>
              <w:jc w:val="left"/>
              <w:rPr>
                <w:rFonts w:eastAsiaTheme="minorHAnsi"/>
                <w:noProof/>
                <w:sz w:val="22"/>
                <w:szCs w:val="24"/>
              </w:rPr>
            </w:pPr>
            <w:r>
              <w:rPr>
                <w:rFonts w:eastAsiaTheme="minorHAnsi"/>
                <w:noProof/>
                <w:sz w:val="22"/>
                <w:szCs w:val="24"/>
              </w:rPr>
              <w:t>EIB-EIF MFF</w:t>
            </w:r>
          </w:p>
          <w:p>
            <w:pPr>
              <w:spacing w:after="0" w:line="264" w:lineRule="auto"/>
              <w:contextualSpacing/>
              <w:jc w:val="left"/>
              <w:rPr>
                <w:rFonts w:eastAsiaTheme="minorHAnsi"/>
                <w:noProof/>
                <w:sz w:val="22"/>
                <w:szCs w:val="24"/>
              </w:rPr>
            </w:pPr>
            <w:r>
              <w:rPr>
                <w:rFonts w:eastAsiaTheme="minorHAnsi"/>
                <w:noProof/>
                <w:sz w:val="22"/>
                <w:szCs w:val="24"/>
              </w:rPr>
              <w:t>RCR</w:t>
            </w:r>
          </w:p>
        </w:tc>
      </w:tr>
      <w:tr>
        <w:tc>
          <w:tcPr>
            <w:tcW w:w="2660"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RCR</w:t>
            </w:r>
          </w:p>
        </w:tc>
        <w:tc>
          <w:tcPr>
            <w:tcW w:w="1843"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9.500 (of which 2.500 from EFSI)</w:t>
            </w:r>
          </w:p>
        </w:tc>
        <w:tc>
          <w:tcPr>
            <w:tcW w:w="1005"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w:t>
            </w:r>
          </w:p>
        </w:tc>
        <w:tc>
          <w:tcPr>
            <w:tcW w:w="1080"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EIB (mandate to EIF)</w:t>
            </w:r>
          </w:p>
        </w:tc>
        <w:tc>
          <w:tcPr>
            <w:tcW w:w="1884"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SMEs and mid-caps</w:t>
            </w:r>
          </w:p>
        </w:tc>
        <w:tc>
          <w:tcPr>
            <w:tcW w:w="2551"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Companies from pre-seed to expansion.</w:t>
            </w:r>
          </w:p>
        </w:tc>
        <w:tc>
          <w:tcPr>
            <w:tcW w:w="2410"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w:t>
            </w:r>
          </w:p>
        </w:tc>
        <w:tc>
          <w:tcPr>
            <w:tcW w:w="2125" w:type="dxa"/>
            <w:tcBorders>
              <w:top w:val="single" w:sz="4" w:space="0" w:color="auto"/>
              <w:bottom w:val="single" w:sz="4" w:space="0" w:color="auto"/>
            </w:tcBorders>
            <w:shd w:val="clear" w:color="auto" w:fill="auto"/>
          </w:tcPr>
          <w:p>
            <w:pPr>
              <w:spacing w:after="0" w:line="264" w:lineRule="auto"/>
              <w:contextualSpacing/>
              <w:jc w:val="left"/>
              <w:rPr>
                <w:rFonts w:eastAsiaTheme="minorHAnsi"/>
                <w:noProof/>
                <w:sz w:val="22"/>
                <w:szCs w:val="24"/>
              </w:rPr>
            </w:pPr>
            <w:r>
              <w:rPr>
                <w:rFonts w:eastAsiaTheme="minorHAnsi"/>
                <w:noProof/>
                <w:sz w:val="22"/>
                <w:szCs w:val="24"/>
              </w:rPr>
              <w:t>Potentially any other product.</w:t>
            </w:r>
          </w:p>
        </w:tc>
      </w:tr>
      <w:tr>
        <w:trPr>
          <w:trHeight w:val="523"/>
        </w:trPr>
        <w:tc>
          <w:tcPr>
            <w:tcW w:w="2660"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IFE (InnovFin Equity)</w:t>
            </w:r>
          </w:p>
        </w:tc>
        <w:tc>
          <w:tcPr>
            <w:tcW w:w="1843"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495 (including fees)</w:t>
            </w:r>
          </w:p>
        </w:tc>
        <w:tc>
          <w:tcPr>
            <w:tcW w:w="1005"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RTD</w:t>
            </w:r>
          </w:p>
        </w:tc>
        <w:tc>
          <w:tcPr>
            <w:tcW w:w="1080"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EIF</w:t>
            </w:r>
          </w:p>
        </w:tc>
        <w:tc>
          <w:tcPr>
            <w:tcW w:w="1884"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SMEs and Small Mid-Caps</w:t>
            </w:r>
          </w:p>
        </w:tc>
        <w:tc>
          <w:tcPr>
            <w:tcW w:w="2551"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Companies in their pre-seed, seed, and start-up phases in H2020 sectors</w:t>
            </w:r>
          </w:p>
        </w:tc>
        <w:tc>
          <w:tcPr>
            <w:tcW w:w="2410"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No longer stand alone, being fully integrated with SMEW Eq. Instr. (see below)</w:t>
            </w:r>
          </w:p>
        </w:tc>
        <w:tc>
          <w:tcPr>
            <w:tcW w:w="2125" w:type="dxa"/>
            <w:tcBorders>
              <w:top w:val="single" w:sz="4"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(see SMEW Equity Instr.)</w:t>
            </w:r>
          </w:p>
        </w:tc>
      </w:tr>
    </w:tbl>
    <w:tbl>
      <w:tblPr>
        <w:tblStyle w:val="TableGrid"/>
        <w:tblW w:w="15558" w:type="dxa"/>
        <w:tblLayout w:type="fixed"/>
        <w:tblLook w:val="04A0" w:firstRow="1" w:lastRow="0" w:firstColumn="1" w:lastColumn="0" w:noHBand="0" w:noVBand="1"/>
      </w:tblPr>
      <w:tblGrid>
        <w:gridCol w:w="534"/>
        <w:gridCol w:w="2126"/>
        <w:gridCol w:w="1843"/>
        <w:gridCol w:w="850"/>
        <w:gridCol w:w="1134"/>
        <w:gridCol w:w="1985"/>
        <w:gridCol w:w="2551"/>
        <w:gridCol w:w="2410"/>
        <w:gridCol w:w="2125"/>
      </w:tblGrid>
      <w:tr>
        <w:trPr>
          <w:trHeight w:val="891"/>
        </w:trPr>
        <w:tc>
          <w:tcPr>
            <w:tcW w:w="534" w:type="dxa"/>
            <w:vMerge w:val="restart"/>
            <w:tcBorders>
              <w:top w:val="single" w:sz="12" w:space="0" w:color="auto"/>
              <w:left w:val="single" w:sz="12" w:space="0" w:color="auto"/>
              <w:right w:val="single" w:sz="6" w:space="0" w:color="auto"/>
            </w:tcBorders>
            <w:textDirection w:val="btLr"/>
            <w:vAlign w:val="center"/>
          </w:tcPr>
          <w:p>
            <w:pPr>
              <w:spacing w:after="0" w:line="264" w:lineRule="auto"/>
              <w:contextualSpacing/>
              <w:jc w:val="center"/>
              <w:rPr>
                <w:rFonts w:eastAsiaTheme="minorHAnsi"/>
                <w:noProof/>
                <w:sz w:val="22"/>
                <w:szCs w:val="24"/>
              </w:rPr>
            </w:pPr>
            <w:r>
              <w:rPr>
                <w:rFonts w:eastAsiaTheme="minorHAnsi"/>
                <w:noProof/>
                <w:sz w:val="22"/>
                <w:szCs w:val="24"/>
              </w:rPr>
              <w:t>EFSI</w:t>
            </w:r>
          </w:p>
        </w:tc>
        <w:tc>
          <w:tcPr>
            <w:tcW w:w="2126"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SMEW Equity Instrument</w:t>
            </w:r>
          </w:p>
        </w:tc>
        <w:tc>
          <w:tcPr>
            <w:tcW w:w="1843"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1.270 (including fees) + 458 from IFE + 290 from EIF</w:t>
            </w:r>
          </w:p>
        </w:tc>
        <w:tc>
          <w:tcPr>
            <w:tcW w:w="850"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ECFIN RTD</w:t>
            </w:r>
          </w:p>
        </w:tc>
        <w:tc>
          <w:tcPr>
            <w:tcW w:w="1134"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EIF</w:t>
            </w:r>
          </w:p>
        </w:tc>
        <w:tc>
          <w:tcPr>
            <w:tcW w:w="1985"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SMEs and Small Mid-Caps</w:t>
            </w:r>
          </w:p>
        </w:tc>
        <w:tc>
          <w:tcPr>
            <w:tcW w:w="2551"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Companies from pre-seed to expansion. Specific envelopes foreseen for: tech-transfer, business angels, social investment</w:t>
            </w:r>
          </w:p>
        </w:tc>
        <w:tc>
          <w:tcPr>
            <w:tcW w:w="2410" w:type="dxa"/>
            <w:tcBorders>
              <w:top w:val="single" w:sz="12"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EFSI resources are combined with IFE and EIF resources into a single product</w:t>
            </w:r>
          </w:p>
        </w:tc>
        <w:tc>
          <w:tcPr>
            <w:tcW w:w="2125" w:type="dxa"/>
            <w:tcBorders>
              <w:top w:val="single" w:sz="12" w:space="0" w:color="auto"/>
              <w:left w:val="single" w:sz="6" w:space="0" w:color="auto"/>
              <w:bottom w:val="single" w:sz="6" w:space="0" w:color="auto"/>
              <w:right w:val="single" w:sz="12" w:space="0" w:color="auto"/>
            </w:tcBorders>
          </w:tcPr>
          <w:p>
            <w:pPr>
              <w:spacing w:after="0" w:line="264" w:lineRule="auto"/>
              <w:contextualSpacing/>
              <w:jc w:val="left"/>
              <w:rPr>
                <w:rFonts w:eastAsiaTheme="minorHAnsi"/>
                <w:noProof/>
                <w:sz w:val="22"/>
                <w:szCs w:val="24"/>
              </w:rPr>
            </w:pPr>
            <w:r>
              <w:rPr>
                <w:rFonts w:eastAsiaTheme="minorHAnsi"/>
                <w:noProof/>
                <w:sz w:val="22"/>
                <w:szCs w:val="24"/>
              </w:rPr>
              <w:t>Potentially any other product.</w:t>
            </w:r>
          </w:p>
        </w:tc>
      </w:tr>
      <w:tr>
        <w:trPr>
          <w:trHeight w:val="940"/>
        </w:trPr>
        <w:tc>
          <w:tcPr>
            <w:tcW w:w="534" w:type="dxa"/>
            <w:vMerge/>
            <w:tcBorders>
              <w:left w:val="single" w:sz="12" w:space="0" w:color="auto"/>
              <w:right w:val="single" w:sz="6" w:space="0" w:color="auto"/>
            </w:tcBorders>
          </w:tcPr>
          <w:p>
            <w:pPr>
              <w:spacing w:after="0" w:line="264" w:lineRule="auto"/>
              <w:contextualSpacing/>
              <w:jc w:val="left"/>
              <w:rPr>
                <w:rFonts w:eastAsiaTheme="minorHAnsi"/>
                <w:noProof/>
                <w:sz w:val="22"/>
                <w:szCs w:val="24"/>
              </w:rPr>
            </w:pPr>
          </w:p>
        </w:tc>
        <w:tc>
          <w:tcPr>
            <w:tcW w:w="2126"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Pan-European Venture Capital Fund of Funds</w:t>
            </w:r>
          </w:p>
        </w:tc>
        <w:tc>
          <w:tcPr>
            <w:tcW w:w="1843"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Up to 300 from SMEW Equity Instr. + up to 100 from COSME</w:t>
            </w:r>
          </w:p>
        </w:tc>
        <w:tc>
          <w:tcPr>
            <w:tcW w:w="85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 xml:space="preserve">ECFIN RTD GROW </w:t>
            </w:r>
          </w:p>
        </w:tc>
        <w:tc>
          <w:tcPr>
            <w:tcW w:w="1134"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EIF</w:t>
            </w:r>
          </w:p>
        </w:tc>
        <w:tc>
          <w:tcPr>
            <w:tcW w:w="1985"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SMEs and Small Mid-Caps</w:t>
            </w:r>
          </w:p>
        </w:tc>
        <w:tc>
          <w:tcPr>
            <w:tcW w:w="2551"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Companies from pre-seed to expansion</w:t>
            </w:r>
          </w:p>
        </w:tc>
        <w:tc>
          <w:tcPr>
            <w:tcW w:w="241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Falling under the SMEW Equity Instrument, it combines COSME resources</w:t>
            </w:r>
          </w:p>
        </w:tc>
        <w:tc>
          <w:tcPr>
            <w:tcW w:w="2125" w:type="dxa"/>
            <w:tcBorders>
              <w:top w:val="single" w:sz="6" w:space="0" w:color="auto"/>
              <w:left w:val="single" w:sz="6" w:space="0" w:color="auto"/>
              <w:bottom w:val="single" w:sz="6" w:space="0" w:color="auto"/>
              <w:right w:val="single" w:sz="12"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COSME EFG</w:t>
            </w:r>
          </w:p>
          <w:p>
            <w:pPr>
              <w:spacing w:after="0" w:line="264" w:lineRule="auto"/>
              <w:contextualSpacing/>
              <w:jc w:val="left"/>
              <w:rPr>
                <w:rFonts w:eastAsiaTheme="minorHAnsi"/>
                <w:noProof/>
                <w:sz w:val="22"/>
                <w:szCs w:val="24"/>
              </w:rPr>
            </w:pPr>
            <w:r>
              <w:rPr>
                <w:rFonts w:eastAsiaTheme="minorHAnsi"/>
                <w:noProof/>
                <w:sz w:val="22"/>
                <w:szCs w:val="24"/>
              </w:rPr>
              <w:t>ESCALAR</w:t>
            </w:r>
          </w:p>
          <w:p>
            <w:pPr>
              <w:spacing w:after="0" w:line="264" w:lineRule="auto"/>
              <w:contextualSpacing/>
              <w:jc w:val="left"/>
              <w:rPr>
                <w:rFonts w:eastAsiaTheme="minorHAnsi"/>
                <w:noProof/>
                <w:sz w:val="22"/>
                <w:szCs w:val="24"/>
              </w:rPr>
            </w:pPr>
            <w:r>
              <w:rPr>
                <w:rFonts w:eastAsiaTheme="minorHAnsi"/>
                <w:noProof/>
                <w:sz w:val="22"/>
                <w:szCs w:val="24"/>
              </w:rPr>
              <w:t>RCR</w:t>
            </w:r>
          </w:p>
        </w:tc>
      </w:tr>
      <w:tr>
        <w:trPr>
          <w:trHeight w:val="702"/>
        </w:trPr>
        <w:tc>
          <w:tcPr>
            <w:tcW w:w="534" w:type="dxa"/>
            <w:vMerge/>
            <w:tcBorders>
              <w:left w:val="single" w:sz="12" w:space="0" w:color="auto"/>
              <w:right w:val="single" w:sz="6" w:space="0" w:color="auto"/>
            </w:tcBorders>
          </w:tcPr>
          <w:p>
            <w:pPr>
              <w:spacing w:after="0" w:line="264" w:lineRule="auto"/>
              <w:contextualSpacing/>
              <w:jc w:val="left"/>
              <w:rPr>
                <w:rFonts w:eastAsiaTheme="minorHAnsi"/>
                <w:noProof/>
                <w:sz w:val="22"/>
                <w:szCs w:val="24"/>
              </w:rPr>
            </w:pPr>
          </w:p>
        </w:tc>
        <w:tc>
          <w:tcPr>
            <w:tcW w:w="2126"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EIB-EIF SME FIF (Funds Investment Facility) (under EFSI IIW)</w:t>
            </w:r>
          </w:p>
        </w:tc>
        <w:tc>
          <w:tcPr>
            <w:tcW w:w="1843"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500</w:t>
            </w:r>
          </w:p>
        </w:tc>
        <w:tc>
          <w:tcPr>
            <w:tcW w:w="85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w:t>
            </w:r>
          </w:p>
        </w:tc>
        <w:tc>
          <w:tcPr>
            <w:tcW w:w="1134"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EIB (mandate to EIF)</w:t>
            </w:r>
          </w:p>
        </w:tc>
        <w:tc>
          <w:tcPr>
            <w:tcW w:w="1985"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SMEs</w:t>
            </w:r>
          </w:p>
        </w:tc>
        <w:tc>
          <w:tcPr>
            <w:tcW w:w="2551"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Companies from pre-seed to expansion</w:t>
            </w:r>
          </w:p>
        </w:tc>
        <w:tc>
          <w:tcPr>
            <w:tcW w:w="241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Co-investment in funds where EIF is already present with non-EFSI resources</w:t>
            </w:r>
          </w:p>
        </w:tc>
        <w:tc>
          <w:tcPr>
            <w:tcW w:w="2125" w:type="dxa"/>
            <w:tcBorders>
              <w:top w:val="single" w:sz="6" w:space="0" w:color="auto"/>
              <w:left w:val="single" w:sz="6" w:space="0" w:color="auto"/>
              <w:bottom w:val="single" w:sz="6" w:space="0" w:color="auto"/>
              <w:right w:val="single" w:sz="12"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COSME EFG</w:t>
            </w:r>
          </w:p>
          <w:p>
            <w:pPr>
              <w:spacing w:after="0" w:line="264" w:lineRule="auto"/>
              <w:contextualSpacing/>
              <w:jc w:val="left"/>
              <w:rPr>
                <w:rFonts w:eastAsiaTheme="minorHAnsi"/>
                <w:noProof/>
                <w:sz w:val="22"/>
                <w:szCs w:val="24"/>
              </w:rPr>
            </w:pPr>
            <w:r>
              <w:rPr>
                <w:rFonts w:eastAsiaTheme="minorHAnsi"/>
                <w:noProof/>
                <w:sz w:val="22"/>
                <w:szCs w:val="24"/>
              </w:rPr>
              <w:t>SMEW Eq. Instr.</w:t>
            </w:r>
          </w:p>
          <w:p>
            <w:pPr>
              <w:spacing w:after="0" w:line="264" w:lineRule="auto"/>
              <w:contextualSpacing/>
              <w:jc w:val="left"/>
              <w:rPr>
                <w:rFonts w:eastAsiaTheme="minorHAnsi"/>
                <w:noProof/>
                <w:sz w:val="22"/>
                <w:szCs w:val="24"/>
              </w:rPr>
            </w:pPr>
            <w:r>
              <w:rPr>
                <w:rFonts w:eastAsiaTheme="minorHAnsi"/>
                <w:noProof/>
                <w:sz w:val="22"/>
                <w:szCs w:val="24"/>
              </w:rPr>
              <w:t>RCR</w:t>
            </w:r>
          </w:p>
        </w:tc>
      </w:tr>
      <w:tr>
        <w:trPr>
          <w:trHeight w:val="497"/>
        </w:trPr>
        <w:tc>
          <w:tcPr>
            <w:tcW w:w="534" w:type="dxa"/>
            <w:vMerge/>
            <w:tcBorders>
              <w:left w:val="single" w:sz="12" w:space="0" w:color="auto"/>
              <w:right w:val="single" w:sz="6" w:space="0" w:color="auto"/>
            </w:tcBorders>
          </w:tcPr>
          <w:p>
            <w:pPr>
              <w:spacing w:after="0" w:line="264" w:lineRule="auto"/>
              <w:contextualSpacing/>
              <w:jc w:val="left"/>
              <w:rPr>
                <w:rFonts w:eastAsiaTheme="minorHAnsi"/>
                <w:noProof/>
                <w:sz w:val="22"/>
                <w:szCs w:val="24"/>
              </w:rPr>
            </w:pPr>
          </w:p>
        </w:tc>
        <w:tc>
          <w:tcPr>
            <w:tcW w:w="2126"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EIB-EIF MFF (Midcap Funds Facility) (under EFSI IIW)</w:t>
            </w:r>
          </w:p>
        </w:tc>
        <w:tc>
          <w:tcPr>
            <w:tcW w:w="1843"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500</w:t>
            </w:r>
          </w:p>
        </w:tc>
        <w:tc>
          <w:tcPr>
            <w:tcW w:w="85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w:t>
            </w:r>
          </w:p>
        </w:tc>
        <w:tc>
          <w:tcPr>
            <w:tcW w:w="1134"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EIB (mandate to EIF)</w:t>
            </w:r>
          </w:p>
        </w:tc>
        <w:tc>
          <w:tcPr>
            <w:tcW w:w="1985"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Mid-caps</w:t>
            </w:r>
          </w:p>
        </w:tc>
        <w:tc>
          <w:tcPr>
            <w:tcW w:w="2551"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Expansion &amp; growth phase</w:t>
            </w:r>
          </w:p>
        </w:tc>
        <w:tc>
          <w:tcPr>
            <w:tcW w:w="2410" w:type="dxa"/>
            <w:tcBorders>
              <w:top w:val="single" w:sz="6" w:space="0" w:color="auto"/>
              <w:left w:val="single" w:sz="6" w:space="0" w:color="auto"/>
              <w:bottom w:val="single" w:sz="6" w:space="0" w:color="auto"/>
              <w:right w:val="single" w:sz="6" w:space="0" w:color="auto"/>
            </w:tcBorders>
          </w:tcPr>
          <w:p>
            <w:pPr>
              <w:spacing w:after="0" w:line="264" w:lineRule="auto"/>
              <w:contextualSpacing/>
              <w:jc w:val="left"/>
              <w:rPr>
                <w:rFonts w:eastAsiaTheme="minorHAnsi"/>
                <w:noProof/>
                <w:sz w:val="22"/>
                <w:szCs w:val="24"/>
              </w:rPr>
            </w:pPr>
            <w:r>
              <w:rPr>
                <w:rFonts w:eastAsiaTheme="minorHAnsi"/>
                <w:noProof/>
                <w:sz w:val="22"/>
                <w:szCs w:val="24"/>
              </w:rPr>
              <w:t>-</w:t>
            </w:r>
          </w:p>
        </w:tc>
        <w:tc>
          <w:tcPr>
            <w:tcW w:w="2125" w:type="dxa"/>
            <w:tcBorders>
              <w:top w:val="single" w:sz="6" w:space="0" w:color="auto"/>
              <w:left w:val="single" w:sz="6" w:space="0" w:color="auto"/>
              <w:bottom w:val="single" w:sz="6" w:space="0" w:color="auto"/>
              <w:right w:val="single" w:sz="12" w:space="0" w:color="auto"/>
            </w:tcBorders>
          </w:tcPr>
          <w:p>
            <w:pPr>
              <w:spacing w:after="0" w:line="264" w:lineRule="auto"/>
              <w:contextualSpacing/>
              <w:jc w:val="left"/>
              <w:rPr>
                <w:rFonts w:eastAsiaTheme="minorHAnsi"/>
                <w:noProof/>
                <w:sz w:val="22"/>
                <w:szCs w:val="24"/>
              </w:rPr>
            </w:pPr>
            <w:r>
              <w:rPr>
                <w:rFonts w:eastAsiaTheme="minorHAnsi"/>
                <w:noProof/>
                <w:sz w:val="22"/>
                <w:szCs w:val="24"/>
              </w:rPr>
              <w:t>COSME EFG</w:t>
            </w:r>
          </w:p>
          <w:p>
            <w:pPr>
              <w:spacing w:after="0" w:line="264" w:lineRule="auto"/>
              <w:contextualSpacing/>
              <w:jc w:val="left"/>
              <w:rPr>
                <w:rFonts w:eastAsiaTheme="minorHAnsi"/>
                <w:noProof/>
                <w:sz w:val="22"/>
                <w:szCs w:val="24"/>
              </w:rPr>
            </w:pPr>
            <w:r>
              <w:rPr>
                <w:rFonts w:eastAsiaTheme="minorHAnsi"/>
                <w:noProof/>
                <w:sz w:val="22"/>
                <w:szCs w:val="24"/>
              </w:rPr>
              <w:t>SMEW Eq. Instr.</w:t>
            </w:r>
          </w:p>
          <w:p>
            <w:pPr>
              <w:spacing w:after="0" w:line="264" w:lineRule="auto"/>
              <w:contextualSpacing/>
              <w:jc w:val="left"/>
              <w:rPr>
                <w:rFonts w:eastAsiaTheme="minorHAnsi"/>
                <w:noProof/>
                <w:sz w:val="22"/>
                <w:szCs w:val="24"/>
              </w:rPr>
            </w:pPr>
            <w:r>
              <w:rPr>
                <w:rFonts w:eastAsiaTheme="minorHAnsi"/>
                <w:noProof/>
                <w:sz w:val="22"/>
                <w:szCs w:val="24"/>
              </w:rPr>
              <w:t>ESCALAR</w:t>
            </w:r>
          </w:p>
          <w:p>
            <w:pPr>
              <w:spacing w:after="0" w:line="264" w:lineRule="auto"/>
              <w:contextualSpacing/>
              <w:jc w:val="left"/>
              <w:rPr>
                <w:rFonts w:eastAsiaTheme="minorHAnsi"/>
                <w:noProof/>
                <w:sz w:val="22"/>
                <w:szCs w:val="24"/>
              </w:rPr>
            </w:pPr>
            <w:r>
              <w:rPr>
                <w:rFonts w:eastAsiaTheme="minorHAnsi"/>
                <w:noProof/>
                <w:sz w:val="22"/>
                <w:szCs w:val="24"/>
              </w:rPr>
              <w:t>RCR</w:t>
            </w:r>
          </w:p>
        </w:tc>
      </w:tr>
      <w:tr>
        <w:trPr>
          <w:trHeight w:val="48"/>
        </w:trPr>
        <w:tc>
          <w:tcPr>
            <w:tcW w:w="534" w:type="dxa"/>
            <w:vMerge/>
            <w:tcBorders>
              <w:left w:val="single" w:sz="12" w:space="0" w:color="auto"/>
              <w:bottom w:val="single" w:sz="12" w:space="0" w:color="auto"/>
              <w:right w:val="single" w:sz="6" w:space="0" w:color="auto"/>
            </w:tcBorders>
          </w:tcPr>
          <w:p>
            <w:pPr>
              <w:spacing w:after="0" w:line="264" w:lineRule="auto"/>
              <w:contextualSpacing/>
              <w:jc w:val="left"/>
              <w:rPr>
                <w:rFonts w:eastAsiaTheme="minorHAnsi"/>
                <w:noProof/>
                <w:sz w:val="22"/>
                <w:szCs w:val="24"/>
              </w:rPr>
            </w:pPr>
          </w:p>
        </w:tc>
        <w:tc>
          <w:tcPr>
            <w:tcW w:w="2126"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 xml:space="preserve">EIB-EIF CIF (Co-investment Facility under IIW) </w:t>
            </w:r>
          </w:p>
        </w:tc>
        <w:tc>
          <w:tcPr>
            <w:tcW w:w="1843"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100 + 100 EIB</w:t>
            </w:r>
          </w:p>
        </w:tc>
        <w:tc>
          <w:tcPr>
            <w:tcW w:w="850"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w:t>
            </w:r>
          </w:p>
        </w:tc>
        <w:tc>
          <w:tcPr>
            <w:tcW w:w="1134"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EIB (mandate to EIF)</w:t>
            </w:r>
          </w:p>
        </w:tc>
        <w:tc>
          <w:tcPr>
            <w:tcW w:w="1985"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SMEs and Mid-Caps</w:t>
            </w:r>
          </w:p>
        </w:tc>
        <w:tc>
          <w:tcPr>
            <w:tcW w:w="2551"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Companies from pre-seed to expansion</w:t>
            </w:r>
          </w:p>
        </w:tc>
        <w:tc>
          <w:tcPr>
            <w:tcW w:w="2410" w:type="dxa"/>
            <w:tcBorders>
              <w:top w:val="single" w:sz="6" w:space="0" w:color="auto"/>
              <w:left w:val="single" w:sz="6" w:space="0" w:color="auto"/>
              <w:bottom w:val="single" w:sz="12" w:space="0" w:color="auto"/>
              <w:right w:val="single" w:sz="6"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Co-investment alongside funds where EIF is already present</w:t>
            </w:r>
          </w:p>
        </w:tc>
        <w:tc>
          <w:tcPr>
            <w:tcW w:w="2125" w:type="dxa"/>
            <w:tcBorders>
              <w:top w:val="single" w:sz="6" w:space="0" w:color="auto"/>
              <w:left w:val="single" w:sz="6" w:space="0" w:color="auto"/>
              <w:bottom w:val="single" w:sz="12" w:space="0" w:color="auto"/>
              <w:right w:val="single" w:sz="12" w:space="0" w:color="auto"/>
            </w:tcBorders>
            <w:shd w:val="clear" w:color="auto" w:fill="FFFFFF" w:themeFill="background1"/>
          </w:tcPr>
          <w:p>
            <w:pPr>
              <w:spacing w:after="0" w:line="264" w:lineRule="auto"/>
              <w:contextualSpacing/>
              <w:jc w:val="left"/>
              <w:rPr>
                <w:rFonts w:eastAsiaTheme="minorHAnsi"/>
                <w:noProof/>
                <w:sz w:val="22"/>
                <w:szCs w:val="24"/>
              </w:rPr>
            </w:pPr>
            <w:r>
              <w:rPr>
                <w:rFonts w:eastAsiaTheme="minorHAnsi"/>
                <w:noProof/>
                <w:sz w:val="22"/>
                <w:szCs w:val="24"/>
              </w:rPr>
              <w:t>COSME EFG</w:t>
            </w:r>
          </w:p>
          <w:p>
            <w:pPr>
              <w:spacing w:after="0" w:line="264" w:lineRule="auto"/>
              <w:contextualSpacing/>
              <w:jc w:val="left"/>
              <w:rPr>
                <w:rFonts w:eastAsiaTheme="minorHAnsi"/>
                <w:noProof/>
                <w:sz w:val="22"/>
                <w:szCs w:val="24"/>
              </w:rPr>
            </w:pPr>
            <w:r>
              <w:rPr>
                <w:rFonts w:eastAsiaTheme="minorHAnsi"/>
                <w:noProof/>
                <w:sz w:val="22"/>
                <w:szCs w:val="24"/>
              </w:rPr>
              <w:t>SMEW Eq. Instr.</w:t>
            </w:r>
          </w:p>
          <w:p>
            <w:pPr>
              <w:spacing w:after="0" w:line="264" w:lineRule="auto"/>
              <w:contextualSpacing/>
              <w:jc w:val="left"/>
              <w:rPr>
                <w:rFonts w:eastAsiaTheme="minorHAnsi"/>
                <w:noProof/>
                <w:sz w:val="22"/>
                <w:szCs w:val="24"/>
              </w:rPr>
            </w:pPr>
            <w:r>
              <w:rPr>
                <w:rFonts w:eastAsiaTheme="minorHAnsi"/>
                <w:noProof/>
                <w:sz w:val="22"/>
                <w:szCs w:val="24"/>
              </w:rPr>
              <w:t>ESCALAR</w:t>
            </w:r>
          </w:p>
          <w:p>
            <w:pPr>
              <w:spacing w:after="0" w:line="264" w:lineRule="auto"/>
              <w:contextualSpacing/>
              <w:jc w:val="left"/>
              <w:rPr>
                <w:rFonts w:eastAsiaTheme="minorHAnsi"/>
                <w:noProof/>
                <w:sz w:val="22"/>
                <w:szCs w:val="24"/>
              </w:rPr>
            </w:pPr>
            <w:r>
              <w:rPr>
                <w:rFonts w:eastAsiaTheme="minorHAnsi"/>
                <w:noProof/>
                <w:sz w:val="22"/>
                <w:szCs w:val="24"/>
              </w:rPr>
              <w:t>RCR</w:t>
            </w:r>
          </w:p>
        </w:tc>
      </w:tr>
    </w:tbl>
    <w:p>
      <w:pPr>
        <w:spacing w:line="264" w:lineRule="auto"/>
        <w:rPr>
          <w:rFonts w:cs="Times New Roman"/>
          <w:b/>
          <w:noProof/>
          <w:szCs w:val="24"/>
          <w:highlight w:val="yellow"/>
          <w:u w:val="single"/>
        </w:rPr>
      </w:pPr>
    </w:p>
    <w:p>
      <w:pPr>
        <w:pStyle w:val="Text1"/>
        <w:spacing w:line="264" w:lineRule="auto"/>
        <w:rPr>
          <w:noProof/>
          <w:szCs w:val="24"/>
        </w:rPr>
        <w:sectPr>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567" w:right="720" w:bottom="426" w:left="720" w:header="708" w:footer="708" w:gutter="0"/>
          <w:cols w:space="708"/>
          <w:docGrid w:linePitch="360"/>
        </w:sectPr>
      </w:pPr>
    </w:p>
    <w:p>
      <w:pPr>
        <w:pStyle w:val="Heading1"/>
        <w:numPr>
          <w:ilvl w:val="0"/>
          <w:numId w:val="0"/>
        </w:numPr>
        <w:spacing w:line="264" w:lineRule="auto"/>
        <w:ind w:left="431"/>
        <w:rPr>
          <w:noProof/>
          <w:szCs w:val="24"/>
        </w:rPr>
      </w:pPr>
      <w:bookmarkStart w:id="9394" w:name="_Toc515348911"/>
      <w:r>
        <w:rPr>
          <w:noProof/>
          <w:szCs w:val="24"/>
        </w:rPr>
        <w:t>Annex 13: InvestEU Fund – Governance</w:t>
      </w:r>
      <w:bookmarkEnd w:id="9394"/>
    </w:p>
    <w:p>
      <w:pPr>
        <w:spacing w:line="264" w:lineRule="auto"/>
        <w:jc w:val="left"/>
        <w:rPr>
          <w:rFonts w:cs="Times New Roman"/>
          <w:b/>
          <w:noProof/>
          <w:szCs w:val="24"/>
        </w:rPr>
      </w:pPr>
      <w:r>
        <w:rPr>
          <w:rFonts w:cs="Times New Roman"/>
          <w:b/>
          <w:noProof/>
          <w:szCs w:val="24"/>
        </w:rPr>
        <w:t>Figure: Visual representation of the current governance arrangements for EFSI and centrally managed FIs</w:t>
      </w:r>
      <w:r>
        <w:rPr>
          <w:rFonts w:cs="Times New Roman"/>
          <w:noProof/>
          <w:szCs w:val="24"/>
        </w:rPr>
        <w:tab/>
      </w:r>
      <w:r>
        <w:rPr>
          <w:rFonts w:cs="Times New Roman"/>
          <w:noProof/>
          <w:szCs w:val="24"/>
          <w:lang w:val="en-US"/>
        </w:rPr>
        <w:drawing>
          <wp:inline distT="0" distB="0" distL="0" distR="0">
            <wp:extent cx="7083786" cy="522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091351" cy="5234810"/>
                    </a:xfrm>
                    <a:prstGeom prst="rect">
                      <a:avLst/>
                    </a:prstGeom>
                    <a:noFill/>
                  </pic:spPr>
                </pic:pic>
              </a:graphicData>
            </a:graphic>
          </wp:inline>
        </w:drawing>
      </w:r>
      <w:r>
        <w:rPr>
          <w:rFonts w:cs="Times New Roman"/>
          <w:b/>
          <w:noProof/>
          <w:szCs w:val="24"/>
        </w:rPr>
        <w:t xml:space="preserve"> </w:t>
      </w:r>
    </w:p>
    <w:p>
      <w:pPr>
        <w:pStyle w:val="ListParagraph"/>
        <w:spacing w:after="200" w:line="264" w:lineRule="auto"/>
        <w:ind w:left="0"/>
        <w:jc w:val="left"/>
        <w:rPr>
          <w:rFonts w:cs="Times New Roman"/>
          <w:b/>
          <w:noProof/>
          <w:szCs w:val="24"/>
        </w:rPr>
      </w:pPr>
      <w:r>
        <w:rPr>
          <w:rFonts w:cs="Times New Roman"/>
          <w:b/>
          <w:noProof/>
          <w:szCs w:val="24"/>
        </w:rPr>
        <w:t>Figure: Proposed InvestEU Programme Governance</w:t>
      </w:r>
    </w:p>
    <w:p>
      <w:pPr>
        <w:pStyle w:val="ListParagraph"/>
        <w:spacing w:after="200" w:line="264" w:lineRule="auto"/>
        <w:ind w:left="0"/>
        <w:jc w:val="left"/>
        <w:rPr>
          <w:rFonts w:cs="Times New Roman"/>
          <w:noProof/>
          <w:szCs w:val="24"/>
        </w:rPr>
      </w:pPr>
      <w:r>
        <w:rPr>
          <w:rFonts w:cs="Times New Roman"/>
          <w:b/>
          <w:noProof/>
          <w:szCs w:val="24"/>
          <w:lang w:val="en-US"/>
        </w:rPr>
        <w:drawing>
          <wp:inline distT="0" distB="0" distL="0" distR="0">
            <wp:extent cx="7929520" cy="5616054"/>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31001" cy="5617103"/>
                    </a:xfrm>
                    <a:prstGeom prst="rect">
                      <a:avLst/>
                    </a:prstGeom>
                    <a:noFill/>
                  </pic:spPr>
                </pic:pic>
              </a:graphicData>
            </a:graphic>
          </wp:inline>
        </w:drawing>
      </w:r>
    </w:p>
    <w:sectPr>
      <w:headerReference w:type="even" r:id="rId173"/>
      <w:headerReference w:type="default" r:id="rId174"/>
      <w:footerReference w:type="even" r:id="rId175"/>
      <w:footerReference w:type="default" r:id="rId176"/>
      <w:headerReference w:type="first" r:id="rId177"/>
      <w:footerReference w:type="first" r:id="rId178"/>
      <w:pgSz w:w="16838" w:h="11906" w:orient="landscape"/>
      <w:pgMar w:top="301" w:right="1417" w:bottom="1417" w:left="1417" w:header="421"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927C00" w15:done="0"/>
  <w15:commentEx w15:paraId="51A2AC2D" w15:done="0"/>
  <w15:commentEx w15:paraId="66819442" w15:done="0"/>
  <w15:commentEx w15:paraId="78E0DD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MyriadPro-Light">
    <w:altName w:val="MS Gothic"/>
    <w:charset w:val="80"/>
    <w:family w:val="swiss"/>
    <w:pitch w:val="default"/>
    <w:sig w:usb0="00000001" w:usb1="08070000" w:usb2="00000010" w:usb3="00000000" w:csb0="00020000" w:csb1="00000000"/>
  </w:font>
  <w:font w:name="ECSquareSans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416958"/>
      <w:docPartObj>
        <w:docPartGallery w:val="Page Numbers (Bottom of Page)"/>
        <w:docPartUnique/>
      </w:docPartObj>
    </w:sdtPr>
    <w:sdtEndPr>
      <w:rPr>
        <w:noProof/>
      </w:rPr>
    </w:sdtEndPr>
    <w:sdtContent>
      <w:p>
        <w:pPr>
          <w:pStyle w:val="Footer"/>
          <w:spacing w:before="240" w:after="240"/>
          <w:ind w:left="-851" w:right="-851"/>
          <w:jc w:val="center"/>
        </w:pPr>
        <w:r>
          <w:fldChar w:fldCharType="begin"/>
        </w:r>
        <w:r>
          <w:instrText xml:space="preserve"> PAGE   \* MERGEFORMAT </w:instrText>
        </w:r>
        <w:r>
          <w:fldChar w:fldCharType="separate"/>
        </w:r>
        <w:r>
          <w:rPr>
            <w:noProof/>
          </w:rPr>
          <w:t>56</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4126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72957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760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9446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2210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0261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91659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122</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677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121</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2106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1936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76707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127</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7272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125</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1812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75753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128</w:t>
        </w:r>
        <w:r>
          <w:rPr>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1465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139</w:t>
        </w:r>
        <w:r>
          <w:rPr>
            <w:noProof/>
          </w:rPr>
          <w:fldChar w:fldCharType="end"/>
        </w:r>
      </w:p>
    </w:sdtContent>
  </w:sdt>
  <w:p>
    <w:pPr>
      <w:pStyle w:val="Footer"/>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3819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150</w:t>
        </w:r>
        <w:r>
          <w:rPr>
            <w:noProof/>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758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142</w:t>
        </w:r>
        <w:r>
          <w:rPr>
            <w:noProof/>
          </w:rPr>
          <w:fldChar w:fldCharType="end"/>
        </w:r>
      </w:p>
    </w:sdtContent>
  </w:sdt>
  <w:p>
    <w:pPr>
      <w:pStyle w:val="Footer"/>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0980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5863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149</w:t>
        </w:r>
        <w:r>
          <w:rPr>
            <w:noProof/>
          </w:rPr>
          <w:fldChar w:fldCharType="end"/>
        </w:r>
      </w:p>
    </w:sdtContent>
  </w:sdt>
  <w:p>
    <w:pPr>
      <w:pStyle w:val="Footer"/>
      <w:ind w:right="36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0392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143</w:t>
        </w:r>
        <w:r>
          <w:rPr>
            <w:noProof/>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4796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145</w:t>
        </w:r>
        <w:r>
          <w:rPr>
            <w:noProof/>
          </w:rPr>
          <w:fldChar w:fldCharType="end"/>
        </w:r>
      </w:p>
    </w:sdtContent>
  </w:sdt>
  <w:p>
    <w:pPr>
      <w:pStyle w:val="Footer"/>
      <w:rPr>
        <w:sz w:val="8"/>
        <w:szCs w:val="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trPr>
        <w:trHeight w:val="454"/>
        <w:jc w:val="center"/>
      </w:trPr>
      <w:tc>
        <w:tcPr>
          <w:tcW w:w="4610" w:type="pct"/>
          <w:vAlign w:val="bottom"/>
        </w:tcPr>
        <w:p>
          <w:pPr>
            <w:pStyle w:val="Footer"/>
          </w:pPr>
          <w:r>
            <w:rPr>
              <w:noProof/>
              <w:lang w:val="en-US"/>
            </w:rPr>
            <w:drawing>
              <wp:inline distT="0" distB="0" distL="0" distR="0">
                <wp:extent cx="522000" cy="42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2000" cy="421200"/>
                        </a:xfrm>
                        <a:prstGeom prst="rect">
                          <a:avLst/>
                        </a:prstGeom>
                      </pic:spPr>
                    </pic:pic>
                  </a:graphicData>
                </a:graphic>
              </wp:inline>
            </w:drawing>
          </w:r>
          <w:r>
            <w:rPr>
              <w:noProof/>
            </w:rPr>
            <w:tab/>
          </w:r>
          <w:r>
            <w:rPr>
              <w:noProof/>
            </w:rPr>
            <w:fldChar w:fldCharType="begin"/>
          </w:r>
          <w:r>
            <w:rPr>
              <w:noProof/>
            </w:rPr>
            <w:instrText xml:space="preserve"> IF </w:instrText>
          </w:r>
          <w:r>
            <w:rPr>
              <w:noProof/>
            </w:rPr>
            <w:fldChar w:fldCharType="begin"/>
          </w:r>
          <w:r>
            <w:rPr>
              <w:noProof/>
            </w:rPr>
            <w:instrText xml:space="preserve"> DOCVARIABLE  FooterVersion  \* MERGEFORMAT </w:instrText>
          </w:r>
          <w:r>
            <w:rPr>
              <w:noProof/>
            </w:rPr>
            <w:fldChar w:fldCharType="separate"/>
          </w:r>
          <w:r>
            <w:rPr>
              <w:b/>
              <w:bCs/>
              <w:noProof/>
              <w:lang w:val="en-US"/>
            </w:rPr>
            <w:instrText>Error! No document variable supplied.</w:instrText>
          </w:r>
          <w:r>
            <w:rPr>
              <w:noProof/>
            </w:rPr>
            <w:fldChar w:fldCharType="end"/>
          </w:r>
          <w:r>
            <w:rPr>
              <w:noProof/>
            </w:rPr>
            <w:instrText xml:space="preserve"> = "Error! No document variable supplied." " "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Pr>
              <w:noProof/>
            </w:rPr>
            <w:instrText xml:space="preserve"> \* MERGEFORMAT </w:instrText>
          </w:r>
          <w:r>
            <w:rPr>
              <w:noProof/>
            </w:rPr>
            <w:fldChar w:fldCharType="separate"/>
          </w:r>
          <w:r>
            <w:rPr>
              <w:noProof/>
            </w:rPr>
            <w:t xml:space="preserve"> </w:t>
          </w:r>
          <w:r>
            <w:rPr>
              <w:noProof/>
            </w:rPr>
            <w:fldChar w:fldCharType="end"/>
          </w:r>
        </w:p>
      </w:tc>
      <w:tc>
        <w:tcPr>
          <w:tcW w:w="390" w:type="pct"/>
          <w:vAlign w:val="bottom"/>
        </w:tcPr>
        <w:p>
          <w:pPr>
            <w:pStyle w:val="Footer"/>
            <w:jc w:val="right"/>
            <w:rPr>
              <w:rStyle w:val="PageNumber"/>
            </w:rPr>
          </w:pPr>
        </w:p>
      </w:tc>
    </w:tr>
  </w:tbl>
  <w:p>
    <w:pPr>
      <w:pStyle w:val="Footer"/>
      <w:rPr>
        <w:sz w:val="8"/>
        <w:szCs w:val="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9337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146</w:t>
        </w:r>
        <w:r>
          <w:rPr>
            <w:noProof/>
          </w:rPr>
          <w:fldChar w:fldCharType="end"/>
        </w:r>
      </w:p>
    </w:sdtContent>
  </w:sdt>
  <w:p>
    <w:pPr>
      <w:pStyle w:val="Footer"/>
      <w:rPr>
        <w:sz w:val="8"/>
        <w:szCs w:val="8"/>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8586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3700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149</w:t>
        </w:r>
        <w:r>
          <w:rPr>
            <w:noProof/>
          </w:rPr>
          <w:fldChar w:fldCharType="end"/>
        </w:r>
      </w:p>
    </w:sdtContent>
  </w:sdt>
  <w:p>
    <w:pPr>
      <w:pStyle w:val="Footer"/>
      <w:rPr>
        <w:sz w:val="8"/>
        <w:szCs w:val="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1733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151</w:t>
        </w:r>
        <w:r>
          <w:rPr>
            <w:noProof/>
          </w:rPr>
          <w:fldChar w:fldCharType="end"/>
        </w:r>
      </w:p>
    </w:sdtContent>
  </w:sdt>
  <w:p>
    <w:pPr>
      <w:pStyle w:val="Footer"/>
      <w:rPr>
        <w:sz w:val="8"/>
        <w:szCs w:val="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t>I</w:t>
    </w: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081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282555"/>
      <w:docPartObj>
        <w:docPartGallery w:val="Page Numbers (Bottom of Page)"/>
        <w:docPartUnique/>
      </w:docPartObj>
    </w:sdtPr>
    <w:sdtEndPr>
      <w:rPr>
        <w:noProof/>
      </w:rPr>
    </w:sdtEndPr>
    <w:sdtContent>
      <w:p>
        <w:pPr>
          <w:pStyle w:val="Footer"/>
          <w:jc w:val="center"/>
        </w:pPr>
        <w:r>
          <w:fldChar w:fldCharType="begin"/>
        </w:r>
        <w:r>
          <w:instrText xml:space="preserve"> PAGE  \* Arabic  \* MERGEFORMAT </w:instrText>
        </w:r>
        <w:r>
          <w:fldChar w:fldCharType="separate"/>
        </w:r>
        <w:r>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ind w:left="0" w:firstLine="0"/>
        <w:rPr>
          <w:rFonts w:cs="Times New Roman"/>
        </w:rPr>
      </w:pPr>
      <w:r>
        <w:rPr>
          <w:rStyle w:val="FootnoteReference"/>
          <w:rFonts w:cs="Times New Roman"/>
        </w:rPr>
        <w:footnoteRef/>
      </w:r>
      <w:r>
        <w:rPr>
          <w:rFonts w:cs="Times New Roman"/>
        </w:rPr>
        <w:t xml:space="preserve"> Commission Recommendation 2003/361/EC of 6 May 2003 concerning the definition of micro, small and medium-sized enterprises (OJ L 124, 20.5.2003, p. 36)</w:t>
      </w:r>
    </w:p>
  </w:footnote>
  <w:footnote w:id="3">
    <w:p>
      <w:pPr>
        <w:pStyle w:val="FootnoteText"/>
        <w:ind w:left="0" w:firstLine="0"/>
        <w:rPr>
          <w:rFonts w:cs="Times New Roman"/>
        </w:rPr>
      </w:pPr>
      <w:r>
        <w:rPr>
          <w:rStyle w:val="FootnoteReference"/>
          <w:rFonts w:cs="Times New Roman"/>
        </w:rPr>
        <w:footnoteRef/>
      </w:r>
      <w:r>
        <w:rPr>
          <w:rFonts w:cs="Times New Roman"/>
        </w:rPr>
        <w:t xml:space="preserve"> COM(2017) 358 of 28 June 2017.</w:t>
      </w:r>
    </w:p>
  </w:footnote>
  <w:footnote w:id="4">
    <w:p>
      <w:pPr>
        <w:pStyle w:val="FootnoteText"/>
        <w:ind w:left="0" w:firstLine="0"/>
        <w:rPr>
          <w:rFonts w:cs="Times New Roman"/>
        </w:rPr>
      </w:pPr>
      <w:r>
        <w:rPr>
          <w:rStyle w:val="FootnoteReference"/>
          <w:rFonts w:cs="Times New Roman"/>
        </w:rPr>
        <w:footnoteRef/>
      </w:r>
      <w:r>
        <w:rPr>
          <w:rFonts w:cs="Times New Roman"/>
        </w:rPr>
        <w:t xml:space="preserve"> These financial instruments were created under Regulations establishing different Union Programmes, under the relevant provisions of the Financial Regulation. This impact assessment does not consider financial instruments created under the previous MFF and those targeting external action. </w:t>
      </w:r>
    </w:p>
  </w:footnote>
  <w:footnote w:id="5">
    <w:p>
      <w:pPr>
        <w:pStyle w:val="FootnoteText"/>
        <w:rPr>
          <w:rFonts w:cs="Times New Roman"/>
        </w:rPr>
      </w:pPr>
      <w:r>
        <w:rPr>
          <w:rStyle w:val="FootnoteReference"/>
          <w:rFonts w:cs="Times New Roman"/>
        </w:rPr>
        <w:footnoteRef/>
      </w:r>
      <w:r>
        <w:rPr>
          <w:rFonts w:cs="Times New Roman"/>
        </w:rPr>
        <w:t xml:space="preserve"> Source: Commission services. See Annex 5.</w:t>
      </w:r>
    </w:p>
  </w:footnote>
  <w:footnote w:id="6">
    <w:p>
      <w:pPr>
        <w:pStyle w:val="FootnoteText"/>
        <w:ind w:left="0" w:firstLine="0"/>
        <w:rPr>
          <w:rFonts w:cs="Times New Roman"/>
        </w:rPr>
      </w:pPr>
      <w:r>
        <w:rPr>
          <w:rStyle w:val="FootnoteReference"/>
          <w:rFonts w:cs="Times New Roman"/>
        </w:rPr>
        <w:footnoteRef/>
      </w:r>
      <w:r>
        <w:rPr>
          <w:rFonts w:cs="Times New Roman"/>
        </w:rPr>
        <w:t xml:space="preserve"> </w:t>
      </w:r>
      <w:hyperlink r:id="rId1" w:history="1">
        <w:r>
          <w:rPr>
            <w:rStyle w:val="Hyperlink"/>
            <w:rFonts w:cs="Times New Roman"/>
          </w:rPr>
          <w:t>https://ec.europa.eu/commission/sites/beta-political/files/juncker-political-guidelines-speech_en.pdf</w:t>
        </w:r>
      </w:hyperlink>
      <w:r>
        <w:rPr>
          <w:rFonts w:cs="Times New Roman"/>
        </w:rPr>
        <w:t xml:space="preserve"> </w:t>
      </w:r>
    </w:p>
  </w:footnote>
  <w:footnote w:id="7">
    <w:p>
      <w:pPr>
        <w:pStyle w:val="FootnoteText"/>
        <w:ind w:left="0" w:firstLine="0"/>
        <w:rPr>
          <w:rFonts w:cs="Times New Roman"/>
        </w:rPr>
      </w:pPr>
      <w:r>
        <w:rPr>
          <w:rStyle w:val="FootnoteReference"/>
          <w:rFonts w:cs="Times New Roman"/>
        </w:rPr>
        <w:footnoteRef/>
      </w:r>
      <w:r>
        <w:rPr>
          <w:rFonts w:cs="Times New Roman"/>
        </w:rPr>
        <w:t xml:space="preserve"> </w:t>
      </w:r>
      <w:hyperlink r:id="rId2" w:history="1">
        <w:r>
          <w:rPr>
            <w:rStyle w:val="Hyperlink"/>
            <w:rFonts w:cs="Times New Roman"/>
          </w:rPr>
          <w:t>https://ec.europa.eu/commission/priorities/jobs-growth-and-investment/investment-plan-europe-juncker-plan_en</w:t>
        </w:r>
      </w:hyperlink>
      <w:r>
        <w:rPr>
          <w:rFonts w:cs="Times New Roman"/>
        </w:rPr>
        <w:t xml:space="preserve"> </w:t>
      </w:r>
    </w:p>
  </w:footnote>
  <w:footnote w:id="8">
    <w:p>
      <w:pPr>
        <w:pStyle w:val="FootnoteText"/>
        <w:ind w:left="0" w:firstLine="0"/>
        <w:rPr>
          <w:rFonts w:cs="Times New Roman"/>
        </w:rPr>
      </w:pPr>
      <w:r>
        <w:rPr>
          <w:rStyle w:val="FootnoteReference"/>
          <w:rFonts w:cs="Times New Roman"/>
        </w:rPr>
        <w:footnoteRef/>
      </w:r>
      <w:r>
        <w:rPr>
          <w:rFonts w:cs="Times New Roman"/>
        </w:rPr>
        <w:t xml:space="preserve"> The Regulation (EU) 2015/1017 was amended by Regulation (EU) 2017/2396 of the European Parliament and of the Council of 13 December 2017 amending Regulations (EU) No 1316/2013 and (EU) 2015/1017 as regards the extension of the duration of the European Fund for Strategic Investments as well as the introduction of technical enhancements for that Fund and the European Investment Advisory Hub (OJ L 345, 27.12.2017, p. 34).</w:t>
      </w:r>
    </w:p>
  </w:footnote>
  <w:footnote w:id="9">
    <w:p>
      <w:pPr>
        <w:pStyle w:val="FootnoteText"/>
        <w:rPr>
          <w:rFonts w:cs="Times New Roman"/>
        </w:rPr>
      </w:pPr>
      <w:r>
        <w:rPr>
          <w:rStyle w:val="FootnoteReference"/>
          <w:rFonts w:cs="Times New Roman"/>
        </w:rPr>
        <w:footnoteRef/>
      </w:r>
      <w:r>
        <w:rPr>
          <w:rFonts w:cs="Times New Roman"/>
        </w:rPr>
        <w:t xml:space="preserve"> European Economy Forecast, Winter 2018 (interim), Institutional Paper 073, February 2018</w:t>
      </w:r>
    </w:p>
  </w:footnote>
  <w:footnote w:id="10">
    <w:p>
      <w:pPr>
        <w:pStyle w:val="FootnoteText"/>
        <w:ind w:left="0" w:firstLine="0"/>
        <w:rPr>
          <w:rFonts w:cs="Times New Roman"/>
        </w:rPr>
      </w:pPr>
      <w:r>
        <w:rPr>
          <w:rStyle w:val="FootnoteReference"/>
          <w:rFonts w:cs="Times New Roman"/>
        </w:rPr>
        <w:footnoteRef/>
      </w:r>
      <w:r>
        <w:rPr>
          <w:rFonts w:cs="Times New Roman"/>
        </w:rPr>
        <w:t xml:space="preserve"> Infrastructure in this context is broader than large, cross border, network infrastructure (i.e. a concept used in trans-European network regulations) and refers broadly to the infrastructure necessary for economic development. </w:t>
      </w:r>
    </w:p>
  </w:footnote>
  <w:footnote w:id="11">
    <w:p>
      <w:pPr>
        <w:pStyle w:val="FootnoteText"/>
        <w:ind w:left="0" w:firstLine="0"/>
        <w:rPr>
          <w:rFonts w:cs="Times New Roman"/>
        </w:rPr>
      </w:pPr>
      <w:r>
        <w:rPr>
          <w:rStyle w:val="FootnoteReference"/>
          <w:rFonts w:cs="Times New Roman"/>
        </w:rPr>
        <w:footnoteRef/>
      </w:r>
      <w:r>
        <w:rPr>
          <w:rFonts w:cs="Times New Roman"/>
        </w:rPr>
        <w:t xml:space="preserve"> EIB, </w:t>
      </w:r>
      <w:r>
        <w:rPr>
          <w:rFonts w:cs="Times New Roman"/>
          <w:i/>
        </w:rPr>
        <w:t>Investment Report 2017/2018 – From Recovery to Sustainable Growth</w:t>
      </w:r>
    </w:p>
  </w:footnote>
  <w:footnote w:id="12">
    <w:p>
      <w:pPr>
        <w:pStyle w:val="FootnoteText"/>
        <w:ind w:left="0" w:firstLine="0"/>
        <w:rPr>
          <w:rFonts w:cs="Times New Roman"/>
        </w:rPr>
      </w:pPr>
      <w:r>
        <w:rPr>
          <w:rStyle w:val="FootnoteReference"/>
          <w:rFonts w:cs="Times New Roman"/>
        </w:rPr>
        <w:footnoteRef/>
      </w:r>
      <w:r>
        <w:rPr>
          <w:rFonts w:cs="Times New Roman"/>
        </w:rPr>
        <w:t xml:space="preserve"> Clean Energy For All - European Communication COM(2016) 860 final </w:t>
      </w:r>
    </w:p>
  </w:footnote>
  <w:footnote w:id="13">
    <w:p>
      <w:pPr>
        <w:pStyle w:val="FootnoteText"/>
        <w:ind w:left="0" w:firstLine="0"/>
        <w:rPr>
          <w:rFonts w:cs="Times New Roman"/>
        </w:rPr>
      </w:pPr>
      <w:r>
        <w:rPr>
          <w:rStyle w:val="FootnoteReference"/>
          <w:rFonts w:cs="Times New Roman"/>
        </w:rPr>
        <w:footnoteRef/>
      </w:r>
      <w:r>
        <w:rPr>
          <w:rFonts w:cs="Times New Roman"/>
        </w:rPr>
        <w:t xml:space="preserve"> TEN-T Work Plans: https://ec.europa.eu/transport/themes/infrastructure_en</w:t>
      </w:r>
    </w:p>
  </w:footnote>
  <w:footnote w:id="14">
    <w:p>
      <w:pPr>
        <w:spacing w:after="0"/>
        <w:rPr>
          <w:rFonts w:cs="Times New Roman"/>
        </w:rPr>
      </w:pPr>
      <w:r>
        <w:rPr>
          <w:rStyle w:val="FootnoteReference"/>
          <w:rFonts w:cs="Times New Roman"/>
          <w:sz w:val="18"/>
          <w:szCs w:val="18"/>
        </w:rPr>
        <w:footnoteRef/>
      </w:r>
      <w:r>
        <w:rPr>
          <w:rFonts w:cs="Times New Roman"/>
          <w:sz w:val="18"/>
          <w:szCs w:val="18"/>
        </w:rPr>
        <w:t xml:space="preserve"> </w:t>
      </w:r>
      <w:r>
        <w:rPr>
          <w:rFonts w:cs="Times New Roman"/>
          <w:sz w:val="18"/>
          <w:szCs w:val="20"/>
        </w:rPr>
        <w:t>Based on the study "Investment needs in trans-European energy infrastructure up to 2030 and beyond", Ecofys, July 2017.</w:t>
      </w:r>
    </w:p>
  </w:footnote>
  <w:footnote w:id="15">
    <w:p>
      <w:pPr>
        <w:pStyle w:val="FootnoteText"/>
        <w:ind w:left="0" w:firstLine="0"/>
        <w:rPr>
          <w:rFonts w:cs="Times New Roman"/>
        </w:rPr>
      </w:pPr>
      <w:r>
        <w:rPr>
          <w:rStyle w:val="FootnoteReference"/>
          <w:rFonts w:cs="Times New Roman"/>
        </w:rPr>
        <w:footnoteRef/>
      </w:r>
      <w:r>
        <w:rPr>
          <w:rFonts w:cs="Times New Roman"/>
        </w:rPr>
        <w:t xml:space="preserve"> Figures based on the information gathered from EU Member States forecasts under Art 17 of the Urban Waste Water Treatment Directive (UWWTD) . These include investment forecasted for achieving compliance with the UWWTD, also (and increasingly) for the renewal, improvement and extension of the existing infrastructure. </w:t>
      </w:r>
    </w:p>
  </w:footnote>
  <w:footnote w:id="16">
    <w:p>
      <w:pPr>
        <w:pStyle w:val="FootnoteText"/>
        <w:ind w:left="0" w:firstLine="0"/>
        <w:rPr>
          <w:rFonts w:cs="Times New Roman"/>
        </w:rPr>
      </w:pPr>
      <w:r>
        <w:rPr>
          <w:rStyle w:val="FootnoteReference"/>
          <w:rFonts w:cs="Times New Roman"/>
        </w:rPr>
        <w:footnoteRef/>
      </w:r>
      <w:r>
        <w:rPr>
          <w:rFonts w:cs="Times New Roman"/>
        </w:rPr>
        <w:t xml:space="preserve"> See EIB, </w:t>
      </w:r>
      <w:r>
        <w:rPr>
          <w:rFonts w:cs="Times New Roman"/>
          <w:i/>
        </w:rPr>
        <w:t>'Restoring EU competitiveness'</w:t>
      </w:r>
      <w:r>
        <w:rPr>
          <w:rFonts w:cs="Times New Roman"/>
        </w:rPr>
        <w:t xml:space="preserve">, 2016. The estimate, until 2020, include investments in modernising transportation and logistics, upgrading energy networks, increasing energy savings, renewables, improving resource management, including water and waste. </w:t>
      </w:r>
    </w:p>
  </w:footnote>
  <w:footnote w:id="17">
    <w:p>
      <w:pPr>
        <w:pStyle w:val="FootnoteText"/>
        <w:ind w:left="0" w:firstLine="0"/>
        <w:rPr>
          <w:rFonts w:cs="Times New Roman"/>
        </w:rPr>
      </w:pPr>
      <w:r>
        <w:rPr>
          <w:rStyle w:val="FootnoteReference"/>
          <w:rFonts w:cs="Times New Roman"/>
        </w:rPr>
        <w:footnoteRef/>
      </w:r>
      <w:r>
        <w:rPr>
          <w:rFonts w:cs="Times New Roman"/>
        </w:rPr>
        <w:t xml:space="preserve"> IDEM. </w:t>
      </w:r>
    </w:p>
  </w:footnote>
  <w:footnote w:id="18">
    <w:p>
      <w:pPr>
        <w:autoSpaceDE w:val="0"/>
        <w:autoSpaceDN w:val="0"/>
        <w:adjustRightInd w:val="0"/>
        <w:spacing w:after="0"/>
        <w:jc w:val="left"/>
        <w:rPr>
          <w:rFonts w:cs="Times New Roman"/>
          <w:sz w:val="18"/>
        </w:rPr>
      </w:pPr>
      <w:r>
        <w:rPr>
          <w:rStyle w:val="FootnoteReference"/>
          <w:rFonts w:cs="Times New Roman"/>
          <w:sz w:val="18"/>
        </w:rPr>
        <w:footnoteRef/>
      </w:r>
      <w:r>
        <w:rPr>
          <w:rFonts w:cs="Times New Roman"/>
          <w:sz w:val="18"/>
        </w:rPr>
        <w:t xml:space="preserve"> IMF (2016), </w:t>
      </w:r>
      <w:r>
        <w:rPr>
          <w:rFonts w:cs="Times New Roman"/>
          <w:i/>
          <w:sz w:val="18"/>
        </w:rPr>
        <w:t xml:space="preserve">Fiscal Monitor: Acting Now, Acting Together, </w:t>
      </w:r>
      <w:r>
        <w:rPr>
          <w:rFonts w:cs="Times New Roman"/>
          <w:sz w:val="18"/>
        </w:rPr>
        <w:t>Washington, April.</w:t>
      </w:r>
    </w:p>
  </w:footnote>
  <w:footnote w:id="19">
    <w:p>
      <w:pPr>
        <w:pStyle w:val="FootnoteText"/>
        <w:ind w:left="0" w:firstLine="0"/>
        <w:rPr>
          <w:rFonts w:cs="Times New Roman"/>
          <w:i/>
        </w:rPr>
      </w:pPr>
      <w:r>
        <w:rPr>
          <w:rStyle w:val="FootnoteReference"/>
          <w:rFonts w:cs="Times New Roman"/>
        </w:rPr>
        <w:footnoteRef/>
      </w:r>
      <w:r>
        <w:rPr>
          <w:rFonts w:cs="Times New Roman"/>
        </w:rPr>
        <w:t xml:space="preserve"> Carpenter, R, and B. Petersen (2002) "Capital market imperfections, high-tech investment, and new equity financing", </w:t>
      </w:r>
      <w:r>
        <w:rPr>
          <w:rFonts w:cs="Times New Roman"/>
          <w:i/>
        </w:rPr>
        <w:t>The Economic Journal</w:t>
      </w:r>
      <w:r>
        <w:rPr>
          <w:rFonts w:cs="Times New Roman"/>
        </w:rPr>
        <w:t xml:space="preserve">, 112. Hall, B, Moncada-Paterno, P, Montresor, S and A. Vezzani (2016) "Financing constraints, R&amp;D investments and innovative performances: new empirical evidence at the firm level for Europe". </w:t>
      </w:r>
      <w:r>
        <w:rPr>
          <w:rFonts w:cs="Times New Roman"/>
          <w:i/>
        </w:rPr>
        <w:t>Economics of Innovation and New Technology.</w:t>
      </w:r>
      <w:r>
        <w:rPr>
          <w:rFonts w:cs="Times New Roman"/>
        </w:rPr>
        <w:t>25:3, 183-196</w:t>
      </w:r>
      <w:r>
        <w:rPr>
          <w:rFonts w:cs="Times New Roman"/>
          <w:i/>
        </w:rPr>
        <w:t xml:space="preserve">.  </w:t>
      </w:r>
    </w:p>
  </w:footnote>
  <w:footnote w:id="20">
    <w:p>
      <w:pPr>
        <w:pStyle w:val="FootnoteText"/>
        <w:ind w:left="0" w:firstLine="0"/>
        <w:rPr>
          <w:rFonts w:cs="Times New Roman"/>
        </w:rPr>
      </w:pPr>
      <w:r>
        <w:rPr>
          <w:rStyle w:val="FootnoteReference"/>
          <w:rFonts w:cs="Times New Roman"/>
        </w:rPr>
        <w:footnoteRef/>
      </w:r>
      <w:r>
        <w:rPr>
          <w:rFonts w:cs="Times New Roman"/>
        </w:rPr>
        <w:t xml:space="preserve"> Brown, G. Martinsson, and B. Petersen (2012)" Do Financing Constraints Matter for R&amp;D?", </w:t>
      </w:r>
      <w:r>
        <w:rPr>
          <w:rFonts w:cs="Times New Roman"/>
          <w:i/>
        </w:rPr>
        <w:t>European Economic Review</w:t>
      </w:r>
      <w:r>
        <w:rPr>
          <w:rFonts w:cs="Times New Roman"/>
        </w:rPr>
        <w:t xml:space="preserve">, 56(8). </w:t>
      </w:r>
    </w:p>
  </w:footnote>
  <w:footnote w:id="21">
    <w:p>
      <w:pPr>
        <w:pStyle w:val="FootnoteText"/>
        <w:ind w:left="0" w:firstLine="0"/>
        <w:rPr>
          <w:rFonts w:cs="Times New Roman"/>
        </w:rPr>
      </w:pPr>
      <w:r>
        <w:rPr>
          <w:rStyle w:val="FootnoteReference"/>
          <w:rFonts w:cs="Times New Roman"/>
        </w:rPr>
        <w:footnoteRef/>
      </w:r>
      <w:r>
        <w:rPr>
          <w:rFonts w:cs="Times New Roman"/>
        </w:rPr>
        <w:t xml:space="preserve"> D'Este, P. et al (2012), "What Hampers Innovation? Revealed Barriers versus Deterring Barriers", </w:t>
      </w:r>
      <w:r>
        <w:rPr>
          <w:rFonts w:cs="Times New Roman"/>
          <w:i/>
        </w:rPr>
        <w:t>Research Policy</w:t>
      </w:r>
      <w:r>
        <w:rPr>
          <w:rFonts w:cs="Times New Roman"/>
        </w:rPr>
        <w:t xml:space="preserve"> 41(2)</w:t>
      </w:r>
    </w:p>
  </w:footnote>
  <w:footnote w:id="22">
    <w:p>
      <w:pPr>
        <w:pStyle w:val="FootnoteText"/>
        <w:ind w:left="0" w:firstLine="0"/>
        <w:rPr>
          <w:rFonts w:cs="Times New Roman"/>
        </w:rPr>
      </w:pPr>
      <w:r>
        <w:rPr>
          <w:rStyle w:val="FootnoteReference"/>
          <w:rFonts w:cs="Times New Roman"/>
        </w:rPr>
        <w:footnoteRef/>
      </w:r>
      <w:r>
        <w:rPr>
          <w:rFonts w:cs="Times New Roman"/>
        </w:rPr>
        <w:t xml:space="preserve"> Cincera, M., J. Ravet, and R. Veugelers (2016) "The sensitivity of R&amp;D investments to cash flows: comparing young and old EU and US leading innovators," </w:t>
      </w:r>
      <w:r>
        <w:rPr>
          <w:rFonts w:cs="Times New Roman"/>
          <w:i/>
        </w:rPr>
        <w:t>Economics of Innovation and New Technology</w:t>
      </w:r>
      <w:r>
        <w:rPr>
          <w:rFonts w:cs="Times New Roman"/>
        </w:rPr>
        <w:t xml:space="preserve">. </w:t>
      </w:r>
    </w:p>
  </w:footnote>
  <w:footnote w:id="23">
    <w:p>
      <w:pPr>
        <w:pStyle w:val="FootnoteText"/>
        <w:rPr>
          <w:rFonts w:cs="Times New Roman"/>
        </w:rPr>
      </w:pPr>
      <w:r>
        <w:rPr>
          <w:rStyle w:val="FootnoteReference"/>
          <w:rFonts w:cs="Times New Roman"/>
        </w:rPr>
        <w:footnoteRef/>
      </w:r>
      <w:r>
        <w:rPr>
          <w:rFonts w:cs="Times New Roman"/>
        </w:rPr>
        <w:t xml:space="preserve"> "The future of productivity", OECD, 2015.</w:t>
      </w:r>
    </w:p>
  </w:footnote>
  <w:footnote w:id="24">
    <w:p>
      <w:pPr>
        <w:pStyle w:val="FootnoteText"/>
        <w:ind w:left="0" w:firstLine="0"/>
        <w:rPr>
          <w:rFonts w:cs="Times New Roman"/>
        </w:rPr>
      </w:pPr>
      <w:r>
        <w:rPr>
          <w:rStyle w:val="FootnoteReference"/>
          <w:rFonts w:cs="Times New Roman"/>
        </w:rPr>
        <w:footnoteRef/>
      </w:r>
      <w:r>
        <w:rPr>
          <w:rFonts w:cs="Times New Roman"/>
        </w:rPr>
        <w:t xml:space="preserve"> </w:t>
      </w:r>
      <w:r>
        <w:rPr>
          <w:rFonts w:cs="Times New Roman"/>
          <w:color w:val="000000"/>
          <w:szCs w:val="24"/>
        </w:rPr>
        <w:t xml:space="preserve">Coad, A. , G. Pellegrino and M. Savona (2016) "Barriers to innovation and firm productivity", </w:t>
      </w:r>
      <w:r>
        <w:rPr>
          <w:rFonts w:cs="Times New Roman"/>
          <w:i/>
          <w:color w:val="000000"/>
          <w:szCs w:val="24"/>
        </w:rPr>
        <w:t>Economic of Innovation and New Technology</w:t>
      </w:r>
      <w:r>
        <w:rPr>
          <w:rFonts w:cs="Times New Roman"/>
          <w:color w:val="000000"/>
          <w:szCs w:val="24"/>
        </w:rPr>
        <w:t>, Volume 25.</w:t>
      </w:r>
    </w:p>
  </w:footnote>
  <w:footnote w:id="25">
    <w:p>
      <w:pPr>
        <w:pStyle w:val="FootnoteText"/>
        <w:ind w:left="0" w:firstLine="0"/>
        <w:rPr>
          <w:rFonts w:cs="Times New Roman"/>
        </w:rPr>
      </w:pPr>
      <w:r>
        <w:rPr>
          <w:rStyle w:val="FootnoteReference"/>
          <w:rFonts w:cs="Times New Roman"/>
        </w:rPr>
        <w:footnoteRef/>
      </w:r>
      <w:r>
        <w:rPr>
          <w:rFonts w:cs="Times New Roman"/>
        </w:rPr>
        <w:t xml:space="preserve"> Brown, G. Martinsson, and B. Petersen. (2012) “Do financing constraints matter for R&amp;D?”, </w:t>
      </w:r>
      <w:r>
        <w:rPr>
          <w:rFonts w:cs="Times New Roman"/>
          <w:i/>
        </w:rPr>
        <w:t xml:space="preserve">European Economic Review, </w:t>
      </w:r>
      <w:r>
        <w:rPr>
          <w:rFonts w:cs="Times New Roman"/>
        </w:rPr>
        <w:t xml:space="preserve">Volume 56, Issue 8, Paes 1512-1529. </w:t>
      </w:r>
    </w:p>
  </w:footnote>
  <w:footnote w:id="26">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w:t>
      </w:r>
      <w:r>
        <w:rPr>
          <w:rFonts w:cs="Times New Roman"/>
          <w:color w:val="000000"/>
          <w:szCs w:val="24"/>
        </w:rPr>
        <w:t xml:space="preserve">Gross domestic expenditure on R&amp;D in the EU is stagnating around 2% over recent years, while the United States, Japan and South Korea invest 2.8 %, 3.3 % and 4.2 % respectively. China, at 2.1 %, has also recently overtaken the EU. Business R&amp;I intensity in the EU stands at 1.3 % compared to almost 2 % for the United States and nearly triple that for South </w:t>
      </w:r>
      <w:r>
        <w:rPr>
          <w:rFonts w:cs="Times New Roman"/>
          <w:color w:val="000000" w:themeColor="text1"/>
          <w:szCs w:val="24"/>
        </w:rPr>
        <w:t xml:space="preserve">Korea, at almost 3.5 %: </w:t>
      </w:r>
      <w:hyperlink r:id="rId3" w:history="1">
        <w:r>
          <w:rPr>
            <w:rStyle w:val="Hyperlink"/>
            <w:rFonts w:cs="Times New Roman"/>
          </w:rPr>
          <w:t>http://ec.europa.eu/eurostat/statistics-explained/index.php/R_%26_D_expenditure</w:t>
        </w:r>
      </w:hyperlink>
      <w:r>
        <w:rPr>
          <w:rFonts w:cs="Times New Roman"/>
        </w:rPr>
        <w:t>.</w:t>
      </w:r>
    </w:p>
  </w:footnote>
  <w:footnote w:id="27">
    <w:p>
      <w:pPr>
        <w:pStyle w:val="FootnoteText"/>
        <w:rPr>
          <w:rFonts w:cs="Times New Roman"/>
        </w:rPr>
      </w:pPr>
      <w:r>
        <w:rPr>
          <w:rStyle w:val="FootnoteReference"/>
          <w:rFonts w:cs="Times New Roman"/>
        </w:rPr>
        <w:footnoteRef/>
      </w:r>
      <w:r>
        <w:rPr>
          <w:rFonts w:cs="Times New Roman"/>
        </w:rPr>
        <w:t xml:space="preserve"> Commission services calculations based on Eurostat data. </w:t>
      </w:r>
    </w:p>
  </w:footnote>
  <w:footnote w:id="28">
    <w:p>
      <w:pPr>
        <w:spacing w:after="0"/>
        <w:rPr>
          <w:rFonts w:cs="Times New Roman"/>
        </w:rPr>
      </w:pPr>
      <w:r>
        <w:rPr>
          <w:rStyle w:val="FootnoteReference"/>
          <w:rFonts w:cs="Times New Roman"/>
          <w:b/>
          <w:bCs/>
          <w:sz w:val="18"/>
          <w:szCs w:val="18"/>
        </w:rPr>
        <w:footnoteRef/>
      </w:r>
      <w:r>
        <w:rPr>
          <w:rFonts w:cs="Times New Roman"/>
        </w:rPr>
        <w:t xml:space="preserve"> </w:t>
      </w:r>
      <w:r>
        <w:rPr>
          <w:rFonts w:cs="Times New Roman"/>
          <w:sz w:val="18"/>
          <w:szCs w:val="18"/>
        </w:rPr>
        <w:t xml:space="preserve">Survey on the Access to Finance of Enterprises in the euro area April to September 2017, section 3.1: </w:t>
      </w:r>
      <w:hyperlink r:id="rId4" w:history="1">
        <w:r>
          <w:rPr>
            <w:rStyle w:val="Hyperlink"/>
            <w:rFonts w:cs="Times New Roman"/>
            <w:sz w:val="18"/>
            <w:szCs w:val="18"/>
          </w:rPr>
          <w:t>https://www.ecb.europa.eu/pub/pdf/other/ecb.accesstofinancesmallmediumsizedenterprises201711.en.pdf?beb1832df4af9efa945a5a1f7b99eeb7</w:t>
        </w:r>
      </w:hyperlink>
      <w:r>
        <w:rPr>
          <w:rFonts w:cs="Times New Roman"/>
          <w:sz w:val="18"/>
          <w:szCs w:val="18"/>
        </w:rPr>
        <w:t xml:space="preserve"> </w:t>
      </w:r>
    </w:p>
  </w:footnote>
  <w:footnote w:id="29">
    <w:p>
      <w:pPr>
        <w:pStyle w:val="FootnoteText"/>
        <w:rPr>
          <w:rFonts w:cs="Times New Roman"/>
        </w:rPr>
      </w:pPr>
      <w:r>
        <w:rPr>
          <w:rStyle w:val="FootnoteReference"/>
          <w:rFonts w:cs="Times New Roman"/>
        </w:rPr>
        <w:footnoteRef/>
      </w:r>
      <w:r>
        <w:rPr>
          <w:rFonts w:cs="Times New Roman"/>
        </w:rPr>
        <w:t xml:space="preserve"> COSME+ impact assessment </w:t>
      </w:r>
    </w:p>
  </w:footnote>
  <w:footnote w:id="30">
    <w:p>
      <w:pPr>
        <w:pStyle w:val="FootnoteText"/>
        <w:rPr>
          <w:rFonts w:cs="Times New Roman"/>
        </w:rPr>
      </w:pPr>
      <w:r>
        <w:rPr>
          <w:rStyle w:val="FootnoteReference"/>
          <w:rFonts w:cs="Times New Roman"/>
        </w:rPr>
        <w:footnoteRef/>
      </w:r>
      <w:r>
        <w:rPr>
          <w:rFonts w:cs="Times New Roman"/>
        </w:rPr>
        <w:t xml:space="preserve"> </w:t>
      </w:r>
      <w:r>
        <w:rPr>
          <w:rStyle w:val="titrerouge"/>
          <w:rFonts w:cs="Times New Roman"/>
        </w:rPr>
        <w:t xml:space="preserve">The economic contribution of the creative industries to EU GDP and employment, </w:t>
      </w:r>
      <w:r>
        <w:rPr>
          <w:rFonts w:cs="Times New Roman"/>
        </w:rPr>
        <w:t>TERA, 2014,</w:t>
      </w:r>
    </w:p>
  </w:footnote>
  <w:footnote w:id="31">
    <w:p>
      <w:pPr>
        <w:pStyle w:val="FootnoteText"/>
        <w:ind w:left="142" w:hanging="142"/>
        <w:jc w:val="left"/>
        <w:rPr>
          <w:rFonts w:cs="Times New Roman"/>
        </w:rPr>
      </w:pPr>
      <w:r>
        <w:rPr>
          <w:rStyle w:val="FootnoteReference"/>
          <w:rFonts w:cs="Times New Roman"/>
        </w:rPr>
        <w:footnoteRef/>
      </w:r>
      <w:r>
        <w:rPr>
          <w:rFonts w:cs="Times New Roman"/>
        </w:rPr>
        <w:t xml:space="preserve"> </w:t>
      </w:r>
      <w:r>
        <w:rPr>
          <w:rFonts w:cs="Times New Roman"/>
          <w:i/>
        </w:rPr>
        <w:t xml:space="preserve">EIB report: Restoring EU competitiveness. 2016 updated version </w:t>
      </w:r>
      <w:r>
        <w:rPr>
          <w:rFonts w:cs="Times New Roman"/>
        </w:rPr>
        <w:t xml:space="preserve">available at </w:t>
      </w:r>
      <w:hyperlink r:id="rId5" w:history="1">
        <w:r>
          <w:rPr>
            <w:rStyle w:val="Hyperlink"/>
            <w:rFonts w:cs="Times New Roman"/>
          </w:rPr>
          <w:t>http://www.eib.org/attachments/efs/restoring_eu_competitiveness_en.pdf</w:t>
        </w:r>
      </w:hyperlink>
      <w:r>
        <w:rPr>
          <w:rFonts w:cs="Times New Roman"/>
        </w:rPr>
        <w:t xml:space="preserve"> </w:t>
      </w:r>
    </w:p>
  </w:footnote>
  <w:footnote w:id="32">
    <w:p>
      <w:pPr>
        <w:pStyle w:val="FootnoteText"/>
        <w:ind w:left="0" w:firstLine="0"/>
        <w:rPr>
          <w:rFonts w:cs="Times New Roman"/>
        </w:rPr>
      </w:pPr>
      <w:r>
        <w:rPr>
          <w:rStyle w:val="FootnoteReference"/>
          <w:rFonts w:cs="Times New Roman"/>
        </w:rPr>
        <w:footnoteRef/>
      </w:r>
      <w:r>
        <w:rPr>
          <w:rFonts w:cs="Times New Roman"/>
        </w:rPr>
        <w:t xml:space="preserve"> The report of the "High-Level Task-Force on Investing in Social Infrastructure in Europe" estimated the minimal investment gap for Education, health &amp; long-term care, and affordable housing at </w:t>
      </w:r>
      <w:r>
        <w:rPr>
          <w:rFonts w:cs="Times New Roman"/>
          <w:lang w:eastAsia="ja-JP"/>
        </w:rPr>
        <w:t>EUR</w:t>
      </w:r>
      <w:r>
        <w:rPr>
          <w:rFonts w:cs="Times New Roman"/>
        </w:rPr>
        <w:t xml:space="preserve">100-150 </w:t>
      </w:r>
      <w:r>
        <w:rPr>
          <w:rFonts w:cs="Times New Roman"/>
          <w:lang w:eastAsia="ja-JP"/>
        </w:rPr>
        <w:t>billion</w:t>
      </w:r>
      <w:r>
        <w:rPr>
          <w:rFonts w:cs="Times New Roman"/>
        </w:rPr>
        <w:t xml:space="preserve"> annually.</w:t>
      </w:r>
      <w:r>
        <w:rPr>
          <w:rFonts w:cs="Times New Roman"/>
          <w:color w:val="1F497D"/>
        </w:rPr>
        <w:br/>
      </w:r>
      <w:r>
        <w:rPr>
          <w:rFonts w:cs="Times New Roman"/>
        </w:rPr>
        <w:t>See: http://ec.europa.eu/info/publications/economy-finance/boosting-investment-social-infrastructure-europe_en</w:t>
      </w:r>
    </w:p>
  </w:footnote>
  <w:footnote w:id="33">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w:t>
      </w:r>
      <w:r>
        <w:rPr>
          <w:rFonts w:cs="Times New Roman"/>
        </w:rPr>
        <w:t xml:space="preserve">Survey on the Access to Finance of Enterprises in the euro area April to September 2017: </w:t>
      </w:r>
      <w:hyperlink r:id="rId6" w:history="1">
        <w:r>
          <w:rPr>
            <w:rStyle w:val="Hyperlink"/>
            <w:rFonts w:cs="Times New Roman"/>
          </w:rPr>
          <w:t>https://www.ecb.europa.eu/pub/pdf/other/ecb.accesstofinancesmallmediumsizedenterprises201711.en.pdf?beb1832df4af9efa945a5a1f7b99eeb7</w:t>
        </w:r>
      </w:hyperlink>
    </w:p>
  </w:footnote>
  <w:footnote w:id="34">
    <w:p>
      <w:pPr>
        <w:pStyle w:val="FootnoteText"/>
        <w:ind w:left="0" w:firstLine="0"/>
        <w:rPr>
          <w:rFonts w:cs="Times New Roman"/>
        </w:rPr>
      </w:pPr>
      <w:r>
        <w:rPr>
          <w:rStyle w:val="FootnoteReference"/>
          <w:rFonts w:cs="Times New Roman"/>
        </w:rPr>
        <w:footnoteRef/>
      </w:r>
      <w:r>
        <w:rPr>
          <w:rFonts w:cs="Times New Roman"/>
        </w:rPr>
        <w:t xml:space="preserve"> Most of this type of training is performed in a small number of countries (notably Germany, contributing around 50% of all EU company spending on apprenticeships). Annual company spending on apprenticeships is estimated to stand at around 1% of their annual labour costs, or around EUR 30bn, see: Eurostat, Labour Cost Survey, 2012</w:t>
      </w:r>
    </w:p>
  </w:footnote>
  <w:footnote w:id="35">
    <w:p>
      <w:pPr>
        <w:pStyle w:val="FootnoteText"/>
        <w:ind w:left="0" w:firstLine="0"/>
        <w:rPr>
          <w:rFonts w:cs="Times New Roman"/>
        </w:rPr>
      </w:pPr>
      <w:r>
        <w:rPr>
          <w:rStyle w:val="FootnoteReference"/>
          <w:rFonts w:cs="Times New Roman"/>
        </w:rPr>
        <w:footnoteRef/>
      </w:r>
      <w:r>
        <w:rPr>
          <w:rFonts w:cs="Times New Roman"/>
        </w:rPr>
        <w:t xml:space="preserve"> Source: Eurostat, Labour Cost Survey, 2012</w:t>
      </w:r>
    </w:p>
  </w:footnote>
  <w:footnote w:id="36">
    <w:p>
      <w:pPr>
        <w:pStyle w:val="FootnoteText"/>
        <w:ind w:left="0" w:firstLine="0"/>
        <w:rPr>
          <w:rFonts w:cs="Times New Roman"/>
        </w:rPr>
      </w:pPr>
      <w:r>
        <w:rPr>
          <w:rStyle w:val="FootnoteReference"/>
          <w:rFonts w:cs="Times New Roman"/>
        </w:rPr>
        <w:footnoteRef/>
      </w:r>
      <w:r>
        <w:rPr>
          <w:rFonts w:cs="Times New Roman"/>
        </w:rPr>
        <w:t xml:space="preserve">Commission note: Investment in human capital discussed at Eurogroup on 06/11/2017 </w:t>
      </w:r>
    </w:p>
    <w:p>
      <w:pPr>
        <w:pStyle w:val="FootnoteText"/>
        <w:ind w:left="0" w:firstLine="0"/>
        <w:rPr>
          <w:rFonts w:cs="Times New Roman"/>
        </w:rPr>
      </w:pPr>
      <w:hyperlink r:id="rId7" w:history="1">
        <w:r>
          <w:rPr>
            <w:rStyle w:val="Hyperlink"/>
            <w:rFonts w:cs="Times New Roman"/>
          </w:rPr>
          <w:t>http://www.consilium.europa.eu/media/31409/investment-in-human-capital_eurogroup_31102017_ares.pdf</w:t>
        </w:r>
      </w:hyperlink>
      <w:r>
        <w:rPr>
          <w:rFonts w:cs="Times New Roman"/>
        </w:rPr>
        <w:t xml:space="preserve"> </w:t>
      </w:r>
    </w:p>
  </w:footnote>
  <w:footnote w:id="37">
    <w:p>
      <w:pPr>
        <w:pStyle w:val="FootnoteText"/>
        <w:ind w:left="0" w:firstLine="0"/>
        <w:jc w:val="left"/>
        <w:rPr>
          <w:rFonts w:cs="Times New Roman"/>
          <w:lang w:eastAsia="ja-JP"/>
        </w:rPr>
      </w:pPr>
      <w:r>
        <w:rPr>
          <w:rStyle w:val="FootnoteReference"/>
          <w:rFonts w:cs="Times New Roman"/>
        </w:rPr>
        <w:footnoteRef/>
      </w:r>
      <w:r>
        <w:rPr>
          <w:rFonts w:cs="Times New Roman"/>
        </w:rPr>
        <w:t xml:space="preserve"> See EIB, </w:t>
      </w:r>
      <w:r>
        <w:rPr>
          <w:rFonts w:cs="Times New Roman"/>
          <w:i/>
        </w:rPr>
        <w:t>'Restoring EU competitiveness'</w:t>
      </w:r>
      <w:r>
        <w:rPr>
          <w:rFonts w:cs="Times New Roman"/>
        </w:rPr>
        <w:t xml:space="preserve">, 2016. </w:t>
      </w:r>
    </w:p>
  </w:footnote>
  <w:footnote w:id="38">
    <w:p>
      <w:pPr>
        <w:pStyle w:val="FootnoteText"/>
        <w:ind w:left="0" w:firstLine="0"/>
        <w:jc w:val="left"/>
        <w:rPr>
          <w:rFonts w:cs="Times New Roman"/>
        </w:rPr>
      </w:pPr>
      <w:r>
        <w:rPr>
          <w:rStyle w:val="FootnoteReference"/>
          <w:rFonts w:cs="Times New Roman"/>
        </w:rPr>
        <w:footnoteRef/>
      </w:r>
      <w:r>
        <w:rPr>
          <w:rFonts w:cs="Times New Roman"/>
        </w:rPr>
        <w:t xml:space="preserve"> </w:t>
      </w:r>
      <w:hyperlink r:id="rId8" w:history="1">
        <w:r>
          <w:rPr>
            <w:rStyle w:val="Hyperlink"/>
            <w:rFonts w:cs="Times New Roman"/>
          </w:rPr>
          <w:t>https://ec.europa.eu/info/business-economy-euro/growth-and-investment/structural-reforms/ageing-and-welfare-state-policies_en</w:t>
        </w:r>
      </w:hyperlink>
      <w:r>
        <w:rPr>
          <w:rFonts w:cs="Times New Roman"/>
        </w:rPr>
        <w:t xml:space="preserve"> </w:t>
      </w:r>
    </w:p>
  </w:footnote>
  <w:footnote w:id="39">
    <w:p>
      <w:pPr>
        <w:pStyle w:val="FootnoteText"/>
        <w:ind w:left="0" w:firstLine="0"/>
        <w:rPr>
          <w:rFonts w:cs="Times New Roman"/>
        </w:rPr>
      </w:pPr>
      <w:r>
        <w:rPr>
          <w:rStyle w:val="FootnoteReference"/>
          <w:rFonts w:cs="Times New Roman"/>
        </w:rPr>
        <w:footnoteRef/>
      </w:r>
      <w:r>
        <w:rPr>
          <w:rFonts w:cs="Times New Roman"/>
        </w:rPr>
        <w:t xml:space="preserve"> "Reflection paper on the future of EU finances", June 2017, </w:t>
      </w:r>
      <w:hyperlink r:id="rId9" w:history="1">
        <w:r>
          <w:rPr>
            <w:rStyle w:val="Hyperlink"/>
            <w:rFonts w:cs="Times New Roman"/>
          </w:rPr>
          <w:t>https://ec.europa.eu/commission/publications/reflection-paper-future-eu-finances_en</w:t>
        </w:r>
      </w:hyperlink>
      <w:r>
        <w:rPr>
          <w:rFonts w:cs="Times New Roman"/>
        </w:rPr>
        <w:t xml:space="preserve"> </w:t>
      </w:r>
    </w:p>
  </w:footnote>
  <w:footnote w:id="40">
    <w:p>
      <w:pPr>
        <w:pStyle w:val="Default"/>
      </w:pPr>
      <w:r>
        <w:rPr>
          <w:rStyle w:val="FootnoteReference"/>
          <w:sz w:val="18"/>
          <w:szCs w:val="18"/>
        </w:rPr>
        <w:footnoteRef/>
      </w:r>
      <w:r>
        <w:rPr>
          <w:sz w:val="18"/>
          <w:szCs w:val="18"/>
        </w:rPr>
        <w:t xml:space="preserve"> Annual report of the Court of Auditors on the implementation of the budget concerning the financial year 2016, OJ 2017/C 322/01, p. 55.</w:t>
      </w:r>
    </w:p>
  </w:footnote>
  <w:footnote w:id="41">
    <w:p>
      <w:pPr>
        <w:pStyle w:val="FootnoteText"/>
        <w:ind w:left="0" w:firstLine="0"/>
        <w:rPr>
          <w:rFonts w:cs="Times New Roman"/>
        </w:rPr>
      </w:pPr>
      <w:r>
        <w:rPr>
          <w:rStyle w:val="FootnoteReference"/>
          <w:rFonts w:cs="Times New Roman"/>
        </w:rPr>
        <w:footnoteRef/>
      </w:r>
      <w:r>
        <w:rPr>
          <w:rFonts w:cs="Times New Roman"/>
        </w:rPr>
        <w:t xml:space="preserve"> </w:t>
      </w:r>
      <w:hyperlink r:id="rId10" w:history="1">
        <w:r>
          <w:rPr>
            <w:rStyle w:val="Hyperlink"/>
            <w:rFonts w:cs="Times New Roman"/>
          </w:rPr>
          <w:t>https://ec.europa.eu/commission/sites/beta-political/files/reflection-paper-eu-finances_en.pdf</w:t>
        </w:r>
      </w:hyperlink>
      <w:r>
        <w:rPr>
          <w:rFonts w:cs="Times New Roman"/>
        </w:rPr>
        <w:t xml:space="preserve">   </w:t>
      </w:r>
    </w:p>
  </w:footnote>
  <w:footnote w:id="42">
    <w:p>
      <w:pPr>
        <w:pStyle w:val="FootnoteText"/>
        <w:ind w:left="0" w:firstLine="0"/>
        <w:rPr>
          <w:rFonts w:cs="Times New Roman"/>
        </w:rPr>
      </w:pPr>
      <w:r>
        <w:rPr>
          <w:rStyle w:val="FootnoteReference"/>
          <w:rFonts w:cs="Times New Roman"/>
        </w:rPr>
        <w:footnoteRef/>
      </w:r>
      <w:r>
        <w:rPr>
          <w:rFonts w:cs="Times New Roman"/>
        </w:rPr>
        <w:t xml:space="preserve"> "</w:t>
      </w:r>
      <w:r>
        <w:rPr>
          <w:rFonts w:cs="Times New Roman"/>
          <w:color w:val="000000"/>
        </w:rPr>
        <w:t xml:space="preserve">A new, modern Multiannual Financial Framework for a European Union that delivers efficiently on its priorities post-2020", February 2018, </w:t>
      </w:r>
      <w:r>
        <w:rPr>
          <w:rFonts w:cs="Times New Roman"/>
        </w:rPr>
        <w:t xml:space="preserve">COM(2018) 98 final – </w:t>
      </w:r>
    </w:p>
    <w:p>
      <w:pPr>
        <w:pStyle w:val="FootnoteText"/>
        <w:ind w:left="0" w:firstLine="0"/>
        <w:rPr>
          <w:rFonts w:cs="Times New Roman"/>
        </w:rPr>
      </w:pPr>
      <w:hyperlink r:id="rId11" w:history="1">
        <w:r>
          <w:rPr>
            <w:rStyle w:val="Hyperlink"/>
            <w:rFonts w:cs="Times New Roman"/>
          </w:rPr>
          <w:t>http://eur-lex.europa.eu/legal-content/EN/TXT/HTML/?uri=CELEX%3A52018DC0098&amp;from=EN</w:t>
        </w:r>
      </w:hyperlink>
      <w:r>
        <w:rPr>
          <w:rFonts w:cs="Times New Roman"/>
        </w:rPr>
        <w:t xml:space="preserve"> </w:t>
      </w:r>
    </w:p>
  </w:footnote>
  <w:footnote w:id="43">
    <w:p>
      <w:pPr>
        <w:pStyle w:val="FootnoteText"/>
        <w:ind w:left="0" w:firstLine="0"/>
        <w:rPr>
          <w:rFonts w:cs="Times New Roman"/>
        </w:rPr>
      </w:pPr>
      <w:r>
        <w:rPr>
          <w:rStyle w:val="FootnoteReference"/>
          <w:rFonts w:cs="Times New Roman"/>
        </w:rPr>
        <w:footnoteRef/>
      </w:r>
      <w:r>
        <w:rPr>
          <w:rFonts w:cs="Times New Roman"/>
        </w:rPr>
        <w:t xml:space="preserve"> "Final conclusions and recommendations of the High Level Group on Simplification for post 2020", July 2017 - </w:t>
      </w:r>
      <w:hyperlink r:id="rId12" w:history="1">
        <w:r>
          <w:rPr>
            <w:rStyle w:val="Hyperlink"/>
            <w:rFonts w:cs="Times New Roman"/>
          </w:rPr>
          <w:t>http://ec.europa.eu/regional_policy/sources/newsroom/pdf/simplification_proposals.pdf</w:t>
        </w:r>
      </w:hyperlink>
      <w:r>
        <w:rPr>
          <w:rFonts w:cs="Times New Roman"/>
        </w:rPr>
        <w:t xml:space="preserve"> </w:t>
      </w:r>
    </w:p>
  </w:footnote>
  <w:footnote w:id="44">
    <w:p>
      <w:pPr>
        <w:pStyle w:val="FootnoteText"/>
        <w:ind w:left="0" w:firstLine="0"/>
        <w:rPr>
          <w:rFonts w:cs="Times New Roman"/>
        </w:rPr>
      </w:pPr>
      <w:r>
        <w:rPr>
          <w:rStyle w:val="FootnoteReference"/>
          <w:rFonts w:cs="Times New Roman"/>
        </w:rPr>
        <w:footnoteRef/>
      </w:r>
      <w:r>
        <w:rPr>
          <w:rFonts w:cs="Times New Roman"/>
        </w:rPr>
        <w:t xml:space="preserve"> European Parliament resolution on the Reflection Paper on the Future of EU Finances (2017/2742(RSP))</w:t>
      </w:r>
    </w:p>
  </w:footnote>
  <w:footnote w:id="45">
    <w:p>
      <w:pPr>
        <w:pStyle w:val="FootnoteText"/>
        <w:ind w:left="0" w:firstLine="0"/>
        <w:rPr>
          <w:rFonts w:cs="Times New Roman"/>
        </w:rPr>
      </w:pPr>
      <w:r>
        <w:rPr>
          <w:rStyle w:val="FootnoteReference"/>
          <w:rFonts w:cs="Times New Roman"/>
        </w:rPr>
        <w:footnoteRef/>
      </w:r>
      <w:r>
        <w:rPr>
          <w:rFonts w:cs="Times New Roman"/>
        </w:rPr>
        <w:t xml:space="preserve"> European Parliament resolution of 14 March 2018 on the next MFF: Preparing the Parliament’s position on the MFF post-2020 (2017/2052(INI))</w:t>
      </w:r>
    </w:p>
  </w:footnote>
  <w:footnote w:id="46">
    <w:p>
      <w:pPr>
        <w:pStyle w:val="FootnoteText"/>
        <w:rPr>
          <w:rFonts w:cs="Times New Roman"/>
        </w:rPr>
      </w:pPr>
      <w:r>
        <w:rPr>
          <w:rStyle w:val="FootnoteReference"/>
          <w:rFonts w:cs="Times New Roman"/>
        </w:rPr>
        <w:footnoteRef/>
      </w:r>
      <w:r>
        <w:rPr>
          <w:rFonts w:cs="Times New Roman"/>
        </w:rPr>
        <w:t xml:space="preserve"> </w:t>
      </w:r>
      <w:hyperlink r:id="rId13" w:history="1">
        <w:r>
          <w:rPr>
            <w:rStyle w:val="Hyperlink"/>
            <w:rFonts w:cs="Times New Roman"/>
          </w:rPr>
          <w:t>https://ec.europa.EU/info/files/180308-action-plan-sustainable-growth_en</w:t>
        </w:r>
      </w:hyperlink>
    </w:p>
  </w:footnote>
  <w:footnote w:id="47">
    <w:p>
      <w:pPr>
        <w:pStyle w:val="FootnoteText"/>
        <w:ind w:left="0" w:firstLine="0"/>
        <w:rPr>
          <w:rFonts w:cs="Times New Roman"/>
          <w:lang w:eastAsia="ja-JP"/>
        </w:rPr>
      </w:pPr>
      <w:r>
        <w:rPr>
          <w:rStyle w:val="FootnoteReference"/>
          <w:rFonts w:cs="Times New Roman"/>
        </w:rPr>
        <w:footnoteRef/>
      </w:r>
      <w:r>
        <w:rPr>
          <w:rFonts w:cs="Times New Roman"/>
        </w:rPr>
        <w:t xml:space="preserve"> "</w:t>
      </w:r>
      <w:r>
        <w:rPr>
          <w:rFonts w:cs="Times New Roman"/>
          <w:lang w:eastAsia="ja-JP"/>
        </w:rPr>
        <w:t xml:space="preserve">Special Report EU-funded loan guarantee instruments: positive results but better targeting of beneficiaries and coordination with national schemes needed, 2017, n. 20, European Court of Auditors, Special Report (pursuant to Article 287(4), second subparagraph, TFEU)", </w:t>
      </w:r>
      <w:hyperlink r:id="rId14" w:history="1">
        <w:r>
          <w:rPr>
            <w:rStyle w:val="Hyperlink"/>
            <w:rFonts w:cs="Times New Roman"/>
            <w:lang w:eastAsia="ja-JP"/>
          </w:rPr>
          <w:t>https://www.eca.europa.eu/Lists/ECADocuments/SR17_20/SR_SMEG_EN.pdf</w:t>
        </w:r>
      </w:hyperlink>
    </w:p>
  </w:footnote>
  <w:footnote w:id="48">
    <w:p>
      <w:pPr>
        <w:pStyle w:val="FootnoteText"/>
        <w:rPr>
          <w:rFonts w:cs="Times New Roman"/>
        </w:rPr>
      </w:pPr>
      <w:r>
        <w:rPr>
          <w:rStyle w:val="FootnoteReference"/>
          <w:rFonts w:cs="Times New Roman"/>
        </w:rPr>
        <w:footnoteRef/>
      </w:r>
      <w:r>
        <w:rPr>
          <w:rFonts w:cs="Times New Roman"/>
        </w:rPr>
        <w:t xml:space="preserve"> </w:t>
      </w:r>
      <w:hyperlink r:id="rId15" w:history="1">
        <w:r>
          <w:rPr>
            <w:rStyle w:val="Hyperlink"/>
            <w:rFonts w:cs="Times New Roman"/>
          </w:rPr>
          <w:t>http://ec.europa.eu/social/main.jsp?langId=en&amp;catId=1081&amp;newsId=9071&amp;furtherNews=yes</w:t>
        </w:r>
      </w:hyperlink>
      <w:r>
        <w:rPr>
          <w:rFonts w:cs="Times New Roman"/>
        </w:rPr>
        <w:t xml:space="preserve"> </w:t>
      </w:r>
    </w:p>
  </w:footnote>
  <w:footnote w:id="49">
    <w:p>
      <w:pPr>
        <w:pStyle w:val="Default"/>
        <w:rPr>
          <w:sz w:val="20"/>
          <w:szCs w:val="20"/>
        </w:rPr>
      </w:pPr>
      <w:r>
        <w:rPr>
          <w:rStyle w:val="FootnoteReference"/>
          <w:sz w:val="18"/>
          <w:szCs w:val="18"/>
        </w:rPr>
        <w:footnoteRef/>
      </w:r>
      <w:r>
        <w:rPr>
          <w:sz w:val="18"/>
          <w:szCs w:val="18"/>
        </w:rPr>
        <w:t xml:space="preserve"> "The use of new provisions during the programming phase of the European Structural and Investment funds" – Final Report , Altus Framework Consortium, May 2016.</w:t>
      </w:r>
    </w:p>
  </w:footnote>
  <w:footnote w:id="50">
    <w:p>
      <w:pPr>
        <w:pStyle w:val="FootnoteText"/>
        <w:rPr>
          <w:rFonts w:cs="Times New Roman"/>
        </w:rPr>
      </w:pPr>
      <w:r>
        <w:rPr>
          <w:rStyle w:val="FootnoteReference"/>
          <w:rFonts w:cs="Times New Roman"/>
        </w:rPr>
        <w:footnoteRef/>
      </w:r>
      <w:r>
        <w:rPr>
          <w:rFonts w:cs="Times New Roman"/>
        </w:rPr>
        <w:t xml:space="preserve"> ECA Special report No 20/2017: </w:t>
      </w:r>
      <w:hyperlink r:id="rId16" w:history="1">
        <w:r>
          <w:rPr>
            <w:rStyle w:val="Hyperlink"/>
            <w:rFonts w:cs="Times New Roman"/>
          </w:rPr>
          <w:t>https://www.eca.europa.eu/Lists/ECADocuments/SR17_20/SR_SMEG_EN.pdf</w:t>
        </w:r>
      </w:hyperlink>
      <w:r>
        <w:rPr>
          <w:rFonts w:cs="Times New Roman"/>
        </w:rPr>
        <w:t xml:space="preserve"> </w:t>
      </w:r>
    </w:p>
  </w:footnote>
  <w:footnote w:id="51">
    <w:p>
      <w:pPr>
        <w:pStyle w:val="FootnoteText"/>
        <w:ind w:left="0" w:firstLine="0"/>
        <w:rPr>
          <w:rFonts w:cs="Times New Roman"/>
        </w:rPr>
      </w:pPr>
      <w:r>
        <w:rPr>
          <w:rStyle w:val="FootnoteReference"/>
          <w:rFonts w:cs="Times New Roman"/>
        </w:rPr>
        <w:footnoteRef/>
      </w:r>
      <w:r>
        <w:rPr>
          <w:rFonts w:cs="Times New Roman"/>
        </w:rPr>
        <w:t xml:space="preserve"> Reflection paper on the future of EU finances", June 2017, </w:t>
      </w:r>
      <w:hyperlink r:id="rId17" w:history="1">
        <w:r>
          <w:rPr>
            <w:rStyle w:val="Hyperlink"/>
            <w:rFonts w:cs="Times New Roman"/>
          </w:rPr>
          <w:t>https://ec.europa.eu/commission/publications/reflection-paper-future-eu-finances_en</w:t>
        </w:r>
      </w:hyperlink>
      <w:r>
        <w:rPr>
          <w:rFonts w:cs="Times New Roman"/>
        </w:rPr>
        <w:t xml:space="preserve"> </w:t>
      </w:r>
    </w:p>
  </w:footnote>
  <w:footnote w:id="52">
    <w:p>
      <w:pPr>
        <w:pStyle w:val="FootnoteText"/>
        <w:ind w:left="0" w:firstLine="0"/>
        <w:rPr>
          <w:rFonts w:cs="Times New Roman"/>
        </w:rPr>
      </w:pPr>
      <w:r>
        <w:rPr>
          <w:rStyle w:val="FootnoteReference"/>
          <w:rFonts w:cs="Times New Roman"/>
        </w:rPr>
        <w:footnoteRef/>
      </w:r>
      <w:r>
        <w:rPr>
          <w:rFonts w:cs="Times New Roman"/>
        </w:rPr>
        <w:t xml:space="preserve"> This was a subpart of the OPC on Investment, research and innovation, SMEs and single market.</w:t>
      </w:r>
    </w:p>
  </w:footnote>
  <w:footnote w:id="53">
    <w:p>
      <w:pPr>
        <w:pStyle w:val="FootnoteText"/>
        <w:ind w:left="0" w:firstLine="0"/>
        <w:rPr>
          <w:rFonts w:cs="Times New Roman"/>
        </w:rPr>
      </w:pPr>
      <w:r>
        <w:rPr>
          <w:rStyle w:val="FootnoteReference"/>
          <w:rFonts w:cs="Times New Roman"/>
        </w:rPr>
        <w:footnoteRef/>
      </w:r>
      <w:r>
        <w:rPr>
          <w:rFonts w:cs="Times New Roman"/>
        </w:rPr>
        <w:t xml:space="preserve"> Reflection paper on the future of EU finances", June 2017, </w:t>
      </w:r>
      <w:hyperlink r:id="rId18" w:history="1">
        <w:r>
          <w:rPr>
            <w:rStyle w:val="Hyperlink"/>
            <w:rFonts w:cs="Times New Roman"/>
          </w:rPr>
          <w:t>https://ec.europa.eu/commission/publications/reflection-paper-future-eu-finances_en</w:t>
        </w:r>
      </w:hyperlink>
      <w:r>
        <w:rPr>
          <w:rFonts w:cs="Times New Roman"/>
        </w:rPr>
        <w:t xml:space="preserve"> </w:t>
      </w:r>
    </w:p>
  </w:footnote>
  <w:footnote w:id="54">
    <w:p>
      <w:pPr>
        <w:pStyle w:val="FootnoteText"/>
        <w:tabs>
          <w:tab w:val="left" w:pos="0"/>
        </w:tabs>
        <w:ind w:left="0" w:firstLine="0"/>
        <w:jc w:val="left"/>
        <w:rPr>
          <w:rFonts w:cs="Times New Roman"/>
          <w:lang w:val="pt-PT"/>
        </w:rPr>
      </w:pPr>
      <w:r>
        <w:rPr>
          <w:rStyle w:val="FootnoteReference"/>
          <w:rFonts w:cs="Times New Roman"/>
        </w:rPr>
        <w:footnoteRef/>
      </w:r>
      <w:hyperlink r:id="rId19" w:history="1">
        <w:r>
          <w:rPr>
            <w:rStyle w:val="Hyperlink"/>
            <w:rFonts w:cs="Times New Roman"/>
            <w:lang w:val="pt-PT"/>
          </w:rPr>
          <w:t>https://ec.europa.eu/commission/sites/beta-political/files/communication-new-modern-multiannual-financial-framework_en.pdf</w:t>
        </w:r>
      </w:hyperlink>
      <w:r>
        <w:rPr>
          <w:rFonts w:cs="Times New Roman"/>
          <w:lang w:val="pt-PT"/>
        </w:rPr>
        <w:t>, COM(2018) 98 final</w:t>
      </w:r>
    </w:p>
  </w:footnote>
  <w:footnote w:id="55">
    <w:p>
      <w:pPr>
        <w:pStyle w:val="FootnoteText"/>
        <w:ind w:left="0" w:firstLine="0"/>
        <w:rPr>
          <w:rFonts w:cs="Times New Roman"/>
          <w:lang w:val="pt-PT"/>
        </w:rPr>
      </w:pPr>
      <w:r>
        <w:rPr>
          <w:rStyle w:val="FootnoteReference"/>
          <w:rFonts w:cs="Times New Roman"/>
        </w:rPr>
        <w:footnoteRef/>
      </w:r>
      <w:hyperlink r:id="rId20" w:history="1">
        <w:r>
          <w:rPr>
            <w:rStyle w:val="Hyperlink"/>
            <w:rFonts w:cs="Times New Roman"/>
            <w:lang w:val="pt-PT"/>
          </w:rPr>
          <w:t>http://www.europarl.europa.eu/sides/getDoc.do?pubRef=-//EP//TEXT+MOTION+B8-2017-0565+0+DOC+XML+V0//EN</w:t>
        </w:r>
      </w:hyperlink>
      <w:r>
        <w:rPr>
          <w:rFonts w:cs="Times New Roman"/>
          <w:lang w:val="pt-PT"/>
        </w:rPr>
        <w:t xml:space="preserve"> </w:t>
      </w:r>
    </w:p>
  </w:footnote>
  <w:footnote w:id="56">
    <w:p>
      <w:pPr>
        <w:pStyle w:val="FootnoteText"/>
        <w:ind w:left="0" w:hanging="11"/>
        <w:rPr>
          <w:rFonts w:cs="Times New Roman"/>
          <w:szCs w:val="18"/>
        </w:rPr>
      </w:pPr>
      <w:r>
        <w:rPr>
          <w:rStyle w:val="FootnoteReference"/>
          <w:rFonts w:cs="Times New Roman"/>
          <w:szCs w:val="18"/>
        </w:rPr>
        <w:footnoteRef/>
      </w:r>
      <w:r>
        <w:rPr>
          <w:rFonts w:cs="Times New Roman"/>
          <w:szCs w:val="18"/>
        </w:rPr>
        <w:t xml:space="preserve"> Sustainable and resilient infrastructure integrates environmental, social and governance (ESG) aspects into a project’s planning, building and operating phases while ensuring resilience in the face of climate change or other shocks such as rapid migration, natural disasters or economic downturns. Service needs will be met in a manner that minimizes or reverses environmental damage, improves social equality and does not waste resources. </w:t>
      </w:r>
    </w:p>
    <w:p>
      <w:pPr>
        <w:pStyle w:val="FootnoteText"/>
        <w:ind w:left="0" w:firstLine="0"/>
        <w:jc w:val="left"/>
        <w:rPr>
          <w:rFonts w:cs="Times New Roman"/>
        </w:rPr>
      </w:pPr>
      <w:r>
        <w:rPr>
          <w:rFonts w:cs="Times New Roman"/>
          <w:szCs w:val="18"/>
        </w:rPr>
        <w:t xml:space="preserve">(UNEP &amp; Global Infrastructure Basel Foundation; </w:t>
      </w:r>
      <w:hyperlink r:id="rId21" w:history="1">
        <w:r>
          <w:rPr>
            <w:rStyle w:val="Hyperlink"/>
            <w:rFonts w:cs="Times New Roman"/>
            <w:szCs w:val="18"/>
          </w:rPr>
          <w:t>http://unepinquiry.org/wp-content/uploads/2016/06/Sustainable_Infrastructure_and_Finance.pdf</w:t>
        </w:r>
      </w:hyperlink>
      <w:r>
        <w:rPr>
          <w:rFonts w:cs="Times New Roman"/>
          <w:szCs w:val="18"/>
        </w:rPr>
        <w:t>)</w:t>
      </w:r>
      <w:r>
        <w:rPr>
          <w:rFonts w:cs="Times New Roman"/>
          <w:sz w:val="22"/>
        </w:rPr>
        <w:t xml:space="preserve"> </w:t>
      </w:r>
    </w:p>
  </w:footnote>
  <w:footnote w:id="57">
    <w:p>
      <w:pPr>
        <w:pStyle w:val="FootnoteText"/>
        <w:rPr>
          <w:rFonts w:cs="Times New Roman"/>
        </w:rPr>
      </w:pPr>
      <w:r>
        <w:rPr>
          <w:rStyle w:val="FootnoteReference"/>
          <w:rFonts w:cs="Times New Roman"/>
        </w:rPr>
        <w:footnoteRef/>
      </w:r>
      <w:r>
        <w:rPr>
          <w:rFonts w:cs="Times New Roman"/>
        </w:rPr>
        <w:t xml:space="preserve"> See also Commission Action Plan: Financing sustainable growth, COM(2018)97, 08.03.2018</w:t>
      </w:r>
    </w:p>
  </w:footnote>
  <w:footnote w:id="58">
    <w:p>
      <w:pPr>
        <w:pStyle w:val="FootnoteText"/>
        <w:ind w:left="0" w:firstLine="0"/>
        <w:rPr>
          <w:rFonts w:cs="Times New Roman"/>
        </w:rPr>
      </w:pPr>
      <w:r>
        <w:rPr>
          <w:rStyle w:val="FootnoteReference"/>
          <w:rFonts w:cs="Times New Roman"/>
        </w:rPr>
        <w:footnoteRef/>
      </w:r>
      <w:r>
        <w:rPr>
          <w:rFonts w:cs="Times New Roman"/>
        </w:rPr>
        <w:t>See guidance on the climate change related requirements for major projects in the 2014-2020 programming period: European Commission, "</w:t>
      </w:r>
      <w:r>
        <w:rPr>
          <w:rFonts w:cs="Times New Roman"/>
          <w:i/>
        </w:rPr>
        <w:t>Climate change and major projects</w:t>
      </w:r>
      <w:r>
        <w:rPr>
          <w:rFonts w:cs="Times New Roman"/>
        </w:rPr>
        <w:t xml:space="preserve">" 2016: </w:t>
      </w:r>
      <w:hyperlink r:id="rId22" w:history="1">
        <w:r>
          <w:rPr>
            <w:rStyle w:val="Hyperlink"/>
            <w:rFonts w:cs="Times New Roman"/>
          </w:rPr>
          <w:t>https://ec.europa.eu/clima/sites/clima/files/docs/major_projects_en.pdf</w:t>
        </w:r>
      </w:hyperlink>
      <w:r>
        <w:rPr>
          <w:rFonts w:cs="Times New Roman"/>
        </w:rPr>
        <w:t xml:space="preserve"> </w:t>
      </w:r>
    </w:p>
  </w:footnote>
  <w:footnote w:id="59">
    <w:p>
      <w:pPr>
        <w:pStyle w:val="FootnoteText"/>
        <w:rPr>
          <w:rFonts w:cs="Times New Roman"/>
        </w:rPr>
      </w:pPr>
      <w:r>
        <w:rPr>
          <w:rStyle w:val="FootnoteReference"/>
          <w:rFonts w:cs="Times New Roman"/>
        </w:rPr>
        <w:footnoteRef/>
      </w:r>
      <w:r>
        <w:rPr>
          <w:rFonts w:cs="Times New Roman"/>
        </w:rPr>
        <w:t xml:space="preserve"> Communication from the Commission, Action Plan: Financing Sustainable Growth, COM(2018)97, 08.03.2018 </w:t>
      </w:r>
    </w:p>
  </w:footnote>
  <w:footnote w:id="60">
    <w:p>
      <w:pPr>
        <w:pStyle w:val="FootnoteText"/>
        <w:ind w:left="0" w:firstLine="0"/>
        <w:rPr>
          <w:rFonts w:cs="Times New Roman"/>
        </w:rPr>
      </w:pPr>
      <w:r>
        <w:rPr>
          <w:rStyle w:val="FootnoteReference"/>
          <w:rFonts w:cs="Times New Roman"/>
        </w:rPr>
        <w:footnoteRef/>
      </w:r>
      <w:r>
        <w:rPr>
          <w:rFonts w:cs="Times New Roman"/>
        </w:rPr>
        <w:t xml:space="preserve"> "Deep tech" refers to companies of any sector that are "founded on a scientific discovery or meaningful engineering innovation".</w:t>
      </w:r>
    </w:p>
  </w:footnote>
  <w:footnote w:id="61">
    <w:p>
      <w:pPr>
        <w:pStyle w:val="FootnoteText"/>
        <w:ind w:left="0" w:firstLine="0"/>
        <w:rPr>
          <w:rFonts w:cs="Times New Roman"/>
        </w:rPr>
      </w:pPr>
      <w:r>
        <w:rPr>
          <w:rStyle w:val="FootnoteReference"/>
          <w:rFonts w:cs="Times New Roman"/>
        </w:rPr>
        <w:footnoteRef/>
      </w:r>
      <w:r>
        <w:rPr>
          <w:rFonts w:cs="Times New Roman"/>
        </w:rPr>
        <w:t xml:space="preserve"> In order to qualify as an SME Growth Market, at least 50% of the issuers whose financial instruments are traded on an SME growth market shall be SMEs, defined by MiFID II as companies with an average market capitalisation of less than EUR 200 million.</w:t>
      </w:r>
    </w:p>
  </w:footnote>
  <w:footnote w:id="62">
    <w:p>
      <w:pPr>
        <w:pStyle w:val="FootnoteText"/>
        <w:ind w:left="0" w:firstLine="0"/>
        <w:rPr>
          <w:rFonts w:cs="Times New Roman"/>
        </w:rPr>
      </w:pPr>
      <w:r>
        <w:rPr>
          <w:rStyle w:val="FootnoteReference"/>
          <w:rFonts w:cs="Times New Roman"/>
        </w:rPr>
        <w:footnoteRef/>
      </w:r>
      <w:r>
        <w:rPr>
          <w:rFonts w:cs="Times New Roman"/>
        </w:rPr>
        <w:t xml:space="preserve"> "Social enterprise" refers to businesses which have an explicit primary objective to generate positive social or societal impact, independently of their legal form. They are part of the "Social economy" which, as a broader concept, also includes all co-operatives, mutual societies, foundations and associations and which are based on principles such as the primacy of people over capital, the democratic control by the membership, the reinvestment of the surplus to carry out its societal objectives or to the interest of its members, and an autonomous management. Altogether the social economy is estimated to represent 10% of jobs and 8-10% of EU GDP.</w:t>
      </w:r>
    </w:p>
  </w:footnote>
  <w:footnote w:id="63">
    <w:p>
      <w:pPr>
        <w:pStyle w:val="FootnoteText"/>
        <w:ind w:left="0" w:firstLine="0"/>
        <w:rPr>
          <w:rFonts w:cs="Times New Roman"/>
        </w:rPr>
      </w:pPr>
      <w:r>
        <w:rPr>
          <w:rStyle w:val="FootnoteReference"/>
          <w:rFonts w:cs="Times New Roman"/>
        </w:rPr>
        <w:footnoteRef/>
      </w:r>
      <w:r>
        <w:rPr>
          <w:rFonts w:cs="Times New Roman"/>
        </w:rPr>
        <w:t xml:space="preserve"> In its 2016 Start-up and Scale-up initiative the Commission identified five priorities for further actions, drawing form the experience of the 2011 SBI initiative, the Council conclusions of 7 December 2015 and the recommendations of the Expert Group on Social Entrepreneurship (GECES) as well as the conclusions of the evaluations conducted so far.</w:t>
      </w:r>
    </w:p>
  </w:footnote>
  <w:footnote w:id="64">
    <w:p>
      <w:pPr>
        <w:pStyle w:val="FootnoteText"/>
        <w:rPr>
          <w:rFonts w:cs="Times New Roman"/>
        </w:rPr>
      </w:pPr>
      <w:r>
        <w:rPr>
          <w:rStyle w:val="FootnoteReference"/>
          <w:rFonts w:cs="Times New Roman"/>
        </w:rPr>
        <w:footnoteRef/>
      </w:r>
      <w:r>
        <w:rPr>
          <w:rFonts w:cs="Times New Roman"/>
        </w:rPr>
        <w:t xml:space="preserve"> The Innovation Fund is established by the Article 10 (a) 8 of the ETS Directive (EU) 2018/410.</w:t>
      </w:r>
    </w:p>
  </w:footnote>
  <w:footnote w:id="65">
    <w:p>
      <w:pPr>
        <w:pStyle w:val="FootnoteText"/>
        <w:ind w:left="0" w:firstLine="0"/>
        <w:rPr>
          <w:rFonts w:cs="Times New Roman"/>
        </w:rPr>
      </w:pPr>
      <w:r>
        <w:rPr>
          <w:rStyle w:val="FootnoteReference"/>
          <w:rFonts w:cs="Times New Roman"/>
        </w:rPr>
        <w:footnoteRef/>
      </w:r>
      <w:r>
        <w:rPr>
          <w:rFonts w:cs="Times New Roman"/>
        </w:rPr>
        <w:t xml:space="preserve"> Under the EFSI, investment support is provided under two windows: Infrastructure and Innovation Window and SME Window. </w:t>
      </w:r>
    </w:p>
  </w:footnote>
  <w:footnote w:id="66">
    <w:p>
      <w:pPr>
        <w:pStyle w:val="FootnoteText"/>
        <w:ind w:left="0" w:firstLine="0"/>
        <w:rPr>
          <w:rFonts w:cs="Times New Roman"/>
        </w:rPr>
      </w:pPr>
      <w:r>
        <w:rPr>
          <w:rStyle w:val="FootnoteReference"/>
          <w:rFonts w:cs="Times New Roman"/>
        </w:rPr>
        <w:footnoteRef/>
      </w:r>
      <w:r>
        <w:rPr>
          <w:rFonts w:cs="Times New Roman"/>
        </w:rPr>
        <w:t xml:space="preserve"> Market fragmentation - preventing the smooth and effective functioning of the internal market - can only be truly tackled through an intervention at Union level because of the disparities in Member States' fiscal capacity to act.</w:t>
      </w:r>
    </w:p>
  </w:footnote>
  <w:footnote w:id="67">
    <w:p>
      <w:pPr>
        <w:pStyle w:val="FootnoteText"/>
        <w:ind w:left="0" w:firstLine="0"/>
        <w:rPr>
          <w:rFonts w:cs="Times New Roman"/>
        </w:rPr>
      </w:pPr>
      <w:r>
        <w:rPr>
          <w:rStyle w:val="FootnoteReference"/>
          <w:rFonts w:cs="Times New Roman"/>
        </w:rPr>
        <w:footnoteRef/>
      </w:r>
      <w:r>
        <w:rPr>
          <w:rFonts w:cs="Times New Roman"/>
        </w:rPr>
        <w:t xml:space="preserve"> The existing risk management staff of the Commission will also need to be reinforced. This will be part of the financial statement for the legislative proposal. The risk managers will perform risk related calculations based on reporting from the implementing partners to allow for a thorough supervision by the Steering Board of the risk under the EU guarantee in total and under each window and to adjust, if needed, the financial products.</w:t>
      </w:r>
    </w:p>
  </w:footnote>
  <w:footnote w:id="68">
    <w:p>
      <w:pPr>
        <w:pStyle w:val="FootnoteText"/>
        <w:rPr>
          <w:rFonts w:cs="Times New Roman"/>
        </w:rPr>
      </w:pPr>
      <w:r>
        <w:rPr>
          <w:rStyle w:val="FootnoteReference"/>
          <w:rFonts w:cs="Times New Roman"/>
        </w:rPr>
        <w:footnoteRef/>
      </w:r>
      <w:r>
        <w:rPr>
          <w:rFonts w:cs="Times New Roman"/>
        </w:rPr>
        <w:t xml:space="preserve"> Bulgaria, Cyprus, Greece, Romania, Croatia, Estonia, Hungary, Latvia, Lithuania, Poland, Slovak Republic, and Slovenia</w:t>
      </w:r>
    </w:p>
  </w:footnote>
  <w:footnote w:id="69">
    <w:p>
      <w:pPr>
        <w:pStyle w:val="FootnoteText"/>
        <w:ind w:left="0" w:firstLine="0"/>
        <w:rPr>
          <w:rFonts w:cs="Times New Roman"/>
        </w:rPr>
      </w:pPr>
      <w:r>
        <w:rPr>
          <w:rStyle w:val="FootnoteReference"/>
          <w:rFonts w:cs="Times New Roman"/>
        </w:rPr>
        <w:footnoteRef/>
      </w:r>
      <w:r>
        <w:rPr>
          <w:rFonts w:cs="Times New Roman"/>
        </w:rPr>
        <w:t xml:space="preserve">See also: "The case for investing in Public Health", World Health Organization, Regional Office for Europe ( 2015) </w:t>
      </w:r>
      <w:hyperlink r:id="rId23" w:history="1">
        <w:r>
          <w:rPr>
            <w:rStyle w:val="Hyperlink"/>
            <w:rFonts w:cs="Times New Roman"/>
          </w:rPr>
          <w:t>http://www.euro.who.int/__data/assets/pdf_file/0009/278073/Case-Investing-Public-Health.pdf</w:t>
        </w:r>
      </w:hyperlink>
    </w:p>
  </w:footnote>
  <w:footnote w:id="70">
    <w:p>
      <w:pPr>
        <w:pStyle w:val="FootnoteText"/>
        <w:ind w:left="284" w:hanging="284"/>
        <w:rPr>
          <w:rFonts w:cs="Times New Roman"/>
        </w:rPr>
      </w:pPr>
      <w:r>
        <w:rPr>
          <w:rStyle w:val="FootnoteReference"/>
          <w:rFonts w:cs="Times New Roman"/>
        </w:rPr>
        <w:footnoteRef/>
      </w:r>
      <w:r>
        <w:rPr>
          <w:rFonts w:cs="Times New Roman"/>
        </w:rPr>
        <w:t xml:space="preserve"> </w:t>
      </w:r>
      <w:r>
        <w:rPr>
          <w:rFonts w:cs="Times New Roman"/>
        </w:rPr>
        <w:tab/>
        <w:t>Natural capital in this context includes Nature and Biodiversity as well as the other natural capital components related to air, water, land, and related ecosystem services.</w:t>
      </w:r>
    </w:p>
  </w:footnote>
  <w:footnote w:id="71">
    <w:p>
      <w:pPr>
        <w:pStyle w:val="FootnoteText"/>
        <w:ind w:left="0" w:firstLine="0"/>
        <w:rPr>
          <w:rFonts w:cs="Times New Roman"/>
        </w:rPr>
      </w:pPr>
      <w:r>
        <w:rPr>
          <w:rStyle w:val="FootnoteReference"/>
          <w:rFonts w:cs="Times New Roman"/>
        </w:rPr>
        <w:footnoteRef/>
      </w:r>
      <w:r>
        <w:rPr>
          <w:rFonts w:cs="Times New Roman"/>
        </w:rPr>
        <w:t xml:space="preserve"> The provisioning rate in terms of the products targeting SME financing will need to be higher than the EFSI provisioning rate. The is because the guarantee instruments originated under EFSI SME Window have a rather low provisioning rate as a result of the credit enhancement provided by the EU financial instruments, which take the First Loss Piece (FLP) position. However, given that in the next MFF, it will no longer be possible to provide an FLP through the support from EU financial instruments, the full guarantee amounts of underlying operations will need to be provisioned under the InvestEU Fund SME window.</w:t>
      </w:r>
    </w:p>
  </w:footnote>
  <w:footnote w:id="72">
    <w:p>
      <w:pPr>
        <w:pStyle w:val="FootnoteText"/>
        <w:ind w:left="0" w:firstLine="0"/>
        <w:rPr>
          <w:rFonts w:cs="Times New Roman"/>
        </w:rPr>
      </w:pPr>
      <w:r>
        <w:rPr>
          <w:rStyle w:val="FootnoteReference"/>
          <w:rFonts w:cs="Times New Roman"/>
        </w:rPr>
        <w:footnoteRef/>
      </w:r>
      <w:r>
        <w:rPr>
          <w:rFonts w:cs="Times New Roman"/>
        </w:rPr>
        <w:t xml:space="preserve"> One meeting was dedicated to the InvestEU Fund in general while others were dedicated to specific policy areas/Windows. </w:t>
      </w:r>
    </w:p>
  </w:footnote>
  <w:footnote w:id="73">
    <w:p>
      <w:pPr>
        <w:pStyle w:val="FootnoteText"/>
        <w:ind w:left="0" w:firstLine="0"/>
        <w:rPr>
          <w:rFonts w:cs="Times New Roman"/>
        </w:rPr>
      </w:pPr>
      <w:r>
        <w:rPr>
          <w:rStyle w:val="FootnoteReference"/>
          <w:rFonts w:cs="Times New Roman"/>
        </w:rPr>
        <w:footnoteRef/>
      </w:r>
      <w:r>
        <w:rPr>
          <w:rFonts w:cs="Times New Roman"/>
        </w:rPr>
        <w:t xml:space="preserve"> This was a subpart of the OPC on Investment, research and innovation, SMEs and single market.</w:t>
      </w:r>
    </w:p>
  </w:footnote>
  <w:footnote w:id="74">
    <w:p>
      <w:pPr>
        <w:pStyle w:val="FootnoteText"/>
        <w:ind w:left="0" w:firstLine="0"/>
        <w:rPr>
          <w:rFonts w:cs="Times New Roman"/>
        </w:rPr>
      </w:pPr>
      <w:r>
        <w:rPr>
          <w:rStyle w:val="FootnoteReference"/>
          <w:rFonts w:cs="Times New Roman"/>
        </w:rPr>
        <w:footnoteRef/>
      </w:r>
      <w:r>
        <w:rPr>
          <w:rFonts w:cs="Times New Roman"/>
        </w:rPr>
        <w:t xml:space="preserve"> 1808 respondents out of 4052 answered this question</w:t>
      </w:r>
    </w:p>
  </w:footnote>
  <w:footnote w:id="75">
    <w:p>
      <w:pPr>
        <w:pStyle w:val="FootnoteText"/>
        <w:ind w:left="0" w:firstLine="0"/>
        <w:rPr>
          <w:rFonts w:cs="Times New Roman"/>
        </w:rPr>
      </w:pPr>
      <w:r>
        <w:rPr>
          <w:rStyle w:val="FootnoteReference"/>
          <w:rFonts w:cs="Times New Roman"/>
        </w:rPr>
        <w:footnoteRef/>
      </w:r>
      <w:r>
        <w:rPr>
          <w:rFonts w:cs="Times New Roman"/>
        </w:rPr>
        <w:t xml:space="preserve"> Differently from EU Funds Security and Cohesion OPCs, where respondents were asked to judge if Financial Instruments were insufficiently used, in the Strategic Infrastructure OPC respondents were asked to manifest their opinion about the difficulty to access to Financial Instruments. </w:t>
      </w:r>
    </w:p>
  </w:footnote>
  <w:footnote w:id="76">
    <w:p>
      <w:pPr>
        <w:pStyle w:val="FootnoteText"/>
        <w:ind w:left="0" w:firstLine="0"/>
        <w:rPr>
          <w:rFonts w:cs="Times New Roman"/>
        </w:rPr>
      </w:pPr>
      <w:r>
        <w:rPr>
          <w:rStyle w:val="FootnoteReference"/>
          <w:rFonts w:cs="Times New Roman"/>
        </w:rPr>
        <w:footnoteRef/>
      </w:r>
      <w:r>
        <w:rPr>
          <w:rFonts w:cs="Times New Roman"/>
        </w:rPr>
        <w:t xml:space="preserve"> A similar approach has been used under the EU's External Lending Mandate. </w:t>
      </w:r>
    </w:p>
  </w:footnote>
  <w:footnote w:id="77">
    <w:p>
      <w:pPr>
        <w:pStyle w:val="FootnoteText"/>
        <w:ind w:left="0" w:firstLine="0"/>
        <w:rPr>
          <w:rFonts w:cs="Times New Roman"/>
        </w:rPr>
      </w:pPr>
      <w:r>
        <w:rPr>
          <w:rStyle w:val="FootnoteReference"/>
          <w:rFonts w:cs="Times New Roman"/>
        </w:rPr>
        <w:footnoteRef/>
      </w:r>
      <w:r>
        <w:rPr>
          <w:rFonts w:cs="Times New Roman"/>
        </w:rPr>
        <w:t xml:space="preserve"> </w:t>
      </w:r>
      <w:hyperlink r:id="rId24" w:history="1">
        <w:r>
          <w:rPr>
            <w:rStyle w:val="Hyperlink"/>
            <w:rFonts w:cs="Times New Roman"/>
          </w:rPr>
          <w:t>http://eur-lex.europa.eu/legal-content/EN/TXT/HTML/?uri=CELEX:52016SC0297&amp;from=EN</w:t>
        </w:r>
      </w:hyperlink>
      <w:r>
        <w:rPr>
          <w:rFonts w:cs="Times New Roman"/>
        </w:rPr>
        <w:t xml:space="preserve"> </w:t>
      </w:r>
    </w:p>
  </w:footnote>
  <w:footnote w:id="78">
    <w:p>
      <w:pPr>
        <w:pStyle w:val="FootnoteText"/>
        <w:ind w:left="0" w:firstLine="0"/>
        <w:rPr>
          <w:rFonts w:cs="Times New Roman"/>
        </w:rPr>
      </w:pPr>
      <w:r>
        <w:rPr>
          <w:rStyle w:val="FootnoteReference"/>
          <w:rFonts w:cs="Times New Roman"/>
        </w:rPr>
        <w:footnoteRef/>
      </w:r>
      <w:r>
        <w:rPr>
          <w:rFonts w:cs="Times New Roman"/>
        </w:rPr>
        <w:t xml:space="preserve"> </w:t>
      </w:r>
      <w:hyperlink r:id="rId25" w:history="1">
        <w:r>
          <w:rPr>
            <w:rStyle w:val="Hyperlink"/>
            <w:rFonts w:cs="Times New Roman"/>
          </w:rPr>
          <w:t>https://www.eca.europa.eu/Lists/News/NEWS1611_11/OP16_02_EN.pdf</w:t>
        </w:r>
      </w:hyperlink>
      <w:r>
        <w:rPr>
          <w:rFonts w:cs="Times New Roman"/>
        </w:rPr>
        <w:t xml:space="preserve"> </w:t>
      </w:r>
    </w:p>
  </w:footnote>
  <w:footnote w:id="79">
    <w:p>
      <w:pPr>
        <w:pStyle w:val="FootnoteText"/>
        <w:ind w:left="0" w:firstLine="0"/>
        <w:rPr>
          <w:rFonts w:cs="Times New Roman"/>
        </w:rPr>
      </w:pPr>
      <w:r>
        <w:rPr>
          <w:rStyle w:val="FootnoteReference"/>
          <w:rFonts w:cs="Times New Roman"/>
        </w:rPr>
        <w:footnoteRef/>
      </w:r>
      <w:r>
        <w:rPr>
          <w:rFonts w:cs="Times New Roman"/>
        </w:rPr>
        <w:t xml:space="preserve"> </w:t>
      </w:r>
      <w:hyperlink r:id="rId26" w:history="1">
        <w:r>
          <w:rPr>
            <w:rStyle w:val="Hyperlink"/>
            <w:rFonts w:cs="Times New Roman"/>
          </w:rPr>
          <w:t>http://www.eib.org/infocentre/publications/all/evaluation-of-the-functioning-of-the-efsi.htm</w:t>
        </w:r>
      </w:hyperlink>
      <w:r>
        <w:rPr>
          <w:rFonts w:cs="Times New Roman"/>
        </w:rPr>
        <w:t xml:space="preserve"> </w:t>
      </w:r>
    </w:p>
  </w:footnote>
  <w:footnote w:id="80">
    <w:p>
      <w:pPr>
        <w:pStyle w:val="FootnoteText"/>
        <w:ind w:left="0" w:firstLine="0"/>
        <w:rPr>
          <w:rFonts w:cs="Times New Roman"/>
        </w:rPr>
      </w:pPr>
      <w:r>
        <w:rPr>
          <w:rStyle w:val="FootnoteReference"/>
          <w:rFonts w:cs="Times New Roman"/>
        </w:rPr>
        <w:footnoteRef/>
      </w:r>
      <w:r>
        <w:rPr>
          <w:rFonts w:cs="Times New Roman"/>
        </w:rPr>
        <w:t xml:space="preserve"> </w:t>
      </w:r>
      <w:hyperlink r:id="rId27" w:history="1">
        <w:r>
          <w:rPr>
            <w:rStyle w:val="Hyperlink"/>
            <w:rFonts w:cs="Times New Roman"/>
          </w:rPr>
          <w:t>https://ec.europa.eu/commission/publications/independent-evaluation-investment-plan_en</w:t>
        </w:r>
      </w:hyperlink>
      <w:r>
        <w:rPr>
          <w:rFonts w:cs="Times New Roman"/>
        </w:rPr>
        <w:t xml:space="preserve"> </w:t>
      </w:r>
    </w:p>
  </w:footnote>
  <w:footnote w:id="81">
    <w:p>
      <w:pPr>
        <w:pStyle w:val="FootnoteText"/>
        <w:ind w:left="0" w:firstLine="0"/>
        <w:rPr>
          <w:rFonts w:cs="Times New Roman"/>
        </w:rPr>
      </w:pPr>
      <w:r>
        <w:rPr>
          <w:rStyle w:val="FootnoteReference"/>
          <w:rFonts w:cs="Times New Roman"/>
        </w:rPr>
        <w:footnoteRef/>
      </w:r>
      <w:r>
        <w:rPr>
          <w:rFonts w:cs="Times New Roman"/>
        </w:rPr>
        <w:t xml:space="preserve"> </w:t>
      </w:r>
      <w:hyperlink r:id="rId28" w:history="1">
        <w:r>
          <w:rPr>
            <w:rStyle w:val="Hyperlink"/>
            <w:rFonts w:cs="Times New Roman"/>
          </w:rPr>
          <w:t>http://ec.europa.eu/transparency/regdoc/rep/1/2016/EN/COM-2016-764-F1-EN-MAIN.PDF</w:t>
        </w:r>
      </w:hyperlink>
      <w:r>
        <w:rPr>
          <w:rFonts w:cs="Times New Roman"/>
        </w:rPr>
        <w:t xml:space="preserve"> </w:t>
      </w:r>
    </w:p>
  </w:footnote>
  <w:footnote w:id="82">
    <w:p>
      <w:pPr>
        <w:pStyle w:val="FootnoteText"/>
        <w:ind w:left="0" w:firstLine="0"/>
        <w:rPr>
          <w:rFonts w:cs="Times New Roman"/>
          <w:lang w:eastAsia="ja-JP"/>
        </w:rPr>
      </w:pPr>
      <w:r>
        <w:rPr>
          <w:rStyle w:val="FootnoteReference"/>
          <w:rFonts w:cs="Times New Roman"/>
        </w:rPr>
        <w:footnoteRef/>
      </w:r>
      <w:r>
        <w:rPr>
          <w:rFonts w:cs="Times New Roman"/>
        </w:rPr>
        <w:t xml:space="preserve"> </w:t>
      </w:r>
      <w:r>
        <w:rPr>
          <w:rFonts w:cs="Times New Roman"/>
          <w:lang w:eastAsia="ja-JP"/>
        </w:rPr>
        <w:t>http://eur-lex.europa.eu/legal-content/EN/TXT/PDF/?uri=CELEX:32017R2396&amp;from=EN</w:t>
      </w:r>
    </w:p>
  </w:footnote>
  <w:footnote w:id="83">
    <w:p>
      <w:pPr>
        <w:pStyle w:val="FootnoteText"/>
        <w:ind w:left="0" w:firstLine="0"/>
        <w:rPr>
          <w:rFonts w:cs="Times New Roman"/>
        </w:rPr>
      </w:pPr>
      <w:r>
        <w:rPr>
          <w:rStyle w:val="FootnoteReference"/>
          <w:rFonts w:cs="Times New Roman"/>
        </w:rPr>
        <w:footnoteRef/>
      </w:r>
      <w:r>
        <w:rPr>
          <w:rFonts w:cs="Times New Roman"/>
        </w:rPr>
        <w:t>ECA Opinion No2/2016 - EFSI: an early proposal to extend and expand</w:t>
      </w:r>
    </w:p>
  </w:footnote>
  <w:footnote w:id="84">
    <w:p>
      <w:pPr>
        <w:pStyle w:val="FootnoteText"/>
        <w:rPr>
          <w:rFonts w:cs="Times New Roman"/>
        </w:rPr>
      </w:pPr>
      <w:r>
        <w:rPr>
          <w:rStyle w:val="FootnoteReference"/>
          <w:rFonts w:cs="Times New Roman"/>
        </w:rPr>
        <w:footnoteRef/>
      </w:r>
      <w:r>
        <w:rPr>
          <w:rFonts w:cs="Times New Roman"/>
        </w:rPr>
        <w:t xml:space="preserve"> Source: ICF Evaluation report </w:t>
      </w:r>
    </w:p>
  </w:footnote>
  <w:footnote w:id="85">
    <w:p>
      <w:pPr>
        <w:pStyle w:val="FootnoteText"/>
        <w:ind w:left="0" w:firstLine="0"/>
        <w:rPr>
          <w:rFonts w:cs="Times New Roman"/>
        </w:rPr>
      </w:pPr>
      <w:r>
        <w:rPr>
          <w:rStyle w:val="FootnoteReference"/>
          <w:rFonts w:cs="Times New Roman"/>
        </w:rPr>
        <w:footnoteRef/>
      </w:r>
      <w:r>
        <w:rPr>
          <w:rFonts w:cs="Times New Roman"/>
        </w:rPr>
        <w:t xml:space="preserve"> Article 27 of Regulation (EU) No 1316/2013 of the European Parliament and of the Council of 11 December 2013.</w:t>
      </w:r>
    </w:p>
  </w:footnote>
  <w:footnote w:id="86">
    <w:p>
      <w:pPr>
        <w:pStyle w:val="FootnoteText"/>
        <w:ind w:left="0" w:firstLine="0"/>
        <w:rPr>
          <w:rFonts w:cs="Times New Roman"/>
        </w:rPr>
      </w:pPr>
      <w:r>
        <w:rPr>
          <w:rStyle w:val="FootnoteReference"/>
          <w:rFonts w:cs="Times New Roman"/>
        </w:rPr>
        <w:footnoteRef/>
      </w:r>
      <w:r>
        <w:rPr>
          <w:rFonts w:cs="Times New Roman"/>
        </w:rPr>
        <w:t xml:space="preserve"> COM(2018)65</w:t>
      </w:r>
    </w:p>
  </w:footnote>
  <w:footnote w:id="87">
    <w:p>
      <w:pPr>
        <w:rPr>
          <w:rFonts w:cs="Times New Roman"/>
          <w:sz w:val="20"/>
        </w:rPr>
      </w:pPr>
      <w:r>
        <w:rPr>
          <w:rStyle w:val="FootnoteReference"/>
          <w:rFonts w:cs="Times New Roman"/>
          <w:sz w:val="20"/>
        </w:rPr>
        <w:footnoteRef/>
      </w:r>
      <w:r>
        <w:rPr>
          <w:rFonts w:cs="Times New Roman"/>
          <w:sz w:val="20"/>
        </w:rPr>
        <w:t xml:space="preserve"> CEF Financial Instruments refer to the CEF Debt Instrument and the CEF Equity Instrument.</w:t>
      </w:r>
    </w:p>
  </w:footnote>
  <w:footnote w:id="88">
    <w:p>
      <w:pPr>
        <w:pStyle w:val="FootnoteText"/>
        <w:ind w:left="0" w:firstLine="0"/>
        <w:rPr>
          <w:rFonts w:cs="Times New Roman"/>
          <w:lang w:eastAsia="ja-JP"/>
        </w:rPr>
      </w:pPr>
      <w:r>
        <w:rPr>
          <w:rStyle w:val="FootnoteReference"/>
          <w:rFonts w:cs="Times New Roman"/>
        </w:rPr>
        <w:footnoteRef/>
      </w:r>
      <w:r>
        <w:rPr>
          <w:rFonts w:cs="Times New Roman"/>
        </w:rPr>
        <w:t xml:space="preserve"> </w:t>
      </w:r>
      <w:hyperlink r:id="rId29" w:history="1">
        <w:r>
          <w:rPr>
            <w:rStyle w:val="Hyperlink"/>
            <w:rFonts w:cs="Times New Roman"/>
            <w:lang w:eastAsia="ja-JP"/>
          </w:rPr>
          <w:t>https://www.eca.europa.eu/Lists/ECADocuments/SR17_20/SR_SMEG_EN.pdf</w:t>
        </w:r>
      </w:hyperlink>
      <w:r>
        <w:rPr>
          <w:rFonts w:cs="Times New Roman"/>
          <w:lang w:eastAsia="ja-JP"/>
        </w:rPr>
        <w:t xml:space="preserve"> </w:t>
      </w:r>
    </w:p>
  </w:footnote>
  <w:footnote w:id="89">
    <w:p>
      <w:pPr>
        <w:pStyle w:val="FootnoteText"/>
        <w:ind w:left="0" w:firstLine="0"/>
        <w:rPr>
          <w:rFonts w:cs="Times New Roman"/>
        </w:rPr>
      </w:pPr>
      <w:r>
        <w:rPr>
          <w:rStyle w:val="FootnoteReference"/>
          <w:rFonts w:cs="Times New Roman"/>
        </w:rPr>
        <w:footnoteRef/>
      </w:r>
      <w:r>
        <w:rPr>
          <w:rFonts w:cs="Times New Roman"/>
          <w:lang w:val="fr-BE"/>
        </w:rPr>
        <w:t xml:space="preserve"> [citation </w:t>
      </w:r>
      <w:hyperlink r:id="rId30" w:history="1">
        <w:r>
          <w:rPr>
            <w:rStyle w:val="Hyperlink"/>
            <w:rFonts w:cs="Times New Roman"/>
            <w:lang w:val="fr-BE"/>
          </w:rPr>
          <w:t>http://bit.ly/2vLFas5</w:t>
        </w:r>
      </w:hyperlink>
      <w:r>
        <w:rPr>
          <w:rFonts w:cs="Times New Roman"/>
          <w:lang w:val="fr-BE"/>
        </w:rPr>
        <w:t xml:space="preserve"> – section 3.4.2. </w:t>
      </w:r>
      <w:r>
        <w:rPr>
          <w:rFonts w:cs="Times New Roman"/>
        </w:rPr>
        <w:t>As well as the Member States, several other countries are</w:t>
      </w:r>
      <w:r>
        <w:rPr>
          <w:rFonts w:cs="Times New Roman"/>
        </w:rPr>
        <w:br/>
        <w:t xml:space="preserve"> associated to Horizon 2020 (see </w:t>
      </w:r>
      <w:hyperlink r:id="rId31" w:history="1">
        <w:r>
          <w:rPr>
            <w:rStyle w:val="Hyperlink"/>
            <w:rFonts w:cs="Times New Roman"/>
          </w:rPr>
          <w:t>http://bit.ly1nvSTaf</w:t>
        </w:r>
      </w:hyperlink>
      <w:r>
        <w:rPr>
          <w:rFonts w:cs="Times New Roman"/>
        </w:rPr>
        <w:t>) and can benefit from the programme's Financial Instruments.</w:t>
      </w:r>
    </w:p>
  </w:footnote>
  <w:footnote w:id="90">
    <w:p>
      <w:pPr>
        <w:pStyle w:val="FootnoteText"/>
        <w:ind w:left="0" w:firstLine="0"/>
        <w:rPr>
          <w:rFonts w:cs="Times New Roman"/>
          <w:lang w:val="fr-BE"/>
        </w:rPr>
      </w:pPr>
      <w:r>
        <w:rPr>
          <w:rStyle w:val="FootnoteReference"/>
          <w:rFonts w:cs="Times New Roman"/>
        </w:rPr>
        <w:footnoteRef/>
      </w:r>
      <w:r>
        <w:rPr>
          <w:rFonts w:cs="Times New Roman"/>
          <w:lang w:val="fr-BE"/>
        </w:rPr>
        <w:t xml:space="preserve"> [citation </w:t>
      </w:r>
      <w:hyperlink r:id="rId32" w:history="1">
        <w:r>
          <w:rPr>
            <w:rStyle w:val="Hyperlink"/>
            <w:rFonts w:cs="Times New Roman"/>
            <w:lang w:val="fr-BE"/>
          </w:rPr>
          <w:t>http://bit.ly/2rKmigg</w:t>
        </w:r>
      </w:hyperlink>
      <w:r>
        <w:rPr>
          <w:rFonts w:cs="Times New Roman"/>
          <w:lang w:val="fr-BE"/>
        </w:rPr>
        <w:t xml:space="preserve"> ]</w:t>
      </w:r>
    </w:p>
  </w:footnote>
  <w:footnote w:id="91">
    <w:p>
      <w:pPr>
        <w:pStyle w:val="FootnoteText"/>
        <w:ind w:left="0" w:firstLine="0"/>
        <w:rPr>
          <w:rFonts w:cs="Times New Roman"/>
          <w:lang w:val="fr-BE" w:eastAsia="ja-JP"/>
        </w:rPr>
      </w:pPr>
      <w:r>
        <w:rPr>
          <w:rStyle w:val="FootnoteReference"/>
          <w:rFonts w:cs="Times New Roman"/>
        </w:rPr>
        <w:footnoteRef/>
      </w:r>
      <w:r>
        <w:rPr>
          <w:rFonts w:cs="Times New Roman"/>
          <w:lang w:val="fr-BE"/>
        </w:rPr>
        <w:t xml:space="preserve"> </w:t>
      </w:r>
      <w:hyperlink r:id="rId33" w:history="1">
        <w:r>
          <w:rPr>
            <w:rStyle w:val="Hyperlink"/>
            <w:rFonts w:cs="Times New Roman"/>
            <w:lang w:val="fr-BE" w:eastAsia="ja-JP"/>
          </w:rPr>
          <w:t>https://www.eca.europa.eu/Lists/ECADocuments/SR17_20/SR_SMEG_EN.pdf</w:t>
        </w:r>
      </w:hyperlink>
      <w:r>
        <w:rPr>
          <w:rFonts w:cs="Times New Roman"/>
          <w:lang w:val="fr-BE" w:eastAsia="ja-JP"/>
        </w:rPr>
        <w:t xml:space="preserve"> </w:t>
      </w:r>
    </w:p>
  </w:footnote>
  <w:footnote w:id="92">
    <w:p>
      <w:pPr>
        <w:pStyle w:val="FootnoteText"/>
        <w:ind w:left="0" w:firstLine="0"/>
        <w:rPr>
          <w:rFonts w:cs="Times New Roman"/>
        </w:rPr>
      </w:pPr>
      <w:r>
        <w:rPr>
          <w:rStyle w:val="FootnoteReference"/>
          <w:rFonts w:cs="Times New Roman"/>
        </w:rPr>
        <w:footnoteRef/>
      </w:r>
      <w:r>
        <w:rPr>
          <w:rFonts w:cs="Times New Roman"/>
        </w:rPr>
        <w:t xml:space="preserve"> Reflection paper on the Social Dimension of Europe.</w:t>
      </w:r>
    </w:p>
  </w:footnote>
  <w:footnote w:id="93">
    <w:p>
      <w:pPr>
        <w:pStyle w:val="FootnoteText"/>
        <w:ind w:left="0" w:firstLine="0"/>
        <w:rPr>
          <w:rFonts w:cs="Times New Roman"/>
        </w:rPr>
      </w:pPr>
      <w:r>
        <w:rPr>
          <w:rStyle w:val="FootnoteReference"/>
          <w:rFonts w:cs="Times New Roman"/>
        </w:rPr>
        <w:footnoteRef/>
      </w:r>
      <w:r>
        <w:rPr>
          <w:rFonts w:cs="Times New Roman"/>
        </w:rPr>
        <w:t xml:space="preserve"> EIB Group Support for the social sector: </w:t>
      </w:r>
      <w:hyperlink r:id="rId34" w:history="1">
        <w:r>
          <w:rPr>
            <w:rStyle w:val="Hyperlink"/>
            <w:rFonts w:cs="Times New Roman"/>
          </w:rPr>
          <w:t>http://www.eib.org/attachments/thematic/support_for_the_social_sector_en.pdf</w:t>
        </w:r>
      </w:hyperlink>
      <w:r>
        <w:rPr>
          <w:rFonts w:cs="Times New Roman"/>
        </w:rPr>
        <w:t xml:space="preserve"> </w:t>
      </w:r>
    </w:p>
  </w:footnote>
  <w:footnote w:id="94">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The signalling effect of the pilot PbR instrument in particular for the development of outcomes-based contracting and social innovation, including unlocking innovation in public service delivery, is of particular importance.</w:t>
      </w:r>
    </w:p>
  </w:footnote>
  <w:footnote w:id="95">
    <w:p>
      <w:pPr>
        <w:pStyle w:val="FootnoteText"/>
        <w:ind w:left="0" w:firstLine="0"/>
        <w:rPr>
          <w:rFonts w:cs="Times New Roman"/>
        </w:rPr>
      </w:pPr>
      <w:r>
        <w:rPr>
          <w:rStyle w:val="FootnoteReference"/>
          <w:rFonts w:cs="Times New Roman"/>
        </w:rPr>
        <w:footnoteRef/>
      </w:r>
      <w:r>
        <w:rPr>
          <w:rFonts w:cs="Times New Roman"/>
        </w:rPr>
        <w:t xml:space="preserve"> The EaSI Financial Instruments allocations have been already absorbed; without the 2017 EFSI 2.0 top-up allocation, the EU support in this field would have already come to a halt. </w:t>
      </w:r>
    </w:p>
  </w:footnote>
  <w:footnote w:id="96">
    <w:p>
      <w:pPr>
        <w:pStyle w:val="FootnoteText"/>
        <w:rPr>
          <w:rFonts w:cs="Times New Roman"/>
        </w:rPr>
      </w:pPr>
      <w:r>
        <w:rPr>
          <w:rStyle w:val="FootnoteReference"/>
          <w:rFonts w:cs="Times New Roman"/>
        </w:rPr>
        <w:footnoteRef/>
      </w:r>
      <w:r>
        <w:rPr>
          <w:rFonts w:cs="Times New Roman"/>
        </w:rPr>
        <w:t xml:space="preserve"> </w:t>
      </w:r>
      <w:r>
        <w:rPr>
          <w:rFonts w:cs="Times New Roman"/>
          <w:spacing w:val="-2"/>
        </w:rPr>
        <w:t>https://ec.europa.eu/programmes/erasmus-plus/opportunities/individuals/students/erasmus-plus-master-degree-loans_en</w:t>
      </w:r>
    </w:p>
  </w:footnote>
  <w:footnote w:id="97">
    <w:p>
      <w:pPr>
        <w:pStyle w:val="FootnoteText"/>
        <w:ind w:left="142" w:hanging="142"/>
        <w:rPr>
          <w:rFonts w:cs="Times New Roman"/>
        </w:rPr>
      </w:pPr>
      <w:r>
        <w:rPr>
          <w:rStyle w:val="FootnoteReference"/>
          <w:rFonts w:cs="Times New Roman"/>
        </w:rPr>
        <w:footnoteRef/>
      </w:r>
      <w:r>
        <w:rPr>
          <w:rFonts w:cs="Times New Roman"/>
        </w:rPr>
        <w:t xml:space="preserve"> Infrastructure in this context is broadly defined. It is more than large, cross border, network infrastructure (a concept used in trans-European network regulations) it refers broadly to basic infrastructure necessary for socio-economic development.</w:t>
      </w:r>
    </w:p>
  </w:footnote>
  <w:footnote w:id="98">
    <w:p>
      <w:pPr>
        <w:pStyle w:val="FootnoteText"/>
        <w:ind w:left="142" w:hanging="142"/>
        <w:rPr>
          <w:rFonts w:eastAsia="Times New Roman" w:cs="Times New Roman"/>
          <w:bCs/>
          <w:color w:val="000000"/>
          <w:szCs w:val="18"/>
        </w:rPr>
      </w:pPr>
      <w:r>
        <w:rPr>
          <w:rStyle w:val="FootnoteReference"/>
          <w:rFonts w:cs="Times New Roman"/>
          <w:szCs w:val="18"/>
        </w:rPr>
        <w:footnoteRef/>
      </w:r>
      <w:r>
        <w:rPr>
          <w:rFonts w:cs="Times New Roman"/>
          <w:szCs w:val="18"/>
        </w:rPr>
        <w:t xml:space="preserve"> </w:t>
      </w:r>
      <w:r>
        <w:rPr>
          <w:rFonts w:eastAsia="Times New Roman" w:cs="Times New Roman"/>
          <w:bCs/>
          <w:color w:val="000000"/>
          <w:szCs w:val="18"/>
        </w:rPr>
        <w:t>Key targets for the year 2030, a binding target to reduce greenhouse gas emissions in the EU by at least 40 % by 2030 (compared to 1990), a binding target at EU-level to increase the share of renewables to at least 27 % and a target of 30% energy savings</w:t>
      </w:r>
    </w:p>
  </w:footnote>
  <w:footnote w:id="99">
    <w:p>
      <w:pPr>
        <w:pStyle w:val="FootnoteText"/>
        <w:ind w:left="142" w:hanging="142"/>
        <w:rPr>
          <w:rFonts w:cs="Times New Roman"/>
        </w:rPr>
      </w:pPr>
      <w:r>
        <w:rPr>
          <w:rStyle w:val="FootnoteReference"/>
          <w:rFonts w:cs="Times New Roman"/>
        </w:rPr>
        <w:footnoteRef/>
      </w:r>
      <w:r>
        <w:rPr>
          <w:rFonts w:cs="Times New Roman"/>
        </w:rPr>
        <w:t xml:space="preserve"> The financing and investment gap related to achieving the policy objectives is very big – much beyond the size of the available public funding, let alone the EU budget. Hence an important prioritization will be required with sustainability as an important if not overriding criteria</w:t>
      </w:r>
    </w:p>
  </w:footnote>
  <w:footnote w:id="100">
    <w:p>
      <w:pPr>
        <w:pStyle w:val="FootnoteText"/>
        <w:ind w:left="142" w:hanging="142"/>
        <w:rPr>
          <w:rFonts w:cs="Times New Roman"/>
        </w:rPr>
      </w:pPr>
      <w:r>
        <w:rPr>
          <w:rStyle w:val="FootnoteReference"/>
          <w:rFonts w:cs="Times New Roman"/>
        </w:rPr>
        <w:footnoteRef/>
      </w:r>
      <w:r>
        <w:rPr>
          <w:rFonts w:cs="Times New Roman"/>
        </w:rPr>
        <w:t xml:space="preserve"> Financing needs to implement the Natura 2000 network have been estimated at EUR 5.8 billion per year. Financial costs to implement the target of restoring 15% of degraded ecosystems have been estimated to be between EUR 0.5 to 11 billion per year. However not all these costs are investment costs eligible under NCFF. The 2013 ex ante assessment for NCFF estimated the projected market size for 2020 to be between EUR 73 million to EUR 288 million, depending on the market growth rate assumption, based on case study data on the number total cost of projects between 1994 and 2010.</w:t>
      </w:r>
    </w:p>
  </w:footnote>
  <w:footnote w:id="101">
    <w:p>
      <w:pPr>
        <w:pStyle w:val="FootnoteText"/>
        <w:ind w:left="142" w:hanging="142"/>
        <w:rPr>
          <w:rFonts w:cs="Times New Roman"/>
          <w:szCs w:val="18"/>
        </w:rPr>
      </w:pPr>
      <w:r>
        <w:rPr>
          <w:rStyle w:val="FootnoteReference"/>
          <w:rFonts w:cs="Times New Roman"/>
          <w:szCs w:val="18"/>
        </w:rPr>
        <w:footnoteRef/>
      </w:r>
      <w:r>
        <w:rPr>
          <w:rFonts w:cs="Times New Roman"/>
          <w:szCs w:val="18"/>
        </w:rPr>
        <w:t xml:space="preserve"> TEN-T Work Plans: </w:t>
      </w:r>
      <w:hyperlink r:id="rId35" w:history="1">
        <w:r>
          <w:rPr>
            <w:rStyle w:val="Hyperlink"/>
            <w:rFonts w:cs="Times New Roman"/>
            <w:szCs w:val="18"/>
          </w:rPr>
          <w:t>https://ec.europa.eu/transport/themes/infrastructure_en</w:t>
        </w:r>
      </w:hyperlink>
      <w:r>
        <w:rPr>
          <w:rFonts w:cs="Times New Roman"/>
          <w:szCs w:val="18"/>
        </w:rPr>
        <w:t xml:space="preserve">. </w:t>
      </w:r>
      <w:r>
        <w:rPr>
          <w:rFonts w:cs="Times New Roman"/>
          <w:bCs/>
          <w:szCs w:val="18"/>
        </w:rPr>
        <w:t>The contribution of the TEN-T to decarbonisation goes beyond the simple project by project outcome, and has as systemic impact</w:t>
      </w:r>
      <w:r>
        <w:rPr>
          <w:rFonts w:cs="Times New Roman"/>
          <w:szCs w:val="18"/>
        </w:rPr>
        <w:t xml:space="preserve">. The TEN-T network, which includes all modes and multi-modal connections, establishes the basis for efficient and </w:t>
      </w:r>
      <w:r>
        <w:rPr>
          <w:rFonts w:cs="Times New Roman"/>
          <w:bCs/>
          <w:szCs w:val="18"/>
        </w:rPr>
        <w:t>sustainable transport chains for passengers and freight</w:t>
      </w:r>
      <w:r>
        <w:rPr>
          <w:rFonts w:cs="Times New Roman"/>
          <w:szCs w:val="18"/>
        </w:rPr>
        <w:t xml:space="preserve"> across the modes. An efficient TEN-T, </w:t>
      </w:r>
      <w:r>
        <w:rPr>
          <w:rFonts w:cs="Times New Roman"/>
          <w:bCs/>
          <w:szCs w:val="18"/>
        </w:rPr>
        <w:t>modal shift to sustainable mode of transport</w:t>
      </w:r>
      <w:r>
        <w:rPr>
          <w:rFonts w:cs="Times New Roman"/>
          <w:szCs w:val="18"/>
          <w:u w:val="single"/>
        </w:rPr>
        <w:t xml:space="preserve"> </w:t>
      </w:r>
      <w:r>
        <w:rPr>
          <w:rFonts w:cs="Times New Roman"/>
          <w:szCs w:val="18"/>
        </w:rPr>
        <w:t xml:space="preserve">and the equipment of TEN-T with </w:t>
      </w:r>
      <w:r>
        <w:rPr>
          <w:rFonts w:cs="Times New Roman"/>
          <w:bCs/>
          <w:szCs w:val="18"/>
        </w:rPr>
        <w:t>intelligent transport systems</w:t>
      </w:r>
      <w:r>
        <w:rPr>
          <w:rFonts w:cs="Times New Roman"/>
          <w:szCs w:val="18"/>
        </w:rPr>
        <w:t xml:space="preserve"> within and between all modes or with alternative fuel infrastructure, helps further boosting decarbonisation. Further ensuring and improving the </w:t>
      </w:r>
      <w:r>
        <w:rPr>
          <w:rFonts w:cs="Times New Roman"/>
          <w:bCs/>
          <w:szCs w:val="18"/>
        </w:rPr>
        <w:t>sustainability of TEN-T nodes is important in making the transition to smart and low-emission mobility</w:t>
      </w:r>
    </w:p>
  </w:footnote>
  <w:footnote w:id="102">
    <w:p>
      <w:pPr>
        <w:pStyle w:val="FootnoteText"/>
        <w:ind w:left="142" w:hanging="142"/>
        <w:rPr>
          <w:rFonts w:cs="Times New Roman"/>
        </w:rPr>
      </w:pPr>
      <w:r>
        <w:rPr>
          <w:rStyle w:val="FootnoteReference"/>
          <w:rFonts w:cs="Times New Roman"/>
        </w:rPr>
        <w:footnoteRef/>
      </w:r>
      <w:r>
        <w:rPr>
          <w:rFonts w:cs="Times New Roman"/>
        </w:rPr>
        <w:t xml:space="preserve"> The figures included in the paragraph cannot be aggregated due to their different calculation methodologies and should not be considered exhaustive of all investment needs.</w:t>
      </w:r>
    </w:p>
  </w:footnote>
  <w:footnote w:id="103">
    <w:p>
      <w:pPr>
        <w:pStyle w:val="FootnoteText"/>
        <w:ind w:left="142" w:hanging="142"/>
        <w:rPr>
          <w:rFonts w:cs="Times New Roman"/>
        </w:rPr>
      </w:pPr>
      <w:r>
        <w:rPr>
          <w:rStyle w:val="FootnoteReference"/>
          <w:rFonts w:cs="Times New Roman"/>
        </w:rPr>
        <w:footnoteRef/>
      </w:r>
      <w:r>
        <w:rPr>
          <w:rFonts w:cs="Times New Roman"/>
        </w:rPr>
        <w:t xml:space="preserve"> Such as PM, NOx, and SOx</w:t>
      </w:r>
    </w:p>
  </w:footnote>
  <w:footnote w:id="104">
    <w:p>
      <w:pPr>
        <w:pStyle w:val="FootnoteText"/>
        <w:rPr>
          <w:rFonts w:cs="Times New Roman"/>
          <w:szCs w:val="18"/>
        </w:rPr>
      </w:pPr>
      <w:r>
        <w:rPr>
          <w:rStyle w:val="FootnoteReference"/>
          <w:rFonts w:cs="Times New Roman"/>
          <w:szCs w:val="18"/>
        </w:rPr>
        <w:footnoteRef/>
      </w:r>
      <w:r>
        <w:rPr>
          <w:rFonts w:cs="Times New Roman"/>
          <w:szCs w:val="18"/>
        </w:rPr>
        <w:t xml:space="preserve"> </w:t>
      </w:r>
      <w:r>
        <w:rPr>
          <w:rFonts w:eastAsia="Times New Roman" w:cs="Times New Roman"/>
          <w:bCs/>
          <w:color w:val="000000"/>
          <w:szCs w:val="18"/>
        </w:rPr>
        <w:t>At about 20% below the investment rates of pre-financial crisis</w:t>
      </w:r>
    </w:p>
  </w:footnote>
  <w:footnote w:id="105">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In addition, information submitted by national governments of large EU economies in the context of the 2017 European Semester does not indicate plans to significantly increase public investment over the medium term, while public investment is expected to translate into higher infrastructure spending in some of the other EU economies</w:t>
      </w:r>
    </w:p>
  </w:footnote>
  <w:footnote w:id="106">
    <w:p>
      <w:pPr>
        <w:pStyle w:val="FootnoteText"/>
        <w:ind w:left="0" w:firstLine="0"/>
        <w:rPr>
          <w:rFonts w:cs="Times New Roman"/>
        </w:rPr>
      </w:pPr>
      <w:r>
        <w:rPr>
          <w:rStyle w:val="FootnoteReference"/>
          <w:rFonts w:cs="Times New Roman"/>
        </w:rPr>
        <w:footnoteRef/>
      </w:r>
      <w:r>
        <w:rPr>
          <w:rFonts w:cs="Times New Roman"/>
        </w:rPr>
        <w:t xml:space="preserve"> Noting also that these aspects, combined with volume related targets (which may be warranted to counter severe crises), have a tendency to reinforce market failures and other barriers and thus multiple the competitive disadvantage. Strict fiscal policy relating to government debt v. GDP ratios (to be kept in principle under 60%) combined with the longevity of infrastructure financing (up to 30 years or more) further adds to the unfavourable conditions for greening the EU infrastructure. These barriers could be overcome by emphasising advanced sustainability of the window and making that its unique selling proposition. Also current positive economic cycle in the EU should be used to strongly focus on the most sustainable infrastructure segments (avoid the higher crowding out risks that will come with traditional infrastructure).</w:t>
      </w:r>
    </w:p>
  </w:footnote>
  <w:footnote w:id="107">
    <w:p>
      <w:pPr>
        <w:pStyle w:val="FootnoteText"/>
        <w:ind w:left="0" w:firstLine="0"/>
        <w:rPr>
          <w:rFonts w:cs="Times New Roman"/>
        </w:rPr>
      </w:pPr>
      <w:r>
        <w:rPr>
          <w:rStyle w:val="FootnoteReference"/>
          <w:rFonts w:cs="Times New Roman"/>
        </w:rPr>
        <w:footnoteRef/>
      </w:r>
      <w:r>
        <w:rPr>
          <w:rFonts w:cs="Times New Roman"/>
        </w:rPr>
        <w:t xml:space="preserve"> Examples of insufficiently internalized pricing includes vehicle and fuel taxes based primarily on CO2 and ignoring carcinogenic air pollutants such as NO2. Other examples are agriculture-related rules focusing mainly on soil and water pollution whilst ignoring methane emissions contributing to climate change and PM –related air pollution over long distances, or some ecosystem services not priced on the market (e.g. flood control, water filtration, recreation, pollination..) </w:t>
      </w:r>
    </w:p>
  </w:footnote>
  <w:footnote w:id="108">
    <w:p>
      <w:pPr>
        <w:pStyle w:val="FootnoteText"/>
        <w:ind w:left="0" w:firstLine="0"/>
        <w:rPr>
          <w:rFonts w:cs="Times New Roman"/>
        </w:rPr>
      </w:pPr>
      <w:r>
        <w:rPr>
          <w:rStyle w:val="FootnoteReference"/>
          <w:rFonts w:cs="Times New Roman"/>
        </w:rPr>
        <w:footnoteRef/>
      </w:r>
      <w:r>
        <w:rPr>
          <w:rFonts w:cs="Times New Roman"/>
        </w:rPr>
        <w:t xml:space="preserve"> Final Report of the HLEG on Sustainable Finance, p.35</w:t>
      </w:r>
    </w:p>
  </w:footnote>
  <w:footnote w:id="109">
    <w:p>
      <w:pPr>
        <w:pStyle w:val="FootnoteText"/>
        <w:ind w:left="0" w:firstLine="0"/>
        <w:rPr>
          <w:rFonts w:cs="Times New Roman"/>
        </w:rPr>
      </w:pPr>
      <w:r>
        <w:rPr>
          <w:rStyle w:val="FootnoteReference"/>
          <w:rFonts w:cs="Times New Roman"/>
        </w:rPr>
        <w:footnoteRef/>
      </w:r>
      <w:r>
        <w:rPr>
          <w:rFonts w:cs="Times New Roman"/>
        </w:rPr>
        <w:t xml:space="preserve"> </w:t>
      </w:r>
      <w:hyperlink r:id="rId36" w:history="1">
        <w:r>
          <w:rPr>
            <w:rStyle w:val="Hyperlink"/>
            <w:rFonts w:cs="Times New Roman"/>
          </w:rPr>
          <w:t>http://www.eib.org/infocentre/publications/all/operational-plan-2014-2016.htm</w:t>
        </w:r>
      </w:hyperlink>
      <w:r>
        <w:rPr>
          <w:rFonts w:cs="Times New Roman"/>
        </w:rPr>
        <w:t xml:space="preserve"> </w:t>
      </w:r>
    </w:p>
  </w:footnote>
  <w:footnote w:id="110">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w:t>
      </w:r>
      <w:hyperlink r:id="rId37" w:history="1">
        <w:r>
          <w:rPr>
            <w:rStyle w:val="Hyperlink"/>
            <w:rFonts w:cs="Times New Roman"/>
            <w:szCs w:val="18"/>
          </w:rPr>
          <w:t>http://www.eib.org/infocentre/publications/all/operational-plan-2018</w:t>
        </w:r>
      </w:hyperlink>
      <w:r>
        <w:rPr>
          <w:rFonts w:cs="Times New Roman"/>
          <w:szCs w:val="18"/>
        </w:rPr>
        <w:t xml:space="preserve"> </w:t>
      </w:r>
    </w:p>
  </w:footnote>
  <w:footnote w:id="111">
    <w:p>
      <w:pPr>
        <w:spacing w:after="0"/>
        <w:rPr>
          <w:rFonts w:cs="Times New Roman"/>
          <w:color w:val="0000FF"/>
          <w:szCs w:val="18"/>
        </w:rPr>
      </w:pPr>
      <w:r>
        <w:rPr>
          <w:rStyle w:val="FootnoteReference"/>
          <w:rFonts w:cs="Times New Roman"/>
          <w:sz w:val="18"/>
          <w:szCs w:val="18"/>
        </w:rPr>
        <w:footnoteRef/>
      </w:r>
      <w:r>
        <w:rPr>
          <w:rFonts w:cs="Times New Roman"/>
          <w:sz w:val="18"/>
          <w:szCs w:val="18"/>
        </w:rPr>
        <w:t xml:space="preserve"> Although LIFE does not provide direct grant financing for large infrastructure, LIFE Integrated Projects mobilise complementary finance for major investments including in green infrastructure.</w:t>
      </w:r>
    </w:p>
  </w:footnote>
  <w:footnote w:id="112">
    <w:p>
      <w:pPr>
        <w:pStyle w:val="FootnoteText"/>
        <w:ind w:left="0" w:firstLine="0"/>
        <w:rPr>
          <w:rFonts w:cs="Times New Roman"/>
        </w:rPr>
      </w:pPr>
      <w:r>
        <w:rPr>
          <w:rStyle w:val="FootnoteReference"/>
          <w:rFonts w:cs="Times New Roman"/>
        </w:rPr>
        <w:footnoteRef/>
      </w:r>
      <w:r>
        <w:rPr>
          <w:rFonts w:cs="Times New Roman"/>
        </w:rPr>
        <w:t xml:space="preserve"> The Life programme on climate and environment amounts to ca. 0.3%</w:t>
      </w:r>
    </w:p>
  </w:footnote>
  <w:footnote w:id="113">
    <w:p>
      <w:pPr>
        <w:pStyle w:val="FootnoteText"/>
        <w:ind w:left="0" w:firstLine="0"/>
        <w:rPr>
          <w:rFonts w:cs="Times New Roman"/>
        </w:rPr>
      </w:pPr>
      <w:r>
        <w:rPr>
          <w:rStyle w:val="FootnoteReference"/>
          <w:rFonts w:cs="Times New Roman"/>
        </w:rPr>
        <w:footnoteRef/>
      </w:r>
      <w:r>
        <w:rPr>
          <w:rFonts w:cs="Times New Roman"/>
        </w:rPr>
        <w:t xml:space="preserve"> CEF-Transport budget is allocated 75% in rail sector and the rest on, inland navigation, deployment of alternative fuels (e-charging points), and multimodalities and traffic management systems. CEF-Energy also played an important role in implementing critical missing electricity and gas projects (PCIs) to enhance the security of supply and enhance the functioning of the internal energy market. As a result, the EU should have achieved a well-interconnected and shock-resilient gas grid by the early 2020's and CEF will have capacity to take the strengthening of networks a step forward. Focus must thus be put on the reinforcement of the electricity transmission and distribution grids, digitalisation and smartening of the grids and deployment of new infrastructure solutions, particularly in the electricity storage area (including power to gas), and hydrogen</w:t>
      </w:r>
    </w:p>
  </w:footnote>
  <w:footnote w:id="114">
    <w:p>
      <w:pPr>
        <w:pStyle w:val="FootnoteText"/>
        <w:ind w:left="0" w:firstLine="0"/>
        <w:rPr>
          <w:rFonts w:cs="Times New Roman"/>
        </w:rPr>
      </w:pPr>
      <w:r>
        <w:rPr>
          <w:rStyle w:val="FootnoteReference"/>
          <w:rFonts w:cs="Times New Roman"/>
          <w:shd w:val="clear" w:color="auto" w:fill="FFFFFF" w:themeFill="background1"/>
        </w:rPr>
        <w:footnoteRef/>
      </w:r>
      <w:r>
        <w:rPr>
          <w:rFonts w:cs="Times New Roman"/>
          <w:shd w:val="clear" w:color="auto" w:fill="FFFFFF" w:themeFill="background1"/>
        </w:rPr>
        <w:t xml:space="preserve"> ESIF in the period 2014-2020 provides EUR 63.8 billion in support of the Shift towards a low-carbon economy, substantial envelopes are also allocated in support to Promoting sustainable transport and improving network infrastructures, Preserving and protecting the environment and promoting resource efficiency, and in Promoting climate change adaptation, risk prevention and management</w:t>
      </w:r>
    </w:p>
  </w:footnote>
  <w:footnote w:id="115">
    <w:p>
      <w:pPr>
        <w:pStyle w:val="FootnoteText"/>
        <w:ind w:left="0" w:firstLine="0"/>
        <w:rPr>
          <w:rFonts w:cs="Times New Roman"/>
        </w:rPr>
      </w:pPr>
      <w:r>
        <w:rPr>
          <w:rStyle w:val="FootnoteReference"/>
          <w:rFonts w:cs="Times New Roman"/>
        </w:rPr>
        <w:footnoteRef/>
      </w:r>
      <w:r>
        <w:rPr>
          <w:rFonts w:cs="Times New Roman"/>
        </w:rPr>
        <w:t xml:space="preserve"> Operated by EIF; albeit focusing in investments in high-risk areas outside the EU, GEEREF experience and lessons learned at the time of its establishing remain highly relevant for promoting sustainable investment solutions in the EU.</w:t>
      </w:r>
    </w:p>
  </w:footnote>
  <w:footnote w:id="116">
    <w:p>
      <w:pPr>
        <w:adjustRightInd w:val="0"/>
        <w:spacing w:after="0"/>
        <w:textAlignment w:val="baseline"/>
        <w:rPr>
          <w:rFonts w:cs="Times New Roman"/>
        </w:rPr>
      </w:pPr>
      <w:r>
        <w:rPr>
          <w:rStyle w:val="FootnoteReference"/>
          <w:rFonts w:cs="Times New Roman"/>
          <w:sz w:val="18"/>
          <w:szCs w:val="18"/>
        </w:rPr>
        <w:footnoteRef/>
      </w:r>
      <w:r>
        <w:rPr>
          <w:rFonts w:cs="Times New Roman"/>
          <w:sz w:val="18"/>
          <w:szCs w:val="18"/>
        </w:rPr>
        <w:t xml:space="preserve"> For example, </w:t>
      </w:r>
      <w:r>
        <w:rPr>
          <w:rFonts w:eastAsia="Times New Roman" w:cs="Times New Roman"/>
          <w:bCs/>
          <w:sz w:val="18"/>
          <w:szCs w:val="18"/>
        </w:rPr>
        <w:t xml:space="preserve">In line with the findings of the evaluation of the Europe 2020 Project Bond Initiative, it should be noted that the LGTT and PBI were specific tools designed in particular for use following the financial crisis. As the financial markets have improved, their applicability today is to an extent diminished. However, this does not mean that they have lost their utility. Were there to be another tightening of credit or other stresses on private finance, such tools would again be more relevant and would likely be in significant demand. </w:t>
      </w:r>
    </w:p>
  </w:footnote>
  <w:footnote w:id="117">
    <w:p>
      <w:pPr>
        <w:pStyle w:val="FootnoteText"/>
        <w:ind w:left="0" w:firstLine="0"/>
        <w:rPr>
          <w:rFonts w:cs="Times New Roman"/>
        </w:rPr>
      </w:pPr>
      <w:r>
        <w:rPr>
          <w:rStyle w:val="FootnoteReference"/>
          <w:rFonts w:cs="Times New Roman"/>
        </w:rPr>
        <w:footnoteRef/>
      </w:r>
      <w:r>
        <w:rPr>
          <w:rFonts w:cs="Times New Roman"/>
        </w:rPr>
        <w:t xml:space="preserve"> Examples include cost-effective nature-based solutions/green infrastructure, for example where instead of building dams and other infrastructure to combat flooding, solutions involve mechanisms allowing to flood land upstream rivers or canals to manage water levels whilst simultaneously providing recreational and other co-benefits whilst possibly saving investment and operating costs compared with traditional solutions. Other examples include investments in green urban areas (a.k.a. Urban Green Infrastructure) where restored ecosystems and new green areas help tackle environmental problems including climate change and deliver wider socio-economic benefits; sustainable urban infrastructure relating to low emissions and/or noise levels, e-charging networks etc.</w:t>
      </w:r>
    </w:p>
  </w:footnote>
  <w:footnote w:id="118">
    <w:p>
      <w:pPr>
        <w:pStyle w:val="FootnoteText"/>
        <w:rPr>
          <w:rFonts w:cs="Times New Roman"/>
        </w:rPr>
      </w:pPr>
      <w:r>
        <w:rPr>
          <w:rStyle w:val="FootnoteReference"/>
          <w:rFonts w:cs="Times New Roman"/>
        </w:rPr>
        <w:footnoteRef/>
      </w:r>
      <w:r>
        <w:rPr>
          <w:rFonts w:cs="Times New Roman"/>
        </w:rPr>
        <w:t xml:space="preserve"> </w:t>
      </w:r>
      <w:hyperlink r:id="rId38" w:history="1">
        <w:r>
          <w:rPr>
            <w:rStyle w:val="Hyperlink"/>
            <w:rFonts w:cs="Times New Roman"/>
          </w:rPr>
          <w:t>http://www.eib.org/projects/pipelines/pipeline/20150334</w:t>
        </w:r>
      </w:hyperlink>
      <w:r>
        <w:rPr>
          <w:rFonts w:cs="Times New Roman"/>
        </w:rPr>
        <w:t xml:space="preserve"> ; </w:t>
      </w:r>
      <w:hyperlink r:id="rId39" w:history="1">
        <w:r>
          <w:rPr>
            <w:rStyle w:val="Hyperlink"/>
            <w:rFonts w:cs="Times New Roman"/>
          </w:rPr>
          <w:t>http://www.eib.org/projects/pipelines/pipeline/20150115</w:t>
        </w:r>
      </w:hyperlink>
      <w:r>
        <w:rPr>
          <w:rFonts w:cs="Times New Roman"/>
        </w:rPr>
        <w:t xml:space="preserve"> </w:t>
      </w:r>
    </w:p>
  </w:footnote>
  <w:footnote w:id="119">
    <w:p>
      <w:pPr>
        <w:pStyle w:val="FootnoteText"/>
        <w:ind w:left="142" w:hanging="142"/>
        <w:rPr>
          <w:rFonts w:cs="Times New Roman"/>
        </w:rPr>
      </w:pPr>
      <w:r>
        <w:rPr>
          <w:rStyle w:val="FootnoteReference"/>
          <w:rFonts w:cs="Times New Roman"/>
        </w:rPr>
        <w:footnoteRef/>
      </w:r>
      <w:r>
        <w:rPr>
          <w:rFonts w:cs="Times New Roman"/>
        </w:rPr>
        <w:t xml:space="preserve"> </w:t>
      </w:r>
      <w:r>
        <w:rPr>
          <w:rFonts w:cs="Times New Roman"/>
          <w:szCs w:val="18"/>
        </w:rPr>
        <w:t xml:space="preserve">Note in this context also the increasing interest from the EU legislator to track finance and investments flows from the EU budget aimed at promoting sustainable development goals. This is illustrated again in the Directive (EU) 2016/2284 on the reduction of national emissions of certain atmospheric pollutants, where the legislator included two articles that relate to tracking EU funds for improving air quality (i.e. </w:t>
      </w:r>
      <w:r>
        <w:rPr>
          <w:rFonts w:cs="Times New Roman"/>
          <w:i/>
          <w:iCs/>
          <w:szCs w:val="18"/>
        </w:rPr>
        <w:t xml:space="preserve">Article 7 on </w:t>
      </w:r>
      <w:r>
        <w:rPr>
          <w:rFonts w:cs="Times New Roman"/>
          <w:bCs/>
          <w:szCs w:val="18"/>
        </w:rPr>
        <w:t xml:space="preserve">Financial support and </w:t>
      </w:r>
      <w:r>
        <w:rPr>
          <w:rFonts w:cs="Times New Roman"/>
          <w:i/>
          <w:iCs/>
          <w:szCs w:val="18"/>
        </w:rPr>
        <w:t xml:space="preserve">Article 11on </w:t>
      </w:r>
      <w:r>
        <w:rPr>
          <w:rFonts w:cs="Times New Roman"/>
          <w:bCs/>
          <w:szCs w:val="18"/>
        </w:rPr>
        <w:t xml:space="preserve">Reports by the Commission </w:t>
      </w:r>
      <w:r>
        <w:rPr>
          <w:rFonts w:cs="Times New Roman"/>
          <w:szCs w:val="18"/>
        </w:rPr>
        <w:t xml:space="preserve">to the European Parliament and the Council on the progress made in the implementation of this Directive, including […] the uptake of Union funds to support the measures taken with a view to comply with the objectives of this Directive […]. </w:t>
      </w:r>
    </w:p>
  </w:footnote>
  <w:footnote w:id="120">
    <w:p>
      <w:pPr>
        <w:pStyle w:val="FootnoteText"/>
        <w:rPr>
          <w:rFonts w:cs="Times New Roman"/>
        </w:rPr>
      </w:pPr>
      <w:r>
        <w:rPr>
          <w:rStyle w:val="FootnoteReference"/>
          <w:rFonts w:cs="Times New Roman"/>
        </w:rPr>
        <w:footnoteRef/>
      </w:r>
      <w:r>
        <w:rPr>
          <w:rFonts w:cs="Times New Roman"/>
        </w:rPr>
        <w:t xml:space="preserve"> </w:t>
      </w:r>
      <w:r>
        <w:rPr>
          <w:rFonts w:eastAsia="Times New Roman" w:cs="Times New Roman"/>
          <w:bCs/>
          <w:color w:val="000000"/>
        </w:rPr>
        <w:t>transmission and distribution infrastructure, RES, EE and smart grids</w:t>
      </w:r>
    </w:p>
  </w:footnote>
  <w:footnote w:id="121">
    <w:p>
      <w:pPr>
        <w:pStyle w:val="FootnoteText"/>
        <w:rPr>
          <w:rFonts w:eastAsia="Times New Roman" w:cs="Times New Roman"/>
          <w:bCs/>
          <w:color w:val="000000"/>
        </w:rPr>
      </w:pPr>
      <w:r>
        <w:rPr>
          <w:rStyle w:val="FootnoteReference"/>
          <w:rFonts w:cs="Times New Roman"/>
        </w:rPr>
        <w:footnoteRef/>
      </w:r>
      <w:r>
        <w:rPr>
          <w:rFonts w:cs="Times New Roman"/>
        </w:rPr>
        <w:t xml:space="preserve"> </w:t>
      </w:r>
      <w:r>
        <w:rPr>
          <w:rFonts w:eastAsia="Times New Roman" w:cs="Times New Roman"/>
          <w:bCs/>
          <w:color w:val="000000"/>
        </w:rPr>
        <w:t xml:space="preserve">PPP road and rolling stock project absorbing the bulk of financing, and as well maritime ports and airport projects and </w:t>
      </w:r>
    </w:p>
    <w:p>
      <w:pPr>
        <w:pStyle w:val="FootnoteText"/>
        <w:rPr>
          <w:rFonts w:cs="Times New Roman"/>
        </w:rPr>
      </w:pPr>
      <w:r>
        <w:rPr>
          <w:rFonts w:eastAsia="Times New Roman" w:cs="Times New Roman"/>
          <w:bCs/>
          <w:color w:val="000000"/>
        </w:rPr>
        <w:t>other projects in areas of urban development and alternative fuels</w:t>
      </w:r>
    </w:p>
  </w:footnote>
  <w:footnote w:id="122">
    <w:p>
      <w:pPr>
        <w:pStyle w:val="FootnoteText"/>
        <w:ind w:left="0" w:firstLine="0"/>
        <w:rPr>
          <w:rFonts w:cs="Times New Roman"/>
        </w:rPr>
      </w:pPr>
      <w:r>
        <w:rPr>
          <w:rStyle w:val="FootnoteReference"/>
          <w:rFonts w:cs="Times New Roman"/>
        </w:rPr>
        <w:footnoteRef/>
      </w:r>
      <w:r>
        <w:rPr>
          <w:rFonts w:cs="Times New Roman"/>
        </w:rPr>
        <w:t xml:space="preserve"> In accordance with the CEF Regulation, the Commission, in cooperation with the Member States and the beneficiaries concerned, was required to present a report on the mid-term evaluation of the CEF to the European Parliament and the Council. This report COM(2018) 66 final and its accompanying Commission staff working document was adopted by the Commission on 14 February 2018</w:t>
      </w:r>
    </w:p>
  </w:footnote>
  <w:footnote w:id="123">
    <w:p>
      <w:pPr>
        <w:adjustRightInd w:val="0"/>
        <w:spacing w:after="0"/>
        <w:textAlignment w:val="baseline"/>
        <w:rPr>
          <w:rFonts w:cs="Times New Roman"/>
        </w:rPr>
      </w:pPr>
      <w:r>
        <w:rPr>
          <w:rStyle w:val="FootnoteReference"/>
          <w:rFonts w:cs="Times New Roman"/>
          <w:sz w:val="18"/>
          <w:szCs w:val="18"/>
        </w:rPr>
        <w:footnoteRef/>
      </w:r>
      <w:r>
        <w:rPr>
          <w:rFonts w:cs="Times New Roman"/>
          <w:sz w:val="18"/>
          <w:szCs w:val="18"/>
        </w:rPr>
        <w:t xml:space="preserve"> For example, </w:t>
      </w:r>
      <w:r>
        <w:rPr>
          <w:rFonts w:eastAsia="Times New Roman" w:cs="Times New Roman"/>
          <w:bCs/>
          <w:sz w:val="18"/>
          <w:szCs w:val="18"/>
        </w:rPr>
        <w:t xml:space="preserve">In line with the findings of the evaluation of the Europe 2020 Project Bond Initiative, it should be noted that the LGTT and PBI were specific tools designed in particular for use following the financial crisis. As the financial markets have improved, their applicability today is to an extent diminished. However, this does not mean that they have lost their utility. Were there to be another tightening of credit or other stresses on private finance, such tools would again be more relevant and would likely be in significant demand. </w:t>
      </w:r>
    </w:p>
  </w:footnote>
  <w:footnote w:id="124">
    <w:p>
      <w:pPr>
        <w:pStyle w:val="FootnoteText"/>
        <w:ind w:left="0" w:firstLine="0"/>
        <w:rPr>
          <w:rFonts w:cs="Times New Roman"/>
        </w:rPr>
      </w:pPr>
      <w:r>
        <w:rPr>
          <w:rStyle w:val="FootnoteReference"/>
          <w:rFonts w:cs="Times New Roman"/>
        </w:rPr>
        <w:footnoteRef/>
      </w:r>
      <w:r>
        <w:rPr>
          <w:rFonts w:cs="Times New Roman"/>
        </w:rPr>
        <w:t xml:space="preserve"> Grand Contournement Ouest de Strasbourg (A355), A6 Wiesloch in transport and the Transgaz "BRUA" Gas Interconnection Project, Italian-France electricity interconnector in energy.</w:t>
      </w:r>
    </w:p>
  </w:footnote>
  <w:footnote w:id="125">
    <w:p>
      <w:pPr>
        <w:pStyle w:val="FootnoteText"/>
        <w:ind w:left="0" w:firstLine="0"/>
        <w:rPr>
          <w:rFonts w:cs="Times New Roman"/>
        </w:rPr>
      </w:pPr>
      <w:r>
        <w:rPr>
          <w:rStyle w:val="FootnoteReference"/>
          <w:rFonts w:cs="Times New Roman"/>
        </w:rPr>
        <w:footnoteRef/>
      </w:r>
      <w:r>
        <w:rPr>
          <w:rFonts w:cs="Times New Roman"/>
        </w:rPr>
        <w:t xml:space="preserve"> In this respect the successful cooperation between the EIB and the Commission to design instruments addressing specific market failures is illustrated for example in the case of the Green Shipping Guarantee (GSG) Programme in transport</w:t>
      </w:r>
    </w:p>
  </w:footnote>
  <w:footnote w:id="126">
    <w:p>
      <w:pPr>
        <w:pStyle w:val="FootnoteText"/>
        <w:ind w:left="0" w:firstLine="0"/>
        <w:rPr>
          <w:rFonts w:cs="Times New Roman"/>
        </w:rPr>
      </w:pPr>
      <w:r>
        <w:rPr>
          <w:rStyle w:val="FootnoteReference"/>
          <w:rFonts w:cs="Times New Roman"/>
        </w:rPr>
        <w:footnoteRef/>
      </w:r>
      <w:r>
        <w:rPr>
          <w:rFonts w:cs="Times New Roman"/>
        </w:rPr>
        <w:t xml:space="preserve"> A new thematic product is under consideration in support of projects or innovative companies pursuing projects fostering the decarbonisation of transport and technological innovation in the transport sector and the deployment of alternative fuels infrastructure along the Trans-European Networks-transport (TEN-T) corridors, such as electric charging infrastructure. High risk debt helping these pre-bankable project promoters to overcome the high uncertainty faced during the ramp-up phase for the demand in electric charging may be needed.</w:t>
      </w:r>
    </w:p>
  </w:footnote>
  <w:footnote w:id="127">
    <w:p>
      <w:pPr>
        <w:pStyle w:val="FootnoteText"/>
        <w:rPr>
          <w:rFonts w:cs="Times New Roman"/>
          <w:bCs/>
        </w:rPr>
      </w:pPr>
      <w:r>
        <w:rPr>
          <w:rStyle w:val="FootnoteReference"/>
          <w:rFonts w:cs="Times New Roman"/>
        </w:rPr>
        <w:footnoteRef/>
      </w:r>
      <w:r>
        <w:rPr>
          <w:rFonts w:cs="Times New Roman"/>
        </w:rPr>
        <w:t xml:space="preserve"> </w:t>
      </w:r>
      <w:r>
        <w:rPr>
          <w:rFonts w:cs="Times New Roman"/>
          <w:bCs/>
        </w:rPr>
        <w:t xml:space="preserve">Including corporate finance of new business models related to circular economy such as leasing and lending based models, </w:t>
      </w:r>
    </w:p>
    <w:p>
      <w:pPr>
        <w:pStyle w:val="FootnoteText"/>
        <w:rPr>
          <w:rFonts w:cs="Times New Roman"/>
        </w:rPr>
      </w:pPr>
      <w:r>
        <w:rPr>
          <w:rFonts w:cs="Times New Roman"/>
          <w:bCs/>
        </w:rPr>
        <w:t>models based on extended producer liability that may (initially) come with less familiar risk profiles</w:t>
      </w:r>
    </w:p>
  </w:footnote>
  <w:footnote w:id="128">
    <w:p>
      <w:pPr>
        <w:pStyle w:val="FootnoteText"/>
        <w:ind w:left="0" w:firstLine="0"/>
        <w:rPr>
          <w:rFonts w:cs="Times New Roman"/>
        </w:rPr>
      </w:pPr>
      <w:r>
        <w:rPr>
          <w:rStyle w:val="FootnoteReference"/>
          <w:rFonts w:cs="Times New Roman"/>
        </w:rPr>
        <w:footnoteRef/>
      </w:r>
      <w:r>
        <w:rPr>
          <w:rFonts w:cs="Times New Roman"/>
        </w:rPr>
        <w:t xml:space="preserve"> Risk sharing platforms and vehicles for testing new business models: sustainable investment and innovation leadership role requiring EU to make the first move with a view to scaling up also through replicating at Member States or sector level as market matures; addressing barriers related to limited or lacking track record (e.g. for nature based solutions) for investments with a status that went beyond technological proof of concept; long time lag between investment and impact (cf SPV related solutions addressing shortcomings of grants, etc.).</w:t>
      </w:r>
    </w:p>
  </w:footnote>
  <w:footnote w:id="129">
    <w:p>
      <w:pPr>
        <w:pStyle w:val="FootnoteText"/>
        <w:rPr>
          <w:rFonts w:cs="Times New Roman"/>
        </w:rPr>
      </w:pPr>
      <w:r>
        <w:rPr>
          <w:rStyle w:val="FootnoteReference"/>
          <w:rFonts w:cs="Times New Roman"/>
        </w:rPr>
        <w:footnoteRef/>
      </w:r>
      <w:r>
        <w:rPr>
          <w:rFonts w:cs="Times New Roman"/>
        </w:rPr>
        <w:t xml:space="preserve"> See </w:t>
      </w:r>
      <w:hyperlink r:id="rId40" w:history="1">
        <w:r>
          <w:rPr>
            <w:rStyle w:val="Hyperlink"/>
            <w:rFonts w:cs="Times New Roman"/>
          </w:rPr>
          <w:t>https://ec.europa.eu/info/sites/info/files/srip-report-full_2018_en.pdf</w:t>
        </w:r>
      </w:hyperlink>
      <w:r>
        <w:rPr>
          <w:rFonts w:cs="Times New Roman"/>
        </w:rPr>
        <w:t>, page 37 .</w:t>
      </w:r>
    </w:p>
  </w:footnote>
  <w:footnote w:id="130">
    <w:p>
      <w:pPr>
        <w:pStyle w:val="FootnoteText"/>
        <w:rPr>
          <w:rFonts w:cs="Times New Roman"/>
        </w:rPr>
      </w:pPr>
      <w:r>
        <w:rPr>
          <w:rStyle w:val="FootnoteReference"/>
          <w:rFonts w:cs="Times New Roman"/>
          <w:szCs w:val="18"/>
        </w:rPr>
        <w:footnoteRef/>
      </w:r>
      <w:r>
        <w:rPr>
          <w:rFonts w:cs="Times New Roman"/>
          <w:szCs w:val="18"/>
        </w:rPr>
        <w:t xml:space="preserve"> </w:t>
      </w:r>
      <w:r>
        <w:rPr>
          <w:rFonts w:cs="Times New Roman"/>
        </w:rPr>
        <w:t xml:space="preserve">See </w:t>
      </w:r>
      <w:hyperlink r:id="rId41" w:history="1">
        <w:r>
          <w:rPr>
            <w:rStyle w:val="Hyperlink"/>
            <w:rFonts w:cs="Times New Roman"/>
          </w:rPr>
          <w:t>http://ec.europa.eu/eurostat/statistics-explained/index.php/R_%26_D_expenditure</w:t>
        </w:r>
      </w:hyperlink>
      <w:r>
        <w:rPr>
          <w:rFonts w:cs="Times New Roman"/>
        </w:rPr>
        <w:t xml:space="preserve"> .</w:t>
      </w:r>
    </w:p>
  </w:footnote>
  <w:footnote w:id="131">
    <w:p>
      <w:pPr>
        <w:pStyle w:val="FootnoteText"/>
        <w:rPr>
          <w:rFonts w:cs="Times New Roman"/>
        </w:rPr>
      </w:pPr>
      <w:r>
        <w:rPr>
          <w:rStyle w:val="FootnoteReference"/>
          <w:rFonts w:cs="Times New Roman"/>
        </w:rPr>
        <w:footnoteRef/>
      </w:r>
      <w:r>
        <w:rPr>
          <w:rFonts w:cs="Times New Roman"/>
        </w:rPr>
        <w:t xml:space="preserve"> See </w:t>
      </w:r>
      <w:hyperlink r:id="rId42" w:history="1">
        <w:r>
          <w:rPr>
            <w:rStyle w:val="Hyperlink"/>
            <w:rFonts w:cs="Times New Roman"/>
          </w:rPr>
          <w:t>https://ec.europa.eu/info/sites/info/files/srip-report-full_2018_en.pdf</w:t>
        </w:r>
      </w:hyperlink>
      <w:r>
        <w:rPr>
          <w:rFonts w:cs="Times New Roman"/>
        </w:rPr>
        <w:t xml:space="preserve"> </w:t>
      </w:r>
    </w:p>
  </w:footnote>
  <w:footnote w:id="132">
    <w:p>
      <w:pPr>
        <w:pStyle w:val="FootnoteText"/>
        <w:rPr>
          <w:rFonts w:cs="Times New Roman"/>
          <w:szCs w:val="18"/>
        </w:rPr>
      </w:pPr>
      <w:r>
        <w:rPr>
          <w:rStyle w:val="FootnoteReference"/>
          <w:rFonts w:cs="Times New Roman"/>
          <w:szCs w:val="18"/>
        </w:rPr>
        <w:footnoteRef/>
      </w:r>
      <w:r>
        <w:rPr>
          <w:rFonts w:cs="Times New Roman"/>
          <w:szCs w:val="18"/>
        </w:rPr>
        <w:t xml:space="preserve"> </w:t>
      </w:r>
      <w:r>
        <w:rPr>
          <w:rFonts w:cs="Times New Roman"/>
        </w:rPr>
        <w:t>European Commission (2017), The Economic Rationale for Public R&amp;I Funding and Its Impact, page 3.</w:t>
      </w:r>
    </w:p>
  </w:footnote>
  <w:footnote w:id="133">
    <w:p>
      <w:pPr>
        <w:pStyle w:val="FootnoteText"/>
        <w:rPr>
          <w:rFonts w:cs="Times New Roman"/>
          <w:szCs w:val="18"/>
          <w:lang w:val="pt-PT"/>
        </w:rPr>
      </w:pPr>
      <w:r>
        <w:rPr>
          <w:rStyle w:val="FootnoteReference"/>
          <w:rFonts w:cs="Times New Roman"/>
          <w:szCs w:val="18"/>
        </w:rPr>
        <w:footnoteRef/>
      </w:r>
      <w:r>
        <w:rPr>
          <w:rFonts w:cs="Times New Roman"/>
          <w:szCs w:val="18"/>
          <w:lang w:val="pt-PT"/>
        </w:rPr>
        <w:t xml:space="preserve"> </w:t>
      </w:r>
      <w:r>
        <w:rPr>
          <w:rFonts w:cs="Times New Roman"/>
          <w:lang w:val="pt-PT"/>
        </w:rPr>
        <w:t>Ibidem.</w:t>
      </w:r>
    </w:p>
  </w:footnote>
  <w:footnote w:id="134">
    <w:p>
      <w:pPr>
        <w:pStyle w:val="FootnoteText"/>
        <w:rPr>
          <w:rFonts w:cs="Times New Roman"/>
          <w:szCs w:val="18"/>
          <w:lang w:val="pt-PT"/>
        </w:rPr>
      </w:pPr>
      <w:r>
        <w:rPr>
          <w:rStyle w:val="FootnoteReference"/>
          <w:rFonts w:cs="Times New Roman"/>
          <w:szCs w:val="18"/>
        </w:rPr>
        <w:footnoteRef/>
      </w:r>
      <w:r>
        <w:rPr>
          <w:rFonts w:cs="Times New Roman"/>
          <w:szCs w:val="18"/>
          <w:lang w:val="pt-PT"/>
        </w:rPr>
        <w:t xml:space="preserve"> </w:t>
      </w:r>
      <w:r>
        <w:rPr>
          <w:rFonts w:cs="Times New Roman"/>
          <w:lang w:val="pt-PT"/>
        </w:rPr>
        <w:t xml:space="preserve">See </w:t>
      </w:r>
      <w:hyperlink r:id="rId43" w:history="1">
        <w:r>
          <w:rPr>
            <w:rStyle w:val="Hyperlink"/>
            <w:rFonts w:cs="Times New Roman"/>
            <w:lang w:val="pt-PT"/>
          </w:rPr>
          <w:t>http://ec.europa.eu/eurostat/statistics-explained/index.php/R_%26_D_expenditure</w:t>
        </w:r>
      </w:hyperlink>
      <w:r>
        <w:rPr>
          <w:rFonts w:cs="Times New Roman"/>
          <w:lang w:val="pt-PT"/>
        </w:rPr>
        <w:t>.</w:t>
      </w:r>
    </w:p>
  </w:footnote>
  <w:footnote w:id="135">
    <w:p>
      <w:pPr>
        <w:pStyle w:val="FootnoteText"/>
        <w:rPr>
          <w:rFonts w:cs="Times New Roman"/>
        </w:rPr>
      </w:pPr>
      <w:r>
        <w:rPr>
          <w:rStyle w:val="FootnoteReference"/>
          <w:rFonts w:cs="Times New Roman"/>
          <w:szCs w:val="18"/>
        </w:rPr>
        <w:footnoteRef/>
      </w:r>
      <w:r>
        <w:rPr>
          <w:rFonts w:cs="Times New Roman"/>
          <w:szCs w:val="18"/>
        </w:rPr>
        <w:t xml:space="preserve"> </w:t>
      </w:r>
      <w:r>
        <w:rPr>
          <w:rFonts w:cs="Times New Roman"/>
        </w:rPr>
        <w:t>European Commission (2017), The Economic Rationale for Public R&amp;I Funding and Its Impact, page 5.</w:t>
      </w:r>
    </w:p>
  </w:footnote>
  <w:footnote w:id="136">
    <w:p>
      <w:pPr>
        <w:pStyle w:val="FootnoteText"/>
        <w:ind w:left="0" w:firstLine="0"/>
        <w:rPr>
          <w:rFonts w:cs="Times New Roman"/>
          <w:szCs w:val="18"/>
        </w:rPr>
      </w:pPr>
      <w:r>
        <w:rPr>
          <w:rStyle w:val="FootnoteReference"/>
          <w:rFonts w:cs="Times New Roman"/>
          <w:szCs w:val="18"/>
        </w:rPr>
        <w:footnoteRef/>
      </w:r>
      <w:r>
        <w:rPr>
          <w:rFonts w:cs="Times New Roman"/>
          <w:szCs w:val="18"/>
        </w:rPr>
        <w:t xml:space="preserve"> </w:t>
      </w:r>
      <w:r>
        <w:rPr>
          <w:rFonts w:cs="Times New Roman"/>
        </w:rPr>
        <w:t xml:space="preserve">Survey on the Access to Finance of Enterprises in the euro area April to September 2017, section 3.1: </w:t>
      </w:r>
      <w:hyperlink r:id="rId44" w:history="1">
        <w:r>
          <w:rPr>
            <w:rStyle w:val="Hyperlink"/>
            <w:rFonts w:cs="Times New Roman"/>
          </w:rPr>
          <w:t>https://www.ecb.europa.eu/pub/pdf/other/ecb.accesstofinancesmallmediumsizedenterprises201711.en.pdf?beb1832df4af9efa945a5a1f7b99eeb7</w:t>
        </w:r>
      </w:hyperlink>
    </w:p>
  </w:footnote>
  <w:footnote w:id="137">
    <w:p>
      <w:pPr>
        <w:pStyle w:val="FootnoteText"/>
        <w:ind w:left="0" w:firstLine="0"/>
        <w:rPr>
          <w:rFonts w:cs="Times New Roman"/>
        </w:rPr>
      </w:pPr>
      <w:r>
        <w:rPr>
          <w:rStyle w:val="FootnoteReference"/>
          <w:rFonts w:cs="Times New Roman"/>
        </w:rPr>
        <w:footnoteRef/>
      </w:r>
      <w:hyperlink r:id="rId45" w:history="1">
        <w:r>
          <w:rPr>
            <w:rStyle w:val="Hyperlink"/>
            <w:rFonts w:cs="Times New Roman"/>
          </w:rPr>
          <w:t>https://ec.europa.eu/research/evaluations/pdf/archive/other_reports_studies_and_documents/interim_evaluation_of_horizon_2020's_financial_instruments.pdf</w:t>
        </w:r>
      </w:hyperlink>
      <w:r>
        <w:rPr>
          <w:rFonts w:cs="Times New Roman"/>
          <w:szCs w:val="18"/>
        </w:rPr>
        <w:t xml:space="preserve">. </w:t>
      </w:r>
    </w:p>
  </w:footnote>
  <w:footnote w:id="138">
    <w:p>
      <w:pPr>
        <w:pStyle w:val="FootnoteText"/>
        <w:ind w:left="0" w:firstLine="0"/>
        <w:rPr>
          <w:rFonts w:cs="Times New Roman"/>
        </w:rPr>
      </w:pPr>
      <w:r>
        <w:rPr>
          <w:rStyle w:val="FootnoteReference"/>
          <w:rFonts w:cs="Times New Roman"/>
        </w:rPr>
        <w:footnoteRef/>
      </w:r>
      <w:r>
        <w:rPr>
          <w:rFonts w:cs="Times New Roman"/>
        </w:rPr>
        <w:t xml:space="preserve"> See </w:t>
      </w:r>
      <w:hyperlink r:id="rId46" w:history="1">
        <w:r>
          <w:rPr>
            <w:rStyle w:val="Hyperlink"/>
            <w:rFonts w:cs="Times New Roman"/>
          </w:rPr>
          <w:t>http://www.eib.org/products/blending/innovfin/products/emerging-innovators.htm</w:t>
        </w:r>
      </w:hyperlink>
      <w:r>
        <w:rPr>
          <w:rFonts w:cs="Times New Roman"/>
        </w:rPr>
        <w:t xml:space="preserve">. </w:t>
      </w:r>
    </w:p>
  </w:footnote>
  <w:footnote w:id="139">
    <w:p>
      <w:pPr>
        <w:pStyle w:val="FootnoteText"/>
        <w:rPr>
          <w:rFonts w:cs="Times New Roman"/>
        </w:rPr>
      </w:pPr>
      <w:r>
        <w:rPr>
          <w:rStyle w:val="FootnoteReference"/>
          <w:rFonts w:cs="Times New Roman"/>
        </w:rPr>
        <w:footnoteRef/>
      </w:r>
      <w:r>
        <w:rPr>
          <w:rFonts w:cs="Times New Roman"/>
        </w:rPr>
        <w:t xml:space="preserve"> As suggested in the </w:t>
      </w:r>
      <w:r>
        <w:rPr>
          <w:rFonts w:cs="Times New Roman"/>
          <w:b/>
        </w:rPr>
        <w:t>"</w:t>
      </w:r>
      <w:r>
        <w:rPr>
          <w:rFonts w:cs="Times New Roman"/>
        </w:rPr>
        <w:t>Interim Evaluation of Horizon 2020's Financial Instruments</w:t>
      </w:r>
      <w:r>
        <w:rPr>
          <w:rFonts w:cs="Times New Roman"/>
          <w:b/>
        </w:rPr>
        <w:t>".</w:t>
      </w:r>
      <w:r>
        <w:rPr>
          <w:rFonts w:cs="Times New Roman"/>
          <w:b/>
          <w:szCs w:val="18"/>
        </w:rPr>
        <w:t xml:space="preserve"> </w:t>
      </w:r>
    </w:p>
  </w:footnote>
  <w:footnote w:id="140">
    <w:p>
      <w:pPr>
        <w:pStyle w:val="FootnoteText"/>
        <w:ind w:left="0" w:firstLine="0"/>
        <w:rPr>
          <w:rFonts w:cs="Times New Roman"/>
        </w:rPr>
      </w:pPr>
      <w:r>
        <w:rPr>
          <w:rStyle w:val="FootnoteReference"/>
          <w:rFonts w:cs="Times New Roman"/>
        </w:rPr>
        <w:footnoteRef/>
      </w:r>
      <w:r>
        <w:rPr>
          <w:rFonts w:cs="Times New Roman"/>
        </w:rPr>
        <w:t xml:space="preserve"> "Deep tech" refers to companies of any sector that are "founded on a scientific discovery or meaningful engineering innovation". </w:t>
      </w:r>
    </w:p>
  </w:footnote>
  <w:footnote w:id="141">
    <w:p>
      <w:pPr>
        <w:pStyle w:val="FootnoteText"/>
        <w:rPr>
          <w:rFonts w:cs="Times New Roman"/>
        </w:rPr>
      </w:pPr>
      <w:r>
        <w:rPr>
          <w:rStyle w:val="FootnoteReference"/>
          <w:rFonts w:cs="Times New Roman"/>
        </w:rPr>
        <w:footnoteRef/>
      </w:r>
      <w:r>
        <w:rPr>
          <w:rFonts w:cs="Times New Roman"/>
        </w:rPr>
        <w:t xml:space="preserve"> These can be forms of convertible debt, mezzanine debt, quasi equity, or other innovative financing options.</w:t>
      </w:r>
    </w:p>
  </w:footnote>
  <w:footnote w:id="142">
    <w:p>
      <w:pPr>
        <w:pStyle w:val="FootnoteText"/>
        <w:contextualSpacing/>
        <w:rPr>
          <w:rFonts w:cs="Times New Roman"/>
          <w:szCs w:val="18"/>
        </w:rPr>
      </w:pPr>
      <w:r>
        <w:rPr>
          <w:rStyle w:val="FootnoteReference"/>
          <w:rFonts w:cs="Times New Roman"/>
          <w:szCs w:val="18"/>
        </w:rPr>
        <w:footnoteRef/>
      </w:r>
      <w:r>
        <w:rPr>
          <w:rFonts w:cs="Times New Roman"/>
          <w:szCs w:val="18"/>
        </w:rPr>
        <w:t xml:space="preserve"> </w:t>
      </w:r>
      <w:r>
        <w:rPr>
          <w:rFonts w:cs="Times New Roman"/>
        </w:rPr>
        <w:t>European Commission (2017), Interim Evaluation of Horizon 2020, book, p. 141.</w:t>
      </w:r>
    </w:p>
  </w:footnote>
  <w:footnote w:id="143">
    <w:p>
      <w:pPr>
        <w:pStyle w:val="FootnoteText"/>
        <w:ind w:left="0" w:firstLine="0"/>
        <w:rPr>
          <w:rFonts w:cs="Times New Roman"/>
        </w:rPr>
      </w:pPr>
      <w:r>
        <w:rPr>
          <w:rStyle w:val="FootnoteReference"/>
          <w:rFonts w:cs="Times New Roman"/>
        </w:rPr>
        <w:footnoteRef/>
      </w:r>
      <w:r>
        <w:rPr>
          <w:rFonts w:cs="Times New Roman"/>
        </w:rPr>
        <w:t xml:space="preserve"> For example the Space Strategy for Europe has a strategic objective on fostering entrepreneurship and new business opportunities, and it is also in line with the recently adopted EU industrial policy objectives.</w:t>
      </w:r>
    </w:p>
  </w:footnote>
  <w:footnote w:id="144">
    <w:p>
      <w:pPr>
        <w:pStyle w:val="FootnoteText"/>
        <w:ind w:left="0" w:firstLine="0"/>
        <w:rPr>
          <w:rFonts w:cs="Times New Roman"/>
        </w:rPr>
      </w:pPr>
      <w:r>
        <w:rPr>
          <w:rStyle w:val="FootnoteReference"/>
          <w:rFonts w:cs="Times New Roman"/>
        </w:rPr>
        <w:footnoteRef/>
      </w:r>
      <w:r>
        <w:rPr>
          <w:rFonts w:cs="Times New Roman"/>
        </w:rPr>
        <w:t xml:space="preserve"> EIC is expected to cover the financing gap for breakthrough innovations (valley of death) between traditional grant financing and stage where InvestEU could intervene. According to the Expert Group assessing the investment potential of SMEs emerging from the SME instrument 70% of the Phase 1 beneficiaries are not investor ready.</w:t>
      </w:r>
    </w:p>
  </w:footnote>
  <w:footnote w:id="145">
    <w:p>
      <w:pPr>
        <w:pStyle w:val="FootnoteText"/>
        <w:rPr>
          <w:rFonts w:cs="Times New Roman"/>
        </w:rPr>
      </w:pPr>
      <w:r>
        <w:rPr>
          <w:rStyle w:val="FootnoteReference"/>
          <w:rFonts w:cs="Times New Roman"/>
        </w:rPr>
        <w:footnoteRef/>
      </w:r>
      <w:r>
        <w:rPr>
          <w:rFonts w:cs="Times New Roman"/>
        </w:rPr>
        <w:t xml:space="preserve"> Annual Report on European SMEs 2016/2017, European Commission November 2017.</w:t>
      </w:r>
    </w:p>
  </w:footnote>
  <w:footnote w:id="146">
    <w:p>
      <w:pPr>
        <w:rPr>
          <w:rFonts w:cs="Times New Roman"/>
        </w:rPr>
      </w:pPr>
      <w:r>
        <w:rPr>
          <w:rStyle w:val="FootnoteReference"/>
          <w:rFonts w:cs="Times New Roman"/>
          <w:b/>
          <w:bCs/>
          <w:sz w:val="18"/>
          <w:szCs w:val="18"/>
        </w:rPr>
        <w:t>2</w:t>
      </w:r>
      <w:r>
        <w:rPr>
          <w:rFonts w:cs="Times New Roman"/>
        </w:rPr>
        <w:t xml:space="preserve"> </w:t>
      </w:r>
      <w:r>
        <w:rPr>
          <w:rFonts w:cs="Times New Roman"/>
          <w:sz w:val="18"/>
          <w:szCs w:val="18"/>
        </w:rPr>
        <w:t xml:space="preserve">Survey on the Access to Finance of Enterprises in the euro area April to September 2017, section 3.1: </w:t>
      </w:r>
      <w:hyperlink r:id="rId47" w:history="1">
        <w:r>
          <w:rPr>
            <w:rStyle w:val="Hyperlink"/>
            <w:rFonts w:cs="Times New Roman"/>
            <w:sz w:val="18"/>
            <w:szCs w:val="18"/>
          </w:rPr>
          <w:t>https://www.ecb.europa.eu/pub/pdf/other/ecb.accesstofinancesmallmediumsizedenterprises201711.en.pdf?beb1832df4af9efa945a5a1f7b99eeb7</w:t>
        </w:r>
      </w:hyperlink>
      <w:r>
        <w:rPr>
          <w:rFonts w:cs="Times New Roman"/>
          <w:sz w:val="18"/>
          <w:szCs w:val="18"/>
        </w:rPr>
        <w:t xml:space="preserve"> </w:t>
      </w:r>
    </w:p>
  </w:footnote>
  <w:footnote w:id="147">
    <w:p>
      <w:pPr>
        <w:pStyle w:val="FootnoteText"/>
        <w:ind w:left="0" w:firstLine="0"/>
        <w:rPr>
          <w:rFonts w:cs="Times New Roman"/>
        </w:rPr>
      </w:pPr>
      <w:r>
        <w:rPr>
          <w:rStyle w:val="FootnoteReference"/>
          <w:rFonts w:cs="Times New Roman"/>
        </w:rPr>
        <w:footnoteRef/>
      </w:r>
      <w:r>
        <w:rPr>
          <w:rFonts w:cs="Times New Roman"/>
        </w:rPr>
        <w:t xml:space="preserve"> The financing problem is still perceived as the n°1 barrier for the internationalisation of SMEs outside the EU. See: Flash Eurobarometer 421, European Commission, October 2015.</w:t>
      </w:r>
    </w:p>
  </w:footnote>
  <w:footnote w:id="148">
    <w:p>
      <w:pPr>
        <w:pStyle w:val="FootnoteText"/>
        <w:ind w:left="0" w:hanging="11"/>
        <w:rPr>
          <w:rFonts w:cs="Times New Roman"/>
          <w:szCs w:val="18"/>
        </w:rPr>
      </w:pPr>
      <w:r>
        <w:rPr>
          <w:rStyle w:val="FootnoteReference"/>
          <w:rFonts w:cs="Times New Roman"/>
        </w:rPr>
        <w:footnoteRef/>
      </w:r>
      <w:r>
        <w:rPr>
          <w:rFonts w:cs="Times New Roman"/>
        </w:rPr>
        <w:t xml:space="preserve"> </w:t>
      </w:r>
      <w:r>
        <w:rPr>
          <w:rFonts w:cs="Times New Roman"/>
          <w:color w:val="000000"/>
          <w:szCs w:val="18"/>
        </w:rPr>
        <w:t>Cohesion policy and the other EU policies contributing to regional development (i.e. rural development and fisheries and maritime policy) under shared management between the EU and the Member States</w:t>
      </w:r>
    </w:p>
  </w:footnote>
  <w:footnote w:id="149">
    <w:p>
      <w:pPr>
        <w:autoSpaceDE w:val="0"/>
        <w:autoSpaceDN w:val="0"/>
        <w:adjustRightInd w:val="0"/>
        <w:spacing w:after="0"/>
        <w:ind w:hanging="11"/>
        <w:rPr>
          <w:rFonts w:cs="Times New Roman"/>
          <w:color w:val="000000"/>
          <w:sz w:val="18"/>
          <w:szCs w:val="18"/>
        </w:rPr>
      </w:pPr>
      <w:r>
        <w:rPr>
          <w:rStyle w:val="FootnoteReference"/>
          <w:rFonts w:cs="Times New Roman"/>
          <w:sz w:val="18"/>
          <w:szCs w:val="18"/>
        </w:rPr>
        <w:footnoteRef/>
      </w:r>
      <w:r>
        <w:rPr>
          <w:rFonts w:cs="Times New Roman"/>
          <w:sz w:val="18"/>
          <w:szCs w:val="18"/>
        </w:rPr>
        <w:t xml:space="preserve"> </w:t>
      </w:r>
      <w:r>
        <w:rPr>
          <w:rFonts w:cs="Times New Roman"/>
          <w:sz w:val="18"/>
          <w:szCs w:val="18"/>
        </w:rPr>
        <w:tab/>
      </w:r>
      <w:r>
        <w:rPr>
          <w:rFonts w:cs="Times New Roman"/>
          <w:color w:val="000000"/>
          <w:sz w:val="18"/>
          <w:szCs w:val="18"/>
        </w:rPr>
        <w:t>Communication from the Commission: Working together for jobs and growth: The role of National Promotional Banks (NPBs) in supporting the Investment Plan for Europe (</w:t>
      </w:r>
      <w:hyperlink r:id="rId48" w:history="1">
        <w:r>
          <w:rPr>
            <w:rStyle w:val="Hyperlink"/>
            <w:rFonts w:cs="Times New Roman"/>
            <w:sz w:val="18"/>
            <w:szCs w:val="18"/>
          </w:rPr>
          <w:t>http://europa.eu/rapid/press-release_IP-15-5420_en.htm</w:t>
        </w:r>
      </w:hyperlink>
      <w:r>
        <w:rPr>
          <w:rFonts w:cs="Times New Roman"/>
          <w:color w:val="000000"/>
          <w:sz w:val="18"/>
          <w:szCs w:val="18"/>
        </w:rPr>
        <w:t xml:space="preserve">) </w:t>
      </w:r>
    </w:p>
  </w:footnote>
  <w:footnote w:id="150">
    <w:p>
      <w:pPr>
        <w:pStyle w:val="FootnoteText"/>
        <w:rPr>
          <w:rFonts w:cs="Times New Roman"/>
        </w:rPr>
      </w:pPr>
      <w:r>
        <w:rPr>
          <w:rStyle w:val="FootnoteReference"/>
          <w:rFonts w:cs="Times New Roman"/>
        </w:rPr>
        <w:footnoteRef/>
      </w:r>
      <w:r>
        <w:rPr>
          <w:rFonts w:cs="Times New Roman"/>
        </w:rPr>
        <w:t xml:space="preserve"> </w:t>
      </w:r>
      <w:hyperlink r:id="rId49" w:history="1">
        <w:r>
          <w:rPr>
            <w:rStyle w:val="Hyperlink"/>
            <w:rFonts w:cs="Times New Roman"/>
          </w:rPr>
          <w:t>https://ec.europa.eu/commission/publications/reflection-paper-social-dimension-europe_en</w:t>
        </w:r>
      </w:hyperlink>
      <w:r>
        <w:rPr>
          <w:rFonts w:cs="Times New Roman"/>
        </w:rPr>
        <w:t xml:space="preserve"> </w:t>
      </w:r>
    </w:p>
  </w:footnote>
  <w:footnote w:id="151">
    <w:p>
      <w:pPr>
        <w:autoSpaceDE w:val="0"/>
        <w:autoSpaceDN w:val="0"/>
        <w:adjustRightInd w:val="0"/>
        <w:spacing w:after="0"/>
        <w:rPr>
          <w:rFonts w:cs="Times New Roman"/>
          <w:sz w:val="18"/>
        </w:rPr>
      </w:pPr>
      <w:r>
        <w:rPr>
          <w:rStyle w:val="FootnoteReference"/>
          <w:rFonts w:cs="Times New Roman"/>
        </w:rPr>
        <w:footnoteRef/>
      </w:r>
      <w:r>
        <w:rPr>
          <w:rFonts w:cs="Times New Roman"/>
        </w:rPr>
        <w:t xml:space="preserve"> </w:t>
      </w:r>
      <w:r>
        <w:rPr>
          <w:rFonts w:cs="Times New Roman"/>
          <w:sz w:val="18"/>
        </w:rPr>
        <w:t xml:space="preserve">The Communication COM (2017) 250 states that </w:t>
      </w:r>
      <w:r>
        <w:rPr>
          <w:rFonts w:cs="Times New Roman"/>
        </w:rPr>
        <w:t>"</w:t>
      </w:r>
      <w:r>
        <w:rPr>
          <w:rFonts w:cs="Times New Roman"/>
          <w:i/>
          <w:sz w:val="18"/>
        </w:rPr>
        <w:t>In spite of recent improvements in economic and social conditions across Europe, the legacy of the crisis of the last decade is still far-reaching, from long-term unemployment and youth unemployment to risks of poverty in many parts of Europe. At the same time, every Member State is facing the rapid changes taking place in our societies and the world of work.</w:t>
      </w:r>
      <w:r>
        <w:rPr>
          <w:rFonts w:cs="Times New Roman"/>
          <w:sz w:val="18"/>
        </w:rPr>
        <w:t>"</w:t>
      </w:r>
    </w:p>
    <w:p>
      <w:pPr>
        <w:autoSpaceDE w:val="0"/>
        <w:autoSpaceDN w:val="0"/>
        <w:adjustRightInd w:val="0"/>
        <w:spacing w:after="0"/>
        <w:rPr>
          <w:rFonts w:cs="Times New Roman"/>
          <w:sz w:val="18"/>
        </w:rPr>
      </w:pPr>
      <w:r>
        <w:rPr>
          <w:rFonts w:cs="Times New Roman"/>
          <w:sz w:val="18"/>
        </w:rPr>
        <w:t>The 20 principles and right of the pillar are available here:</w:t>
      </w:r>
    </w:p>
    <w:p>
      <w:pPr>
        <w:autoSpaceDE w:val="0"/>
        <w:autoSpaceDN w:val="0"/>
        <w:adjustRightInd w:val="0"/>
        <w:spacing w:after="0"/>
        <w:rPr>
          <w:rFonts w:cs="Times New Roman"/>
          <w:sz w:val="18"/>
        </w:rPr>
      </w:pPr>
      <w:r>
        <w:rPr>
          <w:rFonts w:cs="Times New Roman"/>
          <w:sz w:val="18"/>
        </w:rPr>
        <w:t>https://ec.europa.eu/commission/sites/beta-political/files/social-summit-european-pillar-social-rights-factsheet_en.pdf</w:t>
      </w:r>
    </w:p>
    <w:p>
      <w:pPr>
        <w:pStyle w:val="FootnoteText"/>
        <w:rPr>
          <w:rFonts w:cs="Times New Roman"/>
        </w:rPr>
      </w:pPr>
      <w:hyperlink r:id="rId50" w:history="1">
        <w:r>
          <w:rPr>
            <w:rStyle w:val="Hyperlink"/>
            <w:rFonts w:cs="Times New Roman"/>
          </w:rPr>
          <w:t>https://ec.europa.eu/commission/priorities/deeper-and-fairer-economic-and-monetary-union/european-pillar-social-rights_en</w:t>
        </w:r>
      </w:hyperlink>
    </w:p>
    <w:p>
      <w:pPr>
        <w:pStyle w:val="FootnoteText"/>
        <w:rPr>
          <w:rFonts w:cs="Times New Roman"/>
        </w:rPr>
      </w:pPr>
      <w:r>
        <w:rPr>
          <w:rFonts w:cs="Times New Roman"/>
        </w:rPr>
        <w:t>http://data.consilium.europa.eu/doc/document/ST-8637-2017-INIT/en/pdf</w:t>
      </w:r>
    </w:p>
  </w:footnote>
  <w:footnote w:id="152">
    <w:p>
      <w:pPr>
        <w:pStyle w:val="FootnoteText"/>
        <w:rPr>
          <w:rFonts w:cs="Times New Roman"/>
        </w:rPr>
      </w:pPr>
      <w:r>
        <w:rPr>
          <w:rStyle w:val="FootnoteReference"/>
          <w:rFonts w:cs="Times New Roman"/>
        </w:rPr>
        <w:footnoteRef/>
      </w:r>
      <w:r>
        <w:rPr>
          <w:rFonts w:cs="Times New Roman"/>
        </w:rPr>
        <w:t xml:space="preserve"> See: https://ec.europa.eu/commission/sites/beta-political/files/social-summit-social-scoreboard_en.pdf</w:t>
      </w:r>
    </w:p>
  </w:footnote>
  <w:footnote w:id="153">
    <w:p>
      <w:pPr>
        <w:pStyle w:val="FootnoteText"/>
        <w:ind w:left="0" w:firstLine="0"/>
        <w:rPr>
          <w:rFonts w:cs="Times New Roman"/>
        </w:rPr>
      </w:pPr>
      <w:r>
        <w:rPr>
          <w:rStyle w:val="FootnoteReference"/>
          <w:rFonts w:cs="Times New Roman"/>
        </w:rPr>
        <w:footnoteRef/>
      </w:r>
      <w:r>
        <w:rPr>
          <w:rFonts w:cs="Times New Roman"/>
        </w:rPr>
        <w:t xml:space="preserve"> Philanthropy is a heterogeneous sector of actors, ranging from large family offices linked to prominent enterprises, to historic donations that established universities or hospitals, to foundations established from privatisation of public companies and new ‘citizens foundations’ acting locally.</w:t>
      </w:r>
    </w:p>
  </w:footnote>
  <w:footnote w:id="154">
    <w:p>
      <w:pPr>
        <w:autoSpaceDE w:val="0"/>
        <w:autoSpaceDN w:val="0"/>
        <w:adjustRightInd w:val="0"/>
        <w:spacing w:after="0"/>
        <w:rPr>
          <w:rFonts w:cs="Times New Roman"/>
        </w:rPr>
      </w:pPr>
      <w:r>
        <w:rPr>
          <w:rStyle w:val="FootnoteReference"/>
          <w:rFonts w:cs="Times New Roman"/>
        </w:rPr>
        <w:footnoteRef/>
      </w:r>
      <w:r>
        <w:rPr>
          <w:rFonts w:cs="Times New Roman"/>
        </w:rPr>
        <w:t xml:space="preserve"> </w:t>
      </w:r>
      <w:r>
        <w:rPr>
          <w:rFonts w:cs="Times New Roman"/>
          <w:sz w:val="20"/>
        </w:rPr>
        <w:t xml:space="preserve">See for instance: EU-wide income inequality in the era of the Great Recession (2018) </w:t>
      </w:r>
      <w:hyperlink r:id="rId51" w:history="1">
        <w:r>
          <w:rPr>
            <w:rStyle w:val="Hyperlink"/>
            <w:rFonts w:cs="Times New Roman"/>
            <w:sz w:val="20"/>
          </w:rPr>
          <w:t>http://publications.jrc.ec.europa.eu/repository/bitstream/JRC109805/bp-csgzs-hp_euinequality_jrc_wp.pdf</w:t>
        </w:r>
      </w:hyperlink>
      <w:r>
        <w:rPr>
          <w:rFonts w:cs="Times New Roman"/>
          <w:sz w:val="20"/>
        </w:rPr>
        <w:t xml:space="preserve"> </w:t>
      </w:r>
    </w:p>
  </w:footnote>
  <w:footnote w:id="155">
    <w:p>
      <w:pPr>
        <w:pStyle w:val="FootnoteText"/>
        <w:ind w:left="0" w:firstLine="0"/>
        <w:rPr>
          <w:rFonts w:cs="Times New Roman"/>
        </w:rPr>
      </w:pPr>
      <w:r>
        <w:rPr>
          <w:rStyle w:val="FootnoteReference"/>
          <w:rFonts w:cs="Times New Roman"/>
        </w:rPr>
        <w:footnoteRef/>
      </w:r>
      <w:r>
        <w:rPr>
          <w:rFonts w:cs="Times New Roman"/>
        </w:rPr>
        <w:t xml:space="preserve"> See for instance: "In It Together: Why Less Inequality Benefits All", OECD report on inequalities (2015) </w:t>
      </w:r>
      <w:hyperlink r:id="rId52" w:history="1">
        <w:r>
          <w:rPr>
            <w:rStyle w:val="Hyperlink"/>
            <w:rFonts w:cs="Times New Roman"/>
          </w:rPr>
          <w:t>http://www.tarki.hu/download/OECD2015-In-It-Together-Chapter1-Overview-Inequality.pdf</w:t>
        </w:r>
      </w:hyperlink>
      <w:r>
        <w:rPr>
          <w:rFonts w:cs="Times New Roman"/>
        </w:rPr>
        <w:t xml:space="preserve"> </w:t>
      </w:r>
    </w:p>
  </w:footnote>
  <w:footnote w:id="156">
    <w:p>
      <w:pPr>
        <w:pStyle w:val="FootnoteText"/>
        <w:rPr>
          <w:rFonts w:cs="Times New Roman"/>
          <w:color w:val="000000"/>
        </w:rPr>
      </w:pPr>
      <w:r>
        <w:rPr>
          <w:rStyle w:val="FootnoteReference"/>
          <w:rFonts w:cs="Times New Roman"/>
        </w:rPr>
        <w:footnoteRef/>
      </w:r>
      <w:r>
        <w:rPr>
          <w:rFonts w:cs="Times New Roman"/>
        </w:rPr>
        <w:t xml:space="preserve"> See </w:t>
      </w:r>
      <w:r>
        <w:rPr>
          <w:rFonts w:cs="Times New Roman"/>
          <w:color w:val="000000"/>
        </w:rPr>
        <w:t>JRC report: What makes a fair society? Insights and evidence (2017). Available at:</w:t>
      </w:r>
    </w:p>
    <w:p>
      <w:pPr>
        <w:pStyle w:val="FootnoteText"/>
        <w:rPr>
          <w:rFonts w:cs="Times New Roman"/>
        </w:rPr>
      </w:pPr>
      <w:hyperlink r:id="rId53" w:history="1">
        <w:r>
          <w:rPr>
            <w:rStyle w:val="Hyperlink"/>
            <w:rFonts w:cs="Times New Roman"/>
          </w:rPr>
          <w:t>http://publications.jrc.ec.europa.eu/repository/bitstream/JRC106087/kj0716182enn.pdf</w:t>
        </w:r>
      </w:hyperlink>
      <w:r>
        <w:rPr>
          <w:rFonts w:cs="Times New Roman"/>
        </w:rPr>
        <w:t xml:space="preserve"> </w:t>
      </w:r>
    </w:p>
  </w:footnote>
  <w:footnote w:id="157">
    <w:p>
      <w:pPr>
        <w:pStyle w:val="FootnoteText"/>
        <w:rPr>
          <w:rFonts w:cs="Times New Roman"/>
        </w:rPr>
      </w:pPr>
      <w:r>
        <w:rPr>
          <w:rStyle w:val="FootnoteReference"/>
          <w:rFonts w:cs="Times New Roman"/>
        </w:rPr>
        <w:footnoteRef/>
      </w:r>
      <w:r>
        <w:rPr>
          <w:rFonts w:cs="Times New Roman"/>
        </w:rPr>
        <w:t xml:space="preserve"> COM(2016)739 final</w:t>
      </w:r>
    </w:p>
  </w:footnote>
  <w:footnote w:id="158">
    <w:p>
      <w:pPr>
        <w:pStyle w:val="FootnoteText"/>
        <w:ind w:left="0" w:firstLine="0"/>
        <w:rPr>
          <w:rFonts w:cs="Times New Roman"/>
          <w:color w:val="000000"/>
        </w:rPr>
      </w:pPr>
      <w:r>
        <w:rPr>
          <w:rStyle w:val="FootnoteReference"/>
          <w:rFonts w:cs="Times New Roman"/>
        </w:rPr>
        <w:footnoteRef/>
      </w:r>
      <w:r>
        <w:rPr>
          <w:rFonts w:cs="Times New Roman"/>
        </w:rPr>
        <w:t xml:space="preserve"> The link between digitalisation and labour market is explored by the recent JRC report: </w:t>
      </w:r>
      <w:r>
        <w:rPr>
          <w:rFonts w:cs="Times New Roman"/>
          <w:color w:val="000000"/>
        </w:rPr>
        <w:t>What makes a fair society? Insights and evidence (2017). Available at:</w:t>
      </w:r>
    </w:p>
    <w:p>
      <w:pPr>
        <w:pStyle w:val="FootnoteText"/>
        <w:ind w:left="0" w:firstLine="0"/>
        <w:rPr>
          <w:rFonts w:cs="Times New Roman"/>
        </w:rPr>
      </w:pPr>
      <w:hyperlink r:id="rId54" w:history="1">
        <w:r>
          <w:rPr>
            <w:rStyle w:val="Hyperlink"/>
            <w:rFonts w:cs="Times New Roman"/>
          </w:rPr>
          <w:t>http://publications.jrc.ec.europa.eu/repository/bitstream/JRC106087/kj0716182enn.pdf</w:t>
        </w:r>
      </w:hyperlink>
      <w:r>
        <w:rPr>
          <w:rFonts w:cs="Times New Roman"/>
        </w:rPr>
        <w:t xml:space="preserve"> </w:t>
      </w:r>
    </w:p>
  </w:footnote>
  <w:footnote w:id="159">
    <w:p>
      <w:pPr>
        <w:pStyle w:val="FootnoteText"/>
        <w:ind w:left="0" w:firstLine="0"/>
        <w:rPr>
          <w:rFonts w:cs="Times New Roman"/>
        </w:rPr>
      </w:pPr>
      <w:r>
        <w:rPr>
          <w:rStyle w:val="FootnoteReference"/>
          <w:rFonts w:cs="Times New Roman"/>
        </w:rPr>
        <w:footnoteRef/>
      </w:r>
      <w:r>
        <w:rPr>
          <w:rFonts w:cs="Times New Roman"/>
        </w:rPr>
        <w:t xml:space="preserve"> </w:t>
      </w:r>
      <w:r>
        <w:rPr>
          <w:rFonts w:cs="Times New Roman"/>
          <w:b/>
          <w:i/>
        </w:rPr>
        <w:t>private</w:t>
      </w:r>
      <w:r>
        <w:rPr>
          <w:rFonts w:cs="Times New Roman"/>
        </w:rPr>
        <w:t xml:space="preserve"> benefits (</w:t>
      </w:r>
      <w:r>
        <w:rPr>
          <w:rFonts w:cs="Times New Roman"/>
          <w:i/>
        </w:rPr>
        <w:t>individual</w:t>
      </w:r>
      <w:r>
        <w:rPr>
          <w:rFonts w:cs="Times New Roman"/>
        </w:rPr>
        <w:t xml:space="preserve"> – more employment opportunities, higher wages, faster promotion, healthier lives &amp; better job satisfaction - as well as </w:t>
      </w:r>
      <w:r>
        <w:rPr>
          <w:rFonts w:cs="Times New Roman"/>
          <w:b/>
          <w:i/>
        </w:rPr>
        <w:t>institutional</w:t>
      </w:r>
      <w:r>
        <w:rPr>
          <w:rFonts w:cs="Times New Roman"/>
        </w:rPr>
        <w:t xml:space="preserve"> benefits - better service delivery; innovation of infrastructure &amp; content; governance autonomy) as well as </w:t>
      </w:r>
      <w:r>
        <w:rPr>
          <w:rFonts w:cs="Times New Roman"/>
          <w:b/>
          <w:i/>
        </w:rPr>
        <w:t>public</w:t>
      </w:r>
      <w:r>
        <w:rPr>
          <w:rFonts w:cs="Times New Roman"/>
          <w:b/>
        </w:rPr>
        <w:t xml:space="preserve"> </w:t>
      </w:r>
      <w:r>
        <w:rPr>
          <w:rFonts w:cs="Times New Roman"/>
        </w:rPr>
        <w:t>benefits (higher fiscal revenues, better health status &amp; lower social security costs, later retirement age, etc.).</w:t>
      </w:r>
    </w:p>
  </w:footnote>
  <w:footnote w:id="160">
    <w:p>
      <w:pPr>
        <w:pStyle w:val="FootnoteText"/>
        <w:ind w:left="0" w:firstLine="0"/>
        <w:rPr>
          <w:rFonts w:cs="Times New Roman"/>
        </w:rPr>
      </w:pPr>
      <w:r>
        <w:rPr>
          <w:rStyle w:val="FootnoteReference"/>
          <w:rFonts w:cs="Times New Roman"/>
        </w:rPr>
        <w:footnoteRef/>
      </w:r>
      <w:r>
        <w:rPr>
          <w:rFonts w:cs="Times New Roman"/>
        </w:rPr>
        <w:t xml:space="preserve"> Blueprint for Sectoral Cooperation of Skills, which is a very good example of public support measure involving private industrial stakeholders.</w:t>
      </w:r>
    </w:p>
  </w:footnote>
  <w:footnote w:id="161">
    <w:p>
      <w:pPr>
        <w:pStyle w:val="FootnoteText"/>
        <w:ind w:left="0" w:firstLine="0"/>
        <w:rPr>
          <w:rFonts w:cs="Times New Roman"/>
        </w:rPr>
      </w:pPr>
      <w:r>
        <w:rPr>
          <w:rStyle w:val="FootnoteReference"/>
          <w:rFonts w:cs="Times New Roman"/>
        </w:rPr>
        <w:footnoteRef/>
      </w:r>
      <w:r>
        <w:rPr>
          <w:rFonts w:cs="Times New Roman"/>
        </w:rPr>
        <w:t xml:space="preserve"> The report of the "High-Level Task-Force on Investing in Social Infrastructure in Europe" (commissioned by ELTI and chaired by former European Commission President Romano Prodi) estimated the minimal investment gap for Education, health &amp; long-term care, and affordable housing at EUR 100-150 bn annually.</w:t>
      </w:r>
    </w:p>
    <w:p>
      <w:pPr>
        <w:pStyle w:val="FootnoteText"/>
        <w:ind w:left="0" w:firstLine="0"/>
        <w:rPr>
          <w:rFonts w:cs="Times New Roman"/>
        </w:rPr>
      </w:pPr>
      <w:r>
        <w:rPr>
          <w:rFonts w:cs="Times New Roman"/>
        </w:rPr>
        <w:t xml:space="preserve">See: </w:t>
      </w:r>
      <w:hyperlink r:id="rId55" w:history="1">
        <w:r>
          <w:rPr>
            <w:rStyle w:val="Hyperlink"/>
            <w:rFonts w:cs="Times New Roman"/>
          </w:rPr>
          <w:t>http://ec.europa.eu/info/publications/economy-finance/boosting-investment-social-infrastructure-europe_en</w:t>
        </w:r>
      </w:hyperlink>
      <w:r>
        <w:rPr>
          <w:rFonts w:cs="Times New Roman"/>
        </w:rPr>
        <w:t xml:space="preserve"> </w:t>
      </w:r>
    </w:p>
  </w:footnote>
  <w:footnote w:id="162">
    <w:p>
      <w:pPr>
        <w:pStyle w:val="FootnoteText"/>
        <w:ind w:left="0" w:firstLine="0"/>
        <w:rPr>
          <w:rFonts w:cs="Times New Roman"/>
        </w:rPr>
      </w:pPr>
      <w:r>
        <w:rPr>
          <w:rStyle w:val="FootnoteReference"/>
          <w:rFonts w:cs="Times New Roman"/>
        </w:rPr>
        <w:footnoteRef/>
      </w:r>
      <w:r>
        <w:rPr>
          <w:rFonts w:cs="Times New Roman"/>
        </w:rPr>
        <w:t xml:space="preserve"> Also covered under the SME window of the InvestEU Fund</w:t>
      </w:r>
    </w:p>
  </w:footnote>
  <w:footnote w:id="163">
    <w:p>
      <w:pPr>
        <w:autoSpaceDE w:val="0"/>
        <w:autoSpaceDN w:val="0"/>
        <w:adjustRightInd w:val="0"/>
        <w:spacing w:after="0"/>
        <w:rPr>
          <w:rFonts w:cs="Times New Roman"/>
          <w:sz w:val="18"/>
          <w:szCs w:val="24"/>
        </w:rPr>
      </w:pPr>
      <w:r>
        <w:rPr>
          <w:rStyle w:val="FootnoteReference"/>
          <w:rFonts w:eastAsia="Arial Unicode MS" w:cs="Times New Roman"/>
          <w:color w:val="000000"/>
          <w:u w:color="000000"/>
          <w:lang w:eastAsia="en-GB"/>
        </w:rPr>
        <w:footnoteRef/>
      </w:r>
      <w:r>
        <w:rPr>
          <w:rStyle w:val="FootnoteReference"/>
          <w:rFonts w:eastAsia="Arial Unicode MS" w:cs="Times New Roman"/>
          <w:color w:val="000000"/>
          <w:u w:color="000000"/>
          <w:lang w:eastAsia="en-GB"/>
        </w:rPr>
        <w:t xml:space="preserve"> </w:t>
      </w:r>
      <w:r>
        <w:rPr>
          <w:rFonts w:cs="Times New Roman"/>
          <w:sz w:val="18"/>
          <w:szCs w:val="24"/>
        </w:rPr>
        <w:t>These health reforms require significant investments on various fronts, such as: (i) new primary care and community care centres; (ii) IT systems to support back-end organisation, implementation of integrated care pathways and decision support systems; (iii) new service models and new tools, e.g. eHealth and mHealth, to facilitate remote management of chronically ill people at their homes; (iv) new organisational models, education of the health workforce in new roles and skills.</w:t>
      </w:r>
    </w:p>
  </w:footnote>
  <w:footnote w:id="164">
    <w:p>
      <w:pPr>
        <w:pStyle w:val="FootnoteText"/>
        <w:ind w:left="0" w:firstLine="0"/>
        <w:rPr>
          <w:rFonts w:cs="Times New Roman"/>
        </w:rPr>
      </w:pPr>
      <w:r>
        <w:rPr>
          <w:rStyle w:val="FootnoteReference"/>
          <w:rFonts w:cs="Times New Roman"/>
        </w:rPr>
        <w:footnoteRef/>
      </w:r>
      <w:r>
        <w:rPr>
          <w:rFonts w:cs="Times New Roman"/>
        </w:rPr>
        <w:t xml:space="preserve">See also: The case for investing in Public Health, World Health Organization, Regional Office for Europe ( 2015) </w:t>
      </w:r>
      <w:hyperlink r:id="rId56" w:history="1">
        <w:r>
          <w:rPr>
            <w:rStyle w:val="Hyperlink"/>
            <w:rFonts w:cs="Times New Roman"/>
          </w:rPr>
          <w:t>http://www.euro.who.int/__data/assets/pdf_file/0009/278073/Case-Investing-Public-Health.pdf</w:t>
        </w:r>
      </w:hyperlink>
    </w:p>
  </w:footnote>
  <w:footnote w:id="165">
    <w:p>
      <w:pPr>
        <w:pStyle w:val="FootnoteText"/>
        <w:rPr>
          <w:rFonts w:cs="Times New Roman"/>
        </w:rPr>
      </w:pPr>
      <w:r>
        <w:rPr>
          <w:rStyle w:val="FootnoteReference"/>
          <w:rFonts w:cs="Times New Roman"/>
        </w:rPr>
        <w:footnoteRef/>
      </w:r>
      <w:r>
        <w:rPr>
          <w:rFonts w:cs="Times New Roman"/>
        </w:rPr>
        <w:t xml:space="preserve"> As an example, the EIB had a 2.5 billion project pipeline in Education and Training in 2017 </w:t>
      </w:r>
      <w:hyperlink r:id="rId57" w:history="1">
        <w:r>
          <w:rPr>
            <w:rStyle w:val="Hyperlink"/>
            <w:rFonts w:cs="Times New Roman"/>
          </w:rPr>
          <w:t>http://www.eib.org/projects/sectors/education-and-training/index.htm</w:t>
        </w:r>
      </w:hyperlink>
    </w:p>
  </w:footnote>
  <w:footnote w:id="166">
    <w:p>
      <w:pPr>
        <w:autoSpaceDE w:val="0"/>
        <w:autoSpaceDN w:val="0"/>
        <w:adjustRightInd w:val="0"/>
        <w:spacing w:after="0"/>
        <w:rPr>
          <w:rFonts w:cs="Times New Roman"/>
        </w:rPr>
      </w:pPr>
      <w:r>
        <w:rPr>
          <w:rFonts w:cs="Times New Roman"/>
          <w:sz w:val="18"/>
          <w:szCs w:val="24"/>
        </w:rPr>
        <w:footnoteRef/>
      </w:r>
      <w:r>
        <w:rPr>
          <w:rFonts w:cs="Times New Roman"/>
          <w:sz w:val="18"/>
          <w:szCs w:val="24"/>
        </w:rPr>
        <w:t xml:space="preserve"> Study on the feasibility of an education and training investment platform (2017) ICF study contracted by DG EAC - Executive summary: </w:t>
      </w:r>
      <w:hyperlink r:id="rId58" w:history="1">
        <w:r>
          <w:rPr>
            <w:rFonts w:cs="Times New Roman"/>
            <w:sz w:val="18"/>
            <w:szCs w:val="24"/>
          </w:rPr>
          <w:t>https://publications.europa.eu/en/publication-detail/-/publication/2b3f33c9-b21c-11e7-837e-01aa75ed71a1/language-en</w:t>
        </w:r>
      </w:hyperlink>
      <w:r>
        <w:rPr>
          <w:rFonts w:cs="Times New Roman"/>
          <w:sz w:val="18"/>
          <w:szCs w:val="24"/>
        </w:rPr>
        <w:t xml:space="preserve">    </w:t>
      </w:r>
    </w:p>
  </w:footnote>
  <w:footnote w:id="167">
    <w:p>
      <w:pPr>
        <w:autoSpaceDE w:val="0"/>
        <w:autoSpaceDN w:val="0"/>
        <w:adjustRightInd w:val="0"/>
        <w:spacing w:after="0"/>
        <w:rPr>
          <w:rFonts w:cs="Times New Roman"/>
          <w:b/>
          <w:szCs w:val="20"/>
          <w:highlight w:val="cyan"/>
        </w:rPr>
      </w:pPr>
      <w:r>
        <w:rPr>
          <w:rStyle w:val="FootnoteReference"/>
          <w:rFonts w:cs="Times New Roman"/>
        </w:rPr>
        <w:footnoteRef/>
      </w:r>
      <w:r>
        <w:rPr>
          <w:rFonts w:cs="Times New Roman"/>
        </w:rPr>
        <w:t xml:space="preserve"> </w:t>
      </w:r>
      <w:r>
        <w:rPr>
          <w:rFonts w:cs="Times New Roman"/>
          <w:sz w:val="18"/>
          <w:szCs w:val="24"/>
        </w:rPr>
        <w:t>As an example (it could help create pan-European co-operative capital funds that are socially responsible investment fund that invests in cooperative businesses in the form of "patient capital,” or equity-like financing. Such funds could assist the cooperative industry to grow and flourish by providing capital that acts like equity without requiring co-ops to give up control over their own management and destiny, as traditional venture capital might).</w:t>
      </w:r>
    </w:p>
  </w:footnote>
  <w:footnote w:id="168">
    <w:p>
      <w:pPr>
        <w:autoSpaceDE w:val="0"/>
        <w:autoSpaceDN w:val="0"/>
        <w:adjustRightInd w:val="0"/>
        <w:spacing w:after="0"/>
        <w:rPr>
          <w:rFonts w:cs="Times New Roman"/>
          <w:b/>
          <w:sz w:val="18"/>
          <w:szCs w:val="24"/>
        </w:rPr>
      </w:pPr>
      <w:r>
        <w:rPr>
          <w:rStyle w:val="FootnoteReference"/>
          <w:rFonts w:cs="Times New Roman"/>
        </w:rPr>
        <w:footnoteRef/>
      </w:r>
      <w:r>
        <w:rPr>
          <w:rFonts w:cs="Times New Roman"/>
        </w:rPr>
        <w:t xml:space="preserve"> </w:t>
      </w:r>
      <w:r>
        <w:rPr>
          <w:rFonts w:cs="Times New Roman"/>
          <w:sz w:val="18"/>
          <w:szCs w:val="24"/>
        </w:rPr>
        <w:t>For example, the UK or Sweden offers humanitarian migrants' loan programmes for vocational training and for work-based learning leading to a qualification. EU financial or organisational support for such schemes is not available today.</w:t>
      </w:r>
    </w:p>
  </w:footnote>
  <w:footnote w:id="169">
    <w:p>
      <w:pPr>
        <w:spacing w:after="0"/>
        <w:rPr>
          <w:rFonts w:cs="Times New Roman"/>
          <w:color w:val="000000"/>
          <w:sz w:val="18"/>
          <w:szCs w:val="18"/>
        </w:rPr>
      </w:pPr>
      <w:r>
        <w:rPr>
          <w:rStyle w:val="FootnoteReference"/>
          <w:rFonts w:cs="Times New Roman"/>
          <w:sz w:val="18"/>
          <w:szCs w:val="18"/>
        </w:rPr>
        <w:footnoteRef/>
      </w:r>
      <w:r>
        <w:rPr>
          <w:rFonts w:cs="Times New Roman"/>
          <w:sz w:val="18"/>
          <w:szCs w:val="18"/>
        </w:rPr>
        <w:t xml:space="preserve"> </w:t>
      </w:r>
      <w:hyperlink r:id="rId59" w:history="1">
        <w:r>
          <w:rPr>
            <w:rStyle w:val="Hyperlink"/>
            <w:rFonts w:cs="Times New Roman"/>
            <w:sz w:val="18"/>
            <w:szCs w:val="18"/>
          </w:rPr>
          <w:t>https://composite-indicators.jrc.ec.europa.eu/social-scoreboard/#</w:t>
        </w:r>
      </w:hyperlink>
    </w:p>
  </w:footnote>
  <w:footnote w:id="170">
    <w:p>
      <w:pPr>
        <w:spacing w:after="0"/>
        <w:rPr>
          <w:rFonts w:cs="Times New Roman"/>
          <w:color w:val="000000"/>
          <w:sz w:val="18"/>
          <w:szCs w:val="18"/>
        </w:rPr>
      </w:pPr>
      <w:r>
        <w:rPr>
          <w:rStyle w:val="FootnoteReference"/>
          <w:rFonts w:cs="Times New Roman"/>
          <w:sz w:val="18"/>
          <w:szCs w:val="18"/>
        </w:rPr>
        <w:footnoteRef/>
      </w:r>
      <w:r>
        <w:rPr>
          <w:rFonts w:cs="Times New Roman"/>
          <w:sz w:val="18"/>
          <w:szCs w:val="18"/>
        </w:rPr>
        <w:t xml:space="preserve"> </w:t>
      </w:r>
      <w:hyperlink r:id="rId60" w:history="1">
        <w:r>
          <w:rPr>
            <w:rStyle w:val="Hyperlink"/>
            <w:rFonts w:cs="Times New Roman"/>
            <w:sz w:val="18"/>
            <w:szCs w:val="18"/>
          </w:rPr>
          <w:t>https://composite-indicators.jrc.ec.europa.eu/cultural-creative-cities-monitor/about</w:t>
        </w:r>
      </w:hyperlink>
    </w:p>
  </w:footnote>
  <w:footnote w:id="171">
    <w:p>
      <w:pPr>
        <w:spacing w:after="0"/>
        <w:rPr>
          <w:rFonts w:cs="Times New Roman"/>
          <w:color w:val="000000"/>
          <w:sz w:val="18"/>
          <w:szCs w:val="18"/>
        </w:rPr>
      </w:pPr>
      <w:r>
        <w:rPr>
          <w:rStyle w:val="FootnoteReference"/>
          <w:rFonts w:cs="Times New Roman"/>
          <w:sz w:val="18"/>
          <w:szCs w:val="18"/>
        </w:rPr>
        <w:footnoteRef/>
      </w:r>
      <w:r>
        <w:rPr>
          <w:rFonts w:cs="Times New Roman"/>
          <w:sz w:val="18"/>
          <w:szCs w:val="18"/>
        </w:rPr>
        <w:t xml:space="preserve"> </w:t>
      </w:r>
      <w:r>
        <w:rPr>
          <w:rFonts w:cs="Times New Roman"/>
          <w:color w:val="000000"/>
          <w:sz w:val="18"/>
          <w:szCs w:val="18"/>
        </w:rPr>
        <w:t xml:space="preserve">Annex 1 “Common output and result indicators for ESF investments”: </w:t>
      </w:r>
    </w:p>
    <w:p>
      <w:pPr>
        <w:spacing w:after="0"/>
        <w:rPr>
          <w:rFonts w:cs="Times New Roman"/>
          <w:color w:val="000000"/>
          <w:sz w:val="18"/>
          <w:szCs w:val="18"/>
        </w:rPr>
      </w:pPr>
      <w:hyperlink r:id="rId61" w:history="1">
        <w:r>
          <w:rPr>
            <w:rStyle w:val="Hyperlink"/>
            <w:rFonts w:cs="Times New Roman"/>
            <w:sz w:val="18"/>
            <w:szCs w:val="18"/>
          </w:rPr>
          <w:t>https://ec.europa.eu/digital-single-market/en/news/regulation-eu-no-13042013-european-parliament-and-council</w:t>
        </w:r>
      </w:hyperlink>
    </w:p>
    <w:p>
      <w:pPr>
        <w:pStyle w:val="FootnoteText"/>
        <w:rPr>
          <w:rFonts w:cs="Times New Roman"/>
        </w:rPr>
      </w:pPr>
    </w:p>
  </w:footnote>
  <w:footnote w:id="172">
    <w:p>
      <w:pPr>
        <w:pStyle w:val="FootnoteText"/>
        <w:rPr>
          <w:rFonts w:cs="Times New Roman"/>
        </w:rPr>
      </w:pPr>
      <w:r>
        <w:rPr>
          <w:rStyle w:val="FootnoteReference"/>
          <w:rFonts w:cs="Times New Roman"/>
        </w:rPr>
        <w:footnoteRef/>
      </w:r>
      <w:r>
        <w:rPr>
          <w:rFonts w:cs="Times New Roman"/>
        </w:rPr>
        <w:t xml:space="preserve"> With specific regard to vulnerable groups including refugees micro-enterprises and young adults.</w:t>
      </w:r>
    </w:p>
  </w:footnote>
  <w:footnote w:id="173">
    <w:p>
      <w:pPr>
        <w:pStyle w:val="FootnoteText"/>
        <w:rPr>
          <w:rFonts w:cs="Times New Roman"/>
        </w:rPr>
      </w:pPr>
      <w:r>
        <w:rPr>
          <w:rStyle w:val="FootnoteReference"/>
          <w:rFonts w:cs="Times New Roman"/>
        </w:rPr>
        <w:footnoteRef/>
      </w:r>
      <w:r>
        <w:rPr>
          <w:rFonts w:cs="Times New Roman"/>
        </w:rPr>
        <w:t xml:space="preserve"> See the EC consultation on the potential role of FinTech companies.</w:t>
      </w:r>
    </w:p>
    <w:p>
      <w:pPr>
        <w:pStyle w:val="FootnoteText"/>
        <w:rPr>
          <w:rFonts w:cs="Times New Roman"/>
        </w:rPr>
      </w:pPr>
      <w:r>
        <w:rPr>
          <w:rFonts w:cs="Times New Roman"/>
        </w:rPr>
        <w:t>https://ec.europa.eu/info/sites/info/files/2017-fintech-consultation-document_en_0.pdf</w:t>
      </w:r>
    </w:p>
  </w:footnote>
  <w:footnote w:id="174">
    <w:p>
      <w:pPr>
        <w:pStyle w:val="FootnoteText"/>
        <w:ind w:left="0" w:firstLine="0"/>
        <w:rPr>
          <w:rFonts w:cs="Times New Roman"/>
        </w:rPr>
      </w:pPr>
      <w:r>
        <w:rPr>
          <w:rStyle w:val="FootnoteReference"/>
          <w:rFonts w:cs="Times New Roman"/>
        </w:rPr>
        <w:footnoteRef/>
      </w:r>
      <w:r>
        <w:rPr>
          <w:rFonts w:cs="Times New Roman"/>
        </w:rPr>
        <w:t xml:space="preserve"> In accordance with Article 208 (4) of Financial Regulation 2018 </w:t>
      </w:r>
    </w:p>
  </w:footnote>
  <w:footnote w:id="175">
    <w:p>
      <w:pPr>
        <w:pStyle w:val="FootnoteText"/>
        <w:ind w:left="0" w:firstLine="0"/>
        <w:rPr>
          <w:rFonts w:cs="Times New Roman"/>
        </w:rPr>
      </w:pPr>
      <w:r>
        <w:rPr>
          <w:rStyle w:val="FootnoteReference"/>
          <w:rFonts w:cs="Times New Roman"/>
        </w:rPr>
        <w:footnoteRef/>
      </w:r>
      <w:r>
        <w:rPr>
          <w:rFonts w:cs="Times New Roman"/>
        </w:rPr>
        <w:t xml:space="preserve"> In accordance with Article 209 (2) (h) of Financial Regulation 2018</w:t>
      </w:r>
    </w:p>
  </w:footnote>
  <w:footnote w:id="176">
    <w:p>
      <w:pPr>
        <w:pStyle w:val="FootnoteText"/>
        <w:ind w:left="0" w:firstLine="0"/>
        <w:rPr>
          <w:rFonts w:cs="Times New Roman"/>
        </w:rPr>
      </w:pPr>
      <w:r>
        <w:rPr>
          <w:rStyle w:val="FootnoteReference"/>
          <w:rFonts w:cs="Times New Roman"/>
        </w:rPr>
        <w:footnoteRef/>
      </w:r>
      <w:r>
        <w:rPr>
          <w:rFonts w:cs="Times New Roman"/>
        </w:rPr>
        <w:t xml:space="preserve"> In accordance with Article 209 (2) (b) of Financial Regulation 2018 </w:t>
      </w:r>
    </w:p>
  </w:footnote>
  <w:footnote w:id="177">
    <w:p>
      <w:pPr>
        <w:pStyle w:val="FootnoteText"/>
        <w:ind w:left="0" w:firstLine="0"/>
        <w:rPr>
          <w:rFonts w:cs="Times New Roman"/>
        </w:rPr>
      </w:pPr>
      <w:r>
        <w:rPr>
          <w:rStyle w:val="FootnoteReference"/>
          <w:rFonts w:cs="Times New Roman"/>
        </w:rPr>
        <w:footnoteRef/>
      </w:r>
      <w:r>
        <w:rPr>
          <w:rFonts w:cs="Times New Roman"/>
        </w:rPr>
        <w:t xml:space="preserve"> In accordance with Article 209 (2) (b) of Financial Regulation 2018 </w:t>
      </w:r>
    </w:p>
  </w:footnote>
  <w:footnote w:id="178">
    <w:p>
      <w:pPr>
        <w:pStyle w:val="FootnoteText"/>
        <w:ind w:left="0" w:firstLine="0"/>
        <w:rPr>
          <w:rFonts w:cs="Times New Roman"/>
          <w:szCs w:val="18"/>
        </w:rPr>
      </w:pPr>
      <w:r>
        <w:rPr>
          <w:rFonts w:eastAsia="Arial" w:cs="Times New Roman"/>
          <w:szCs w:val="18"/>
          <w:vertAlign w:val="superscript"/>
          <w:lang w:eastAsia="en-GB"/>
        </w:rPr>
        <w:footnoteRef/>
      </w:r>
      <w:r>
        <w:rPr>
          <w:rFonts w:eastAsia="Arial" w:cs="Times New Roman"/>
          <w:szCs w:val="18"/>
          <w:vertAlign w:val="superscript"/>
          <w:lang w:eastAsia="en-GB"/>
        </w:rPr>
        <w:t xml:space="preserve"> </w:t>
      </w:r>
      <w:r>
        <w:rPr>
          <w:rFonts w:eastAsia="Arial" w:cs="Times New Roman"/>
          <w:szCs w:val="18"/>
          <w:lang w:eastAsia="en-GB"/>
        </w:rPr>
        <w:t>Regulation (EU, Euratom ) No 966/2012 of the European Parliament and of the Council of 25 October 2012 on the financial rules applicable to the general budget of the Union and repealing Council Regulation (EC, Euratom) No 1605/2002</w:t>
      </w:r>
    </w:p>
  </w:footnote>
  <w:footnote w:id="179">
    <w:p>
      <w:pPr>
        <w:pStyle w:val="FootnoteText"/>
        <w:rPr>
          <w:rFonts w:cs="Times New Roman"/>
          <w:szCs w:val="18"/>
        </w:rPr>
      </w:pPr>
      <w:r>
        <w:rPr>
          <w:rStyle w:val="FootnoteReference"/>
          <w:rFonts w:cs="Times New Roman"/>
          <w:szCs w:val="18"/>
        </w:rPr>
        <w:footnoteRef/>
      </w:r>
      <w:r>
        <w:rPr>
          <w:rFonts w:cs="Times New Roman"/>
          <w:szCs w:val="18"/>
        </w:rPr>
        <w:t xml:space="preserve"> In terms of targeted final beneficiaries and expected policy achievements.</w:t>
      </w:r>
    </w:p>
  </w:footnote>
  <w:footnote w:id="180">
    <w:p>
      <w:pPr>
        <w:pStyle w:val="FootnoteText"/>
        <w:rPr>
          <w:rFonts w:cs="Times New Roman"/>
          <w:szCs w:val="18"/>
        </w:rPr>
      </w:pPr>
      <w:r>
        <w:rPr>
          <w:rStyle w:val="FootnoteReference"/>
          <w:rFonts w:cs="Times New Roman"/>
          <w:szCs w:val="18"/>
        </w:rPr>
        <w:footnoteRef/>
      </w:r>
      <w:r>
        <w:rPr>
          <w:rFonts w:cs="Times New Roman"/>
          <w:szCs w:val="18"/>
        </w:rPr>
        <w:t xml:space="preserve"> In terms of targeted final beneficiaries and expected policy achievements.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A1A"/>
    <w:multiLevelType w:val="hybridMultilevel"/>
    <w:tmpl w:val="FD6A52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0F9007A"/>
    <w:multiLevelType w:val="hybridMultilevel"/>
    <w:tmpl w:val="0BB45832"/>
    <w:lvl w:ilvl="0" w:tplc="8230FD64">
      <w:start w:val="1"/>
      <w:numFmt w:val="bullet"/>
      <w:lvlText w:val="-"/>
      <w:lvlJc w:val="left"/>
      <w:pPr>
        <w:ind w:left="1525" w:hanging="360"/>
      </w:pPr>
      <w:rPr>
        <w:rFonts w:ascii="Courier New" w:hAnsi="Courier New" w:cs="Times New Roman" w:hint="default"/>
        <w:color w:val="auto"/>
        <w:sz w:val="20"/>
      </w:rPr>
    </w:lvl>
    <w:lvl w:ilvl="1" w:tplc="08090003">
      <w:start w:val="1"/>
      <w:numFmt w:val="bullet"/>
      <w:lvlText w:val="o"/>
      <w:lvlJc w:val="left"/>
      <w:pPr>
        <w:ind w:left="2245" w:hanging="360"/>
      </w:pPr>
      <w:rPr>
        <w:rFonts w:ascii="Courier New" w:hAnsi="Courier New" w:cs="Courier New" w:hint="default"/>
      </w:rPr>
    </w:lvl>
    <w:lvl w:ilvl="2" w:tplc="08090005" w:tentative="1">
      <w:start w:val="1"/>
      <w:numFmt w:val="bullet"/>
      <w:lvlText w:val=""/>
      <w:lvlJc w:val="left"/>
      <w:pPr>
        <w:ind w:left="2965" w:hanging="360"/>
      </w:pPr>
      <w:rPr>
        <w:rFonts w:ascii="Wingdings" w:hAnsi="Wingdings" w:hint="default"/>
      </w:rPr>
    </w:lvl>
    <w:lvl w:ilvl="3" w:tplc="08090001" w:tentative="1">
      <w:start w:val="1"/>
      <w:numFmt w:val="bullet"/>
      <w:lvlText w:val=""/>
      <w:lvlJc w:val="left"/>
      <w:pPr>
        <w:ind w:left="3685" w:hanging="360"/>
      </w:pPr>
      <w:rPr>
        <w:rFonts w:ascii="Symbol" w:hAnsi="Symbol" w:hint="default"/>
      </w:rPr>
    </w:lvl>
    <w:lvl w:ilvl="4" w:tplc="08090003" w:tentative="1">
      <w:start w:val="1"/>
      <w:numFmt w:val="bullet"/>
      <w:lvlText w:val="o"/>
      <w:lvlJc w:val="left"/>
      <w:pPr>
        <w:ind w:left="4405" w:hanging="360"/>
      </w:pPr>
      <w:rPr>
        <w:rFonts w:ascii="Courier New" w:hAnsi="Courier New" w:cs="Courier New" w:hint="default"/>
      </w:rPr>
    </w:lvl>
    <w:lvl w:ilvl="5" w:tplc="08090005" w:tentative="1">
      <w:start w:val="1"/>
      <w:numFmt w:val="bullet"/>
      <w:lvlText w:val=""/>
      <w:lvlJc w:val="left"/>
      <w:pPr>
        <w:ind w:left="5125" w:hanging="360"/>
      </w:pPr>
      <w:rPr>
        <w:rFonts w:ascii="Wingdings" w:hAnsi="Wingdings" w:hint="default"/>
      </w:rPr>
    </w:lvl>
    <w:lvl w:ilvl="6" w:tplc="08090001" w:tentative="1">
      <w:start w:val="1"/>
      <w:numFmt w:val="bullet"/>
      <w:lvlText w:val=""/>
      <w:lvlJc w:val="left"/>
      <w:pPr>
        <w:ind w:left="5845" w:hanging="360"/>
      </w:pPr>
      <w:rPr>
        <w:rFonts w:ascii="Symbol" w:hAnsi="Symbol" w:hint="default"/>
      </w:rPr>
    </w:lvl>
    <w:lvl w:ilvl="7" w:tplc="08090003" w:tentative="1">
      <w:start w:val="1"/>
      <w:numFmt w:val="bullet"/>
      <w:lvlText w:val="o"/>
      <w:lvlJc w:val="left"/>
      <w:pPr>
        <w:ind w:left="6565" w:hanging="360"/>
      </w:pPr>
      <w:rPr>
        <w:rFonts w:ascii="Courier New" w:hAnsi="Courier New" w:cs="Courier New" w:hint="default"/>
      </w:rPr>
    </w:lvl>
    <w:lvl w:ilvl="8" w:tplc="08090005" w:tentative="1">
      <w:start w:val="1"/>
      <w:numFmt w:val="bullet"/>
      <w:lvlText w:val=""/>
      <w:lvlJc w:val="left"/>
      <w:pPr>
        <w:ind w:left="7285" w:hanging="360"/>
      </w:pPr>
      <w:rPr>
        <w:rFonts w:ascii="Wingdings" w:hAnsi="Wingdings" w:hint="default"/>
      </w:rPr>
    </w:lvl>
  </w:abstractNum>
  <w:abstractNum w:abstractNumId="2">
    <w:nsid w:val="06A05741"/>
    <w:multiLevelType w:val="hybridMultilevel"/>
    <w:tmpl w:val="28328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001F83"/>
    <w:multiLevelType w:val="hybridMultilevel"/>
    <w:tmpl w:val="3BF211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043332"/>
    <w:multiLevelType w:val="hybridMultilevel"/>
    <w:tmpl w:val="026C639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AB0481"/>
    <w:multiLevelType w:val="hybridMultilevel"/>
    <w:tmpl w:val="140A2B30"/>
    <w:lvl w:ilvl="0" w:tplc="AABEE678">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7">
    <w:nsid w:val="0C3C1015"/>
    <w:multiLevelType w:val="hybridMultilevel"/>
    <w:tmpl w:val="43521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6363BD"/>
    <w:multiLevelType w:val="hybridMultilevel"/>
    <w:tmpl w:val="3EFCB500"/>
    <w:lvl w:ilvl="0" w:tplc="A83452F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745E7B"/>
    <w:multiLevelType w:val="hybridMultilevel"/>
    <w:tmpl w:val="E210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1F0FFC"/>
    <w:multiLevelType w:val="hybridMultilevel"/>
    <w:tmpl w:val="C360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3F03DD"/>
    <w:multiLevelType w:val="hybridMultilevel"/>
    <w:tmpl w:val="E38272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1E646A"/>
    <w:multiLevelType w:val="hybridMultilevel"/>
    <w:tmpl w:val="2444B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7B2C2F"/>
    <w:multiLevelType w:val="hybridMultilevel"/>
    <w:tmpl w:val="8C88D206"/>
    <w:lvl w:ilvl="0" w:tplc="8230FD64">
      <w:start w:val="1"/>
      <w:numFmt w:val="bullet"/>
      <w:lvlText w:val="-"/>
      <w:lvlJc w:val="left"/>
      <w:pPr>
        <w:ind w:left="360" w:hanging="360"/>
      </w:pPr>
      <w:rPr>
        <w:rFonts w:ascii="Courier New" w:hAnsi="Courier New"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36E1162"/>
    <w:multiLevelType w:val="hybridMultilevel"/>
    <w:tmpl w:val="026C639C"/>
    <w:numStyleLink w:val="Style4import"/>
  </w:abstractNum>
  <w:abstractNum w:abstractNumId="15">
    <w:nsid w:val="169917AD"/>
    <w:multiLevelType w:val="hybridMultilevel"/>
    <w:tmpl w:val="E63E8A8C"/>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351DC5"/>
    <w:multiLevelType w:val="hybridMultilevel"/>
    <w:tmpl w:val="81B0B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CCD2189"/>
    <w:multiLevelType w:val="hybridMultilevel"/>
    <w:tmpl w:val="9D2041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EC69CD"/>
    <w:multiLevelType w:val="hybridMultilevel"/>
    <w:tmpl w:val="5206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17F443A"/>
    <w:multiLevelType w:val="hybridMultilevel"/>
    <w:tmpl w:val="29C2558E"/>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084B3A"/>
    <w:multiLevelType w:val="hybridMultilevel"/>
    <w:tmpl w:val="AEF4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88762F"/>
    <w:multiLevelType w:val="hybridMultilevel"/>
    <w:tmpl w:val="323EE3C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B080BB2"/>
    <w:multiLevelType w:val="hybridMultilevel"/>
    <w:tmpl w:val="B79C4F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2CE226F5"/>
    <w:multiLevelType w:val="hybridMultilevel"/>
    <w:tmpl w:val="7076B83E"/>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FC7D31"/>
    <w:multiLevelType w:val="hybridMultilevel"/>
    <w:tmpl w:val="0F243286"/>
    <w:lvl w:ilvl="0" w:tplc="8230FD64">
      <w:start w:val="1"/>
      <w:numFmt w:val="bullet"/>
      <w:lvlText w:val="-"/>
      <w:lvlJc w:val="left"/>
      <w:pPr>
        <w:ind w:left="1130" w:hanging="360"/>
      </w:pPr>
      <w:rPr>
        <w:rFonts w:ascii="Courier New" w:hAnsi="Courier New" w:cs="Times New Roman" w:hint="default"/>
        <w:color w:val="auto"/>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5">
    <w:nsid w:val="36F17A9F"/>
    <w:multiLevelType w:val="multilevel"/>
    <w:tmpl w:val="DF705F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9855E89"/>
    <w:multiLevelType w:val="hybridMultilevel"/>
    <w:tmpl w:val="E8C8E3C4"/>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9A5A97"/>
    <w:multiLevelType w:val="hybridMultilevel"/>
    <w:tmpl w:val="3D348618"/>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D8275F"/>
    <w:multiLevelType w:val="hybridMultilevel"/>
    <w:tmpl w:val="2600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F00E18"/>
    <w:multiLevelType w:val="singleLevel"/>
    <w:tmpl w:val="4E1A982C"/>
    <w:lvl w:ilvl="0">
      <w:start w:val="1"/>
      <w:numFmt w:val="bullet"/>
      <w:pStyle w:val="BTNumblist2Last"/>
      <w:lvlText w:val=""/>
      <w:lvlJc w:val="left"/>
      <w:pPr>
        <w:tabs>
          <w:tab w:val="num" w:pos="283"/>
        </w:tabs>
        <w:ind w:left="283" w:hanging="283"/>
      </w:pPr>
      <w:rPr>
        <w:rFonts w:ascii="Symbol" w:hAnsi="Symbol"/>
      </w:rPr>
    </w:lvl>
  </w:abstractNum>
  <w:abstractNum w:abstractNumId="30">
    <w:nsid w:val="3E4C228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3F851D11"/>
    <w:multiLevelType w:val="hybridMultilevel"/>
    <w:tmpl w:val="B2ACE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3CA5382"/>
    <w:multiLevelType w:val="hybridMultilevel"/>
    <w:tmpl w:val="E3C6E09E"/>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4D96B08"/>
    <w:multiLevelType w:val="hybridMultilevel"/>
    <w:tmpl w:val="C22CA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44E430EC"/>
    <w:multiLevelType w:val="hybridMultilevel"/>
    <w:tmpl w:val="F8C088EE"/>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AF54D7E"/>
    <w:multiLevelType w:val="hybridMultilevel"/>
    <w:tmpl w:val="ABDA412C"/>
    <w:lvl w:ilvl="0" w:tplc="08090001">
      <w:start w:val="1"/>
      <w:numFmt w:val="bullet"/>
      <w:lvlText w:val=""/>
      <w:lvlJc w:val="left"/>
      <w:pPr>
        <w:ind w:left="360" w:hanging="360"/>
      </w:pPr>
      <w:rPr>
        <w:rFonts w:ascii="Symbol" w:hAnsi="Symbol" w:hint="default"/>
      </w:rPr>
    </w:lvl>
    <w:lvl w:ilvl="1" w:tplc="C34CC434">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C9E7D24"/>
    <w:multiLevelType w:val="hybridMultilevel"/>
    <w:tmpl w:val="4A46D7F2"/>
    <w:styleLink w:val="NumbLstMain"/>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4EEF6C4A"/>
    <w:multiLevelType w:val="hybridMultilevel"/>
    <w:tmpl w:val="4008CD5C"/>
    <w:lvl w:ilvl="0" w:tplc="AABEE678">
      <w:start w:val="1"/>
      <w:numFmt w:val="bullet"/>
      <w:lvlText w:val=""/>
      <w:lvlJc w:val="left"/>
      <w:pPr>
        <w:ind w:left="805" w:hanging="360"/>
      </w:pPr>
      <w:rPr>
        <w:rFonts w:ascii="Symbol" w:hAnsi="Symbol" w:hint="default"/>
        <w:sz w:val="20"/>
      </w:rPr>
    </w:lvl>
    <w:lvl w:ilvl="1" w:tplc="08090003">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38">
    <w:nsid w:val="4F3B622F"/>
    <w:multiLevelType w:val="hybridMultilevel"/>
    <w:tmpl w:val="EA64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FDD0CA3"/>
    <w:multiLevelType w:val="hybridMultilevel"/>
    <w:tmpl w:val="5F6046DE"/>
    <w:lvl w:ilvl="0" w:tplc="DF7C2712">
      <w:start w:val="1"/>
      <w:numFmt w:val="bullet"/>
      <w:pStyle w:val="Bulet"/>
      <w:lvlText w:val=""/>
      <w:lvlJc w:val="left"/>
      <w:pPr>
        <w:ind w:left="360" w:hanging="360"/>
      </w:pPr>
      <w:rPr>
        <w:rFonts w:ascii="Symbol" w:hAnsi="Symbol" w:hint="default"/>
      </w:rPr>
    </w:lvl>
    <w:lvl w:ilvl="1" w:tplc="83DC0710">
      <w:numFmt w:val="bullet"/>
      <w:lvlText w:val="-"/>
      <w:lvlJc w:val="left"/>
      <w:pPr>
        <w:ind w:left="1080" w:hanging="360"/>
      </w:pPr>
      <w:rPr>
        <w:rFonts w:ascii="Times New Roman" w:eastAsia="MS Mincho" w:hAnsi="Times New Roman"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4267443"/>
    <w:multiLevelType w:val="hybridMultilevel"/>
    <w:tmpl w:val="86585B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B5053F3"/>
    <w:multiLevelType w:val="hybridMultilevel"/>
    <w:tmpl w:val="8F82F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B8E2EFF"/>
    <w:multiLevelType w:val="hybridMultilevel"/>
    <w:tmpl w:val="475E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DB93C9F"/>
    <w:multiLevelType w:val="hybridMultilevel"/>
    <w:tmpl w:val="3B14F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E2571FD"/>
    <w:multiLevelType w:val="hybridMultilevel"/>
    <w:tmpl w:val="A9B0533C"/>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8F6307"/>
    <w:multiLevelType w:val="hybridMultilevel"/>
    <w:tmpl w:val="9EA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nsid w:val="62F63347"/>
    <w:multiLevelType w:val="hybridMultilevel"/>
    <w:tmpl w:val="DE7260EE"/>
    <w:lvl w:ilvl="0" w:tplc="D2CE9EE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67947730"/>
    <w:multiLevelType w:val="hybridMultilevel"/>
    <w:tmpl w:val="86A2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0B64F2C"/>
    <w:multiLevelType w:val="multilevel"/>
    <w:tmpl w:val="0B62F5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70FB1E82"/>
    <w:multiLevelType w:val="hybridMultilevel"/>
    <w:tmpl w:val="2404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1575907"/>
    <w:multiLevelType w:val="hybridMultilevel"/>
    <w:tmpl w:val="6C009FFE"/>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21F501A"/>
    <w:multiLevelType w:val="hybridMultilevel"/>
    <w:tmpl w:val="4B4A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2F91AE1"/>
    <w:multiLevelType w:val="hybridMultilevel"/>
    <w:tmpl w:val="DF8828B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3E141E9"/>
    <w:multiLevelType w:val="hybridMultilevel"/>
    <w:tmpl w:val="7D84A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40E00DC"/>
    <w:multiLevelType w:val="hybridMultilevel"/>
    <w:tmpl w:val="3A2652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46A6692"/>
    <w:multiLevelType w:val="hybridMultilevel"/>
    <w:tmpl w:val="62106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733157"/>
    <w:multiLevelType w:val="hybridMultilevel"/>
    <w:tmpl w:val="026C639C"/>
    <w:styleLink w:val="Style4import"/>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76085304"/>
    <w:multiLevelType w:val="hybridMultilevel"/>
    <w:tmpl w:val="113C690C"/>
    <w:lvl w:ilvl="0" w:tplc="8230FD64">
      <w:start w:val="1"/>
      <w:numFmt w:val="bullet"/>
      <w:lvlText w:val="-"/>
      <w:lvlJc w:val="left"/>
      <w:pPr>
        <w:ind w:left="720" w:hanging="360"/>
      </w:pPr>
      <w:rPr>
        <w:rFonts w:ascii="Courier New" w:hAnsi="Courier New"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CDE18F5"/>
    <w:multiLevelType w:val="hybridMultilevel"/>
    <w:tmpl w:val="482E9420"/>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6"/>
  </w:num>
  <w:num w:numId="3">
    <w:abstractNumId w:val="39"/>
  </w:num>
  <w:num w:numId="4">
    <w:abstractNumId w:val="20"/>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
  </w:num>
  <w:num w:numId="8">
    <w:abstractNumId w:val="31"/>
  </w:num>
  <w:num w:numId="9">
    <w:abstractNumId w:val="28"/>
  </w:num>
  <w:num w:numId="10">
    <w:abstractNumId w:val="54"/>
  </w:num>
  <w:num w:numId="11">
    <w:abstractNumId w:val="4"/>
  </w:num>
  <w:num w:numId="12">
    <w:abstractNumId w:val="36"/>
  </w:num>
  <w:num w:numId="13">
    <w:abstractNumId w:val="30"/>
  </w:num>
  <w:num w:numId="14">
    <w:abstractNumId w:val="55"/>
  </w:num>
  <w:num w:numId="15">
    <w:abstractNumId w:val="12"/>
  </w:num>
  <w:num w:numId="16">
    <w:abstractNumId w:val="51"/>
  </w:num>
  <w:num w:numId="17">
    <w:abstractNumId w:val="6"/>
  </w:num>
  <w:num w:numId="18">
    <w:abstractNumId w:val="11"/>
  </w:num>
  <w:num w:numId="19">
    <w:abstractNumId w:val="48"/>
  </w:num>
  <w:num w:numId="20">
    <w:abstractNumId w:val="9"/>
  </w:num>
  <w:num w:numId="21">
    <w:abstractNumId w:val="22"/>
  </w:num>
  <w:num w:numId="22">
    <w:abstractNumId w:val="45"/>
  </w:num>
  <w:num w:numId="23">
    <w:abstractNumId w:val="0"/>
  </w:num>
  <w:num w:numId="24">
    <w:abstractNumId w:val="50"/>
  </w:num>
  <w:num w:numId="25">
    <w:abstractNumId w:val="42"/>
  </w:num>
  <w:num w:numId="26">
    <w:abstractNumId w:val="7"/>
  </w:num>
  <w:num w:numId="27">
    <w:abstractNumId w:val="53"/>
  </w:num>
  <w:num w:numId="28">
    <w:abstractNumId w:val="10"/>
  </w:num>
  <w:num w:numId="29">
    <w:abstractNumId w:val="18"/>
  </w:num>
  <w:num w:numId="30">
    <w:abstractNumId w:val="56"/>
  </w:num>
  <w:num w:numId="31">
    <w:abstractNumId w:val="8"/>
  </w:num>
  <w:num w:numId="32">
    <w:abstractNumId w:val="16"/>
  </w:num>
  <w:num w:numId="33">
    <w:abstractNumId w:val="2"/>
  </w:num>
  <w:num w:numId="34">
    <w:abstractNumId w:val="37"/>
  </w:num>
  <w:num w:numId="35">
    <w:abstractNumId w:val="32"/>
  </w:num>
  <w:num w:numId="36">
    <w:abstractNumId w:val="58"/>
  </w:num>
  <w:num w:numId="37">
    <w:abstractNumId w:val="24"/>
  </w:num>
  <w:num w:numId="38">
    <w:abstractNumId w:val="1"/>
  </w:num>
  <w:num w:numId="39">
    <w:abstractNumId w:val="26"/>
  </w:num>
  <w:num w:numId="40">
    <w:abstractNumId w:val="15"/>
  </w:num>
  <w:num w:numId="41">
    <w:abstractNumId w:val="5"/>
  </w:num>
  <w:num w:numId="42">
    <w:abstractNumId w:val="13"/>
  </w:num>
  <w:num w:numId="43">
    <w:abstractNumId w:val="34"/>
  </w:num>
  <w:num w:numId="44">
    <w:abstractNumId w:val="27"/>
  </w:num>
  <w:num w:numId="45">
    <w:abstractNumId w:val="59"/>
  </w:num>
  <w:num w:numId="46">
    <w:abstractNumId w:val="19"/>
  </w:num>
  <w:num w:numId="47">
    <w:abstractNumId w:val="44"/>
  </w:num>
  <w:num w:numId="48">
    <w:abstractNumId w:val="23"/>
  </w:num>
  <w:num w:numId="49">
    <w:abstractNumId w:val="21"/>
  </w:num>
  <w:num w:numId="50">
    <w:abstractNumId w:val="14"/>
  </w:num>
  <w:num w:numId="51">
    <w:abstractNumId w:val="40"/>
  </w:num>
  <w:num w:numId="52">
    <w:abstractNumId w:val="17"/>
  </w:num>
  <w:num w:numId="53">
    <w:abstractNumId w:val="57"/>
  </w:num>
  <w:num w:numId="54">
    <w:abstractNumId w:val="52"/>
  </w:num>
  <w:num w:numId="55">
    <w:abstractNumId w:val="38"/>
  </w:num>
  <w:num w:numId="56">
    <w:abstractNumId w:val="33"/>
  </w:num>
  <w:num w:numId="57">
    <w:abstractNumId w:val="35"/>
  </w:num>
  <w:num w:numId="58">
    <w:abstractNumId w:val="41"/>
  </w:num>
  <w:num w:numId="59">
    <w:abstractNumId w:val="25"/>
  </w:num>
  <w:num w:numId="60">
    <w:abstractNumId w:val="47"/>
  </w:num>
  <w:num w:numId="61">
    <w:abstractNumId w:val="30"/>
  </w:num>
  <w:num w:numId="62">
    <w:abstractNumId w:val="30"/>
  </w:num>
  <w:num w:numId="63">
    <w:abstractNumId w:val="30"/>
  </w:num>
  <w:num w:numId="64">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hideSpellingErrors/>
  <w:hideGrammaticalErrors/>
  <w:revisionView w:markup="0"/>
  <w:doNotTrackFormatting/>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290FB08-0D94-40E2-A889-C40CE6DE3486"/>
    <w:docVar w:name="LW_COVERPAGE_TYPE" w:val="1"/>
    <w:docVar w:name="LW_CROSSREFERENCE" w:val="{COM(2018) 439 final}_x000b_{SEC(2018) 293 final}_x000b_{SWD(2018) 316 final}"/>
    <w:docVar w:name="LW_DocType" w:val="NORMAL"/>
    <w:docVar w:name="LW_EMISSION" w:val="6.6.2018"/>
    <w:docVar w:name="LW_EMISSION_ISODATE" w:val="2018-06-06"/>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InvestEU Programme_x000b_"/>
    <w:docVar w:name="LW_PART_NBR" w:val="1"/>
    <w:docVar w:name="LW_PART_NBR_TOTAL" w:val="1"/>
    <w:docVar w:name="LW_REF.INST.NEW" w:val="SWD"/>
    <w:docVar w:name="LW_REF.INST.NEW_ADOPTED" w:val="final"/>
    <w:docVar w:name="LW_REF.INST.NEW_TEXT" w:val="(2018) 31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_x000b_REGULATION OF THE EUROPEAN PARLIAMENT AND OF THE COUNCIL_x000b_"/>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0" w:line="240" w:lineRule="auto"/>
      <w:jc w:val="both"/>
    </w:pPr>
    <w:rPr>
      <w:rFonts w:ascii="Times New Roman" w:hAnsi="Times New Roman"/>
      <w:sz w:val="24"/>
    </w:rPr>
  </w:style>
  <w:style w:type="paragraph" w:styleId="Heading1">
    <w:name w:val="heading 1"/>
    <w:basedOn w:val="Normal"/>
    <w:next w:val="Text1"/>
    <w:link w:val="Heading1Char"/>
    <w:qFormat/>
    <w:pPr>
      <w:keepNext/>
      <w:numPr>
        <w:numId w:val="13"/>
      </w:numPr>
      <w:spacing w:before="360" w:after="240"/>
      <w:ind w:left="431" w:hanging="431"/>
      <w:outlineLvl w:val="0"/>
    </w:pPr>
    <w:rPr>
      <w:rFonts w:eastAsia="Times New Roman" w:cs="Times New Roman"/>
      <w:b/>
      <w:smallCaps/>
      <w:szCs w:val="20"/>
    </w:rPr>
  </w:style>
  <w:style w:type="paragraph" w:styleId="Heading2">
    <w:name w:val="heading 2"/>
    <w:basedOn w:val="Normal"/>
    <w:next w:val="Text2"/>
    <w:link w:val="Heading2Char"/>
    <w:qFormat/>
    <w:pPr>
      <w:keepNext/>
      <w:numPr>
        <w:ilvl w:val="1"/>
        <w:numId w:val="13"/>
      </w:numPr>
      <w:spacing w:before="240"/>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3"/>
      </w:numPr>
      <w:spacing w:before="240"/>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3"/>
      </w:numPr>
      <w:spacing w:after="240"/>
      <w:outlineLvl w:val="3"/>
    </w:pPr>
    <w:rPr>
      <w:rFonts w:eastAsia="Times New Roman" w:cs="Times New Roman"/>
      <w:szCs w:val="20"/>
    </w:rPr>
  </w:style>
  <w:style w:type="paragraph" w:styleId="Heading5">
    <w:name w:val="heading 5"/>
    <w:basedOn w:val="Normal"/>
    <w:next w:val="Normal"/>
    <w:link w:val="Heading5Char"/>
    <w:uiPriority w:val="9"/>
    <w:unhideWhenUsed/>
    <w:qFormat/>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basedOn w:val="Normal"/>
    <w:link w:val="HeaderChar"/>
    <w:uiPriority w:val="99"/>
    <w:unhideWhenUsed/>
    <w:pPr>
      <w:tabs>
        <w:tab w:val="center" w:pos="4535"/>
        <w:tab w:val="right" w:pos="9071"/>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ind w:left="482"/>
    </w:pPr>
    <w:rPr>
      <w:rFonts w:eastAsia="Times New Roman" w:cs="Times New Roman"/>
      <w:szCs w:val="20"/>
    </w:rPr>
  </w:style>
  <w:style w:type="paragraph" w:customStyle="1" w:styleId="Text2">
    <w:name w:val="Text 2"/>
    <w:basedOn w:val="Normal"/>
    <w:link w:val="Text2Char"/>
    <w:pPr>
      <w:tabs>
        <w:tab w:val="left" w:pos="2302"/>
      </w:tabs>
      <w:spacing w:after="240"/>
      <w:ind w:left="1202"/>
    </w:pPr>
    <w:rPr>
      <w:rFonts w:eastAsia="Times New Roman" w:cs="Times New Roman"/>
      <w:szCs w:val="20"/>
    </w:rPr>
  </w:style>
  <w:style w:type="paragraph" w:styleId="ListBullet">
    <w:name w:val="List Bullet"/>
    <w:basedOn w:val="Normal"/>
    <w:pPr>
      <w:tabs>
        <w:tab w:val="num" w:pos="283"/>
      </w:tabs>
      <w:spacing w:after="240"/>
      <w:ind w:left="283" w:hanging="283"/>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HTG"/>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paragraph" w:styleId="FootnoteText">
    <w:name w:val="footnote text"/>
    <w:aliases w:val="fn,footnote text,Footnotes,Footnote ak,fn Char,footnote text Char,Footnotes Char,Footnote ak Char,ft,fn cafc,Footnotes Char Char,Footnote Text Char Char,fn Char Char,footnote text Char Char Char Ch,fn1,footnote text1,ft1,Car,footnote,f,o,9"/>
    <w:basedOn w:val="Normal"/>
    <w:link w:val="FootnoteTextChar"/>
    <w:uiPriority w:val="99"/>
    <w:unhideWhenUsed/>
    <w:qFormat/>
    <w:pPr>
      <w:spacing w:after="0"/>
      <w:ind w:left="720" w:hanging="720"/>
    </w:pPr>
    <w:rPr>
      <w:sz w:val="18"/>
      <w:szCs w:val="20"/>
    </w:rPr>
  </w:style>
  <w:style w:type="character" w:customStyle="1" w:styleId="FootnoteTextChar">
    <w:name w:val="Footnote Text Char"/>
    <w:aliases w:val="fn Char1,footnote text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Times 10 Point,Exposant 3 Point,Appel note de bas de p,Footnote number,Footnote Reference Number,Footnote reference number,EN Footnote Reference,note TESI,fr,ftref,Nota,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8">
    <w:name w:val="Pa8"/>
    <w:basedOn w:val="Normal"/>
    <w:next w:val="Normal"/>
    <w:uiPriority w:val="99"/>
    <w:pPr>
      <w:autoSpaceDE w:val="0"/>
      <w:autoSpaceDN w:val="0"/>
      <w:adjustRightInd w:val="0"/>
      <w:spacing w:after="0" w:line="221" w:lineRule="atLeast"/>
      <w:jc w:val="left"/>
    </w:pPr>
    <w:rPr>
      <w:rFonts w:ascii="Garamond" w:hAnsi="Garamond"/>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Pr>
      <w:rFonts w:ascii="Times New Roman" w:hAnsi="Times New Roman"/>
      <w:sz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fr-BE" w:eastAsia="fr-BE"/>
    </w:rPr>
  </w:style>
  <w:style w:type="paragraph" w:styleId="NormalWeb">
    <w:name w:val="Normal (Web)"/>
    <w:basedOn w:val="Normal"/>
    <w:uiPriority w:val="99"/>
    <w:unhideWhenUsed/>
    <w:pPr>
      <w:spacing w:before="100" w:beforeAutospacing="1" w:afterAutospacing="1"/>
      <w:jc w:val="left"/>
    </w:pPr>
    <w:rPr>
      <w:rFonts w:eastAsia="Times New Roman" w:cs="Times New Roman"/>
      <w:szCs w:val="24"/>
      <w:lang w:eastAsia="en-GB"/>
    </w:rPr>
  </w:style>
  <w:style w:type="paragraph" w:customStyle="1" w:styleId="Paragraphedeliste1">
    <w:name w:val="Paragraphe de liste1"/>
    <w:basedOn w:val="Normal"/>
    <w:pPr>
      <w:suppressAutoHyphens/>
      <w:autoSpaceDN w:val="0"/>
      <w:spacing w:after="160" w:line="247" w:lineRule="auto"/>
      <w:ind w:left="720"/>
      <w:jc w:val="left"/>
    </w:pPr>
    <w:rPr>
      <w:rFonts w:ascii="Calibri" w:eastAsia="Calibri" w:hAnsi="Calibri" w:cs="Times New Roman"/>
      <w:sz w:val="22"/>
      <w:lang w:val="fr-BE"/>
    </w:rPr>
  </w:style>
  <w:style w:type="paragraph" w:customStyle="1" w:styleId="CM1">
    <w:name w:val="CM1"/>
    <w:basedOn w:val="Normal"/>
    <w:next w:val="Normal"/>
    <w:uiPriority w:val="99"/>
    <w:pPr>
      <w:autoSpaceDE w:val="0"/>
      <w:autoSpaceDN w:val="0"/>
      <w:adjustRightInd w:val="0"/>
      <w:spacing w:after="0"/>
      <w:jc w:val="left"/>
    </w:pPr>
    <w:rPr>
      <w:rFonts w:ascii="EUAlbertina" w:eastAsia="Calibri" w:hAnsi="EUAlbertina" w:cs="Times New Roman"/>
      <w:szCs w:val="24"/>
    </w:rPr>
  </w:style>
  <w:style w:type="character" w:styleId="Strong">
    <w:name w:val="Strong"/>
    <w:basedOn w:val="DefaultParagraphFont"/>
    <w:qFormat/>
    <w:rPr>
      <w:b/>
      <w:bC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jc w:val="left"/>
    </w:pPr>
    <w:rPr>
      <w:rFonts w:asciiTheme="minorHAnsi" w:hAnsiTheme="minorHAnsi"/>
      <w:sz w:val="22"/>
      <w:vertAlign w:val="superscript"/>
    </w:rPr>
  </w:style>
  <w:style w:type="paragraph" w:customStyle="1" w:styleId="Pa19">
    <w:name w:val="Pa19"/>
    <w:basedOn w:val="Normal"/>
    <w:next w:val="Normal"/>
    <w:uiPriority w:val="99"/>
    <w:pPr>
      <w:autoSpaceDE w:val="0"/>
      <w:autoSpaceDN w:val="0"/>
      <w:adjustRightInd w:val="0"/>
      <w:spacing w:after="0" w:line="201" w:lineRule="atLeast"/>
      <w:jc w:val="left"/>
    </w:pPr>
    <w:rPr>
      <w:rFonts w:ascii="Myriad Pro" w:hAnsi="Myriad Pro"/>
      <w:szCs w:val="24"/>
    </w:rPr>
  </w:style>
  <w:style w:type="paragraph" w:customStyle="1" w:styleId="Pa25">
    <w:name w:val="Pa25"/>
    <w:basedOn w:val="Normal"/>
    <w:next w:val="Normal"/>
    <w:uiPriority w:val="99"/>
    <w:pPr>
      <w:autoSpaceDE w:val="0"/>
      <w:autoSpaceDN w:val="0"/>
      <w:adjustRightInd w:val="0"/>
      <w:spacing w:after="0" w:line="201" w:lineRule="atLeast"/>
      <w:jc w:val="left"/>
    </w:pPr>
    <w:rPr>
      <w:rFonts w:ascii="Myriad Pro" w:hAnsi="Myriad Pro"/>
      <w:szCs w:val="24"/>
    </w:rPr>
  </w:style>
  <w:style w:type="character" w:customStyle="1" w:styleId="A15">
    <w:name w:val="A15"/>
    <w:uiPriority w:val="99"/>
    <w:rPr>
      <w:rFonts w:cs="Myriad Pro"/>
      <w:color w:val="000000"/>
      <w:sz w:val="20"/>
      <w:szCs w:val="20"/>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hAnsi="Times New Roman"/>
      <w:sz w:val="24"/>
    </w:rPr>
  </w:style>
  <w:style w:type="paragraph" w:styleId="PlainText">
    <w:name w:val="Plain Text"/>
    <w:basedOn w:val="Normal"/>
    <w:link w:val="PlainTextChar"/>
    <w:uiPriority w:val="99"/>
    <w:unhideWhenUsed/>
    <w:pPr>
      <w:spacing w:after="0"/>
      <w:jc w:val="left"/>
    </w:pPr>
    <w:rPr>
      <w:rFonts w:ascii="Calibri" w:eastAsia="Calibri" w:hAnsi="Calibri" w:cs="Consolas"/>
      <w:sz w:val="22"/>
      <w:szCs w:val="21"/>
    </w:rPr>
  </w:style>
  <w:style w:type="character" w:customStyle="1" w:styleId="PlainTextChar">
    <w:name w:val="Plain Text Char"/>
    <w:basedOn w:val="DefaultParagraphFont"/>
    <w:link w:val="PlainText"/>
    <w:uiPriority w:val="99"/>
    <w:rPr>
      <w:rFonts w:ascii="Calibri" w:eastAsia="Calibri" w:hAnsi="Calibri" w:cs="Consolas"/>
      <w:szCs w:val="21"/>
    </w:rPr>
  </w:style>
  <w:style w:type="paragraph" w:customStyle="1" w:styleId="CharCharChar1">
    <w:name w:val="Char Char Char1"/>
    <w:basedOn w:val="Normal"/>
    <w:uiPriority w:val="99"/>
    <w:pPr>
      <w:spacing w:after="160" w:line="240" w:lineRule="exact"/>
    </w:pPr>
    <w:rPr>
      <w:rFonts w:asciiTheme="minorHAnsi" w:hAnsiTheme="minorHAnsi"/>
      <w:sz w:val="22"/>
      <w:vertAlign w:val="superscript"/>
    </w:rPr>
  </w:style>
  <w:style w:type="paragraph" w:styleId="TOC3">
    <w:name w:val="toc 3"/>
    <w:basedOn w:val="Normal"/>
    <w:next w:val="Normal"/>
    <w:autoRedefine/>
    <w:uiPriority w:val="39"/>
    <w:unhideWhenUsed/>
    <w:pPr>
      <w:ind w:left="480"/>
    </w:pPr>
  </w:style>
  <w:style w:type="paragraph" w:styleId="EndnoteText">
    <w:name w:val="endnote text"/>
    <w:basedOn w:val="Normal"/>
    <w:link w:val="EndnoteTextChar"/>
    <w:uiPriority w:val="99"/>
    <w:semiHidden/>
    <w:unhideWhenUsed/>
    <w:pPr>
      <w:spacing w:after="0"/>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orpsA">
    <w:name w:val="Corps A"/>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Aucun">
    <w:name w:val="Aucun"/>
    <w:rPr>
      <w:lang w:val="en-US"/>
    </w:rPr>
  </w:style>
  <w:style w:type="paragraph" w:styleId="Caption">
    <w:name w:val="caption"/>
    <w:basedOn w:val="Normal"/>
    <w:next w:val="Normal"/>
    <w:uiPriority w:val="35"/>
    <w:unhideWhenUsed/>
    <w:qFormat/>
    <w:pPr>
      <w:spacing w:after="0"/>
      <w:jc w:val="left"/>
    </w:pPr>
    <w:rPr>
      <w:b/>
      <w:bCs/>
      <w:szCs w:val="1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NoSpacing">
    <w:name w:val="No Spacing"/>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rps">
    <w:name w:val="Corps"/>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customStyle="1" w:styleId="Ss-section3">
    <w:name w:val="Ss-section 3"/>
    <w:next w:val="Corps"/>
    <w:pPr>
      <w:keepNext/>
      <w:keepLines/>
      <w:pBdr>
        <w:top w:val="nil"/>
        <w:left w:val="nil"/>
        <w:bottom w:val="nil"/>
        <w:right w:val="nil"/>
        <w:between w:val="nil"/>
        <w:bar w:val="nil"/>
      </w:pBdr>
      <w:spacing w:before="200" w:after="0" w:line="240" w:lineRule="auto"/>
      <w:outlineLvl w:val="2"/>
    </w:pPr>
    <w:rPr>
      <w:rFonts w:ascii="Helvetica Neue" w:eastAsia="Helvetica Neue" w:hAnsi="Helvetica Neue" w:cs="Helvetica Neue"/>
      <w:b/>
      <w:bCs/>
      <w:color w:val="4F81BD"/>
      <w:sz w:val="24"/>
      <w:szCs w:val="24"/>
      <w:u w:color="4F81BD"/>
      <w:bdr w:val="nil"/>
      <w:lang w:eastAsia="en-GB"/>
    </w:rPr>
  </w:style>
  <w:style w:type="numbering" w:customStyle="1" w:styleId="Style4import">
    <w:name w:val="Style 4 importé"/>
    <w:pPr>
      <w:numPr>
        <w:numId w:val="53"/>
      </w:numPr>
    </w:p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1">
    <w:name w:val="Body 1"/>
    <w:pPr>
      <w:spacing w:after="240" w:line="240" w:lineRule="auto"/>
      <w:jc w:val="both"/>
      <w:outlineLvl w:val="0"/>
    </w:pPr>
    <w:rPr>
      <w:rFonts w:ascii="Times New Roman" w:eastAsia="Arial Unicode MS" w:hAnsi="Times New Roman" w:cs="Times New Roman"/>
      <w:color w:val="000000"/>
      <w:sz w:val="24"/>
      <w:szCs w:val="20"/>
      <w:u w:color="000000"/>
      <w:lang w:eastAsia="en-GB"/>
    </w:rPr>
  </w:style>
  <w:style w:type="paragraph" w:styleId="BodyTextIndent3">
    <w:name w:val="Body Text Indent 3"/>
    <w:basedOn w:val="Normal"/>
    <w:link w:val="BodyTextIndent3Char"/>
    <w:pPr>
      <w:ind w:left="283"/>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styleId="Emphasis">
    <w:name w:val="Emphasis"/>
    <w:basedOn w:val="DefaultParagraphFont"/>
    <w:uiPriority w:val="20"/>
    <w:qFormat/>
    <w:rPr>
      <w:b/>
      <w:bCs/>
      <w:i w:val="0"/>
      <w:iCs w:val="0"/>
    </w:rPr>
  </w:style>
  <w:style w:type="paragraph" w:customStyle="1" w:styleId="Bulet">
    <w:name w:val="Bulet"/>
    <w:basedOn w:val="Text2"/>
    <w:link w:val="BuletChar"/>
    <w:qFormat/>
    <w:pPr>
      <w:numPr>
        <w:numId w:val="3"/>
      </w:numPr>
      <w:spacing w:after="60"/>
    </w:p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character" w:customStyle="1" w:styleId="BuletChar">
    <w:name w:val="Bulet Char"/>
    <w:basedOn w:val="Text2Char"/>
    <w:link w:val="Bulet"/>
    <w:rPr>
      <w:rFonts w:ascii="Times New Roman" w:eastAsia="Times New Roman" w:hAnsi="Times New Roman" w:cs="Times New Roman"/>
      <w:sz w:val="24"/>
      <w:szCs w:val="20"/>
    </w:rPr>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character" w:customStyle="1" w:styleId="st">
    <w:name w:val="st"/>
    <w:basedOn w:val="DefaultParagraphFont"/>
  </w:style>
  <w:style w:type="table" w:styleId="MediumGrid3-Accent1">
    <w:name w:val="Medium Grid 3 Accent 1"/>
    <w:basedOn w:val="TableNormal"/>
    <w:uiPriority w:val="69"/>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NoList1">
    <w:name w:val="No List1"/>
    <w:next w:val="NoList"/>
    <w:uiPriority w:val="99"/>
    <w:semiHidden/>
    <w:unhideWhenUsed/>
  </w:style>
  <w:style w:type="table" w:customStyle="1" w:styleId="CV14">
    <w:name w:val="CV14"/>
    <w:basedOn w:val="TableNormal"/>
    <w:next w:val="TableGrid"/>
    <w:uiPriority w:val="5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pPr>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pPr>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pPr>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pPr>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pPr>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pPr>
      <w:ind w:left="1760"/>
      <w:jc w:val="left"/>
    </w:pPr>
    <w:rPr>
      <w:rFonts w:asciiTheme="minorHAnsi" w:eastAsiaTheme="minorEastAsia" w:hAnsiTheme="minorHAnsi"/>
      <w:sz w:val="22"/>
      <w:lang w:eastAsia="en-GB"/>
    </w:rPr>
  </w:style>
  <w:style w:type="character" w:customStyle="1" w:styleId="titrerouge">
    <w:name w:val="titre_rouge"/>
    <w:basedOn w:val="DefaultParagraphFont"/>
  </w:style>
  <w:style w:type="paragraph" w:styleId="BodyText">
    <w:name w:val="Body Text"/>
    <w:basedOn w:val="Normal"/>
    <w:link w:val="BodyTextChar"/>
    <w:uiPriority w:val="1"/>
    <w:qFormat/>
    <w:pPr>
      <w:spacing w:before="120" w:after="120" w:line="260" w:lineRule="atLeast"/>
      <w:jc w:val="left"/>
    </w:pPr>
    <w:rPr>
      <w:rFonts w:ascii="Arial" w:eastAsiaTheme="minorHAnsi" w:hAnsi="Arial" w:cs="Times New Roman"/>
      <w:sz w:val="22"/>
      <w:szCs w:val="24"/>
    </w:rPr>
  </w:style>
  <w:style w:type="character" w:customStyle="1" w:styleId="BodyTextChar">
    <w:name w:val="Body Text Char"/>
    <w:basedOn w:val="DefaultParagraphFont"/>
    <w:link w:val="BodyText"/>
    <w:uiPriority w:val="1"/>
    <w:rPr>
      <w:rFonts w:ascii="Arial" w:eastAsiaTheme="minorHAnsi" w:hAnsi="Arial" w:cs="Times New Roman"/>
      <w:szCs w:val="24"/>
    </w:rPr>
  </w:style>
  <w:style w:type="character" w:styleId="PageNumber">
    <w:name w:val="page number"/>
    <w:basedOn w:val="DefaultParagraphFont"/>
    <w:uiPriority w:val="99"/>
    <w:semiHidden/>
    <w:unhideWhenUsed/>
  </w:style>
  <w:style w:type="paragraph" w:customStyle="1" w:styleId="Figure">
    <w:name w:val="Figure"/>
    <w:basedOn w:val="Normal"/>
    <w:next w:val="BodyText"/>
    <w:uiPriority w:val="11"/>
    <w:qFormat/>
    <w:pPr>
      <w:keepNext/>
      <w:keepLines/>
      <w:tabs>
        <w:tab w:val="num" w:pos="2041"/>
      </w:tabs>
      <w:spacing w:before="120" w:after="120" w:line="260" w:lineRule="atLeast"/>
      <w:ind w:left="2041" w:hanging="1190"/>
      <w:jc w:val="left"/>
    </w:pPr>
    <w:rPr>
      <w:rFonts w:ascii="Arial" w:eastAsiaTheme="minorHAnsi" w:hAnsi="Arial" w:cs="Times New Roman"/>
      <w:color w:val="4F81BD" w:themeColor="accent1"/>
      <w:sz w:val="22"/>
      <w:szCs w:val="24"/>
    </w:rPr>
  </w:style>
  <w:style w:type="paragraph" w:customStyle="1" w:styleId="Table">
    <w:name w:val="Table"/>
    <w:basedOn w:val="Normal"/>
    <w:next w:val="BodyText"/>
    <w:link w:val="TableChar"/>
    <w:uiPriority w:val="11"/>
    <w:qFormat/>
    <w:pPr>
      <w:keepNext/>
      <w:tabs>
        <w:tab w:val="num" w:pos="851"/>
      </w:tabs>
      <w:spacing w:before="120" w:after="120" w:line="260" w:lineRule="atLeast"/>
      <w:ind w:left="1928" w:hanging="1077"/>
      <w:jc w:val="left"/>
    </w:pPr>
    <w:rPr>
      <w:rFonts w:ascii="Arial" w:eastAsiaTheme="minorHAnsi" w:hAnsi="Arial" w:cs="Times New Roman"/>
      <w:color w:val="4F81BD" w:themeColor="accent1"/>
      <w:sz w:val="22"/>
      <w:szCs w:val="24"/>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cs="Times New Roman"/>
      <w:sz w:val="20"/>
      <w:szCs w:val="24"/>
    </w:rPr>
  </w:style>
  <w:style w:type="paragraph" w:customStyle="1" w:styleId="BTNumbList">
    <w:name w:val="BTNumbList"/>
    <w:basedOn w:val="Normal"/>
    <w:uiPriority w:val="4"/>
    <w:qFormat/>
    <w:pPr>
      <w:numPr>
        <w:numId w:val="17"/>
      </w:numPr>
      <w:spacing w:after="0" w:line="260" w:lineRule="atLeast"/>
      <w:jc w:val="left"/>
    </w:pPr>
    <w:rPr>
      <w:rFonts w:ascii="Arial" w:eastAsiaTheme="minorHAnsi" w:hAnsi="Arial" w:cs="Times New Roman"/>
      <w:sz w:val="22"/>
      <w:szCs w:val="24"/>
    </w:rPr>
  </w:style>
  <w:style w:type="paragraph" w:customStyle="1" w:styleId="BTNumbList2">
    <w:name w:val="BTNumbList2"/>
    <w:basedOn w:val="Normal"/>
    <w:uiPriority w:val="6"/>
    <w:qFormat/>
    <w:pPr>
      <w:numPr>
        <w:ilvl w:val="1"/>
        <w:numId w:val="17"/>
      </w:numPr>
      <w:spacing w:after="0" w:line="260" w:lineRule="atLeast"/>
      <w:jc w:val="left"/>
    </w:pPr>
    <w:rPr>
      <w:rFonts w:ascii="Arial" w:eastAsiaTheme="minorHAnsi" w:hAnsi="Arial" w:cs="Times New Roman"/>
      <w:sz w:val="22"/>
      <w:szCs w:val="24"/>
    </w:rPr>
  </w:style>
  <w:style w:type="numbering" w:customStyle="1" w:styleId="NumbLstMain">
    <w:name w:val="NumbLstMain"/>
    <w:uiPriority w:val="99"/>
    <w:pPr>
      <w:numPr>
        <w:numId w:val="12"/>
      </w:numPr>
    </w:pPr>
  </w:style>
  <w:style w:type="paragraph" w:customStyle="1" w:styleId="Box">
    <w:name w:val="Box"/>
    <w:basedOn w:val="Normal"/>
    <w:next w:val="BodyText"/>
    <w:uiPriority w:val="6"/>
    <w:qFormat/>
    <w:pPr>
      <w:spacing w:before="120" w:after="120" w:line="260" w:lineRule="atLeast"/>
      <w:ind w:left="1928" w:hanging="1077"/>
      <w:jc w:val="left"/>
    </w:pPr>
    <w:rPr>
      <w:rFonts w:ascii="Arial" w:eastAsiaTheme="minorHAnsi" w:hAnsi="Arial" w:cs="Times New Roman"/>
      <w:b/>
      <w:color w:val="4F81BD" w:themeColor="accent1"/>
      <w:sz w:val="22"/>
      <w:szCs w:val="24"/>
    </w:rPr>
  </w:style>
  <w:style w:type="paragraph" w:customStyle="1" w:styleId="BTNumbList3">
    <w:name w:val="BTNumbList3"/>
    <w:basedOn w:val="Normal"/>
    <w:uiPriority w:val="6"/>
    <w:qFormat/>
    <w:pPr>
      <w:numPr>
        <w:ilvl w:val="2"/>
        <w:numId w:val="17"/>
      </w:numPr>
      <w:spacing w:after="0" w:line="260" w:lineRule="atLeast"/>
      <w:jc w:val="left"/>
    </w:pPr>
    <w:rPr>
      <w:rFonts w:ascii="Arial" w:eastAsiaTheme="minorHAnsi" w:hAnsi="Arial" w:cs="Times New Roman"/>
      <w:sz w:val="22"/>
      <w:szCs w:val="24"/>
    </w:rPr>
  </w:style>
  <w:style w:type="paragraph" w:customStyle="1" w:styleId="TableHeadingWhite">
    <w:name w:val="TableHeadingWhite"/>
    <w:basedOn w:val="Normal"/>
    <w:uiPriority w:val="16"/>
    <w:qFormat/>
    <w:pPr>
      <w:spacing w:before="120" w:after="0" w:line="220" w:lineRule="atLeast"/>
      <w:ind w:left="57" w:right="57"/>
      <w:jc w:val="left"/>
    </w:pPr>
    <w:rPr>
      <w:rFonts w:ascii="Arial" w:eastAsiaTheme="minorHAnsi" w:hAnsi="Arial" w:cs="Times New Roman"/>
      <w:b/>
      <w:color w:val="FFFFFF"/>
      <w:sz w:val="20"/>
      <w:szCs w:val="24"/>
    </w:rPr>
  </w:style>
  <w:style w:type="character" w:customStyle="1" w:styleId="TableChar">
    <w:name w:val="Table Char"/>
    <w:basedOn w:val="DefaultParagraphFont"/>
    <w:link w:val="Table"/>
    <w:uiPriority w:val="11"/>
    <w:rPr>
      <w:rFonts w:ascii="Arial" w:eastAsiaTheme="minorHAnsi" w:hAnsi="Arial" w:cs="Times New Roman"/>
      <w:color w:val="4F81BD" w:themeColor="accent1"/>
      <w:szCs w:val="24"/>
    </w:rPr>
  </w:style>
  <w:style w:type="paragraph" w:customStyle="1" w:styleId="Point1">
    <w:name w:val="Point 1"/>
    <w:basedOn w:val="Normal"/>
    <w:pPr>
      <w:spacing w:before="120" w:after="120" w:line="360" w:lineRule="auto"/>
      <w:ind w:left="1417" w:hanging="567"/>
      <w:jc w:val="left"/>
      <w:outlineLvl w:val="0"/>
    </w:pPr>
    <w:rPr>
      <w:rFonts w:eastAsia="Times New Roman" w:cs="Times New Roman"/>
      <w:szCs w:val="24"/>
    </w:rPr>
  </w:style>
  <w:style w:type="paragraph" w:styleId="ListNumber">
    <w:name w:val="List Number"/>
    <w:basedOn w:val="Normal"/>
    <w:pPr>
      <w:tabs>
        <w:tab w:val="num" w:pos="709"/>
      </w:tabs>
      <w:spacing w:after="240"/>
      <w:ind w:left="709" w:hanging="709"/>
    </w:pPr>
    <w:rPr>
      <w:rFonts w:eastAsia="Times New Roman" w:cs="Times New Roman"/>
      <w:szCs w:val="20"/>
    </w:rPr>
  </w:style>
  <w:style w:type="paragraph" w:customStyle="1" w:styleId="ListNumberLevel2">
    <w:name w:val="List Number (Level 2)"/>
    <w:basedOn w:val="Normal"/>
    <w:pPr>
      <w:tabs>
        <w:tab w:val="num" w:pos="1417"/>
      </w:tabs>
      <w:spacing w:after="240"/>
      <w:ind w:left="1417" w:hanging="708"/>
    </w:pPr>
    <w:rPr>
      <w:rFonts w:eastAsia="Times New Roman" w:cs="Times New Roman"/>
      <w:szCs w:val="20"/>
    </w:rPr>
  </w:style>
  <w:style w:type="paragraph" w:customStyle="1" w:styleId="ListNumberLevel3">
    <w:name w:val="List Number (Level 3)"/>
    <w:basedOn w:val="Normal"/>
    <w:pPr>
      <w:tabs>
        <w:tab w:val="num" w:pos="2126"/>
      </w:tabs>
      <w:spacing w:after="240"/>
      <w:ind w:left="2126" w:hanging="709"/>
    </w:pPr>
    <w:rPr>
      <w:rFonts w:eastAsia="Times New Roman" w:cs="Times New Roman"/>
      <w:szCs w:val="20"/>
    </w:rPr>
  </w:style>
  <w:style w:type="paragraph" w:customStyle="1" w:styleId="ListNumberLevel4">
    <w:name w:val="List Number (Level 4)"/>
    <w:basedOn w:val="Normal"/>
    <w:pPr>
      <w:tabs>
        <w:tab w:val="num" w:pos="2835"/>
      </w:tabs>
      <w:spacing w:after="240"/>
      <w:ind w:left="2835" w:hanging="709"/>
    </w:pPr>
    <w:rPr>
      <w:rFonts w:eastAsia="Times New Roman" w:cs="Times New Roman"/>
      <w:szCs w:val="20"/>
    </w:rPr>
  </w:style>
  <w:style w:type="table" w:customStyle="1" w:styleId="GridTable6Colorful-Accent11">
    <w:name w:val="Grid Table 6 Colorful - Accent 11"/>
    <w:basedOn w:val="TableNormal"/>
    <w:uiPriority w:val="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oint0">
    <w:name w:val="Point 0"/>
    <w:basedOn w:val="Normal"/>
    <w:pPr>
      <w:spacing w:before="120" w:after="120" w:line="360" w:lineRule="auto"/>
      <w:ind w:left="850" w:hanging="850"/>
      <w:jc w:val="left"/>
    </w:pPr>
    <w:rPr>
      <w:rFonts w:eastAsia="Times New Roman" w:cs="Times New Roman"/>
      <w:szCs w:val="24"/>
    </w:rPr>
  </w:style>
  <w:style w:type="paragraph" w:customStyle="1" w:styleId="BTNumblist2Last">
    <w:name w:val="BTNumblist2Last"/>
    <w:basedOn w:val="BTNumbList2"/>
    <w:next w:val="BodyText"/>
    <w:uiPriority w:val="6"/>
    <w:qFormat/>
    <w:pPr>
      <w:numPr>
        <w:numId w:val="1"/>
      </w:numPr>
      <w:spacing w:after="120"/>
    </w:pPr>
  </w:style>
  <w:style w:type="table" w:customStyle="1" w:styleId="ListTable2-Accent11">
    <w:name w:val="List Table 2 - Accent 11"/>
    <w:basedOn w:val="TableNormal"/>
    <w:uiPriority w:val="47"/>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er1">
    <w:name w:val="Marker1"/>
    <w:basedOn w:val="DefaultParagraphFont"/>
    <w:rPr>
      <w:color w:val="008000"/>
      <w:shd w:val="clear" w:color="auto" w:fill="auto"/>
    </w:rPr>
  </w:style>
  <w:style w:type="paragraph" w:styleId="TableofFigures">
    <w:name w:val="table of figures"/>
    <w:basedOn w:val="Normal"/>
    <w:next w:val="Normal"/>
    <w:uiPriority w:val="99"/>
    <w:unhideWhenUse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0" w:line="240" w:lineRule="auto"/>
      <w:jc w:val="both"/>
    </w:pPr>
    <w:rPr>
      <w:rFonts w:ascii="Times New Roman" w:hAnsi="Times New Roman"/>
      <w:sz w:val="24"/>
    </w:rPr>
  </w:style>
  <w:style w:type="paragraph" w:styleId="Heading1">
    <w:name w:val="heading 1"/>
    <w:basedOn w:val="Normal"/>
    <w:next w:val="Text1"/>
    <w:link w:val="Heading1Char"/>
    <w:qFormat/>
    <w:pPr>
      <w:keepNext/>
      <w:numPr>
        <w:numId w:val="13"/>
      </w:numPr>
      <w:spacing w:before="360" w:after="240"/>
      <w:ind w:left="431" w:hanging="431"/>
      <w:outlineLvl w:val="0"/>
    </w:pPr>
    <w:rPr>
      <w:rFonts w:eastAsia="Times New Roman" w:cs="Times New Roman"/>
      <w:b/>
      <w:smallCaps/>
      <w:szCs w:val="20"/>
    </w:rPr>
  </w:style>
  <w:style w:type="paragraph" w:styleId="Heading2">
    <w:name w:val="heading 2"/>
    <w:basedOn w:val="Normal"/>
    <w:next w:val="Text2"/>
    <w:link w:val="Heading2Char"/>
    <w:qFormat/>
    <w:pPr>
      <w:keepNext/>
      <w:numPr>
        <w:ilvl w:val="1"/>
        <w:numId w:val="13"/>
      </w:numPr>
      <w:spacing w:before="240"/>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3"/>
      </w:numPr>
      <w:spacing w:before="240"/>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3"/>
      </w:numPr>
      <w:spacing w:after="240"/>
      <w:outlineLvl w:val="3"/>
    </w:pPr>
    <w:rPr>
      <w:rFonts w:eastAsia="Times New Roman" w:cs="Times New Roman"/>
      <w:szCs w:val="20"/>
    </w:rPr>
  </w:style>
  <w:style w:type="paragraph" w:styleId="Heading5">
    <w:name w:val="heading 5"/>
    <w:basedOn w:val="Normal"/>
    <w:next w:val="Normal"/>
    <w:link w:val="Heading5Char"/>
    <w:uiPriority w:val="9"/>
    <w:unhideWhenUsed/>
    <w:qFormat/>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rPr>
  </w:style>
  <w:style w:type="paragraph" w:styleId="Header">
    <w:name w:val="header"/>
    <w:basedOn w:val="Normal"/>
    <w:link w:val="HeaderChar"/>
    <w:uiPriority w:val="99"/>
    <w:unhideWhenUsed/>
    <w:pPr>
      <w:tabs>
        <w:tab w:val="center" w:pos="4535"/>
        <w:tab w:val="right" w:pos="9071"/>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ind w:left="482"/>
    </w:pPr>
    <w:rPr>
      <w:rFonts w:eastAsia="Times New Roman" w:cs="Times New Roman"/>
      <w:szCs w:val="20"/>
    </w:rPr>
  </w:style>
  <w:style w:type="paragraph" w:customStyle="1" w:styleId="Text2">
    <w:name w:val="Text 2"/>
    <w:basedOn w:val="Normal"/>
    <w:link w:val="Text2Char"/>
    <w:pPr>
      <w:tabs>
        <w:tab w:val="left" w:pos="2302"/>
      </w:tabs>
      <w:spacing w:after="240"/>
      <w:ind w:left="1202"/>
    </w:pPr>
    <w:rPr>
      <w:rFonts w:eastAsia="Times New Roman" w:cs="Times New Roman"/>
      <w:szCs w:val="20"/>
    </w:rPr>
  </w:style>
  <w:style w:type="paragraph" w:styleId="ListBullet">
    <w:name w:val="List Bullet"/>
    <w:basedOn w:val="Normal"/>
    <w:pPr>
      <w:tabs>
        <w:tab w:val="num" w:pos="283"/>
      </w:tabs>
      <w:spacing w:after="240"/>
      <w:ind w:left="283" w:hanging="283"/>
    </w:pPr>
    <w:rPr>
      <w:rFonts w:eastAsia="Times New Roman" w:cs="Times New Roman"/>
      <w:szCs w:val="20"/>
    </w:rPr>
  </w:style>
  <w:style w:type="paragraph" w:customStyle="1" w:styleId="ListDash1">
    <w:name w:val="List Dash 1"/>
    <w:basedOn w:val="Text1"/>
    <w:pPr>
      <w:numPr>
        <w:numId w:val="2"/>
      </w:numPr>
    </w:pPr>
  </w:style>
  <w:style w:type="table" w:styleId="TableGrid">
    <w:name w:val="Table Grid"/>
    <w:aliases w:val="Document Table,CV1,Table Format 1,HTG"/>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ind w:left="482" w:right="720" w:hanging="482"/>
    </w:pPr>
    <w:rPr>
      <w:rFonts w:eastAsia="Times New Roman" w:cs="Times New Roman"/>
      <w:caps/>
      <w:sz w:val="20"/>
      <w:szCs w:val="20"/>
    </w:rPr>
  </w:style>
  <w:style w:type="paragraph" w:styleId="TOC2">
    <w:name w:val="toc 2"/>
    <w:basedOn w:val="Normal"/>
    <w:next w:val="Normal"/>
    <w:uiPriority w:val="39"/>
    <w:pPr>
      <w:tabs>
        <w:tab w:val="right" w:leader="dot" w:pos="8640"/>
      </w:tabs>
      <w:spacing w:before="60" w:after="60"/>
      <w:ind w:left="1077" w:right="720" w:hanging="595"/>
    </w:pPr>
    <w:rPr>
      <w:rFonts w:eastAsia="Times New Roman" w:cs="Times New Roman"/>
      <w:szCs w:val="20"/>
    </w:rPr>
  </w:style>
  <w:style w:type="paragraph" w:styleId="TOCHeading">
    <w:name w:val="TOC Heading"/>
    <w:basedOn w:val="Normal"/>
    <w:next w:val="Normal"/>
    <w:uiPriority w:val="39"/>
    <w:qFormat/>
    <w:pPr>
      <w:keepNext/>
      <w:spacing w:before="240" w:after="240"/>
      <w:jc w:val="center"/>
    </w:pPr>
    <w:rPr>
      <w:rFonts w:eastAsia="Times New Roman" w:cs="Times New Roman"/>
      <w:b/>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paragraph" w:styleId="FootnoteText">
    <w:name w:val="footnote text"/>
    <w:aliases w:val="fn,footnote text,Footnotes,Footnote ak,fn Char,footnote text Char,Footnotes Char,Footnote ak Char,ft,fn cafc,Footnotes Char Char,Footnote Text Char Char,fn Char Char,footnote text Char Char Char Ch,fn1,footnote text1,ft1,Car,footnote,f,o,9"/>
    <w:basedOn w:val="Normal"/>
    <w:link w:val="FootnoteTextChar"/>
    <w:uiPriority w:val="99"/>
    <w:unhideWhenUsed/>
    <w:qFormat/>
    <w:pPr>
      <w:spacing w:after="0"/>
      <w:ind w:left="720" w:hanging="720"/>
    </w:pPr>
    <w:rPr>
      <w:sz w:val="18"/>
      <w:szCs w:val="20"/>
    </w:rPr>
  </w:style>
  <w:style w:type="character" w:customStyle="1" w:styleId="FootnoteTextChar">
    <w:name w:val="Footnote Text Char"/>
    <w:aliases w:val="fn Char1,footnote text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hAnsi="Times New Roman"/>
      <w:sz w:val="18"/>
      <w:szCs w:val="20"/>
    </w:rPr>
  </w:style>
  <w:style w:type="character" w:styleId="FootnoteReference">
    <w:name w:val="footnote reference"/>
    <w:aliases w:val="Footnote Reference Superscript,BVI fnr, BVI fnr,Footnote symbol,Times 10 Point,Exposant 3 Point,Appel note de bas de p,Footnote number,Footnote Reference Number,Footnote reference number,EN Footnote Reference,note TESI,fr,ftref,Nota,F"/>
    <w:basedOn w:val="DefaultParagraphFont"/>
    <w:link w:val="FootnoteReferenceCharCarCharCharCarCharCarCharCarCharCarCharCharCarCarCharCharCharCharCharCarCharCarCharCharCarCharCar"/>
    <w:uiPriority w:val="99"/>
    <w:unhideWhenUsed/>
    <w:qFormat/>
    <w:rPr>
      <w:vertAlign w:val="superscript"/>
    </w:rPr>
  </w:style>
  <w:style w:type="paragraph" w:customStyle="1" w:styleId="Declassification">
    <w:name w:val="Declassification"/>
    <w:basedOn w:val="Normal"/>
    <w:next w:val="Normal"/>
    <w:pPr>
      <w:spacing w:after="0"/>
    </w:pPr>
    <w:rPr>
      <w:rFonts w:cs="Times New Roman"/>
    </w:rPr>
  </w:style>
  <w:style w:type="paragraph" w:customStyle="1" w:styleId="HeaderLandscape">
    <w:name w:val="HeaderLandscape"/>
    <w:basedOn w:val="Normal"/>
    <w:pPr>
      <w:tabs>
        <w:tab w:val="center" w:pos="7285"/>
        <w:tab w:val="right" w:pos="14003"/>
      </w:tabs>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8">
    <w:name w:val="Pa8"/>
    <w:basedOn w:val="Normal"/>
    <w:next w:val="Normal"/>
    <w:uiPriority w:val="99"/>
    <w:pPr>
      <w:autoSpaceDE w:val="0"/>
      <w:autoSpaceDN w:val="0"/>
      <w:adjustRightInd w:val="0"/>
      <w:spacing w:after="0" w:line="221" w:lineRule="atLeast"/>
      <w:jc w:val="left"/>
    </w:pPr>
    <w:rPr>
      <w:rFonts w:ascii="Garamond" w:hAnsi="Garamond"/>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Pr>
      <w:rFonts w:ascii="Times New Roman" w:hAnsi="Times New Roman"/>
      <w:sz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fr-BE" w:eastAsia="fr-BE"/>
    </w:rPr>
  </w:style>
  <w:style w:type="paragraph" w:styleId="NormalWeb">
    <w:name w:val="Normal (Web)"/>
    <w:basedOn w:val="Normal"/>
    <w:uiPriority w:val="99"/>
    <w:unhideWhenUsed/>
    <w:pPr>
      <w:spacing w:before="100" w:beforeAutospacing="1" w:afterAutospacing="1"/>
      <w:jc w:val="left"/>
    </w:pPr>
    <w:rPr>
      <w:rFonts w:eastAsia="Times New Roman" w:cs="Times New Roman"/>
      <w:szCs w:val="24"/>
      <w:lang w:eastAsia="en-GB"/>
    </w:rPr>
  </w:style>
  <w:style w:type="paragraph" w:customStyle="1" w:styleId="Paragraphedeliste1">
    <w:name w:val="Paragraphe de liste1"/>
    <w:basedOn w:val="Normal"/>
    <w:pPr>
      <w:suppressAutoHyphens/>
      <w:autoSpaceDN w:val="0"/>
      <w:spacing w:after="160" w:line="247" w:lineRule="auto"/>
      <w:ind w:left="720"/>
      <w:jc w:val="left"/>
    </w:pPr>
    <w:rPr>
      <w:rFonts w:ascii="Calibri" w:eastAsia="Calibri" w:hAnsi="Calibri" w:cs="Times New Roman"/>
      <w:sz w:val="22"/>
      <w:lang w:val="fr-BE"/>
    </w:rPr>
  </w:style>
  <w:style w:type="paragraph" w:customStyle="1" w:styleId="CM1">
    <w:name w:val="CM1"/>
    <w:basedOn w:val="Normal"/>
    <w:next w:val="Normal"/>
    <w:uiPriority w:val="99"/>
    <w:pPr>
      <w:autoSpaceDE w:val="0"/>
      <w:autoSpaceDN w:val="0"/>
      <w:adjustRightInd w:val="0"/>
      <w:spacing w:after="0"/>
      <w:jc w:val="left"/>
    </w:pPr>
    <w:rPr>
      <w:rFonts w:ascii="EUAlbertina" w:eastAsia="Calibri" w:hAnsi="EUAlbertina" w:cs="Times New Roman"/>
      <w:szCs w:val="24"/>
    </w:rPr>
  </w:style>
  <w:style w:type="character" w:styleId="Strong">
    <w:name w:val="Strong"/>
    <w:basedOn w:val="DefaultParagraphFont"/>
    <w:qFormat/>
    <w:rPr>
      <w:b/>
      <w:bC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jc w:val="left"/>
    </w:pPr>
    <w:rPr>
      <w:rFonts w:asciiTheme="minorHAnsi" w:hAnsiTheme="minorHAnsi"/>
      <w:sz w:val="22"/>
      <w:vertAlign w:val="superscript"/>
    </w:rPr>
  </w:style>
  <w:style w:type="paragraph" w:customStyle="1" w:styleId="Pa19">
    <w:name w:val="Pa19"/>
    <w:basedOn w:val="Normal"/>
    <w:next w:val="Normal"/>
    <w:uiPriority w:val="99"/>
    <w:pPr>
      <w:autoSpaceDE w:val="0"/>
      <w:autoSpaceDN w:val="0"/>
      <w:adjustRightInd w:val="0"/>
      <w:spacing w:after="0" w:line="201" w:lineRule="atLeast"/>
      <w:jc w:val="left"/>
    </w:pPr>
    <w:rPr>
      <w:rFonts w:ascii="Myriad Pro" w:hAnsi="Myriad Pro"/>
      <w:szCs w:val="24"/>
    </w:rPr>
  </w:style>
  <w:style w:type="paragraph" w:customStyle="1" w:styleId="Pa25">
    <w:name w:val="Pa25"/>
    <w:basedOn w:val="Normal"/>
    <w:next w:val="Normal"/>
    <w:uiPriority w:val="99"/>
    <w:pPr>
      <w:autoSpaceDE w:val="0"/>
      <w:autoSpaceDN w:val="0"/>
      <w:adjustRightInd w:val="0"/>
      <w:spacing w:after="0" w:line="201" w:lineRule="atLeast"/>
      <w:jc w:val="left"/>
    </w:pPr>
    <w:rPr>
      <w:rFonts w:ascii="Myriad Pro" w:hAnsi="Myriad Pro"/>
      <w:szCs w:val="24"/>
    </w:rPr>
  </w:style>
  <w:style w:type="character" w:customStyle="1" w:styleId="A15">
    <w:name w:val="A15"/>
    <w:uiPriority w:val="99"/>
    <w:rPr>
      <w:rFonts w:cs="Myriad Pro"/>
      <w:color w:val="000000"/>
      <w:sz w:val="20"/>
      <w:szCs w:val="20"/>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rPr>
      <w:rFonts w:ascii="Times New Roman" w:hAnsi="Times New Roman"/>
      <w:sz w:val="24"/>
    </w:rPr>
  </w:style>
  <w:style w:type="paragraph" w:styleId="PlainText">
    <w:name w:val="Plain Text"/>
    <w:basedOn w:val="Normal"/>
    <w:link w:val="PlainTextChar"/>
    <w:uiPriority w:val="99"/>
    <w:unhideWhenUsed/>
    <w:pPr>
      <w:spacing w:after="0"/>
      <w:jc w:val="left"/>
    </w:pPr>
    <w:rPr>
      <w:rFonts w:ascii="Calibri" w:eastAsia="Calibri" w:hAnsi="Calibri" w:cs="Consolas"/>
      <w:sz w:val="22"/>
      <w:szCs w:val="21"/>
    </w:rPr>
  </w:style>
  <w:style w:type="character" w:customStyle="1" w:styleId="PlainTextChar">
    <w:name w:val="Plain Text Char"/>
    <w:basedOn w:val="DefaultParagraphFont"/>
    <w:link w:val="PlainText"/>
    <w:uiPriority w:val="99"/>
    <w:rPr>
      <w:rFonts w:ascii="Calibri" w:eastAsia="Calibri" w:hAnsi="Calibri" w:cs="Consolas"/>
      <w:szCs w:val="21"/>
    </w:rPr>
  </w:style>
  <w:style w:type="paragraph" w:customStyle="1" w:styleId="CharCharChar1">
    <w:name w:val="Char Char Char1"/>
    <w:basedOn w:val="Normal"/>
    <w:uiPriority w:val="99"/>
    <w:pPr>
      <w:spacing w:after="160" w:line="240" w:lineRule="exact"/>
    </w:pPr>
    <w:rPr>
      <w:rFonts w:asciiTheme="minorHAnsi" w:hAnsiTheme="minorHAnsi"/>
      <w:sz w:val="22"/>
      <w:vertAlign w:val="superscript"/>
    </w:rPr>
  </w:style>
  <w:style w:type="paragraph" w:styleId="TOC3">
    <w:name w:val="toc 3"/>
    <w:basedOn w:val="Normal"/>
    <w:next w:val="Normal"/>
    <w:autoRedefine/>
    <w:uiPriority w:val="39"/>
    <w:unhideWhenUsed/>
    <w:pPr>
      <w:ind w:left="480"/>
    </w:pPr>
  </w:style>
  <w:style w:type="paragraph" w:styleId="EndnoteText">
    <w:name w:val="endnote text"/>
    <w:basedOn w:val="Normal"/>
    <w:link w:val="EndnoteTextChar"/>
    <w:uiPriority w:val="99"/>
    <w:semiHidden/>
    <w:unhideWhenUsed/>
    <w:pPr>
      <w:spacing w:after="0"/>
      <w:jc w:val="left"/>
    </w:pPr>
    <w:rPr>
      <w:rFonts w:asciiTheme="minorHAnsi" w:hAnsiTheme="minorHAnsi"/>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CorpsA">
    <w:name w:val="Corps A"/>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Aucun">
    <w:name w:val="Aucun"/>
    <w:rPr>
      <w:lang w:val="en-US"/>
    </w:rPr>
  </w:style>
  <w:style w:type="paragraph" w:styleId="Caption">
    <w:name w:val="caption"/>
    <w:basedOn w:val="Normal"/>
    <w:next w:val="Normal"/>
    <w:uiPriority w:val="35"/>
    <w:unhideWhenUsed/>
    <w:qFormat/>
    <w:pPr>
      <w:spacing w:after="0"/>
      <w:jc w:val="left"/>
    </w:pPr>
    <w:rPr>
      <w:b/>
      <w:bCs/>
      <w:szCs w:val="1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NoSpacing">
    <w:name w:val="No Spacing"/>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u w:color="000000"/>
      <w:bdr w:val="nil"/>
      <w:lang w:val="en-US" w:eastAsia="en-GB"/>
    </w:rPr>
  </w:style>
  <w:style w:type="paragraph" w:customStyle="1" w:styleId="Corps">
    <w:name w:val="Corps"/>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customStyle="1" w:styleId="Ss-section3">
    <w:name w:val="Ss-section 3"/>
    <w:next w:val="Corps"/>
    <w:pPr>
      <w:keepNext/>
      <w:keepLines/>
      <w:pBdr>
        <w:top w:val="nil"/>
        <w:left w:val="nil"/>
        <w:bottom w:val="nil"/>
        <w:right w:val="nil"/>
        <w:between w:val="nil"/>
        <w:bar w:val="nil"/>
      </w:pBdr>
      <w:spacing w:before="200" w:after="0" w:line="240" w:lineRule="auto"/>
      <w:outlineLvl w:val="2"/>
    </w:pPr>
    <w:rPr>
      <w:rFonts w:ascii="Helvetica Neue" w:eastAsia="Helvetica Neue" w:hAnsi="Helvetica Neue" w:cs="Helvetica Neue"/>
      <w:b/>
      <w:bCs/>
      <w:color w:val="4F81BD"/>
      <w:sz w:val="24"/>
      <w:szCs w:val="24"/>
      <w:u w:color="4F81BD"/>
      <w:bdr w:val="nil"/>
      <w:lang w:eastAsia="en-GB"/>
    </w:rPr>
  </w:style>
  <w:style w:type="numbering" w:customStyle="1" w:styleId="Style4import">
    <w:name w:val="Style 4 importé"/>
    <w:pPr>
      <w:numPr>
        <w:numId w:val="53"/>
      </w:numPr>
    </w:p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1">
    <w:name w:val="Body 1"/>
    <w:pPr>
      <w:spacing w:after="240" w:line="240" w:lineRule="auto"/>
      <w:jc w:val="both"/>
      <w:outlineLvl w:val="0"/>
    </w:pPr>
    <w:rPr>
      <w:rFonts w:ascii="Times New Roman" w:eastAsia="Arial Unicode MS" w:hAnsi="Times New Roman" w:cs="Times New Roman"/>
      <w:color w:val="000000"/>
      <w:sz w:val="24"/>
      <w:szCs w:val="20"/>
      <w:u w:color="000000"/>
      <w:lang w:eastAsia="en-GB"/>
    </w:rPr>
  </w:style>
  <w:style w:type="paragraph" w:styleId="BodyTextIndent3">
    <w:name w:val="Body Text Indent 3"/>
    <w:basedOn w:val="Normal"/>
    <w:link w:val="BodyTextIndent3Char"/>
    <w:pPr>
      <w:ind w:left="283"/>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styleId="Emphasis">
    <w:name w:val="Emphasis"/>
    <w:basedOn w:val="DefaultParagraphFont"/>
    <w:uiPriority w:val="20"/>
    <w:qFormat/>
    <w:rPr>
      <w:b/>
      <w:bCs/>
      <w:i w:val="0"/>
      <w:iCs w:val="0"/>
    </w:rPr>
  </w:style>
  <w:style w:type="paragraph" w:customStyle="1" w:styleId="Bulet">
    <w:name w:val="Bulet"/>
    <w:basedOn w:val="Text2"/>
    <w:link w:val="BuletChar"/>
    <w:qFormat/>
    <w:pPr>
      <w:numPr>
        <w:numId w:val="3"/>
      </w:numPr>
      <w:spacing w:after="60"/>
    </w:p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character" w:customStyle="1" w:styleId="BuletChar">
    <w:name w:val="Bulet Char"/>
    <w:basedOn w:val="Text2Char"/>
    <w:link w:val="Bulet"/>
    <w:rPr>
      <w:rFonts w:ascii="Times New Roman" w:eastAsia="Times New Roman" w:hAnsi="Times New Roman" w:cs="Times New Roman"/>
      <w:sz w:val="24"/>
      <w:szCs w:val="20"/>
    </w:rPr>
  </w:style>
  <w:style w:type="character" w:customStyle="1" w:styleId="tgc">
    <w:name w:val="_tgc"/>
    <w:basedOn w:val="DefaultParagraphFont"/>
  </w:style>
  <w:style w:type="character" w:customStyle="1" w:styleId="FootnoteReference1">
    <w:name w:val="Footnote Reference1"/>
    <w:rPr>
      <w:vertAlign w:val="superscript"/>
    </w:rPr>
  </w:style>
  <w:style w:type="character" w:customStyle="1" w:styleId="Funotenzeichen">
    <w:name w:val="Fußnotenzeichen"/>
  </w:style>
  <w:style w:type="character" w:customStyle="1" w:styleId="st">
    <w:name w:val="st"/>
    <w:basedOn w:val="DefaultParagraphFont"/>
  </w:style>
  <w:style w:type="table" w:styleId="MediumGrid3-Accent1">
    <w:name w:val="Medium Grid 3 Accent 1"/>
    <w:basedOn w:val="TableNormal"/>
    <w:uiPriority w:val="69"/>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NoList1">
    <w:name w:val="No List1"/>
    <w:next w:val="NoList"/>
    <w:uiPriority w:val="99"/>
    <w:semiHidden/>
    <w:unhideWhenUsed/>
  </w:style>
  <w:style w:type="table" w:customStyle="1" w:styleId="CV14">
    <w:name w:val="CV14"/>
    <w:basedOn w:val="TableNormal"/>
    <w:next w:val="TableGrid"/>
    <w:uiPriority w:val="5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pPr>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pPr>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pPr>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pPr>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pPr>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pPr>
      <w:ind w:left="1760"/>
      <w:jc w:val="left"/>
    </w:pPr>
    <w:rPr>
      <w:rFonts w:asciiTheme="minorHAnsi" w:eastAsiaTheme="minorEastAsia" w:hAnsiTheme="minorHAnsi"/>
      <w:sz w:val="22"/>
      <w:lang w:eastAsia="en-GB"/>
    </w:rPr>
  </w:style>
  <w:style w:type="character" w:customStyle="1" w:styleId="titrerouge">
    <w:name w:val="titre_rouge"/>
    <w:basedOn w:val="DefaultParagraphFont"/>
  </w:style>
  <w:style w:type="paragraph" w:styleId="BodyText">
    <w:name w:val="Body Text"/>
    <w:basedOn w:val="Normal"/>
    <w:link w:val="BodyTextChar"/>
    <w:uiPriority w:val="1"/>
    <w:qFormat/>
    <w:pPr>
      <w:spacing w:before="120" w:after="120" w:line="260" w:lineRule="atLeast"/>
      <w:jc w:val="left"/>
    </w:pPr>
    <w:rPr>
      <w:rFonts w:ascii="Arial" w:eastAsiaTheme="minorHAnsi" w:hAnsi="Arial" w:cs="Times New Roman"/>
      <w:sz w:val="22"/>
      <w:szCs w:val="24"/>
    </w:rPr>
  </w:style>
  <w:style w:type="character" w:customStyle="1" w:styleId="BodyTextChar">
    <w:name w:val="Body Text Char"/>
    <w:basedOn w:val="DefaultParagraphFont"/>
    <w:link w:val="BodyText"/>
    <w:uiPriority w:val="1"/>
    <w:rPr>
      <w:rFonts w:ascii="Arial" w:eastAsiaTheme="minorHAnsi" w:hAnsi="Arial" w:cs="Times New Roman"/>
      <w:szCs w:val="24"/>
    </w:rPr>
  </w:style>
  <w:style w:type="character" w:styleId="PageNumber">
    <w:name w:val="page number"/>
    <w:basedOn w:val="DefaultParagraphFont"/>
    <w:uiPriority w:val="99"/>
    <w:semiHidden/>
    <w:unhideWhenUsed/>
  </w:style>
  <w:style w:type="paragraph" w:customStyle="1" w:styleId="Figure">
    <w:name w:val="Figure"/>
    <w:basedOn w:val="Normal"/>
    <w:next w:val="BodyText"/>
    <w:uiPriority w:val="11"/>
    <w:qFormat/>
    <w:pPr>
      <w:keepNext/>
      <w:keepLines/>
      <w:tabs>
        <w:tab w:val="num" w:pos="2041"/>
      </w:tabs>
      <w:spacing w:before="120" w:after="120" w:line="260" w:lineRule="atLeast"/>
      <w:ind w:left="2041" w:hanging="1190"/>
      <w:jc w:val="left"/>
    </w:pPr>
    <w:rPr>
      <w:rFonts w:ascii="Arial" w:eastAsiaTheme="minorHAnsi" w:hAnsi="Arial" w:cs="Times New Roman"/>
      <w:color w:val="4F81BD" w:themeColor="accent1"/>
      <w:sz w:val="22"/>
      <w:szCs w:val="24"/>
    </w:rPr>
  </w:style>
  <w:style w:type="paragraph" w:customStyle="1" w:styleId="Table">
    <w:name w:val="Table"/>
    <w:basedOn w:val="Normal"/>
    <w:next w:val="BodyText"/>
    <w:link w:val="TableChar"/>
    <w:uiPriority w:val="11"/>
    <w:qFormat/>
    <w:pPr>
      <w:keepNext/>
      <w:tabs>
        <w:tab w:val="num" w:pos="851"/>
      </w:tabs>
      <w:spacing w:before="120" w:after="120" w:line="260" w:lineRule="atLeast"/>
      <w:ind w:left="1928" w:hanging="1077"/>
      <w:jc w:val="left"/>
    </w:pPr>
    <w:rPr>
      <w:rFonts w:ascii="Arial" w:eastAsiaTheme="minorHAnsi" w:hAnsi="Arial" w:cs="Times New Roman"/>
      <w:color w:val="4F81BD" w:themeColor="accent1"/>
      <w:sz w:val="22"/>
      <w:szCs w:val="24"/>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cs="Times New Roman"/>
      <w:sz w:val="20"/>
      <w:szCs w:val="24"/>
    </w:rPr>
  </w:style>
  <w:style w:type="paragraph" w:customStyle="1" w:styleId="BTNumbList">
    <w:name w:val="BTNumbList"/>
    <w:basedOn w:val="Normal"/>
    <w:uiPriority w:val="4"/>
    <w:qFormat/>
    <w:pPr>
      <w:numPr>
        <w:numId w:val="17"/>
      </w:numPr>
      <w:spacing w:after="0" w:line="260" w:lineRule="atLeast"/>
      <w:jc w:val="left"/>
    </w:pPr>
    <w:rPr>
      <w:rFonts w:ascii="Arial" w:eastAsiaTheme="minorHAnsi" w:hAnsi="Arial" w:cs="Times New Roman"/>
      <w:sz w:val="22"/>
      <w:szCs w:val="24"/>
    </w:rPr>
  </w:style>
  <w:style w:type="paragraph" w:customStyle="1" w:styleId="BTNumbList2">
    <w:name w:val="BTNumbList2"/>
    <w:basedOn w:val="Normal"/>
    <w:uiPriority w:val="6"/>
    <w:qFormat/>
    <w:pPr>
      <w:numPr>
        <w:ilvl w:val="1"/>
        <w:numId w:val="17"/>
      </w:numPr>
      <w:spacing w:after="0" w:line="260" w:lineRule="atLeast"/>
      <w:jc w:val="left"/>
    </w:pPr>
    <w:rPr>
      <w:rFonts w:ascii="Arial" w:eastAsiaTheme="minorHAnsi" w:hAnsi="Arial" w:cs="Times New Roman"/>
      <w:sz w:val="22"/>
      <w:szCs w:val="24"/>
    </w:rPr>
  </w:style>
  <w:style w:type="numbering" w:customStyle="1" w:styleId="NumbLstMain">
    <w:name w:val="NumbLstMain"/>
    <w:uiPriority w:val="99"/>
    <w:pPr>
      <w:numPr>
        <w:numId w:val="12"/>
      </w:numPr>
    </w:pPr>
  </w:style>
  <w:style w:type="paragraph" w:customStyle="1" w:styleId="Box">
    <w:name w:val="Box"/>
    <w:basedOn w:val="Normal"/>
    <w:next w:val="BodyText"/>
    <w:uiPriority w:val="6"/>
    <w:qFormat/>
    <w:pPr>
      <w:spacing w:before="120" w:after="120" w:line="260" w:lineRule="atLeast"/>
      <w:ind w:left="1928" w:hanging="1077"/>
      <w:jc w:val="left"/>
    </w:pPr>
    <w:rPr>
      <w:rFonts w:ascii="Arial" w:eastAsiaTheme="minorHAnsi" w:hAnsi="Arial" w:cs="Times New Roman"/>
      <w:b/>
      <w:color w:val="4F81BD" w:themeColor="accent1"/>
      <w:sz w:val="22"/>
      <w:szCs w:val="24"/>
    </w:rPr>
  </w:style>
  <w:style w:type="paragraph" w:customStyle="1" w:styleId="BTNumbList3">
    <w:name w:val="BTNumbList3"/>
    <w:basedOn w:val="Normal"/>
    <w:uiPriority w:val="6"/>
    <w:qFormat/>
    <w:pPr>
      <w:numPr>
        <w:ilvl w:val="2"/>
        <w:numId w:val="17"/>
      </w:numPr>
      <w:spacing w:after="0" w:line="260" w:lineRule="atLeast"/>
      <w:jc w:val="left"/>
    </w:pPr>
    <w:rPr>
      <w:rFonts w:ascii="Arial" w:eastAsiaTheme="minorHAnsi" w:hAnsi="Arial" w:cs="Times New Roman"/>
      <w:sz w:val="22"/>
      <w:szCs w:val="24"/>
    </w:rPr>
  </w:style>
  <w:style w:type="paragraph" w:customStyle="1" w:styleId="TableHeadingWhite">
    <w:name w:val="TableHeadingWhite"/>
    <w:basedOn w:val="Normal"/>
    <w:uiPriority w:val="16"/>
    <w:qFormat/>
    <w:pPr>
      <w:spacing w:before="120" w:after="0" w:line="220" w:lineRule="atLeast"/>
      <w:ind w:left="57" w:right="57"/>
      <w:jc w:val="left"/>
    </w:pPr>
    <w:rPr>
      <w:rFonts w:ascii="Arial" w:eastAsiaTheme="minorHAnsi" w:hAnsi="Arial" w:cs="Times New Roman"/>
      <w:b/>
      <w:color w:val="FFFFFF"/>
      <w:sz w:val="20"/>
      <w:szCs w:val="24"/>
    </w:rPr>
  </w:style>
  <w:style w:type="character" w:customStyle="1" w:styleId="TableChar">
    <w:name w:val="Table Char"/>
    <w:basedOn w:val="DefaultParagraphFont"/>
    <w:link w:val="Table"/>
    <w:uiPriority w:val="11"/>
    <w:rPr>
      <w:rFonts w:ascii="Arial" w:eastAsiaTheme="minorHAnsi" w:hAnsi="Arial" w:cs="Times New Roman"/>
      <w:color w:val="4F81BD" w:themeColor="accent1"/>
      <w:szCs w:val="24"/>
    </w:rPr>
  </w:style>
  <w:style w:type="paragraph" w:customStyle="1" w:styleId="Point1">
    <w:name w:val="Point 1"/>
    <w:basedOn w:val="Normal"/>
    <w:pPr>
      <w:spacing w:before="120" w:after="120" w:line="360" w:lineRule="auto"/>
      <w:ind w:left="1417" w:hanging="567"/>
      <w:jc w:val="left"/>
      <w:outlineLvl w:val="0"/>
    </w:pPr>
    <w:rPr>
      <w:rFonts w:eastAsia="Times New Roman" w:cs="Times New Roman"/>
      <w:szCs w:val="24"/>
    </w:rPr>
  </w:style>
  <w:style w:type="paragraph" w:styleId="ListNumber">
    <w:name w:val="List Number"/>
    <w:basedOn w:val="Normal"/>
    <w:pPr>
      <w:tabs>
        <w:tab w:val="num" w:pos="709"/>
      </w:tabs>
      <w:spacing w:after="240"/>
      <w:ind w:left="709" w:hanging="709"/>
    </w:pPr>
    <w:rPr>
      <w:rFonts w:eastAsia="Times New Roman" w:cs="Times New Roman"/>
      <w:szCs w:val="20"/>
    </w:rPr>
  </w:style>
  <w:style w:type="paragraph" w:customStyle="1" w:styleId="ListNumberLevel2">
    <w:name w:val="List Number (Level 2)"/>
    <w:basedOn w:val="Normal"/>
    <w:pPr>
      <w:tabs>
        <w:tab w:val="num" w:pos="1417"/>
      </w:tabs>
      <w:spacing w:after="240"/>
      <w:ind w:left="1417" w:hanging="708"/>
    </w:pPr>
    <w:rPr>
      <w:rFonts w:eastAsia="Times New Roman" w:cs="Times New Roman"/>
      <w:szCs w:val="20"/>
    </w:rPr>
  </w:style>
  <w:style w:type="paragraph" w:customStyle="1" w:styleId="ListNumberLevel3">
    <w:name w:val="List Number (Level 3)"/>
    <w:basedOn w:val="Normal"/>
    <w:pPr>
      <w:tabs>
        <w:tab w:val="num" w:pos="2126"/>
      </w:tabs>
      <w:spacing w:after="240"/>
      <w:ind w:left="2126" w:hanging="709"/>
    </w:pPr>
    <w:rPr>
      <w:rFonts w:eastAsia="Times New Roman" w:cs="Times New Roman"/>
      <w:szCs w:val="20"/>
    </w:rPr>
  </w:style>
  <w:style w:type="paragraph" w:customStyle="1" w:styleId="ListNumberLevel4">
    <w:name w:val="List Number (Level 4)"/>
    <w:basedOn w:val="Normal"/>
    <w:pPr>
      <w:tabs>
        <w:tab w:val="num" w:pos="2835"/>
      </w:tabs>
      <w:spacing w:after="240"/>
      <w:ind w:left="2835" w:hanging="709"/>
    </w:pPr>
    <w:rPr>
      <w:rFonts w:eastAsia="Times New Roman" w:cs="Times New Roman"/>
      <w:szCs w:val="20"/>
    </w:rPr>
  </w:style>
  <w:style w:type="table" w:customStyle="1" w:styleId="GridTable6Colorful-Accent11">
    <w:name w:val="Grid Table 6 Colorful - Accent 11"/>
    <w:basedOn w:val="TableNormal"/>
    <w:uiPriority w:val="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oint0">
    <w:name w:val="Point 0"/>
    <w:basedOn w:val="Normal"/>
    <w:pPr>
      <w:spacing w:before="120" w:after="120" w:line="360" w:lineRule="auto"/>
      <w:ind w:left="850" w:hanging="850"/>
      <w:jc w:val="left"/>
    </w:pPr>
    <w:rPr>
      <w:rFonts w:eastAsia="Times New Roman" w:cs="Times New Roman"/>
      <w:szCs w:val="24"/>
    </w:rPr>
  </w:style>
  <w:style w:type="paragraph" w:customStyle="1" w:styleId="BTNumblist2Last">
    <w:name w:val="BTNumblist2Last"/>
    <w:basedOn w:val="BTNumbList2"/>
    <w:next w:val="BodyText"/>
    <w:uiPriority w:val="6"/>
    <w:qFormat/>
    <w:pPr>
      <w:numPr>
        <w:numId w:val="1"/>
      </w:numPr>
      <w:spacing w:after="120"/>
    </w:pPr>
  </w:style>
  <w:style w:type="table" w:customStyle="1" w:styleId="ListTable2-Accent11">
    <w:name w:val="List Table 2 - Accent 11"/>
    <w:basedOn w:val="TableNormal"/>
    <w:uiPriority w:val="47"/>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er1">
    <w:name w:val="Marker1"/>
    <w:basedOn w:val="DefaultParagraphFont"/>
    <w:rPr>
      <w:color w:val="008000"/>
      <w:shd w:val="clear" w:color="auto" w:fill="auto"/>
    </w:rPr>
  </w:style>
  <w:style w:type="paragraph" w:styleId="TableofFigures">
    <w:name w:val="table of figures"/>
    <w:basedOn w:val="Normal"/>
    <w:next w:val="Normal"/>
    <w:uiPriority w:val="99"/>
    <w:unhideWhenUse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50210">
      <w:bodyDiv w:val="1"/>
      <w:marLeft w:val="0"/>
      <w:marRight w:val="0"/>
      <w:marTop w:val="0"/>
      <w:marBottom w:val="0"/>
      <w:divBdr>
        <w:top w:val="none" w:sz="0" w:space="0" w:color="auto"/>
        <w:left w:val="none" w:sz="0" w:space="0" w:color="auto"/>
        <w:bottom w:val="none" w:sz="0" w:space="0" w:color="auto"/>
        <w:right w:val="none" w:sz="0" w:space="0" w:color="auto"/>
      </w:divBdr>
    </w:div>
    <w:div w:id="94711801">
      <w:bodyDiv w:val="1"/>
      <w:marLeft w:val="0"/>
      <w:marRight w:val="0"/>
      <w:marTop w:val="0"/>
      <w:marBottom w:val="0"/>
      <w:divBdr>
        <w:top w:val="none" w:sz="0" w:space="0" w:color="auto"/>
        <w:left w:val="none" w:sz="0" w:space="0" w:color="auto"/>
        <w:bottom w:val="none" w:sz="0" w:space="0" w:color="auto"/>
        <w:right w:val="none" w:sz="0" w:space="0" w:color="auto"/>
      </w:divBdr>
    </w:div>
    <w:div w:id="172888352">
      <w:bodyDiv w:val="1"/>
      <w:marLeft w:val="0"/>
      <w:marRight w:val="0"/>
      <w:marTop w:val="0"/>
      <w:marBottom w:val="0"/>
      <w:divBdr>
        <w:top w:val="none" w:sz="0" w:space="0" w:color="auto"/>
        <w:left w:val="none" w:sz="0" w:space="0" w:color="auto"/>
        <w:bottom w:val="none" w:sz="0" w:space="0" w:color="auto"/>
        <w:right w:val="none" w:sz="0" w:space="0" w:color="auto"/>
      </w:divBdr>
    </w:div>
    <w:div w:id="213468119">
      <w:bodyDiv w:val="1"/>
      <w:marLeft w:val="0"/>
      <w:marRight w:val="0"/>
      <w:marTop w:val="0"/>
      <w:marBottom w:val="0"/>
      <w:divBdr>
        <w:top w:val="none" w:sz="0" w:space="0" w:color="auto"/>
        <w:left w:val="none" w:sz="0" w:space="0" w:color="auto"/>
        <w:bottom w:val="none" w:sz="0" w:space="0" w:color="auto"/>
        <w:right w:val="none" w:sz="0" w:space="0" w:color="auto"/>
      </w:divBdr>
    </w:div>
    <w:div w:id="241838952">
      <w:bodyDiv w:val="1"/>
      <w:marLeft w:val="0"/>
      <w:marRight w:val="0"/>
      <w:marTop w:val="0"/>
      <w:marBottom w:val="0"/>
      <w:divBdr>
        <w:top w:val="none" w:sz="0" w:space="0" w:color="auto"/>
        <w:left w:val="none" w:sz="0" w:space="0" w:color="auto"/>
        <w:bottom w:val="none" w:sz="0" w:space="0" w:color="auto"/>
        <w:right w:val="none" w:sz="0" w:space="0" w:color="auto"/>
      </w:divBdr>
    </w:div>
    <w:div w:id="256208640">
      <w:bodyDiv w:val="1"/>
      <w:marLeft w:val="0"/>
      <w:marRight w:val="0"/>
      <w:marTop w:val="0"/>
      <w:marBottom w:val="0"/>
      <w:divBdr>
        <w:top w:val="none" w:sz="0" w:space="0" w:color="auto"/>
        <w:left w:val="none" w:sz="0" w:space="0" w:color="auto"/>
        <w:bottom w:val="none" w:sz="0" w:space="0" w:color="auto"/>
        <w:right w:val="none" w:sz="0" w:space="0" w:color="auto"/>
      </w:divBdr>
    </w:div>
    <w:div w:id="271667184">
      <w:bodyDiv w:val="1"/>
      <w:marLeft w:val="0"/>
      <w:marRight w:val="0"/>
      <w:marTop w:val="0"/>
      <w:marBottom w:val="0"/>
      <w:divBdr>
        <w:top w:val="none" w:sz="0" w:space="0" w:color="auto"/>
        <w:left w:val="none" w:sz="0" w:space="0" w:color="auto"/>
        <w:bottom w:val="none" w:sz="0" w:space="0" w:color="auto"/>
        <w:right w:val="none" w:sz="0" w:space="0" w:color="auto"/>
      </w:divBdr>
    </w:div>
    <w:div w:id="384061347">
      <w:bodyDiv w:val="1"/>
      <w:marLeft w:val="0"/>
      <w:marRight w:val="0"/>
      <w:marTop w:val="0"/>
      <w:marBottom w:val="0"/>
      <w:divBdr>
        <w:top w:val="none" w:sz="0" w:space="0" w:color="auto"/>
        <w:left w:val="none" w:sz="0" w:space="0" w:color="auto"/>
        <w:bottom w:val="none" w:sz="0" w:space="0" w:color="auto"/>
        <w:right w:val="none" w:sz="0" w:space="0" w:color="auto"/>
      </w:divBdr>
    </w:div>
    <w:div w:id="389381144">
      <w:bodyDiv w:val="1"/>
      <w:marLeft w:val="0"/>
      <w:marRight w:val="0"/>
      <w:marTop w:val="0"/>
      <w:marBottom w:val="0"/>
      <w:divBdr>
        <w:top w:val="none" w:sz="0" w:space="0" w:color="auto"/>
        <w:left w:val="none" w:sz="0" w:space="0" w:color="auto"/>
        <w:bottom w:val="none" w:sz="0" w:space="0" w:color="auto"/>
        <w:right w:val="none" w:sz="0" w:space="0" w:color="auto"/>
      </w:divBdr>
    </w:div>
    <w:div w:id="402411478">
      <w:bodyDiv w:val="1"/>
      <w:marLeft w:val="0"/>
      <w:marRight w:val="0"/>
      <w:marTop w:val="0"/>
      <w:marBottom w:val="0"/>
      <w:divBdr>
        <w:top w:val="none" w:sz="0" w:space="0" w:color="auto"/>
        <w:left w:val="none" w:sz="0" w:space="0" w:color="auto"/>
        <w:bottom w:val="none" w:sz="0" w:space="0" w:color="auto"/>
        <w:right w:val="none" w:sz="0" w:space="0" w:color="auto"/>
      </w:divBdr>
      <w:divsChild>
        <w:div w:id="997196037">
          <w:marLeft w:val="547"/>
          <w:marRight w:val="0"/>
          <w:marTop w:val="86"/>
          <w:marBottom w:val="0"/>
          <w:divBdr>
            <w:top w:val="none" w:sz="0" w:space="0" w:color="auto"/>
            <w:left w:val="none" w:sz="0" w:space="0" w:color="auto"/>
            <w:bottom w:val="none" w:sz="0" w:space="0" w:color="auto"/>
            <w:right w:val="none" w:sz="0" w:space="0" w:color="auto"/>
          </w:divBdr>
        </w:div>
        <w:div w:id="1474829531">
          <w:marLeft w:val="547"/>
          <w:marRight w:val="0"/>
          <w:marTop w:val="86"/>
          <w:marBottom w:val="0"/>
          <w:divBdr>
            <w:top w:val="none" w:sz="0" w:space="0" w:color="auto"/>
            <w:left w:val="none" w:sz="0" w:space="0" w:color="auto"/>
            <w:bottom w:val="none" w:sz="0" w:space="0" w:color="auto"/>
            <w:right w:val="none" w:sz="0" w:space="0" w:color="auto"/>
          </w:divBdr>
        </w:div>
      </w:divsChild>
    </w:div>
    <w:div w:id="474184863">
      <w:bodyDiv w:val="1"/>
      <w:marLeft w:val="0"/>
      <w:marRight w:val="0"/>
      <w:marTop w:val="0"/>
      <w:marBottom w:val="0"/>
      <w:divBdr>
        <w:top w:val="none" w:sz="0" w:space="0" w:color="auto"/>
        <w:left w:val="none" w:sz="0" w:space="0" w:color="auto"/>
        <w:bottom w:val="none" w:sz="0" w:space="0" w:color="auto"/>
        <w:right w:val="none" w:sz="0" w:space="0" w:color="auto"/>
      </w:divBdr>
      <w:divsChild>
        <w:div w:id="1258559667">
          <w:marLeft w:val="547"/>
          <w:marRight w:val="0"/>
          <w:marTop w:val="77"/>
          <w:marBottom w:val="0"/>
          <w:divBdr>
            <w:top w:val="none" w:sz="0" w:space="0" w:color="auto"/>
            <w:left w:val="none" w:sz="0" w:space="0" w:color="auto"/>
            <w:bottom w:val="none" w:sz="0" w:space="0" w:color="auto"/>
            <w:right w:val="none" w:sz="0" w:space="0" w:color="auto"/>
          </w:divBdr>
        </w:div>
      </w:divsChild>
    </w:div>
    <w:div w:id="577060977">
      <w:bodyDiv w:val="1"/>
      <w:marLeft w:val="0"/>
      <w:marRight w:val="0"/>
      <w:marTop w:val="0"/>
      <w:marBottom w:val="0"/>
      <w:divBdr>
        <w:top w:val="none" w:sz="0" w:space="0" w:color="auto"/>
        <w:left w:val="none" w:sz="0" w:space="0" w:color="auto"/>
        <w:bottom w:val="none" w:sz="0" w:space="0" w:color="auto"/>
        <w:right w:val="none" w:sz="0" w:space="0" w:color="auto"/>
      </w:divBdr>
    </w:div>
    <w:div w:id="654071746">
      <w:bodyDiv w:val="1"/>
      <w:marLeft w:val="0"/>
      <w:marRight w:val="0"/>
      <w:marTop w:val="0"/>
      <w:marBottom w:val="0"/>
      <w:divBdr>
        <w:top w:val="none" w:sz="0" w:space="0" w:color="auto"/>
        <w:left w:val="none" w:sz="0" w:space="0" w:color="auto"/>
        <w:bottom w:val="none" w:sz="0" w:space="0" w:color="auto"/>
        <w:right w:val="none" w:sz="0" w:space="0" w:color="auto"/>
      </w:divBdr>
    </w:div>
    <w:div w:id="688141446">
      <w:bodyDiv w:val="1"/>
      <w:marLeft w:val="0"/>
      <w:marRight w:val="0"/>
      <w:marTop w:val="0"/>
      <w:marBottom w:val="0"/>
      <w:divBdr>
        <w:top w:val="none" w:sz="0" w:space="0" w:color="auto"/>
        <w:left w:val="none" w:sz="0" w:space="0" w:color="auto"/>
        <w:bottom w:val="none" w:sz="0" w:space="0" w:color="auto"/>
        <w:right w:val="none" w:sz="0" w:space="0" w:color="auto"/>
      </w:divBdr>
      <w:divsChild>
        <w:div w:id="1813520707">
          <w:marLeft w:val="0"/>
          <w:marRight w:val="0"/>
          <w:marTop w:val="0"/>
          <w:marBottom w:val="0"/>
          <w:divBdr>
            <w:top w:val="none" w:sz="0" w:space="0" w:color="auto"/>
            <w:left w:val="none" w:sz="0" w:space="0" w:color="auto"/>
            <w:bottom w:val="none" w:sz="0" w:space="0" w:color="auto"/>
            <w:right w:val="none" w:sz="0" w:space="0" w:color="auto"/>
          </w:divBdr>
        </w:div>
      </w:divsChild>
    </w:div>
    <w:div w:id="703791133">
      <w:bodyDiv w:val="1"/>
      <w:marLeft w:val="0"/>
      <w:marRight w:val="0"/>
      <w:marTop w:val="0"/>
      <w:marBottom w:val="0"/>
      <w:divBdr>
        <w:top w:val="none" w:sz="0" w:space="0" w:color="auto"/>
        <w:left w:val="none" w:sz="0" w:space="0" w:color="auto"/>
        <w:bottom w:val="none" w:sz="0" w:space="0" w:color="auto"/>
        <w:right w:val="none" w:sz="0" w:space="0" w:color="auto"/>
      </w:divBdr>
      <w:divsChild>
        <w:div w:id="878860092">
          <w:marLeft w:val="547"/>
          <w:marRight w:val="0"/>
          <w:marTop w:val="77"/>
          <w:marBottom w:val="0"/>
          <w:divBdr>
            <w:top w:val="none" w:sz="0" w:space="0" w:color="auto"/>
            <w:left w:val="none" w:sz="0" w:space="0" w:color="auto"/>
            <w:bottom w:val="none" w:sz="0" w:space="0" w:color="auto"/>
            <w:right w:val="none" w:sz="0" w:space="0" w:color="auto"/>
          </w:divBdr>
        </w:div>
      </w:divsChild>
    </w:div>
    <w:div w:id="754132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9327">
          <w:marLeft w:val="547"/>
          <w:marRight w:val="0"/>
          <w:marTop w:val="86"/>
          <w:marBottom w:val="0"/>
          <w:divBdr>
            <w:top w:val="none" w:sz="0" w:space="0" w:color="auto"/>
            <w:left w:val="none" w:sz="0" w:space="0" w:color="auto"/>
            <w:bottom w:val="none" w:sz="0" w:space="0" w:color="auto"/>
            <w:right w:val="none" w:sz="0" w:space="0" w:color="auto"/>
          </w:divBdr>
        </w:div>
        <w:div w:id="1086725727">
          <w:marLeft w:val="547"/>
          <w:marRight w:val="0"/>
          <w:marTop w:val="86"/>
          <w:marBottom w:val="0"/>
          <w:divBdr>
            <w:top w:val="none" w:sz="0" w:space="0" w:color="auto"/>
            <w:left w:val="none" w:sz="0" w:space="0" w:color="auto"/>
            <w:bottom w:val="none" w:sz="0" w:space="0" w:color="auto"/>
            <w:right w:val="none" w:sz="0" w:space="0" w:color="auto"/>
          </w:divBdr>
        </w:div>
      </w:divsChild>
    </w:div>
    <w:div w:id="909774199">
      <w:bodyDiv w:val="1"/>
      <w:marLeft w:val="0"/>
      <w:marRight w:val="0"/>
      <w:marTop w:val="0"/>
      <w:marBottom w:val="0"/>
      <w:divBdr>
        <w:top w:val="none" w:sz="0" w:space="0" w:color="auto"/>
        <w:left w:val="none" w:sz="0" w:space="0" w:color="auto"/>
        <w:bottom w:val="none" w:sz="0" w:space="0" w:color="auto"/>
        <w:right w:val="none" w:sz="0" w:space="0" w:color="auto"/>
      </w:divBdr>
    </w:div>
    <w:div w:id="972831561">
      <w:bodyDiv w:val="1"/>
      <w:marLeft w:val="0"/>
      <w:marRight w:val="0"/>
      <w:marTop w:val="0"/>
      <w:marBottom w:val="0"/>
      <w:divBdr>
        <w:top w:val="none" w:sz="0" w:space="0" w:color="auto"/>
        <w:left w:val="none" w:sz="0" w:space="0" w:color="auto"/>
        <w:bottom w:val="none" w:sz="0" w:space="0" w:color="auto"/>
        <w:right w:val="none" w:sz="0" w:space="0" w:color="auto"/>
      </w:divBdr>
    </w:div>
    <w:div w:id="977759811">
      <w:bodyDiv w:val="1"/>
      <w:marLeft w:val="0"/>
      <w:marRight w:val="0"/>
      <w:marTop w:val="0"/>
      <w:marBottom w:val="0"/>
      <w:divBdr>
        <w:top w:val="none" w:sz="0" w:space="0" w:color="auto"/>
        <w:left w:val="none" w:sz="0" w:space="0" w:color="auto"/>
        <w:bottom w:val="none" w:sz="0" w:space="0" w:color="auto"/>
        <w:right w:val="none" w:sz="0" w:space="0" w:color="auto"/>
      </w:divBdr>
    </w:div>
    <w:div w:id="990986730">
      <w:bodyDiv w:val="1"/>
      <w:marLeft w:val="0"/>
      <w:marRight w:val="0"/>
      <w:marTop w:val="0"/>
      <w:marBottom w:val="0"/>
      <w:divBdr>
        <w:top w:val="none" w:sz="0" w:space="0" w:color="auto"/>
        <w:left w:val="none" w:sz="0" w:space="0" w:color="auto"/>
        <w:bottom w:val="none" w:sz="0" w:space="0" w:color="auto"/>
        <w:right w:val="none" w:sz="0" w:space="0" w:color="auto"/>
      </w:divBdr>
    </w:div>
    <w:div w:id="1038890105">
      <w:bodyDiv w:val="1"/>
      <w:marLeft w:val="0"/>
      <w:marRight w:val="0"/>
      <w:marTop w:val="0"/>
      <w:marBottom w:val="0"/>
      <w:divBdr>
        <w:top w:val="none" w:sz="0" w:space="0" w:color="auto"/>
        <w:left w:val="none" w:sz="0" w:space="0" w:color="auto"/>
        <w:bottom w:val="none" w:sz="0" w:space="0" w:color="auto"/>
        <w:right w:val="none" w:sz="0" w:space="0" w:color="auto"/>
      </w:divBdr>
    </w:div>
    <w:div w:id="1052077470">
      <w:bodyDiv w:val="1"/>
      <w:marLeft w:val="0"/>
      <w:marRight w:val="0"/>
      <w:marTop w:val="0"/>
      <w:marBottom w:val="0"/>
      <w:divBdr>
        <w:top w:val="none" w:sz="0" w:space="0" w:color="auto"/>
        <w:left w:val="none" w:sz="0" w:space="0" w:color="auto"/>
        <w:bottom w:val="none" w:sz="0" w:space="0" w:color="auto"/>
        <w:right w:val="none" w:sz="0" w:space="0" w:color="auto"/>
      </w:divBdr>
    </w:div>
    <w:div w:id="1100488777">
      <w:bodyDiv w:val="1"/>
      <w:marLeft w:val="0"/>
      <w:marRight w:val="0"/>
      <w:marTop w:val="0"/>
      <w:marBottom w:val="0"/>
      <w:divBdr>
        <w:top w:val="none" w:sz="0" w:space="0" w:color="auto"/>
        <w:left w:val="none" w:sz="0" w:space="0" w:color="auto"/>
        <w:bottom w:val="none" w:sz="0" w:space="0" w:color="auto"/>
        <w:right w:val="none" w:sz="0" w:space="0" w:color="auto"/>
      </w:divBdr>
    </w:div>
    <w:div w:id="1145706450">
      <w:bodyDiv w:val="1"/>
      <w:marLeft w:val="0"/>
      <w:marRight w:val="0"/>
      <w:marTop w:val="0"/>
      <w:marBottom w:val="0"/>
      <w:divBdr>
        <w:top w:val="none" w:sz="0" w:space="0" w:color="auto"/>
        <w:left w:val="none" w:sz="0" w:space="0" w:color="auto"/>
        <w:bottom w:val="none" w:sz="0" w:space="0" w:color="auto"/>
        <w:right w:val="none" w:sz="0" w:space="0" w:color="auto"/>
      </w:divBdr>
    </w:div>
    <w:div w:id="1167137672">
      <w:bodyDiv w:val="1"/>
      <w:marLeft w:val="0"/>
      <w:marRight w:val="0"/>
      <w:marTop w:val="0"/>
      <w:marBottom w:val="0"/>
      <w:divBdr>
        <w:top w:val="none" w:sz="0" w:space="0" w:color="auto"/>
        <w:left w:val="none" w:sz="0" w:space="0" w:color="auto"/>
        <w:bottom w:val="none" w:sz="0" w:space="0" w:color="auto"/>
        <w:right w:val="none" w:sz="0" w:space="0" w:color="auto"/>
      </w:divBdr>
    </w:div>
    <w:div w:id="1178540972">
      <w:bodyDiv w:val="1"/>
      <w:marLeft w:val="0"/>
      <w:marRight w:val="0"/>
      <w:marTop w:val="0"/>
      <w:marBottom w:val="0"/>
      <w:divBdr>
        <w:top w:val="none" w:sz="0" w:space="0" w:color="auto"/>
        <w:left w:val="none" w:sz="0" w:space="0" w:color="auto"/>
        <w:bottom w:val="none" w:sz="0" w:space="0" w:color="auto"/>
        <w:right w:val="none" w:sz="0" w:space="0" w:color="auto"/>
      </w:divBdr>
    </w:div>
    <w:div w:id="1234855076">
      <w:bodyDiv w:val="1"/>
      <w:marLeft w:val="0"/>
      <w:marRight w:val="0"/>
      <w:marTop w:val="0"/>
      <w:marBottom w:val="0"/>
      <w:divBdr>
        <w:top w:val="none" w:sz="0" w:space="0" w:color="auto"/>
        <w:left w:val="none" w:sz="0" w:space="0" w:color="auto"/>
        <w:bottom w:val="none" w:sz="0" w:space="0" w:color="auto"/>
        <w:right w:val="none" w:sz="0" w:space="0" w:color="auto"/>
      </w:divBdr>
    </w:div>
    <w:div w:id="1485194752">
      <w:bodyDiv w:val="1"/>
      <w:marLeft w:val="0"/>
      <w:marRight w:val="0"/>
      <w:marTop w:val="0"/>
      <w:marBottom w:val="0"/>
      <w:divBdr>
        <w:top w:val="none" w:sz="0" w:space="0" w:color="auto"/>
        <w:left w:val="none" w:sz="0" w:space="0" w:color="auto"/>
        <w:bottom w:val="none" w:sz="0" w:space="0" w:color="auto"/>
        <w:right w:val="none" w:sz="0" w:space="0" w:color="auto"/>
      </w:divBdr>
    </w:div>
    <w:div w:id="1541474324">
      <w:bodyDiv w:val="1"/>
      <w:marLeft w:val="0"/>
      <w:marRight w:val="0"/>
      <w:marTop w:val="0"/>
      <w:marBottom w:val="0"/>
      <w:divBdr>
        <w:top w:val="none" w:sz="0" w:space="0" w:color="auto"/>
        <w:left w:val="none" w:sz="0" w:space="0" w:color="auto"/>
        <w:bottom w:val="none" w:sz="0" w:space="0" w:color="auto"/>
        <w:right w:val="none" w:sz="0" w:space="0" w:color="auto"/>
      </w:divBdr>
    </w:div>
    <w:div w:id="1601526270">
      <w:bodyDiv w:val="1"/>
      <w:marLeft w:val="0"/>
      <w:marRight w:val="0"/>
      <w:marTop w:val="0"/>
      <w:marBottom w:val="0"/>
      <w:divBdr>
        <w:top w:val="none" w:sz="0" w:space="0" w:color="auto"/>
        <w:left w:val="none" w:sz="0" w:space="0" w:color="auto"/>
        <w:bottom w:val="none" w:sz="0" w:space="0" w:color="auto"/>
        <w:right w:val="none" w:sz="0" w:space="0" w:color="auto"/>
      </w:divBdr>
    </w:div>
    <w:div w:id="1608849383">
      <w:bodyDiv w:val="1"/>
      <w:marLeft w:val="0"/>
      <w:marRight w:val="0"/>
      <w:marTop w:val="0"/>
      <w:marBottom w:val="0"/>
      <w:divBdr>
        <w:top w:val="none" w:sz="0" w:space="0" w:color="auto"/>
        <w:left w:val="none" w:sz="0" w:space="0" w:color="auto"/>
        <w:bottom w:val="none" w:sz="0" w:space="0" w:color="auto"/>
        <w:right w:val="none" w:sz="0" w:space="0" w:color="auto"/>
      </w:divBdr>
      <w:divsChild>
        <w:div w:id="277420440">
          <w:marLeft w:val="547"/>
          <w:marRight w:val="0"/>
          <w:marTop w:val="77"/>
          <w:marBottom w:val="0"/>
          <w:divBdr>
            <w:top w:val="none" w:sz="0" w:space="0" w:color="auto"/>
            <w:left w:val="none" w:sz="0" w:space="0" w:color="auto"/>
            <w:bottom w:val="none" w:sz="0" w:space="0" w:color="auto"/>
            <w:right w:val="none" w:sz="0" w:space="0" w:color="auto"/>
          </w:divBdr>
        </w:div>
        <w:div w:id="1212032364">
          <w:marLeft w:val="547"/>
          <w:marRight w:val="0"/>
          <w:marTop w:val="77"/>
          <w:marBottom w:val="0"/>
          <w:divBdr>
            <w:top w:val="none" w:sz="0" w:space="0" w:color="auto"/>
            <w:left w:val="none" w:sz="0" w:space="0" w:color="auto"/>
            <w:bottom w:val="none" w:sz="0" w:space="0" w:color="auto"/>
            <w:right w:val="none" w:sz="0" w:space="0" w:color="auto"/>
          </w:divBdr>
        </w:div>
      </w:divsChild>
    </w:div>
    <w:div w:id="1674069660">
      <w:bodyDiv w:val="1"/>
      <w:marLeft w:val="0"/>
      <w:marRight w:val="0"/>
      <w:marTop w:val="0"/>
      <w:marBottom w:val="0"/>
      <w:divBdr>
        <w:top w:val="none" w:sz="0" w:space="0" w:color="auto"/>
        <w:left w:val="none" w:sz="0" w:space="0" w:color="auto"/>
        <w:bottom w:val="none" w:sz="0" w:space="0" w:color="auto"/>
        <w:right w:val="none" w:sz="0" w:space="0" w:color="auto"/>
      </w:divBdr>
    </w:div>
    <w:div w:id="1750616222">
      <w:bodyDiv w:val="1"/>
      <w:marLeft w:val="0"/>
      <w:marRight w:val="0"/>
      <w:marTop w:val="0"/>
      <w:marBottom w:val="0"/>
      <w:divBdr>
        <w:top w:val="none" w:sz="0" w:space="0" w:color="auto"/>
        <w:left w:val="none" w:sz="0" w:space="0" w:color="auto"/>
        <w:bottom w:val="none" w:sz="0" w:space="0" w:color="auto"/>
        <w:right w:val="none" w:sz="0" w:space="0" w:color="auto"/>
      </w:divBdr>
    </w:div>
    <w:div w:id="1756975463">
      <w:bodyDiv w:val="1"/>
      <w:marLeft w:val="0"/>
      <w:marRight w:val="0"/>
      <w:marTop w:val="0"/>
      <w:marBottom w:val="0"/>
      <w:divBdr>
        <w:top w:val="none" w:sz="0" w:space="0" w:color="auto"/>
        <w:left w:val="none" w:sz="0" w:space="0" w:color="auto"/>
        <w:bottom w:val="none" w:sz="0" w:space="0" w:color="auto"/>
        <w:right w:val="none" w:sz="0" w:space="0" w:color="auto"/>
      </w:divBdr>
    </w:div>
    <w:div w:id="1794405275">
      <w:bodyDiv w:val="1"/>
      <w:marLeft w:val="0"/>
      <w:marRight w:val="0"/>
      <w:marTop w:val="0"/>
      <w:marBottom w:val="0"/>
      <w:divBdr>
        <w:top w:val="none" w:sz="0" w:space="0" w:color="auto"/>
        <w:left w:val="none" w:sz="0" w:space="0" w:color="auto"/>
        <w:bottom w:val="none" w:sz="0" w:space="0" w:color="auto"/>
        <w:right w:val="none" w:sz="0" w:space="0" w:color="auto"/>
      </w:divBdr>
      <w:divsChild>
        <w:div w:id="1202861146">
          <w:marLeft w:val="547"/>
          <w:marRight w:val="0"/>
          <w:marTop w:val="86"/>
          <w:marBottom w:val="0"/>
          <w:divBdr>
            <w:top w:val="none" w:sz="0" w:space="0" w:color="auto"/>
            <w:left w:val="none" w:sz="0" w:space="0" w:color="auto"/>
            <w:bottom w:val="none" w:sz="0" w:space="0" w:color="auto"/>
            <w:right w:val="none" w:sz="0" w:space="0" w:color="auto"/>
          </w:divBdr>
        </w:div>
        <w:div w:id="1876427784">
          <w:marLeft w:val="547"/>
          <w:marRight w:val="0"/>
          <w:marTop w:val="86"/>
          <w:marBottom w:val="0"/>
          <w:divBdr>
            <w:top w:val="none" w:sz="0" w:space="0" w:color="auto"/>
            <w:left w:val="none" w:sz="0" w:space="0" w:color="auto"/>
            <w:bottom w:val="none" w:sz="0" w:space="0" w:color="auto"/>
            <w:right w:val="none" w:sz="0" w:space="0" w:color="auto"/>
          </w:divBdr>
        </w:div>
      </w:divsChild>
    </w:div>
    <w:div w:id="1947545027">
      <w:bodyDiv w:val="1"/>
      <w:marLeft w:val="0"/>
      <w:marRight w:val="0"/>
      <w:marTop w:val="0"/>
      <w:marBottom w:val="0"/>
      <w:divBdr>
        <w:top w:val="none" w:sz="0" w:space="0" w:color="auto"/>
        <w:left w:val="none" w:sz="0" w:space="0" w:color="auto"/>
        <w:bottom w:val="none" w:sz="0" w:space="0" w:color="auto"/>
        <w:right w:val="none" w:sz="0" w:space="0" w:color="auto"/>
      </w:divBdr>
    </w:div>
    <w:div w:id="1988625536">
      <w:bodyDiv w:val="1"/>
      <w:marLeft w:val="0"/>
      <w:marRight w:val="0"/>
      <w:marTop w:val="0"/>
      <w:marBottom w:val="0"/>
      <w:divBdr>
        <w:top w:val="none" w:sz="0" w:space="0" w:color="auto"/>
        <w:left w:val="none" w:sz="0" w:space="0" w:color="auto"/>
        <w:bottom w:val="none" w:sz="0" w:space="0" w:color="auto"/>
        <w:right w:val="none" w:sz="0" w:space="0" w:color="auto"/>
      </w:divBdr>
    </w:div>
    <w:div w:id="2056081271">
      <w:bodyDiv w:val="1"/>
      <w:marLeft w:val="0"/>
      <w:marRight w:val="0"/>
      <w:marTop w:val="0"/>
      <w:marBottom w:val="0"/>
      <w:divBdr>
        <w:top w:val="none" w:sz="0" w:space="0" w:color="auto"/>
        <w:left w:val="none" w:sz="0" w:space="0" w:color="auto"/>
        <w:bottom w:val="none" w:sz="0" w:space="0" w:color="auto"/>
        <w:right w:val="none" w:sz="0" w:space="0" w:color="auto"/>
      </w:divBdr>
    </w:div>
    <w:div w:id="2076125796">
      <w:bodyDiv w:val="1"/>
      <w:marLeft w:val="0"/>
      <w:marRight w:val="0"/>
      <w:marTop w:val="0"/>
      <w:marBottom w:val="0"/>
      <w:divBdr>
        <w:top w:val="none" w:sz="0" w:space="0" w:color="auto"/>
        <w:left w:val="none" w:sz="0" w:space="0" w:color="auto"/>
        <w:bottom w:val="none" w:sz="0" w:space="0" w:color="auto"/>
        <w:right w:val="none" w:sz="0" w:space="0" w:color="auto"/>
      </w:divBdr>
      <w:divsChild>
        <w:div w:id="101415897">
          <w:marLeft w:val="0"/>
          <w:marRight w:val="0"/>
          <w:marTop w:val="0"/>
          <w:marBottom w:val="0"/>
          <w:divBdr>
            <w:top w:val="none" w:sz="0" w:space="0" w:color="auto"/>
            <w:left w:val="none" w:sz="0" w:space="0" w:color="auto"/>
            <w:bottom w:val="none" w:sz="0" w:space="0" w:color="auto"/>
            <w:right w:val="none" w:sz="0" w:space="0" w:color="auto"/>
          </w:divBdr>
        </w:div>
        <w:div w:id="242566116">
          <w:marLeft w:val="0"/>
          <w:marRight w:val="0"/>
          <w:marTop w:val="0"/>
          <w:marBottom w:val="0"/>
          <w:divBdr>
            <w:top w:val="none" w:sz="0" w:space="0" w:color="auto"/>
            <w:left w:val="none" w:sz="0" w:space="0" w:color="auto"/>
            <w:bottom w:val="none" w:sz="0" w:space="0" w:color="auto"/>
            <w:right w:val="none" w:sz="0" w:space="0" w:color="auto"/>
          </w:divBdr>
        </w:div>
        <w:div w:id="292251208">
          <w:marLeft w:val="0"/>
          <w:marRight w:val="0"/>
          <w:marTop w:val="0"/>
          <w:marBottom w:val="0"/>
          <w:divBdr>
            <w:top w:val="none" w:sz="0" w:space="0" w:color="auto"/>
            <w:left w:val="none" w:sz="0" w:space="0" w:color="auto"/>
            <w:bottom w:val="none" w:sz="0" w:space="0" w:color="auto"/>
            <w:right w:val="none" w:sz="0" w:space="0" w:color="auto"/>
          </w:divBdr>
        </w:div>
        <w:div w:id="292487997">
          <w:marLeft w:val="0"/>
          <w:marRight w:val="0"/>
          <w:marTop w:val="0"/>
          <w:marBottom w:val="0"/>
          <w:divBdr>
            <w:top w:val="none" w:sz="0" w:space="0" w:color="auto"/>
            <w:left w:val="none" w:sz="0" w:space="0" w:color="auto"/>
            <w:bottom w:val="none" w:sz="0" w:space="0" w:color="auto"/>
            <w:right w:val="none" w:sz="0" w:space="0" w:color="auto"/>
          </w:divBdr>
        </w:div>
        <w:div w:id="297028327">
          <w:marLeft w:val="0"/>
          <w:marRight w:val="0"/>
          <w:marTop w:val="0"/>
          <w:marBottom w:val="0"/>
          <w:divBdr>
            <w:top w:val="none" w:sz="0" w:space="0" w:color="auto"/>
            <w:left w:val="none" w:sz="0" w:space="0" w:color="auto"/>
            <w:bottom w:val="none" w:sz="0" w:space="0" w:color="auto"/>
            <w:right w:val="none" w:sz="0" w:space="0" w:color="auto"/>
          </w:divBdr>
        </w:div>
        <w:div w:id="326324272">
          <w:marLeft w:val="0"/>
          <w:marRight w:val="0"/>
          <w:marTop w:val="0"/>
          <w:marBottom w:val="0"/>
          <w:divBdr>
            <w:top w:val="none" w:sz="0" w:space="0" w:color="auto"/>
            <w:left w:val="none" w:sz="0" w:space="0" w:color="auto"/>
            <w:bottom w:val="none" w:sz="0" w:space="0" w:color="auto"/>
            <w:right w:val="none" w:sz="0" w:space="0" w:color="auto"/>
          </w:divBdr>
        </w:div>
        <w:div w:id="334459668">
          <w:marLeft w:val="0"/>
          <w:marRight w:val="0"/>
          <w:marTop w:val="0"/>
          <w:marBottom w:val="0"/>
          <w:divBdr>
            <w:top w:val="none" w:sz="0" w:space="0" w:color="auto"/>
            <w:left w:val="none" w:sz="0" w:space="0" w:color="auto"/>
            <w:bottom w:val="none" w:sz="0" w:space="0" w:color="auto"/>
            <w:right w:val="none" w:sz="0" w:space="0" w:color="auto"/>
          </w:divBdr>
        </w:div>
        <w:div w:id="495652535">
          <w:marLeft w:val="0"/>
          <w:marRight w:val="0"/>
          <w:marTop w:val="0"/>
          <w:marBottom w:val="0"/>
          <w:divBdr>
            <w:top w:val="none" w:sz="0" w:space="0" w:color="auto"/>
            <w:left w:val="none" w:sz="0" w:space="0" w:color="auto"/>
            <w:bottom w:val="none" w:sz="0" w:space="0" w:color="auto"/>
            <w:right w:val="none" w:sz="0" w:space="0" w:color="auto"/>
          </w:divBdr>
        </w:div>
        <w:div w:id="592398899">
          <w:marLeft w:val="0"/>
          <w:marRight w:val="0"/>
          <w:marTop w:val="0"/>
          <w:marBottom w:val="0"/>
          <w:divBdr>
            <w:top w:val="none" w:sz="0" w:space="0" w:color="auto"/>
            <w:left w:val="none" w:sz="0" w:space="0" w:color="auto"/>
            <w:bottom w:val="none" w:sz="0" w:space="0" w:color="auto"/>
            <w:right w:val="none" w:sz="0" w:space="0" w:color="auto"/>
          </w:divBdr>
        </w:div>
        <w:div w:id="641737634">
          <w:marLeft w:val="0"/>
          <w:marRight w:val="0"/>
          <w:marTop w:val="0"/>
          <w:marBottom w:val="0"/>
          <w:divBdr>
            <w:top w:val="none" w:sz="0" w:space="0" w:color="auto"/>
            <w:left w:val="none" w:sz="0" w:space="0" w:color="auto"/>
            <w:bottom w:val="none" w:sz="0" w:space="0" w:color="auto"/>
            <w:right w:val="none" w:sz="0" w:space="0" w:color="auto"/>
          </w:divBdr>
        </w:div>
        <w:div w:id="712651885">
          <w:marLeft w:val="0"/>
          <w:marRight w:val="0"/>
          <w:marTop w:val="0"/>
          <w:marBottom w:val="0"/>
          <w:divBdr>
            <w:top w:val="none" w:sz="0" w:space="0" w:color="auto"/>
            <w:left w:val="none" w:sz="0" w:space="0" w:color="auto"/>
            <w:bottom w:val="none" w:sz="0" w:space="0" w:color="auto"/>
            <w:right w:val="none" w:sz="0" w:space="0" w:color="auto"/>
          </w:divBdr>
        </w:div>
        <w:div w:id="834147537">
          <w:marLeft w:val="0"/>
          <w:marRight w:val="0"/>
          <w:marTop w:val="0"/>
          <w:marBottom w:val="0"/>
          <w:divBdr>
            <w:top w:val="none" w:sz="0" w:space="0" w:color="auto"/>
            <w:left w:val="none" w:sz="0" w:space="0" w:color="auto"/>
            <w:bottom w:val="none" w:sz="0" w:space="0" w:color="auto"/>
            <w:right w:val="none" w:sz="0" w:space="0" w:color="auto"/>
          </w:divBdr>
        </w:div>
        <w:div w:id="931744505">
          <w:marLeft w:val="0"/>
          <w:marRight w:val="0"/>
          <w:marTop w:val="0"/>
          <w:marBottom w:val="0"/>
          <w:divBdr>
            <w:top w:val="none" w:sz="0" w:space="0" w:color="auto"/>
            <w:left w:val="none" w:sz="0" w:space="0" w:color="auto"/>
            <w:bottom w:val="none" w:sz="0" w:space="0" w:color="auto"/>
            <w:right w:val="none" w:sz="0" w:space="0" w:color="auto"/>
          </w:divBdr>
        </w:div>
        <w:div w:id="1066538776">
          <w:marLeft w:val="0"/>
          <w:marRight w:val="0"/>
          <w:marTop w:val="0"/>
          <w:marBottom w:val="0"/>
          <w:divBdr>
            <w:top w:val="none" w:sz="0" w:space="0" w:color="auto"/>
            <w:left w:val="none" w:sz="0" w:space="0" w:color="auto"/>
            <w:bottom w:val="none" w:sz="0" w:space="0" w:color="auto"/>
            <w:right w:val="none" w:sz="0" w:space="0" w:color="auto"/>
          </w:divBdr>
        </w:div>
        <w:div w:id="1279331253">
          <w:marLeft w:val="0"/>
          <w:marRight w:val="0"/>
          <w:marTop w:val="0"/>
          <w:marBottom w:val="0"/>
          <w:divBdr>
            <w:top w:val="none" w:sz="0" w:space="0" w:color="auto"/>
            <w:left w:val="none" w:sz="0" w:space="0" w:color="auto"/>
            <w:bottom w:val="none" w:sz="0" w:space="0" w:color="auto"/>
            <w:right w:val="none" w:sz="0" w:space="0" w:color="auto"/>
          </w:divBdr>
        </w:div>
        <w:div w:id="1320883666">
          <w:marLeft w:val="0"/>
          <w:marRight w:val="0"/>
          <w:marTop w:val="0"/>
          <w:marBottom w:val="0"/>
          <w:divBdr>
            <w:top w:val="none" w:sz="0" w:space="0" w:color="auto"/>
            <w:left w:val="none" w:sz="0" w:space="0" w:color="auto"/>
            <w:bottom w:val="none" w:sz="0" w:space="0" w:color="auto"/>
            <w:right w:val="none" w:sz="0" w:space="0" w:color="auto"/>
          </w:divBdr>
        </w:div>
        <w:div w:id="1495415512">
          <w:marLeft w:val="0"/>
          <w:marRight w:val="0"/>
          <w:marTop w:val="0"/>
          <w:marBottom w:val="0"/>
          <w:divBdr>
            <w:top w:val="none" w:sz="0" w:space="0" w:color="auto"/>
            <w:left w:val="none" w:sz="0" w:space="0" w:color="auto"/>
            <w:bottom w:val="none" w:sz="0" w:space="0" w:color="auto"/>
            <w:right w:val="none" w:sz="0" w:space="0" w:color="auto"/>
          </w:divBdr>
        </w:div>
        <w:div w:id="1578323171">
          <w:marLeft w:val="0"/>
          <w:marRight w:val="0"/>
          <w:marTop w:val="0"/>
          <w:marBottom w:val="0"/>
          <w:divBdr>
            <w:top w:val="none" w:sz="0" w:space="0" w:color="auto"/>
            <w:left w:val="none" w:sz="0" w:space="0" w:color="auto"/>
            <w:bottom w:val="none" w:sz="0" w:space="0" w:color="auto"/>
            <w:right w:val="none" w:sz="0" w:space="0" w:color="auto"/>
          </w:divBdr>
        </w:div>
      </w:divsChild>
    </w:div>
    <w:div w:id="2094929387">
      <w:bodyDiv w:val="1"/>
      <w:marLeft w:val="0"/>
      <w:marRight w:val="0"/>
      <w:marTop w:val="0"/>
      <w:marBottom w:val="0"/>
      <w:divBdr>
        <w:top w:val="none" w:sz="0" w:space="0" w:color="auto"/>
        <w:left w:val="none" w:sz="0" w:space="0" w:color="auto"/>
        <w:bottom w:val="none" w:sz="0" w:space="0" w:color="auto"/>
        <w:right w:val="none" w:sz="0" w:space="0" w:color="auto"/>
      </w:divBdr>
    </w:div>
    <w:div w:id="210437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24.xml"/><Relationship Id="rId21" Type="http://schemas.openxmlformats.org/officeDocument/2006/relationships/header" Target="header5.xml"/><Relationship Id="rId42" Type="http://schemas.openxmlformats.org/officeDocument/2006/relationships/footer" Target="footer9.xml"/><Relationship Id="rId47" Type="http://schemas.openxmlformats.org/officeDocument/2006/relationships/hyperlink" Target="https://ec.europa.eu/clima/sites/clima/files/docs/major_projects_en.pdf" TargetMode="External"/><Relationship Id="rId63" Type="http://schemas.openxmlformats.org/officeDocument/2006/relationships/hyperlink" Target="http://www.ceep.eu/wp-content/uploads/2017/07/17SAB08_DRAFT_CEEP_response_to_Reflection_paper_future_of_the_EU_Finances-12092017-2.pdf" TargetMode="External"/><Relationship Id="rId68" Type="http://schemas.openxmlformats.org/officeDocument/2006/relationships/hyperlink" Target="http://trade.ec.europa.eu/doclib/docs/2017/may/tradoc_155512.pdf" TargetMode="External"/><Relationship Id="rId84" Type="http://schemas.openxmlformats.org/officeDocument/2006/relationships/chart" Target="charts/chart2.xml"/><Relationship Id="rId89" Type="http://schemas.openxmlformats.org/officeDocument/2006/relationships/chart" Target="charts/chart6.xml"/><Relationship Id="rId112" Type="http://schemas.openxmlformats.org/officeDocument/2006/relationships/header" Target="header22.xml"/><Relationship Id="rId133" Type="http://schemas.openxmlformats.org/officeDocument/2006/relationships/footer" Target="footer32.xml"/><Relationship Id="rId138" Type="http://schemas.openxmlformats.org/officeDocument/2006/relationships/footer" Target="footer34.xml"/><Relationship Id="rId154" Type="http://schemas.openxmlformats.org/officeDocument/2006/relationships/header" Target="header43.xml"/><Relationship Id="rId159" Type="http://schemas.openxmlformats.org/officeDocument/2006/relationships/footer" Target="footer45.xml"/><Relationship Id="rId175" Type="http://schemas.openxmlformats.org/officeDocument/2006/relationships/footer" Target="footer52.xml"/><Relationship Id="rId170" Type="http://schemas.openxmlformats.org/officeDocument/2006/relationships/header" Target="header51.xml"/><Relationship Id="rId16" Type="http://schemas.openxmlformats.org/officeDocument/2006/relationships/footer" Target="footer2.xml"/><Relationship Id="rId107" Type="http://schemas.openxmlformats.org/officeDocument/2006/relationships/header" Target="header20.xm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header" Target="header7.xml"/><Relationship Id="rId53" Type="http://schemas.openxmlformats.org/officeDocument/2006/relationships/hyperlink" Target="http://www.eib.org/attachments/efs/investment_and_investment_finance_in_europe_2016_en.pdf" TargetMode="External"/><Relationship Id="rId58" Type="http://schemas.openxmlformats.org/officeDocument/2006/relationships/hyperlink" Target="http://ec.europa.eu/programmes/creative-europe/documents/ce-impact_en.pdf" TargetMode="External"/><Relationship Id="rId74" Type="http://schemas.openxmlformats.org/officeDocument/2006/relationships/hyperlink" Target="http://ec.europa.eu/regional_policy/en/information/publications/studies/2015/support-of-european-structural-and-investment-funds-esi-funds-to-the-implementation-of-the-country-specific-recommendations-and-to-structural-reforms-in-member-states" TargetMode="External"/><Relationship Id="rId79" Type="http://schemas.openxmlformats.org/officeDocument/2006/relationships/footer" Target="footer10.xml"/><Relationship Id="rId102" Type="http://schemas.openxmlformats.org/officeDocument/2006/relationships/footer" Target="footer17.xml"/><Relationship Id="rId123" Type="http://schemas.openxmlformats.org/officeDocument/2006/relationships/footer" Target="footer27.xml"/><Relationship Id="rId128" Type="http://schemas.openxmlformats.org/officeDocument/2006/relationships/header" Target="header30.xml"/><Relationship Id="rId144" Type="http://schemas.openxmlformats.org/officeDocument/2006/relationships/footer" Target="footer37.xml"/><Relationship Id="rId149" Type="http://schemas.openxmlformats.org/officeDocument/2006/relationships/header" Target="header41.xml"/><Relationship Id="rId5" Type="http://schemas.openxmlformats.org/officeDocument/2006/relationships/numbering" Target="numbering.xml"/><Relationship Id="rId90" Type="http://schemas.openxmlformats.org/officeDocument/2006/relationships/chart" Target="charts/chart7.xml"/><Relationship Id="rId95" Type="http://schemas.openxmlformats.org/officeDocument/2006/relationships/footer" Target="footer13.xml"/><Relationship Id="rId160" Type="http://schemas.openxmlformats.org/officeDocument/2006/relationships/header" Target="header46.xml"/><Relationship Id="rId165" Type="http://schemas.openxmlformats.org/officeDocument/2006/relationships/footer" Target="footer48.xml"/><Relationship Id="rId181" Type="http://schemas.microsoft.com/office/2011/relationships/commentsExtended" Target="commentsExtended.xml"/><Relationship Id="rId22" Type="http://schemas.openxmlformats.org/officeDocument/2006/relationships/footer" Target="footer4.xml"/><Relationship Id="rId27" Type="http://schemas.openxmlformats.org/officeDocument/2006/relationships/image" Target="media/image3.png"/><Relationship Id="rId43" Type="http://schemas.openxmlformats.org/officeDocument/2006/relationships/hyperlink" Target="https://ec.europa.eu/transport/themes/infrastructure_en" TargetMode="External"/><Relationship Id="rId48" Type="http://schemas.openxmlformats.org/officeDocument/2006/relationships/hyperlink" Target="https://ec.europa.eu/transparency/regdoc/rep/1/2018/EN/COM-2018-97-F1-EN-MAIN-PART-1.PDF" TargetMode="External"/><Relationship Id="rId64" Type="http://schemas.openxmlformats.org/officeDocument/2006/relationships/hyperlink" Target="http://journals.sagepub.com/doi/abs/10.1177/0958928710385733" TargetMode="External"/><Relationship Id="rId69" Type="http://schemas.openxmlformats.org/officeDocument/2006/relationships/hyperlink" Target="https://www.eca.europa.eu/Lists/ECADocuments/SR13_07/SR13_07_EN.pdf" TargetMode="External"/><Relationship Id="rId113" Type="http://schemas.openxmlformats.org/officeDocument/2006/relationships/header" Target="header23.xml"/><Relationship Id="rId118" Type="http://schemas.openxmlformats.org/officeDocument/2006/relationships/header" Target="header25.xml"/><Relationship Id="rId134" Type="http://schemas.openxmlformats.org/officeDocument/2006/relationships/header" Target="header33.xml"/><Relationship Id="rId139" Type="http://schemas.openxmlformats.org/officeDocument/2006/relationships/footer" Target="footer35.xml"/><Relationship Id="rId80" Type="http://schemas.openxmlformats.org/officeDocument/2006/relationships/footer" Target="footer11.xml"/><Relationship Id="rId85" Type="http://schemas.openxmlformats.org/officeDocument/2006/relationships/chart" Target="charts/chart3.xml"/><Relationship Id="rId150" Type="http://schemas.openxmlformats.org/officeDocument/2006/relationships/footer" Target="footer40.xml"/><Relationship Id="rId155" Type="http://schemas.openxmlformats.org/officeDocument/2006/relationships/header" Target="header44.xml"/><Relationship Id="rId171" Type="http://schemas.openxmlformats.org/officeDocument/2006/relationships/footer" Target="footer51.xml"/><Relationship Id="rId176" Type="http://schemas.openxmlformats.org/officeDocument/2006/relationships/footer" Target="footer53.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image" Target="media/image9.jpeg"/><Relationship Id="rId38" Type="http://schemas.openxmlformats.org/officeDocument/2006/relationships/header" Target="header8.xml"/><Relationship Id="rId59" Type="http://schemas.openxmlformats.org/officeDocument/2006/relationships/hyperlink" Target="https://ec.europa.eu/culture/news/2016/new-good-practice-report-innovative-financing-instruments-cultural-and-creative-sectors_en" TargetMode="External"/><Relationship Id="rId103" Type="http://schemas.openxmlformats.org/officeDocument/2006/relationships/header" Target="header18.xml"/><Relationship Id="rId108" Type="http://schemas.openxmlformats.org/officeDocument/2006/relationships/footer" Target="footer19.xml"/><Relationship Id="rId124" Type="http://schemas.openxmlformats.org/officeDocument/2006/relationships/header" Target="header28.xml"/><Relationship Id="rId129" Type="http://schemas.openxmlformats.org/officeDocument/2006/relationships/footer" Target="footer30.xml"/><Relationship Id="rId54" Type="http://schemas.openxmlformats.org/officeDocument/2006/relationships/hyperlink" Target="http://ec.europa.eu/transparency/regdoc/rep/1/2015/EN/1-2015-468-EN-F1-1.PDF" TargetMode="External"/><Relationship Id="rId70" Type="http://schemas.openxmlformats.org/officeDocument/2006/relationships/hyperlink" Target="http://ec.europa.eu/regional_policy/sources/docgener/studies/pdf/value_added_exac_esif_en.pdf" TargetMode="External"/><Relationship Id="rId75" Type="http://schemas.openxmlformats.org/officeDocument/2006/relationships/hyperlink" Target="http://www.esifforhealth.eu/Mapping_report.htm" TargetMode="External"/><Relationship Id="rId91" Type="http://schemas.openxmlformats.org/officeDocument/2006/relationships/chart" Target="charts/chart8.xml"/><Relationship Id="rId96" Type="http://schemas.openxmlformats.org/officeDocument/2006/relationships/footer" Target="footer14.xml"/><Relationship Id="rId140" Type="http://schemas.openxmlformats.org/officeDocument/2006/relationships/header" Target="header36.xml"/><Relationship Id="rId145" Type="http://schemas.openxmlformats.org/officeDocument/2006/relationships/footer" Target="footer38.xml"/><Relationship Id="rId161" Type="http://schemas.openxmlformats.org/officeDocument/2006/relationships/header" Target="header47.xml"/><Relationship Id="rId166"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image" Target="media/image4.png"/><Relationship Id="rId49" Type="http://schemas.openxmlformats.org/officeDocument/2006/relationships/hyperlink" Target="https://ec.europa.eu/info/publications/180131-sustainable-finance-report_en" TargetMode="External"/><Relationship Id="rId114" Type="http://schemas.openxmlformats.org/officeDocument/2006/relationships/footer" Target="footer22.xml"/><Relationship Id="rId119" Type="http://schemas.openxmlformats.org/officeDocument/2006/relationships/header" Target="header26.xml"/><Relationship Id="rId44" Type="http://schemas.openxmlformats.org/officeDocument/2006/relationships/hyperlink" Target="http://www.eib.org/infocentre/publications/all/investment-report-2017.htm" TargetMode="External"/><Relationship Id="rId60" Type="http://schemas.openxmlformats.org/officeDocument/2006/relationships/hyperlink" Target="http://www.europarl.europa.eu/sides/getDoc.do?type=REPORT&amp;reference=A8-2016-0357&amp;language=EN" TargetMode="External"/><Relationship Id="rId65" Type="http://schemas.openxmlformats.org/officeDocument/2006/relationships/hyperlink" Target="https://circabc.europa.eu/webdav/CircaBC/empl/ESF%20Evaluation%20discussion%20group/Library/commission_evaluation/20072013/evaluation/evaluation_integration/Final%20Report%20ESF%20support%20to%20migrants%20and%20minorities.pdf" TargetMode="External"/><Relationship Id="rId81" Type="http://schemas.openxmlformats.org/officeDocument/2006/relationships/header" Target="header12.xml"/><Relationship Id="rId86" Type="http://schemas.openxmlformats.org/officeDocument/2006/relationships/chart" Target="charts/chart4.xml"/><Relationship Id="rId130" Type="http://schemas.openxmlformats.org/officeDocument/2006/relationships/header" Target="header31.xml"/><Relationship Id="rId135" Type="http://schemas.openxmlformats.org/officeDocument/2006/relationships/footer" Target="footer33.xml"/><Relationship Id="rId151" Type="http://schemas.openxmlformats.org/officeDocument/2006/relationships/footer" Target="footer41.xml"/><Relationship Id="rId156" Type="http://schemas.openxmlformats.org/officeDocument/2006/relationships/footer" Target="footer43.xml"/><Relationship Id="rId177"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6.png"/><Relationship Id="rId180"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footer" Target="footer20.xml"/><Relationship Id="rId34" Type="http://schemas.openxmlformats.org/officeDocument/2006/relationships/image" Target="media/image10.png"/><Relationship Id="rId50" Type="http://schemas.openxmlformats.org/officeDocument/2006/relationships/hyperlink" Target="http://www.eib.org/attachments/general/events/20141211_innovfin_oslo_mgf_workshop_en.pdf" TargetMode="External"/><Relationship Id="rId55" Type="http://schemas.openxmlformats.org/officeDocument/2006/relationships/hyperlink" Target="https://ec.europa.eu/energy/sites/ener/files/documents/1_en_act_part1_v6_0.pdf" TargetMode="External"/><Relationship Id="rId76" Type="http://schemas.openxmlformats.org/officeDocument/2006/relationships/hyperlink" Target="https://ec.europa.eu/health/sites/health/files/investment_plan/docs/ev_20170227_mi_en.pdf" TargetMode="External"/><Relationship Id="rId97" Type="http://schemas.openxmlformats.org/officeDocument/2006/relationships/header" Target="header15.xml"/><Relationship Id="rId104" Type="http://schemas.openxmlformats.org/officeDocument/2006/relationships/footer" Target="footer18.xml"/><Relationship Id="rId120" Type="http://schemas.openxmlformats.org/officeDocument/2006/relationships/footer" Target="footer25.xml"/><Relationship Id="rId125" Type="http://schemas.openxmlformats.org/officeDocument/2006/relationships/header" Target="header29.xml"/><Relationship Id="rId141" Type="http://schemas.openxmlformats.org/officeDocument/2006/relationships/footer" Target="footer36.xml"/><Relationship Id="rId146" Type="http://schemas.openxmlformats.org/officeDocument/2006/relationships/header" Target="header39.xml"/><Relationship Id="rId167" Type="http://schemas.openxmlformats.org/officeDocument/2006/relationships/header" Target="header50.xml"/><Relationship Id="rId7" Type="http://schemas.microsoft.com/office/2007/relationships/stylesWithEffects" Target="stylesWithEffects.xml"/><Relationship Id="rId71" Type="http://schemas.openxmlformats.org/officeDocument/2006/relationships/hyperlink" Target="https://publications.europa.eu/en/publication-detail/-/publication/4fd56da6-99bf-11e7-b92d-01aa75ed71a1/language-en" TargetMode="External"/><Relationship Id="rId92" Type="http://schemas.openxmlformats.org/officeDocument/2006/relationships/chart" Target="charts/chart9.xml"/><Relationship Id="rId162" Type="http://schemas.openxmlformats.org/officeDocument/2006/relationships/footer" Target="footer46.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6.xml"/><Relationship Id="rId40" Type="http://schemas.openxmlformats.org/officeDocument/2006/relationships/footer" Target="footer8.xml"/><Relationship Id="rId45" Type="http://schemas.openxmlformats.org/officeDocument/2006/relationships/hyperlink" Target="http://www.eib.org/attachments/efs/restoring_eu_competitiveness_en.pdf" TargetMode="External"/><Relationship Id="rId66" Type="http://schemas.openxmlformats.org/officeDocument/2006/relationships/hyperlink" Target="http://www.eu2015lu.eu/fr/actualites/notes-fond/2015/07/info-epsco-documents/WL_Beyond-the-Youth-Guarantee_Eurofound---June-2015_EN.pdf" TargetMode="External"/><Relationship Id="rId87" Type="http://schemas.openxmlformats.org/officeDocument/2006/relationships/chart" Target="charts/chart5.xml"/><Relationship Id="rId110" Type="http://schemas.openxmlformats.org/officeDocument/2006/relationships/header" Target="header21.xml"/><Relationship Id="rId115" Type="http://schemas.openxmlformats.org/officeDocument/2006/relationships/footer" Target="footer23.xml"/><Relationship Id="rId131" Type="http://schemas.openxmlformats.org/officeDocument/2006/relationships/header" Target="header32.xml"/><Relationship Id="rId136" Type="http://schemas.openxmlformats.org/officeDocument/2006/relationships/header" Target="header34.xml"/><Relationship Id="rId157" Type="http://schemas.openxmlformats.org/officeDocument/2006/relationships/footer" Target="footer44.xml"/><Relationship Id="rId178" Type="http://schemas.openxmlformats.org/officeDocument/2006/relationships/footer" Target="footer54.xml"/><Relationship Id="rId61" Type="http://schemas.openxmlformats.org/officeDocument/2006/relationships/hyperlink" Target="https://ec.europa.eu/assets/eac/erasmus-plus/eval/icf-volume2-student-loan.pdf" TargetMode="External"/><Relationship Id="rId82" Type="http://schemas.openxmlformats.org/officeDocument/2006/relationships/footer" Target="footer12.xml"/><Relationship Id="rId152" Type="http://schemas.openxmlformats.org/officeDocument/2006/relationships/header" Target="header42.xml"/><Relationship Id="rId173" Type="http://schemas.openxmlformats.org/officeDocument/2006/relationships/header" Target="header52.xml"/><Relationship Id="rId19" Type="http://schemas.openxmlformats.org/officeDocument/2006/relationships/hyperlink" Target="https://erc.europa.eu/funding/advanced-grants" TargetMode="Externa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png"/><Relationship Id="rId56" Type="http://schemas.openxmlformats.org/officeDocument/2006/relationships/hyperlink" Target="https://eur-lex.europa.eu/legal-content/EN/TXT/PDF/?uri=CELEX:52016SC0335&amp;from=EN" TargetMode="External"/><Relationship Id="rId77" Type="http://schemas.openxmlformats.org/officeDocument/2006/relationships/header" Target="header10.xml"/><Relationship Id="rId100" Type="http://schemas.openxmlformats.org/officeDocument/2006/relationships/header" Target="header17.xml"/><Relationship Id="rId105" Type="http://schemas.openxmlformats.org/officeDocument/2006/relationships/hyperlink" Target="http://eur-lex.europa.eu/legal-content/EN/TXT/?qid=1405007191767&amp;uri=CELEX:32014D0431" TargetMode="External"/><Relationship Id="rId126" Type="http://schemas.openxmlformats.org/officeDocument/2006/relationships/footer" Target="footer28.xml"/><Relationship Id="rId147" Type="http://schemas.openxmlformats.org/officeDocument/2006/relationships/footer" Target="footer39.xml"/><Relationship Id="rId168" Type="http://schemas.openxmlformats.org/officeDocument/2006/relationships/footer" Target="footer49.xml"/><Relationship Id="rId8" Type="http://schemas.openxmlformats.org/officeDocument/2006/relationships/settings" Target="settings.xml"/><Relationship Id="rId51" Type="http://schemas.openxmlformats.org/officeDocument/2006/relationships/hyperlink" Target="http://www.eib.org/attachments/efs/economic_report_unlocking_lending_in_europe_en.pdf" TargetMode="External"/><Relationship Id="rId72" Type="http://schemas.openxmlformats.org/officeDocument/2006/relationships/hyperlink" Target="http://ec.europa.eu/regional_policy/en/information/publications/studies/2016/the-implementation-of-the-provisions-in-relation-to-the-ex-ante-conditionalities-during-the-programming-phase-of-the-european-structural-and-investment-esi-funds" TargetMode="External"/><Relationship Id="rId93" Type="http://schemas.openxmlformats.org/officeDocument/2006/relationships/header" Target="header13.xml"/><Relationship Id="rId98" Type="http://schemas.openxmlformats.org/officeDocument/2006/relationships/footer" Target="footer15.xml"/><Relationship Id="rId121" Type="http://schemas.openxmlformats.org/officeDocument/2006/relationships/footer" Target="footer26.xml"/><Relationship Id="rId142" Type="http://schemas.openxmlformats.org/officeDocument/2006/relationships/header" Target="header37.xml"/><Relationship Id="rId163" Type="http://schemas.openxmlformats.org/officeDocument/2006/relationships/footer" Target="footer47.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ec.europa.eu/transparency/regdoc/rep/1/2016/EN/COM-2016-860-F1-EN-MAIN.PDF" TargetMode="External"/><Relationship Id="rId67" Type="http://schemas.openxmlformats.org/officeDocument/2006/relationships/hyperlink" Target="http://eur-lex.europa.eu/resource.html?uri=cellar:73591c12-8afc-11e6-b955-01aa75ed71a1.0001.02/DOC_2&amp;format=PDF" TargetMode="External"/><Relationship Id="rId116" Type="http://schemas.openxmlformats.org/officeDocument/2006/relationships/header" Target="header24.xml"/><Relationship Id="rId137" Type="http://schemas.openxmlformats.org/officeDocument/2006/relationships/header" Target="header35.xml"/><Relationship Id="rId158" Type="http://schemas.openxmlformats.org/officeDocument/2006/relationships/header" Target="header45.xml"/><Relationship Id="rId20" Type="http://schemas.openxmlformats.org/officeDocument/2006/relationships/header" Target="header4.xml"/><Relationship Id="rId41" Type="http://schemas.openxmlformats.org/officeDocument/2006/relationships/header" Target="header9.xml"/><Relationship Id="rId62" Type="http://schemas.openxmlformats.org/officeDocument/2006/relationships/hyperlink" Target="http://eltia.eu/images/Boosting_investment_in_Social_Infrastructure_in_Europe.pdf" TargetMode="External"/><Relationship Id="rId83" Type="http://schemas.openxmlformats.org/officeDocument/2006/relationships/chart" Target="charts/chart1.xml"/><Relationship Id="rId88" Type="http://schemas.openxmlformats.org/officeDocument/2006/relationships/image" Target="media/image14.png"/><Relationship Id="rId111" Type="http://schemas.openxmlformats.org/officeDocument/2006/relationships/footer" Target="footer21.xml"/><Relationship Id="rId132" Type="http://schemas.openxmlformats.org/officeDocument/2006/relationships/footer" Target="footer31.xml"/><Relationship Id="rId153" Type="http://schemas.openxmlformats.org/officeDocument/2006/relationships/footer" Target="footer42.xml"/><Relationship Id="rId174" Type="http://schemas.openxmlformats.org/officeDocument/2006/relationships/header" Target="header53.xml"/><Relationship Id="rId179"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12.png"/><Relationship Id="rId57" Type="http://schemas.openxmlformats.org/officeDocument/2006/relationships/hyperlink" Target="http://ec.europa.eu/assets/eac/culture/library/studies/access-finance_en.pdf" TargetMode="External"/><Relationship Id="rId106" Type="http://schemas.openxmlformats.org/officeDocument/2006/relationships/header" Target="header19.xml"/><Relationship Id="rId127" Type="http://schemas.openxmlformats.org/officeDocument/2006/relationships/footer" Target="footer29.xm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www.eib.org/attachments/ev/ev_support_to_knowledge_economy_en.pdf" TargetMode="External"/><Relationship Id="rId73" Type="http://schemas.openxmlformats.org/officeDocument/2006/relationships/hyperlink" Target="http://ec.europa.eu/regional_policy/sources/policy/how/studies_integration/impl_exante_esif_report_en.pdf" TargetMode="External"/><Relationship Id="rId78" Type="http://schemas.openxmlformats.org/officeDocument/2006/relationships/header" Target="header11.xml"/><Relationship Id="rId94" Type="http://schemas.openxmlformats.org/officeDocument/2006/relationships/header" Target="header14.xm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header" Target="header27.xml"/><Relationship Id="rId143" Type="http://schemas.openxmlformats.org/officeDocument/2006/relationships/header" Target="header38.xml"/><Relationship Id="rId148" Type="http://schemas.openxmlformats.org/officeDocument/2006/relationships/header" Target="header40.xml"/><Relationship Id="rId164" Type="http://schemas.openxmlformats.org/officeDocument/2006/relationships/header" Target="header48.xml"/><Relationship Id="rId169" Type="http://schemas.openxmlformats.org/officeDocument/2006/relationships/footer" Target="footer50.xml"/></Relationships>
</file>

<file path=word/_rels/footer45.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info/files/180308-action-plan-sustainable-growth_en" TargetMode="External"/><Relationship Id="rId18" Type="http://schemas.openxmlformats.org/officeDocument/2006/relationships/hyperlink" Target="https://ec.europa.eu/commission/publications/reflection-paper-future-eu-finances_en" TargetMode="External"/><Relationship Id="rId26" Type="http://schemas.openxmlformats.org/officeDocument/2006/relationships/hyperlink" Target="http://www.eib.org/infocentre/publications/all/evaluation-of-the-functioning-of-the-efsi.htm" TargetMode="External"/><Relationship Id="rId39" Type="http://schemas.openxmlformats.org/officeDocument/2006/relationships/hyperlink" Target="http://www.eib.org/projects/pipelines/pipeline/20150115" TargetMode="External"/><Relationship Id="rId21" Type="http://schemas.openxmlformats.org/officeDocument/2006/relationships/hyperlink" Target="http://unepinquiry.org/wp-content/uploads/2016/06/Sustainable_Infrastructure_and_Finance.pdf" TargetMode="External"/><Relationship Id="rId34" Type="http://schemas.openxmlformats.org/officeDocument/2006/relationships/hyperlink" Target="http://www.eib.org/attachments/thematic/support_for_the_social_sector_en.pdf" TargetMode="External"/><Relationship Id="rId42" Type="http://schemas.openxmlformats.org/officeDocument/2006/relationships/hyperlink" Target="https://ec.europa.eu/info/sites/info/files/srip-report-full_2018_en.pdf" TargetMode="External"/><Relationship Id="rId47" Type="http://schemas.openxmlformats.org/officeDocument/2006/relationships/hyperlink" Target="https://www.ecb.europa.eu/pub/pdf/other/ecb.accesstofinancesmallmediumsizedenterprises201711.en.pdf?beb1832df4af9efa945a5a1f7b99eeb7" TargetMode="External"/><Relationship Id="rId50" Type="http://schemas.openxmlformats.org/officeDocument/2006/relationships/hyperlink" Target="https://ec.europa.eu/commission/priorities/deeper-and-fairer-economic-and-monetary-union/european-pillar-social-rights_en" TargetMode="External"/><Relationship Id="rId55" Type="http://schemas.openxmlformats.org/officeDocument/2006/relationships/hyperlink" Target="http://ec.europa.eu/info/publications/economy-finance/boosting-investment-social-infrastructure-europe_en" TargetMode="External"/><Relationship Id="rId7" Type="http://schemas.openxmlformats.org/officeDocument/2006/relationships/hyperlink" Target="http://www.consilium.europa.eu/media/31409/investment-in-human-capital_eurogroup_31102017_ares.pdf" TargetMode="External"/><Relationship Id="rId2" Type="http://schemas.openxmlformats.org/officeDocument/2006/relationships/hyperlink" Target="https://ec.europa.eu/commission/priorities/jobs-growth-and-investment/investment-plan-europe-juncker-plan_en" TargetMode="External"/><Relationship Id="rId16" Type="http://schemas.openxmlformats.org/officeDocument/2006/relationships/hyperlink" Target="https://www.eca.europa.eu/Lists/ECADocuments/SR17_20/SR_SMEG_EN.pdf" TargetMode="External"/><Relationship Id="rId20" Type="http://schemas.openxmlformats.org/officeDocument/2006/relationships/hyperlink" Target="http://www.europarl.europa.eu/sides/getDoc.do?pubRef=-//EP//TEXT+MOTION+B8-2017-0565+0+DOC+XML+V0//EN" TargetMode="External"/><Relationship Id="rId29" Type="http://schemas.openxmlformats.org/officeDocument/2006/relationships/hyperlink" Target="https://www.eca.europa.eu/Lists/ECADocuments/SR17_20/SR_SMEG_EN.pdf" TargetMode="External"/><Relationship Id="rId41" Type="http://schemas.openxmlformats.org/officeDocument/2006/relationships/hyperlink" Target="http://ec.europa.eu/eurostat/statistics-explained/index.php/R_%26_D_expenditure" TargetMode="External"/><Relationship Id="rId54" Type="http://schemas.openxmlformats.org/officeDocument/2006/relationships/hyperlink" Target="http://publications.jrc.ec.europa.eu/repository/bitstream/JRC106087/kj0716182enn.pdf" TargetMode="External"/><Relationship Id="rId1" Type="http://schemas.openxmlformats.org/officeDocument/2006/relationships/hyperlink" Target="https://ec.europa.eu/commission/sites/beta-political/files/juncker-political-guidelines-speech_en.pdf" TargetMode="External"/><Relationship Id="rId6" Type="http://schemas.openxmlformats.org/officeDocument/2006/relationships/hyperlink" Target="https://www.ecb.europa.eu/pub/pdf/other/ecb.accesstofinancesmallmediumsizedenterprises201711.en.pdf?beb1832df4af9efa945a5a1f7b99eeb7" TargetMode="External"/><Relationship Id="rId11" Type="http://schemas.openxmlformats.org/officeDocument/2006/relationships/hyperlink" Target="http://eur-lex.europa.eu/legal-content/EN/TXT/HTML/?uri=CELEX%3A52018DC0098&amp;from=EN" TargetMode="External"/><Relationship Id="rId24" Type="http://schemas.openxmlformats.org/officeDocument/2006/relationships/hyperlink" Target="http://eur-lex.europa.eu/legal-content/EN/TXT/HTML/?uri=CELEX:52016SC0297&amp;from=EN" TargetMode="External"/><Relationship Id="rId32" Type="http://schemas.openxmlformats.org/officeDocument/2006/relationships/hyperlink" Target="https://ec.europa.eu/docsroom/documents/27522/attachments/1/translations/en/renditions/native" TargetMode="External"/><Relationship Id="rId37" Type="http://schemas.openxmlformats.org/officeDocument/2006/relationships/hyperlink" Target="http://www.eib.org/infocentre/publications/all/operational-plan-2018" TargetMode="External"/><Relationship Id="rId40" Type="http://schemas.openxmlformats.org/officeDocument/2006/relationships/hyperlink" Target="https://ec.europa.eu/info/sites/info/files/srip-report-full_2018_en.pdf" TargetMode="External"/><Relationship Id="rId45" Type="http://schemas.openxmlformats.org/officeDocument/2006/relationships/hyperlink" Target="https://ec.europa.eu/research/evaluations/pdf/archive/other_reports_studies_and_documents/interim_evaluation_of_horizon_2020's_financial_instruments.pdf" TargetMode="External"/><Relationship Id="rId53" Type="http://schemas.openxmlformats.org/officeDocument/2006/relationships/hyperlink" Target="http://publications.jrc.ec.europa.eu/repository/bitstream/JRC106087/kj0716182enn.pdf" TargetMode="External"/><Relationship Id="rId58" Type="http://schemas.openxmlformats.org/officeDocument/2006/relationships/hyperlink" Target="https://publications.europa.eu/en/publication-detail/-/publication/2b3f33c9-b21c-11e7-837e-01aa75ed71a1/language-en" TargetMode="External"/><Relationship Id="rId5" Type="http://schemas.openxmlformats.org/officeDocument/2006/relationships/hyperlink" Target="http://www.eib.org/attachments/efs/restoring_eu_competitiveness_en.pdf" TargetMode="External"/><Relationship Id="rId15" Type="http://schemas.openxmlformats.org/officeDocument/2006/relationships/hyperlink" Target="http://ec.europa.eu/social/main.jsp?langId=en&amp;catId=1081&amp;newsId=9071&amp;furtherNews=yes" TargetMode="External"/><Relationship Id="rId23" Type="http://schemas.openxmlformats.org/officeDocument/2006/relationships/hyperlink" Target="http://www.euro.who.int/__data/assets/pdf_file/0009/278073/Case-Investing-Public-Health.pdf" TargetMode="External"/><Relationship Id="rId28" Type="http://schemas.openxmlformats.org/officeDocument/2006/relationships/hyperlink" Target="http://ec.europa.eu/transparency/regdoc/rep/1/2016/EN/COM-2016-764-F1-EN-MAIN.PDF" TargetMode="External"/><Relationship Id="rId36" Type="http://schemas.openxmlformats.org/officeDocument/2006/relationships/hyperlink" Target="http://www.eib.org/infocentre/publications/all/operational-plan-2014-2016.htm" TargetMode="External"/><Relationship Id="rId49" Type="http://schemas.openxmlformats.org/officeDocument/2006/relationships/hyperlink" Target="https://ec.europa.eu/commission/publications/reflection-paper-social-dimension-europe_en" TargetMode="External"/><Relationship Id="rId57" Type="http://schemas.openxmlformats.org/officeDocument/2006/relationships/hyperlink" Target="http://www.eib.org/projects/sectors/education-and-training/index.htm" TargetMode="External"/><Relationship Id="rId61" Type="http://schemas.openxmlformats.org/officeDocument/2006/relationships/hyperlink" Target="https://ec.europa.eu/digital-single-market/en/news/regulation-eu-no-13042013-european-parliament-and-council" TargetMode="External"/><Relationship Id="rId10" Type="http://schemas.openxmlformats.org/officeDocument/2006/relationships/hyperlink" Target="https://ec.europa.eu/commission/sites/beta-political/files/reflection-paper-eu-finances_en.pdf" TargetMode="External"/><Relationship Id="rId19" Type="http://schemas.openxmlformats.org/officeDocument/2006/relationships/hyperlink" Target="https://ec.europa.eu/commission/sites/beta-political/files/communication-new-modern-multiannual-financial-framework_en.pdf" TargetMode="External"/><Relationship Id="rId31" Type="http://schemas.openxmlformats.org/officeDocument/2006/relationships/hyperlink" Target="http://ec.europa.eu/research/participants/data/ref/h2020/grants_manual/hi/3cpart/h2020-hi-list-ac_en.pdf" TargetMode="External"/><Relationship Id="rId44" Type="http://schemas.openxmlformats.org/officeDocument/2006/relationships/hyperlink" Target="https://www.ecb.europa.eu/pub/pdf/other/ecb.accesstofinancesmallmediumsizedenterprises201711.en.pdf?beb1832df4af9efa945a5a1f7b99eeb7" TargetMode="External"/><Relationship Id="rId52" Type="http://schemas.openxmlformats.org/officeDocument/2006/relationships/hyperlink" Target="http://www.tarki.hu/download/OECD2015-In-It-Together-Chapter1-Overview-Inequality.pdf" TargetMode="External"/><Relationship Id="rId60" Type="http://schemas.openxmlformats.org/officeDocument/2006/relationships/hyperlink" Target="https://composite-indicators.jrc.ec.europa.eu/cultural-creative-cities-monitor/about" TargetMode="External"/><Relationship Id="rId4" Type="http://schemas.openxmlformats.org/officeDocument/2006/relationships/hyperlink" Target="https://www.ecb.europa.eu/pub/pdf/other/ecb.accesstofinancesmallmediumsizedenterprises201711.en.pdf?beb1832df4af9efa945a5a1f7b99eeb7" TargetMode="External"/><Relationship Id="rId9" Type="http://schemas.openxmlformats.org/officeDocument/2006/relationships/hyperlink" Target="https://ec.europa.eu/commission/publications/reflection-paper-future-eu-finances_en" TargetMode="External"/><Relationship Id="rId14" Type="http://schemas.openxmlformats.org/officeDocument/2006/relationships/hyperlink" Target="https://www.eca.europa.eu/Lists/ECADocuments/SR17_20/SR_SMEG_EN.pdf" TargetMode="External"/><Relationship Id="rId22" Type="http://schemas.openxmlformats.org/officeDocument/2006/relationships/hyperlink" Target="https://ec.europa.eu/clima/sites/clima/files/docs/major_projects_en.pdf" TargetMode="External"/><Relationship Id="rId27" Type="http://schemas.openxmlformats.org/officeDocument/2006/relationships/hyperlink" Target="https://ec.europa.eu/commission/publications/independent-evaluation-investment-plan_en" TargetMode="External"/><Relationship Id="rId30" Type="http://schemas.openxmlformats.org/officeDocument/2006/relationships/hyperlink" Target="http://bit.ly/2vLFas5" TargetMode="External"/><Relationship Id="rId35" Type="http://schemas.openxmlformats.org/officeDocument/2006/relationships/hyperlink" Target="https://ec.europa.eu/transport/themes/infrastructure_en" TargetMode="External"/><Relationship Id="rId43" Type="http://schemas.openxmlformats.org/officeDocument/2006/relationships/hyperlink" Target="http://ec.europa.eu/eurostat/statistics-explained/index.php/R_%26_D_expenditure" TargetMode="External"/><Relationship Id="rId48" Type="http://schemas.openxmlformats.org/officeDocument/2006/relationships/hyperlink" Target="http://europa.eu/rapid/press-release_IP-15-5420_en.htm" TargetMode="External"/><Relationship Id="rId56" Type="http://schemas.openxmlformats.org/officeDocument/2006/relationships/hyperlink" Target="http://www.euro.who.int/__data/assets/pdf_file/0009/278073/Case-Investing-Public-Health.pdf" TargetMode="External"/><Relationship Id="rId8" Type="http://schemas.openxmlformats.org/officeDocument/2006/relationships/hyperlink" Target="https://ec.europa.eu/info/business-economy-euro/growth-and-investment/structural-reforms/ageing-and-welfare-state-policies_en" TargetMode="External"/><Relationship Id="rId51" Type="http://schemas.openxmlformats.org/officeDocument/2006/relationships/hyperlink" Target="http://publications.jrc.ec.europa.eu/repository/bitstream/JRC109805/bp-csgzs-hp_euinequality_jrc_wp.pdf" TargetMode="External"/><Relationship Id="rId3" Type="http://schemas.openxmlformats.org/officeDocument/2006/relationships/hyperlink" Target="http://ec.europa.eu/eurostat/statistics-explained/index.php/R_%26_D_expenditure" TargetMode="External"/><Relationship Id="rId12" Type="http://schemas.openxmlformats.org/officeDocument/2006/relationships/hyperlink" Target="http://ec.europa.eu/regional_policy/sources/newsroom/pdf/simplification_proposals.pdf" TargetMode="External"/><Relationship Id="rId17" Type="http://schemas.openxmlformats.org/officeDocument/2006/relationships/hyperlink" Target="https://ec.europa.eu/commission/publications/reflection-paper-future-eu-finances_en" TargetMode="External"/><Relationship Id="rId25" Type="http://schemas.openxmlformats.org/officeDocument/2006/relationships/hyperlink" Target="https://www.eca.europa.eu/Lists/News/NEWS1611_11/OP16_02_EN.pdf" TargetMode="External"/><Relationship Id="rId33" Type="http://schemas.openxmlformats.org/officeDocument/2006/relationships/hyperlink" Target="https://www.eca.europa.eu/Lists/ECADocuments/SR17_20/SR_SMEG_EN.pdf" TargetMode="External"/><Relationship Id="rId38" Type="http://schemas.openxmlformats.org/officeDocument/2006/relationships/hyperlink" Target="http://www.eib.org/projects/pipelines/pipeline/20150334" TargetMode="External"/><Relationship Id="rId46" Type="http://schemas.openxmlformats.org/officeDocument/2006/relationships/hyperlink" Target="http://www.eib.org/products/blending/innovfin/products/emerging-innovators.htm" TargetMode="External"/><Relationship Id="rId59" Type="http://schemas.openxmlformats.org/officeDocument/2006/relationships/hyperlink" Target="https://composite-indicators.jrc.ec.europa.eu/social-scoreboar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13.pn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 Country</a:t>
            </a:r>
            <a:r>
              <a:rPr lang="en-US" baseline="0"/>
              <a:t> of residence</a:t>
            </a:r>
            <a:endParaRPr lang="en-US"/>
          </a:p>
        </c:rich>
      </c:tx>
      <c:layout>
        <c:manualLayout>
          <c:xMode val="edge"/>
          <c:yMode val="edge"/>
          <c:x val="0.27851479951144698"/>
          <c:y val="5.9507708953205299E-2"/>
        </c:manualLayout>
      </c:layout>
      <c:overlay val="0"/>
      <c:spPr>
        <a:noFill/>
        <a:ln>
          <a:noFill/>
        </a:ln>
        <a:effectLst/>
      </c:spPr>
    </c:title>
    <c:autoTitleDeleted val="0"/>
    <c:plotArea>
      <c:layout/>
      <c:barChart>
        <c:barDir val="col"/>
        <c:grouping val="clustered"/>
        <c:varyColors val="0"/>
        <c:ser>
          <c:idx val="0"/>
          <c:order val="0"/>
          <c:tx>
            <c:strRef>
              <c:f>Sheet1!$C$6</c:f>
              <c:strCache>
                <c:ptCount val="1"/>
                <c:pt idx="0">
                  <c:v>No of Respondents</c:v>
                </c:pt>
              </c:strCache>
            </c:strRef>
          </c:tx>
          <c:spPr>
            <a:solidFill>
              <a:srgbClr val="C00000"/>
            </a:solidFill>
            <a:ln>
              <a:noFill/>
            </a:ln>
            <a:effectLst/>
          </c:spPr>
          <c:invertIfNegative val="0"/>
          <c:cat>
            <c:strRef>
              <c:f>Sheet1!$B$7:$B$35</c:f>
              <c:strCache>
                <c:ptCount val="29"/>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Other</c:v>
                </c:pt>
                <c:pt idx="21">
                  <c:v>Poland</c:v>
                </c:pt>
                <c:pt idx="22">
                  <c:v>Portugal</c:v>
                </c:pt>
                <c:pt idx="23">
                  <c:v>Romania</c:v>
                </c:pt>
                <c:pt idx="24">
                  <c:v>Slovakia</c:v>
                </c:pt>
                <c:pt idx="25">
                  <c:v>Slovenia</c:v>
                </c:pt>
                <c:pt idx="26">
                  <c:v>Spain</c:v>
                </c:pt>
                <c:pt idx="27">
                  <c:v>Sweden</c:v>
                </c:pt>
                <c:pt idx="28">
                  <c:v>United Kingdom</c:v>
                </c:pt>
              </c:strCache>
            </c:strRef>
          </c:cat>
          <c:val>
            <c:numRef>
              <c:f>Sheet1!$C$7:$C$35</c:f>
              <c:numCache>
                <c:formatCode>General</c:formatCode>
                <c:ptCount val="29"/>
                <c:pt idx="0">
                  <c:v>47</c:v>
                </c:pt>
                <c:pt idx="1">
                  <c:v>106</c:v>
                </c:pt>
                <c:pt idx="2">
                  <c:v>25</c:v>
                </c:pt>
                <c:pt idx="3">
                  <c:v>11</c:v>
                </c:pt>
                <c:pt idx="4">
                  <c:v>7</c:v>
                </c:pt>
                <c:pt idx="5">
                  <c:v>31</c:v>
                </c:pt>
                <c:pt idx="6">
                  <c:v>32</c:v>
                </c:pt>
                <c:pt idx="7">
                  <c:v>9</c:v>
                </c:pt>
                <c:pt idx="8">
                  <c:v>26</c:v>
                </c:pt>
                <c:pt idx="9">
                  <c:v>171</c:v>
                </c:pt>
                <c:pt idx="10">
                  <c:v>199</c:v>
                </c:pt>
                <c:pt idx="11">
                  <c:v>45</c:v>
                </c:pt>
                <c:pt idx="12">
                  <c:v>24</c:v>
                </c:pt>
                <c:pt idx="13">
                  <c:v>25</c:v>
                </c:pt>
                <c:pt idx="14">
                  <c:v>204</c:v>
                </c:pt>
                <c:pt idx="15">
                  <c:v>4</c:v>
                </c:pt>
                <c:pt idx="16">
                  <c:v>7</c:v>
                </c:pt>
                <c:pt idx="17">
                  <c:v>3</c:v>
                </c:pt>
                <c:pt idx="18">
                  <c:v>5</c:v>
                </c:pt>
                <c:pt idx="19">
                  <c:v>107</c:v>
                </c:pt>
                <c:pt idx="20">
                  <c:v>119</c:v>
                </c:pt>
                <c:pt idx="21">
                  <c:v>32</c:v>
                </c:pt>
                <c:pt idx="22">
                  <c:v>69</c:v>
                </c:pt>
                <c:pt idx="23">
                  <c:v>16</c:v>
                </c:pt>
                <c:pt idx="24">
                  <c:v>4</c:v>
                </c:pt>
                <c:pt idx="25">
                  <c:v>15</c:v>
                </c:pt>
                <c:pt idx="26">
                  <c:v>269</c:v>
                </c:pt>
                <c:pt idx="27">
                  <c:v>33</c:v>
                </c:pt>
                <c:pt idx="28">
                  <c:v>163</c:v>
                </c:pt>
              </c:numCache>
            </c:numRef>
          </c:val>
          <c:extLst xmlns:c16r2="http://schemas.microsoft.com/office/drawing/2015/06/chart">
            <c:ext xmlns:c16="http://schemas.microsoft.com/office/drawing/2014/chart" uri="{C3380CC4-5D6E-409C-BE32-E72D297353CC}">
              <c16:uniqueId val="{00000000-EDC6-43B2-AC58-9ED69F343F79}"/>
            </c:ext>
          </c:extLst>
        </c:ser>
        <c:dLbls>
          <c:showLegendKey val="0"/>
          <c:showVal val="0"/>
          <c:showCatName val="0"/>
          <c:showSerName val="0"/>
          <c:showPercent val="0"/>
          <c:showBubbleSize val="0"/>
        </c:dLbls>
        <c:gapWidth val="219"/>
        <c:overlap val="-27"/>
        <c:axId val="71549312"/>
        <c:axId val="71550848"/>
      </c:barChart>
      <c:catAx>
        <c:axId val="71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50848"/>
        <c:crosses val="autoZero"/>
        <c:auto val="1"/>
        <c:lblAlgn val="ctr"/>
        <c:lblOffset val="100"/>
        <c:noMultiLvlLbl val="0"/>
      </c:catAx>
      <c:valAx>
        <c:axId val="7155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a:t>
                </a:r>
                <a:r>
                  <a:rPr lang="en-GB" baseline="0"/>
                  <a:t> respondents</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5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0"/>
              <a:t>Figure 2:</a:t>
            </a:r>
            <a:r>
              <a:rPr lang="en-US" sz="1400" b="0" baseline="0"/>
              <a:t> Programme Awareness </a:t>
            </a:r>
            <a:endParaRPr lang="en-US" sz="1400" b="0"/>
          </a:p>
        </c:rich>
      </c:tx>
      <c:layout>
        <c:manualLayout>
          <c:xMode val="edge"/>
          <c:yMode val="edge"/>
          <c:x val="0.35066554180727411"/>
          <c:y val="3.8033044751010443E-2"/>
        </c:manualLayout>
      </c:layout>
      <c:overlay val="0"/>
    </c:title>
    <c:autoTitleDeleted val="0"/>
    <c:plotArea>
      <c:layout>
        <c:manualLayout>
          <c:layoutTarget val="inner"/>
          <c:xMode val="edge"/>
          <c:yMode val="edge"/>
          <c:x val="0.17474642298382501"/>
          <c:y val="3.28837036320591E-2"/>
          <c:w val="0.79741926827836596"/>
          <c:h val="0.49314274441185002"/>
        </c:manualLayout>
      </c:layout>
      <c:barChart>
        <c:barDir val="col"/>
        <c:grouping val="stacked"/>
        <c:varyColors val="0"/>
        <c:ser>
          <c:idx val="0"/>
          <c:order val="0"/>
          <c:spPr>
            <a:solidFill>
              <a:schemeClr val="tx2"/>
            </a:solid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[CROPPED.xlsx]column!$C$3:$C$23</c:f>
              <c:numCache>
                <c:formatCode>General</c:formatCode>
                <c:ptCount val="21"/>
                <c:pt idx="0">
                  <c:v>1000</c:v>
                </c:pt>
                <c:pt idx="1">
                  <c:v>881</c:v>
                </c:pt>
                <c:pt idx="2">
                  <c:v>362</c:v>
                </c:pt>
                <c:pt idx="3">
                  <c:v>336</c:v>
                </c:pt>
                <c:pt idx="4">
                  <c:v>249</c:v>
                </c:pt>
                <c:pt idx="5">
                  <c:v>127</c:v>
                </c:pt>
                <c:pt idx="6">
                  <c:v>71</c:v>
                </c:pt>
                <c:pt idx="7">
                  <c:v>70</c:v>
                </c:pt>
                <c:pt idx="8">
                  <c:v>61</c:v>
                </c:pt>
                <c:pt idx="9">
                  <c:v>51</c:v>
                </c:pt>
                <c:pt idx="10">
                  <c:v>48</c:v>
                </c:pt>
                <c:pt idx="11">
                  <c:v>36</c:v>
                </c:pt>
                <c:pt idx="12">
                  <c:v>34</c:v>
                </c:pt>
                <c:pt idx="13">
                  <c:v>18</c:v>
                </c:pt>
                <c:pt idx="14">
                  <c:v>18</c:v>
                </c:pt>
                <c:pt idx="15">
                  <c:v>17</c:v>
                </c:pt>
                <c:pt idx="16">
                  <c:v>13</c:v>
                </c:pt>
                <c:pt idx="17">
                  <c:v>13</c:v>
                </c:pt>
                <c:pt idx="18">
                  <c:v>12</c:v>
                </c:pt>
                <c:pt idx="19">
                  <c:v>11</c:v>
                </c:pt>
                <c:pt idx="20">
                  <c:v>6</c:v>
                </c:pt>
              </c:numCache>
            </c:numRef>
          </c:val>
          <c:extLst xmlns:c16r2="http://schemas.microsoft.com/office/drawing/2015/06/chart">
            <c:ext xmlns:c16="http://schemas.microsoft.com/office/drawing/2014/chart" uri="{C3380CC4-5D6E-409C-BE32-E72D297353CC}">
              <c16:uniqueId val="{00000000-6AA0-464E-B4DE-236E11DE882C}"/>
            </c:ext>
          </c:extLst>
        </c:ser>
        <c:ser>
          <c:idx val="1"/>
          <c:order val="1"/>
          <c:spPr>
            <a:blipFill>
              <a:blip xmlns:r="http://schemas.openxmlformats.org/officeDocument/2006/relationships" r:embed="rId2"/>
              <a:stretch>
                <a:fillRect/>
              </a:stretch>
            </a:blip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[CROPPED.xlsx]column!$D$3:$D$8</c:f>
              <c:numCache>
                <c:formatCode>General</c:formatCode>
                <c:ptCount val="6"/>
                <c:pt idx="0">
                  <c:v>50</c:v>
                </c:pt>
                <c:pt idx="1">
                  <c:v>#N/A</c:v>
                </c:pt>
                <c:pt idx="2">
                  <c:v>#N/A</c:v>
                </c:pt>
                <c:pt idx="3">
                  <c:v>#N/A</c:v>
                </c:pt>
                <c:pt idx="4">
                  <c:v>#N/A</c:v>
                </c:pt>
                <c:pt idx="5">
                  <c:v>#N/A</c:v>
                </c:pt>
              </c:numCache>
            </c:numRef>
          </c:val>
          <c:extLst xmlns:c16r2="http://schemas.microsoft.com/office/drawing/2015/06/chart">
            <c:ext xmlns:c16="http://schemas.microsoft.com/office/drawing/2014/chart" uri="{C3380CC4-5D6E-409C-BE32-E72D297353CC}">
              <c16:uniqueId val="{00000001-6AA0-464E-B4DE-236E11DE882C}"/>
            </c:ext>
          </c:extLst>
        </c:ser>
        <c:ser>
          <c:idx val="2"/>
          <c:order val="2"/>
          <c:spPr>
            <a:solidFill>
              <a:schemeClr val="tx2"/>
            </a:solidFill>
          </c:spPr>
          <c:invertIfNegative val="0"/>
          <c:cat>
            <c:strRef>
              <c:f>[CROPPED.xlsx]column!$A$3:$A$23</c:f>
              <c:strCache>
                <c:ptCount val="21"/>
                <c:pt idx="0">
                  <c:v>Horizon 2020</c:v>
                </c:pt>
                <c:pt idx="1">
                  <c:v>ESIF</c:v>
                </c:pt>
                <c:pt idx="2">
                  <c:v>EU Health Programme</c:v>
                </c:pt>
                <c:pt idx="3">
                  <c:v>COSME</c:v>
                </c:pt>
                <c:pt idx="4">
                  <c:v>EFSI</c:v>
                </c:pt>
                <c:pt idx="5">
                  <c:v>EaSI</c:v>
                </c:pt>
                <c:pt idx="6">
                  <c:v>EURES</c:v>
                </c:pt>
                <c:pt idx="7">
                  <c:v>EU Food and Feed prg</c:v>
                </c:pt>
                <c:pt idx="8">
                  <c:v>Digital Single Market support prg</c:v>
                </c:pt>
                <c:pt idx="9">
                  <c:v>European statistical prg</c:v>
                </c:pt>
                <c:pt idx="10">
                  <c:v>EEEF </c:v>
                </c:pt>
                <c:pt idx="11">
                  <c:v>Consumer prg</c:v>
                </c:pt>
                <c:pt idx="12">
                  <c:v>Support for the functioning of various aspects of the single market (including goods, services, taxation, company law) – standardisation, assistance to citizens and businesses, enforcement</c:v>
                </c:pt>
                <c:pt idx="13">
                  <c:v>PF4EE</c:v>
                </c:pt>
                <c:pt idx="14">
                  <c:v>Interoperability solutions and common frameworks for European public administrations, businesses and citizens (ISA2 programme) as a means for modernising the public sector</c:v>
                </c:pt>
                <c:pt idx="15">
                  <c:v>Implementation of single market for financial services</c:v>
                </c:pt>
                <c:pt idx="16">
                  <c:v>Anti-Fraud Information System</c:v>
                </c:pt>
                <c:pt idx="17">
                  <c:v>Customs 2020</c:v>
                </c:pt>
                <c:pt idx="18">
                  <c:v>Enhancing consumers involvement in EU policy-making in the field of financial services</c:v>
                </c:pt>
                <c:pt idx="19">
                  <c:v>Standards in the field of financial reporting prg</c:v>
                </c:pt>
                <c:pt idx="20">
                  <c:v>Fiscalis</c:v>
                </c:pt>
              </c:strCache>
            </c:strRef>
          </c:cat>
          <c:val>
            <c:numRef>
              <c:f>[CROPPED.xlsx]column!$E$3:$E$24</c:f>
              <c:numCache>
                <c:formatCode>General</c:formatCode>
                <c:ptCount val="22"/>
                <c:pt idx="0">
                  <c:v>65</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xmlns:c16r2="http://schemas.microsoft.com/office/drawing/2015/06/chart">
            <c:ext xmlns:c16="http://schemas.microsoft.com/office/drawing/2014/chart" uri="{C3380CC4-5D6E-409C-BE32-E72D297353CC}">
              <c16:uniqueId val="{00000002-6AA0-464E-B4DE-236E11DE882C}"/>
            </c:ext>
          </c:extLst>
        </c:ser>
        <c:dLbls>
          <c:showLegendKey val="0"/>
          <c:showVal val="0"/>
          <c:showCatName val="0"/>
          <c:showSerName val="0"/>
          <c:showPercent val="0"/>
          <c:showBubbleSize val="0"/>
        </c:dLbls>
        <c:gapWidth val="20"/>
        <c:overlap val="100"/>
        <c:axId val="80553856"/>
        <c:axId val="80555392"/>
      </c:barChart>
      <c:scatterChart>
        <c:scatterStyle val="lineMarker"/>
        <c:varyColors val="0"/>
        <c:ser>
          <c:idx val="3"/>
          <c:order val="3"/>
          <c:tx>
            <c:strRef>
              <c:f>[CROPPED.xlsx]column!$C$30:$C$38</c:f>
              <c:strCache>
                <c:ptCount val="9"/>
                <c:pt idx="0">
                  <c:v>0</c:v>
                </c:pt>
                <c:pt idx="1">
                  <c:v>250</c:v>
                </c:pt>
                <c:pt idx="2">
                  <c:v>500</c:v>
                </c:pt>
                <c:pt idx="3">
                  <c:v>750</c:v>
                </c:pt>
                <c:pt idx="4">
                  <c:v>1000</c:v>
                </c:pt>
                <c:pt idx="5">
                  <c:v> </c:v>
                </c:pt>
                <c:pt idx="6">
                  <c:v>3500</c:v>
                </c:pt>
              </c:strCache>
            </c:strRef>
          </c:tx>
          <c:spPr>
            <a:ln w="12700">
              <a:solidFill>
                <a:sysClr val="windowText" lastClr="000000"/>
              </a:solidFill>
            </a:ln>
          </c:spPr>
          <c:marker>
            <c:symbol val="none"/>
          </c:marker>
          <c:dLbls>
            <c:dLbl>
              <c:idx val="0"/>
              <c:tx>
                <c:strRef>
                  <c:f>[CROPPED.xlsx]column!$C$30</c:f>
                  <c:strCache>
                    <c:ptCount val="1"/>
                    <c:pt idx="0">
                      <c:v>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{25CD8C5B-C448-4953-BB08-5751369108D8}</c15:txfldGUID>
                      <c15:f>[CROPPED.xlsx]column!$C$30</c15:f>
                      <c15:dlblFieldTableCache>
                        <c:ptCount val="1"/>
                        <c:pt idx="0">
                          <c:v>0</c:v>
                        </c:pt>
                      </c15:dlblFieldTableCache>
                    </c15:dlblFTEntry>
                  </c15:dlblFieldTable>
                  <c15:showDataLabelsRange val="0"/>
                </c:ext>
                <c:ext xmlns:c16="http://schemas.microsoft.com/office/drawing/2014/chart" uri="{C3380CC4-5D6E-409C-BE32-E72D297353CC}">
                  <c16:uniqueId val="{00000003-6AA0-464E-B4DE-236E11DE882C}"/>
                </c:ext>
              </c:extLst>
            </c:dLbl>
            <c:dLbl>
              <c:idx val="1"/>
              <c:tx>
                <c:strRef>
                  <c:f>[CROPPED.xlsx]column!$C$31</c:f>
                  <c:strCache>
                    <c:ptCount val="1"/>
                    <c:pt idx="0">
                      <c:v>250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{F6B4A1B6-4EF0-466F-A9D7-ABF049CCCB79}</c15:txfldGUID>
                      <c15:f>[CROPPED.xlsx]column!$C$31</c15:f>
                      <c15:dlblFieldTableCache>
                        <c:ptCount val="1"/>
                        <c:pt idx="0">
                          <c:v>250</c:v>
                        </c:pt>
                      </c15:dlblFieldTableCache>
                    </c15:dlblFTEntry>
                  </c15:dlblFieldTable>
                  <c15:showDataLabelsRange val="0"/>
                </c:ext>
                <c:ext xmlns:c16="http://schemas.microsoft.com/office/drawing/2014/chart" uri="{C3380CC4-5D6E-409C-BE32-E72D297353CC}">
                  <c16:uniqueId val="{00000004-6AA0-464E-B4DE-236E11DE882C}"/>
                </c:ext>
              </c:extLst>
            </c:dLbl>
            <c:dLbl>
              <c:idx val="2"/>
              <c:tx>
                <c:strRef>
                  <c:f>[CROPPED.xlsx]column!$C$32</c:f>
                  <c:strCache>
                    <c:ptCount val="1"/>
                    <c:pt idx="0">
                      <c:v>500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{EC78B374-8C2B-4F19-A166-E6E8709716BB}</c15:txfldGUID>
                      <c15:f>[CROPPED.xlsx]column!$C$32</c15:f>
                      <c15:dlblFieldTableCache>
                        <c:ptCount val="1"/>
                        <c:pt idx="0">
                          <c:v>500</c:v>
                        </c:pt>
                      </c15:dlblFieldTableCache>
                    </c15:dlblFTEntry>
                  </c15:dlblFieldTable>
                  <c15:showDataLabelsRange val="0"/>
                </c:ext>
                <c:ext xmlns:c16="http://schemas.microsoft.com/office/drawing/2014/chart" uri="{C3380CC4-5D6E-409C-BE32-E72D297353CC}">
                  <c16:uniqueId val="{00000005-6AA0-464E-B4DE-236E11DE882C}"/>
                </c:ext>
              </c:extLst>
            </c:dLbl>
            <c:dLbl>
              <c:idx val="3"/>
              <c:tx>
                <c:strRef>
                  <c:f>[CROPPED.xlsx]column!$C$33</c:f>
                  <c:strCache>
                    <c:ptCount val="1"/>
                    <c:pt idx="0">
                      <c:v>750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{F7150E47-928F-4967-AB30-E5EA9580B616}</c15:txfldGUID>
                      <c15:f>[CROPPED.xlsx]column!$C$33</c15:f>
                      <c15:dlblFieldTableCache>
                        <c:ptCount val="1"/>
                        <c:pt idx="0">
                          <c:v>750</c:v>
                        </c:pt>
                      </c15:dlblFieldTableCache>
                    </c15:dlblFTEntry>
                  </c15:dlblFieldTable>
                  <c15:showDataLabelsRange val="0"/>
                </c:ext>
                <c:ext xmlns:c16="http://schemas.microsoft.com/office/drawing/2014/chart" uri="{C3380CC4-5D6E-409C-BE32-E72D297353CC}">
                  <c16:uniqueId val="{00000006-6AA0-464E-B4DE-236E11DE882C}"/>
                </c:ext>
              </c:extLst>
            </c:dLbl>
            <c:dLbl>
              <c:idx val="4"/>
              <c:tx>
                <c:strRef>
                  <c:f>[CROPPED.xlsx]column!$C$34</c:f>
                  <c:strCache>
                    <c:ptCount val="1"/>
                    <c:pt idx="0">
                      <c:v>1000</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{E45150B9-7E50-401C-8EFE-5A41544EA25D}</c15:txfldGUID>
                      <c15:f>[CROPPED.xlsx]column!$C$34</c15:f>
                      <c15:dlblFieldTableCache>
                        <c:ptCount val="1"/>
                        <c:pt idx="0">
                          <c:v>1000</c:v>
                        </c:pt>
                      </c15:dlblFieldTableCache>
                    </c15:dlblFTEntry>
                  </c15:dlblFieldTable>
                  <c15:showDataLabelsRange val="0"/>
                </c:ext>
                <c:ext xmlns:c16="http://schemas.microsoft.com/office/drawing/2014/chart" uri="{C3380CC4-5D6E-409C-BE32-E72D297353CC}">
                  <c16:uniqueId val="{00000007-6AA0-464E-B4DE-236E11DE882C}"/>
                </c:ext>
              </c:extLst>
            </c:dLbl>
            <c:dLbl>
              <c:idx val="5"/>
              <c:tx>
                <c:strRef>
                  <c:f>[CROPPED.xlsx]column!$C$35</c:f>
                  <c:strCache>
                    <c:ptCount val="1"/>
                    <c:pt idx="0">
                      <c:v> </c:v>
                    </c:pt>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{3BD3149C-D154-47B8-AD87-F15BDD78C45E}</c15:txfldGUID>
                      <c15:f>[CROPPED.xlsx]column!$C$35</c15:f>
                      <c15:dlblFieldTableCache>
                        <c:ptCount val="1"/>
                        <c:pt idx="0">
                          <c:v> </c:v>
                        </c:pt>
                      </c15:dlblFieldTableCache>
                    </c15:dlblFTEntry>
                  </c15:dlblFieldTable>
                  <c15:showDataLabelsRange val="0"/>
                </c:ext>
                <c:ext xmlns:c16="http://schemas.microsoft.com/office/drawing/2014/chart" uri="{C3380CC4-5D6E-409C-BE32-E72D297353CC}">
                  <c16:uniqueId val="{00000008-6AA0-464E-B4DE-236E11DE882C}"/>
                </c:ext>
              </c:extLst>
            </c:dLbl>
            <c:dLbl>
              <c:idx val="6"/>
              <c:layout>
                <c:manualLayout>
                  <c:x val="-7.9216834006860248E-2"/>
                  <c:y val="-3.1971648836654556E-2"/>
                </c:manualLayout>
              </c:layout>
              <c:tx>
                <c:rich>
                  <a:bodyPr/>
                  <a:lstStyle/>
                  <a:p>
                    <a:r>
                      <a:rPr lang="en-US"/>
                      <a:t>3616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AA0-464E-B4DE-236E11DE882C}"/>
                </c:ext>
              </c:extLst>
            </c:dLbl>
            <c:dLbl>
              <c:idx val="7"/>
              <c:tx>
                <c:strRef>
                  <c:f>[CROPPED.xlsx]column!$C$37</c:f>
                  <c:strCache>
                    <c:ptCount val="1"/>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dlblFTEntry>
                      <c15:txfldGUID>{4560D9AD-300B-4D33-A8F4-D3A3DE447A5D}</c15:txfldGUID>
                      <c15:f>[CROPPED.xlsx]column!$C$37</c15:f>
                      <c15:dlblFieldTableCache>
                        <c:ptCount val="1"/>
                      </c15:dlblFieldTableCache>
                    </c15:dlblFTEntry>
                  </c15:dlblFieldTable>
                  <c15:showDataLabelsRange val="0"/>
                </c:ext>
                <c:ext xmlns:c16="http://schemas.microsoft.com/office/drawing/2014/chart" uri="{C3380CC4-5D6E-409C-BE32-E72D297353CC}">
                  <c16:uniqueId val="{0000000A-6AA0-464E-B4DE-236E11DE882C}"/>
                </c:ext>
              </c:extLst>
            </c:dLbl>
            <c:dLbl>
              <c:idx val="8"/>
              <c:tx>
                <c:strRef>
                  <c:f>[CROPPED.xlsx]column!$C$38</c:f>
                  <c:strCache>
                    <c:ptCount val="1"/>
                  </c:strCache>
                </c:strRef>
              </c:tx>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{18FCD85E-7F0C-4917-BEDD-09B7310EE624}</c15:txfldGUID>
                      <c15:f>[CROPPED.xlsx]column!$C$38</c15:f>
                      <c15:dlblFieldTableCache>
                        <c:ptCount val="1"/>
                      </c15:dlblFieldTableCache>
                    </c15:dlblFTEntry>
                  </c15:dlblFieldTable>
                  <c15:showDataLabelsRange val="0"/>
                </c:ext>
                <c:ext xmlns:c16="http://schemas.microsoft.com/office/drawing/2014/chart" uri="{C3380CC4-5D6E-409C-BE32-E72D297353CC}">
                  <c16:uniqueId val="{0000000B-6AA0-464E-B4DE-236E11DE882C}"/>
                </c:ext>
              </c:extLst>
            </c:dLbl>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[CROPPED.xlsx]column!$D$30:$D$38</c:f>
              <c:numCache>
                <c:formatCode>General</c:formatCode>
                <c:ptCount val="9"/>
                <c:pt idx="0">
                  <c:v>0</c:v>
                </c:pt>
                <c:pt idx="1">
                  <c:v>0</c:v>
                </c:pt>
                <c:pt idx="2">
                  <c:v>0</c:v>
                </c:pt>
                <c:pt idx="3">
                  <c:v>0</c:v>
                </c:pt>
                <c:pt idx="4">
                  <c:v>0</c:v>
                </c:pt>
                <c:pt idx="5">
                  <c:v>0</c:v>
                </c:pt>
                <c:pt idx="6">
                  <c:v>0</c:v>
                </c:pt>
                <c:pt idx="7">
                  <c:v>0</c:v>
                </c:pt>
              </c:numCache>
            </c:numRef>
          </c:xVal>
          <c:yVal>
            <c:numRef>
              <c:f>[CROPPED.xlsx]column!$E$30:$E$38</c:f>
              <c:numCache>
                <c:formatCode>General</c:formatCode>
                <c:ptCount val="9"/>
                <c:pt idx="0">
                  <c:v>0</c:v>
                </c:pt>
                <c:pt idx="1">
                  <c:v>250</c:v>
                </c:pt>
                <c:pt idx="2">
                  <c:v>500</c:v>
                </c:pt>
                <c:pt idx="3">
                  <c:v>750</c:v>
                </c:pt>
                <c:pt idx="4">
                  <c:v>1000</c:v>
                </c:pt>
                <c:pt idx="5">
                  <c:v>1025</c:v>
                </c:pt>
                <c:pt idx="6">
                  <c:v>1050</c:v>
                </c:pt>
                <c:pt idx="7">
                  <c:v>1200</c:v>
                </c:pt>
              </c:numCache>
            </c:numRef>
          </c:yVal>
          <c:smooth val="0"/>
          <c:extLst xmlns:c16r2="http://schemas.microsoft.com/office/drawing/2015/06/chart">
            <c:ext xmlns:c16="http://schemas.microsoft.com/office/drawing/2014/chart" uri="{C3380CC4-5D6E-409C-BE32-E72D297353CC}">
              <c16:uniqueId val="{0000000C-6AA0-464E-B4DE-236E11DE882C}"/>
            </c:ext>
          </c:extLst>
        </c:ser>
        <c:dLbls>
          <c:showLegendKey val="0"/>
          <c:showVal val="0"/>
          <c:showCatName val="0"/>
          <c:showSerName val="0"/>
          <c:showPercent val="0"/>
          <c:showBubbleSize val="0"/>
        </c:dLbls>
        <c:axId val="80575488"/>
        <c:axId val="80573952"/>
      </c:scatterChart>
      <c:catAx>
        <c:axId val="80553856"/>
        <c:scaling>
          <c:orientation val="minMax"/>
        </c:scaling>
        <c:delete val="0"/>
        <c:axPos val="b"/>
        <c:numFmt formatCode="General" sourceLinked="0"/>
        <c:majorTickMark val="out"/>
        <c:minorTickMark val="none"/>
        <c:tickLblPos val="nextTo"/>
        <c:spPr>
          <a:ln>
            <a:solidFill>
              <a:schemeClr val="tx1"/>
            </a:solidFill>
          </a:ln>
        </c:spPr>
        <c:crossAx val="80555392"/>
        <c:crosses val="autoZero"/>
        <c:auto val="1"/>
        <c:lblAlgn val="ctr"/>
        <c:lblOffset val="100"/>
        <c:noMultiLvlLbl val="0"/>
      </c:catAx>
      <c:valAx>
        <c:axId val="80555392"/>
        <c:scaling>
          <c:orientation val="minMax"/>
          <c:max val="1550"/>
          <c:min val="0"/>
        </c:scaling>
        <c:delete val="0"/>
        <c:axPos val="l"/>
        <c:title>
          <c:tx>
            <c:rich>
              <a:bodyPr/>
              <a:lstStyle/>
              <a:p>
                <a:pPr>
                  <a:defRPr/>
                </a:pPr>
                <a:r>
                  <a:rPr lang="en-GB"/>
                  <a:t>No of Respondents</a:t>
                </a:r>
              </a:p>
            </c:rich>
          </c:tx>
          <c:layout>
            <c:manualLayout>
              <c:xMode val="edge"/>
              <c:yMode val="edge"/>
              <c:x val="5.922870752267078E-2"/>
              <c:y val="0.26129965652133452"/>
            </c:manualLayout>
          </c:layout>
          <c:overlay val="0"/>
        </c:title>
        <c:numFmt formatCode="0" sourceLinked="0"/>
        <c:majorTickMark val="none"/>
        <c:minorTickMark val="none"/>
        <c:tickLblPos val="none"/>
        <c:spPr>
          <a:ln>
            <a:noFill/>
          </a:ln>
        </c:spPr>
        <c:txPr>
          <a:bodyPr/>
          <a:lstStyle/>
          <a:p>
            <a:pPr>
              <a:defRPr>
                <a:solidFill>
                  <a:sysClr val="windowText" lastClr="000000"/>
                </a:solidFill>
              </a:defRPr>
            </a:pPr>
            <a:endParaRPr lang="en-US"/>
          </a:p>
        </c:txPr>
        <c:crossAx val="80553856"/>
        <c:crosses val="autoZero"/>
        <c:crossBetween val="between"/>
      </c:valAx>
      <c:valAx>
        <c:axId val="80573952"/>
        <c:scaling>
          <c:orientation val="minMax"/>
          <c:max val="1550"/>
        </c:scaling>
        <c:delete val="1"/>
        <c:axPos val="r"/>
        <c:numFmt formatCode="General" sourceLinked="1"/>
        <c:majorTickMark val="out"/>
        <c:minorTickMark val="none"/>
        <c:tickLblPos val="nextTo"/>
        <c:crossAx val="80575488"/>
        <c:crosses val="max"/>
        <c:crossBetween val="midCat"/>
      </c:valAx>
      <c:valAx>
        <c:axId val="80575488"/>
        <c:scaling>
          <c:orientation val="minMax"/>
          <c:max val="6"/>
        </c:scaling>
        <c:delete val="0"/>
        <c:axPos val="t"/>
        <c:numFmt formatCode="General" sourceLinked="1"/>
        <c:majorTickMark val="none"/>
        <c:minorTickMark val="none"/>
        <c:tickLblPos val="none"/>
        <c:spPr>
          <a:ln>
            <a:noFill/>
          </a:ln>
        </c:spPr>
        <c:crossAx val="80573952"/>
        <c:crosses val="max"/>
        <c:crossBetween val="midCat"/>
      </c:valAx>
    </c:plotArea>
    <c:plotVisOnly val="1"/>
    <c:dispBlanksAs val="gap"/>
    <c:showDLblsOverMax val="0"/>
  </c:chart>
  <c:spPr>
    <a:ln>
      <a:noFill/>
    </a:ln>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3:</a:t>
            </a:r>
            <a:r>
              <a:rPr lang="en-GB" baseline="0"/>
              <a:t> EU support by policy area</a:t>
            </a:r>
            <a:endParaRPr lang="en-GB"/>
          </a:p>
        </c:rich>
      </c:tx>
      <c:overlay val="0"/>
      <c:spPr>
        <a:noFill/>
        <a:ln>
          <a:noFill/>
        </a:ln>
        <a:effectLst/>
      </c:spPr>
    </c:title>
    <c:autoTitleDeleted val="0"/>
    <c:plotArea>
      <c:layout>
        <c:manualLayout>
          <c:layoutTarget val="inner"/>
          <c:xMode val="edge"/>
          <c:yMode val="edge"/>
          <c:x val="9.1914260717410295E-2"/>
          <c:y val="0.143935185185185"/>
          <c:w val="0.77939348206474202"/>
          <c:h val="0.67145778652668398"/>
        </c:manualLayout>
      </c:layout>
      <c:barChart>
        <c:barDir val="col"/>
        <c:grouping val="clustered"/>
        <c:varyColors val="0"/>
        <c:ser>
          <c:idx val="0"/>
          <c:order val="0"/>
          <c:tx>
            <c:strRef>
              <c:f>Sheet1!$C$41</c:f>
              <c:strCache>
                <c:ptCount val="1"/>
                <c:pt idx="0">
                  <c:v>No of Respondent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Sheet1!$B$42:$B$45</c:f>
              <c:strCache>
                <c:ptCount val="4"/>
                <c:pt idx="0">
                  <c:v>EU support for research and innovation</c:v>
                </c:pt>
                <c:pt idx="1">
                  <c:v>EU support for SMEs and Entrepreneurship</c:v>
                </c:pt>
                <c:pt idx="2">
                  <c:v>EU support for investment</c:v>
                </c:pt>
                <c:pt idx="3">
                  <c:v>EU support for the single market</c:v>
                </c:pt>
              </c:strCache>
            </c:strRef>
          </c:cat>
          <c:val>
            <c:numRef>
              <c:f>Sheet1!$C$42:$C$45</c:f>
              <c:numCache>
                <c:formatCode>General</c:formatCode>
                <c:ptCount val="4"/>
                <c:pt idx="0">
                  <c:v>3837</c:v>
                </c:pt>
                <c:pt idx="1">
                  <c:v>1034</c:v>
                </c:pt>
                <c:pt idx="2">
                  <c:v>642</c:v>
                </c:pt>
                <c:pt idx="3">
                  <c:v>307</c:v>
                </c:pt>
              </c:numCache>
            </c:numRef>
          </c:val>
          <c:extLst xmlns:c16r2="http://schemas.microsoft.com/office/drawing/2015/06/chart">
            <c:ext xmlns:c16="http://schemas.microsoft.com/office/drawing/2014/chart" uri="{C3380CC4-5D6E-409C-BE32-E72D297353CC}">
              <c16:uniqueId val="{00000000-375D-422E-8464-955E2FB17E6C}"/>
            </c:ext>
          </c:extLst>
        </c:ser>
        <c:dLbls>
          <c:showLegendKey val="0"/>
          <c:showVal val="0"/>
          <c:showCatName val="0"/>
          <c:showSerName val="0"/>
          <c:showPercent val="0"/>
          <c:showBubbleSize val="0"/>
        </c:dLbls>
        <c:gapWidth val="219"/>
        <c:axId val="81022976"/>
        <c:axId val="80607104"/>
      </c:barChart>
      <c:lineChart>
        <c:grouping val="standard"/>
        <c:varyColors val="0"/>
        <c:ser>
          <c:idx val="1"/>
          <c:order val="1"/>
          <c:tx>
            <c:strRef>
              <c:f>Sheet1!$D$41</c:f>
              <c:strCache>
                <c:ptCount val="1"/>
                <c:pt idx="0">
                  <c:v>Percentage on total Respondent</c:v>
                </c:pt>
              </c:strCache>
            </c:strRef>
          </c:tx>
          <c:spPr>
            <a:ln w="28575" cap="rnd">
              <a:solidFill>
                <a:schemeClr val="accent3">
                  <a:lumMod val="60000"/>
                  <a:lumOff val="40000"/>
                </a:schemeClr>
              </a:solidFill>
              <a:prstDash val="sysDash"/>
              <a:round/>
            </a:ln>
            <a:effectLst/>
          </c:spPr>
          <c:marker>
            <c:symbol val="none"/>
          </c:marker>
          <c:dLbls>
            <c:dLbl>
              <c:idx val="3"/>
              <c:layout>
                <c:manualLayout>
                  <c:x val="0"/>
                  <c:y val="-1.234567901234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75D-422E-8464-955E2FB17E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Sheet1!$B$42:$B$45</c:f>
              <c:strCache>
                <c:ptCount val="4"/>
                <c:pt idx="0">
                  <c:v>EU support for research and innovation</c:v>
                </c:pt>
                <c:pt idx="1">
                  <c:v>EU support for SMEs and Entrepreneurship</c:v>
                </c:pt>
                <c:pt idx="2">
                  <c:v>EU support for investment</c:v>
                </c:pt>
                <c:pt idx="3">
                  <c:v>EU support for the single market</c:v>
                </c:pt>
              </c:strCache>
            </c:strRef>
          </c:cat>
          <c:val>
            <c:numRef>
              <c:f>Sheet1!$D$42:$D$45</c:f>
              <c:numCache>
                <c:formatCode>0.00%</c:formatCode>
                <c:ptCount val="4"/>
                <c:pt idx="0">
                  <c:v>0.94693978282329705</c:v>
                </c:pt>
                <c:pt idx="1">
                  <c:v>0.255182625863771</c:v>
                </c:pt>
                <c:pt idx="2">
                  <c:v>0.15844027640671299</c:v>
                </c:pt>
                <c:pt idx="3">
                  <c:v>7.5765054294175696E-2</c:v>
                </c:pt>
              </c:numCache>
            </c:numRef>
          </c:val>
          <c:smooth val="0"/>
          <c:extLst xmlns:c16r2="http://schemas.microsoft.com/office/drawing/2015/06/chart">
            <c:ext xmlns:c16="http://schemas.microsoft.com/office/drawing/2014/chart" uri="{C3380CC4-5D6E-409C-BE32-E72D297353CC}">
              <c16:uniqueId val="{00000002-375D-422E-8464-955E2FB17E6C}"/>
            </c:ext>
          </c:extLst>
        </c:ser>
        <c:dLbls>
          <c:showLegendKey val="0"/>
          <c:showVal val="0"/>
          <c:showCatName val="0"/>
          <c:showSerName val="0"/>
          <c:showPercent val="0"/>
          <c:showBubbleSize val="0"/>
        </c:dLbls>
        <c:marker val="1"/>
        <c:smooth val="0"/>
        <c:axId val="81026048"/>
        <c:axId val="81024512"/>
      </c:lineChart>
      <c:valAx>
        <c:axId val="8060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22976"/>
        <c:crosses val="autoZero"/>
        <c:crossBetween val="between"/>
      </c:valAx>
      <c:catAx>
        <c:axId val="810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07104"/>
        <c:crosses val="autoZero"/>
        <c:auto val="1"/>
        <c:lblAlgn val="ctr"/>
        <c:lblOffset val="100"/>
        <c:noMultiLvlLbl val="0"/>
      </c:catAx>
      <c:valAx>
        <c:axId val="810245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26048"/>
        <c:crosses val="max"/>
        <c:crossBetween val="between"/>
      </c:valAx>
      <c:catAx>
        <c:axId val="81026048"/>
        <c:scaling>
          <c:orientation val="minMax"/>
        </c:scaling>
        <c:delete val="1"/>
        <c:axPos val="b"/>
        <c:numFmt formatCode="General" sourceLinked="1"/>
        <c:majorTickMark val="none"/>
        <c:minorTickMark val="none"/>
        <c:tickLblPos val="nextTo"/>
        <c:crossAx val="81024512"/>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a:t>
            </a:r>
            <a:r>
              <a:rPr lang="en-US" baseline="0"/>
              <a:t> 4: Respondents' country of residence</a:t>
            </a:r>
            <a:endParaRPr lang="en-US"/>
          </a:p>
        </c:rich>
      </c:tx>
      <c:overlay val="0"/>
      <c:spPr>
        <a:noFill/>
        <a:ln>
          <a:noFill/>
        </a:ln>
        <a:effectLst/>
      </c:spPr>
    </c:title>
    <c:autoTitleDeleted val="0"/>
    <c:plotArea>
      <c:layout/>
      <c:barChart>
        <c:barDir val="col"/>
        <c:grouping val="clustered"/>
        <c:varyColors val="0"/>
        <c:ser>
          <c:idx val="0"/>
          <c:order val="0"/>
          <c:tx>
            <c:strRef>
              <c:f>Elaboration!$F$65</c:f>
              <c:strCache>
                <c:ptCount val="1"/>
                <c:pt idx="0">
                  <c:v>Count</c:v>
                </c:pt>
              </c:strCache>
            </c:strRef>
          </c:tx>
          <c:spPr>
            <a:solidFill>
              <a:srgbClr val="002060"/>
            </a:solidFill>
            <a:ln>
              <a:noFill/>
            </a:ln>
            <a:effectLst/>
          </c:spPr>
          <c:invertIfNegative val="0"/>
          <c:cat>
            <c:strRef>
              <c:f>Elaboration!$E$66:$E$90</c:f>
              <c:strCache>
                <c:ptCount val="25"/>
                <c:pt idx="0">
                  <c:v>Italy</c:v>
                </c:pt>
                <c:pt idx="1">
                  <c:v>France</c:v>
                </c:pt>
                <c:pt idx="2">
                  <c:v>Spain</c:v>
                </c:pt>
                <c:pt idx="3">
                  <c:v>Germany</c:v>
                </c:pt>
                <c:pt idx="4">
                  <c:v>Belgium</c:v>
                </c:pt>
                <c:pt idx="5">
                  <c:v>United Kingdom</c:v>
                </c:pt>
                <c:pt idx="6">
                  <c:v>Portugal</c:v>
                </c:pt>
                <c:pt idx="7">
                  <c:v>Bulgaria</c:v>
                </c:pt>
                <c:pt idx="8">
                  <c:v>Netherlands</c:v>
                </c:pt>
                <c:pt idx="9">
                  <c:v>Greece</c:v>
                </c:pt>
                <c:pt idx="10">
                  <c:v>Hungary</c:v>
                </c:pt>
                <c:pt idx="11">
                  <c:v>Poland</c:v>
                </c:pt>
                <c:pt idx="12">
                  <c:v>Austria</c:v>
                </c:pt>
                <c:pt idx="13">
                  <c:v>Czech Republic</c:v>
                </c:pt>
                <c:pt idx="14">
                  <c:v>Finland</c:v>
                </c:pt>
                <c:pt idx="15">
                  <c:v>Estonia</c:v>
                </c:pt>
                <c:pt idx="16">
                  <c:v>Sweden</c:v>
                </c:pt>
                <c:pt idx="17">
                  <c:v>Croatia</c:v>
                </c:pt>
                <c:pt idx="18">
                  <c:v>Slovenia</c:v>
                </c:pt>
                <c:pt idx="19">
                  <c:v>Cyprus</c:v>
                </c:pt>
                <c:pt idx="20">
                  <c:v>Ireland</c:v>
                </c:pt>
                <c:pt idx="21">
                  <c:v>Romania</c:v>
                </c:pt>
                <c:pt idx="22">
                  <c:v>Malta</c:v>
                </c:pt>
                <c:pt idx="23">
                  <c:v>Denmark</c:v>
                </c:pt>
                <c:pt idx="24">
                  <c:v>Slovakia</c:v>
                </c:pt>
              </c:strCache>
            </c:strRef>
          </c:cat>
          <c:val>
            <c:numRef>
              <c:f>Elaboration!$F$66:$F$90</c:f>
              <c:numCache>
                <c:formatCode>General</c:formatCode>
                <c:ptCount val="25"/>
                <c:pt idx="0">
                  <c:v>27</c:v>
                </c:pt>
                <c:pt idx="1">
                  <c:v>26</c:v>
                </c:pt>
                <c:pt idx="2">
                  <c:v>25</c:v>
                </c:pt>
                <c:pt idx="3">
                  <c:v>16</c:v>
                </c:pt>
                <c:pt idx="4">
                  <c:v>15</c:v>
                </c:pt>
                <c:pt idx="5">
                  <c:v>14</c:v>
                </c:pt>
                <c:pt idx="6">
                  <c:v>11</c:v>
                </c:pt>
                <c:pt idx="7">
                  <c:v>10</c:v>
                </c:pt>
                <c:pt idx="8">
                  <c:v>10</c:v>
                </c:pt>
                <c:pt idx="9">
                  <c:v>9</c:v>
                </c:pt>
                <c:pt idx="10">
                  <c:v>6</c:v>
                </c:pt>
                <c:pt idx="11">
                  <c:v>6</c:v>
                </c:pt>
                <c:pt idx="12">
                  <c:v>6</c:v>
                </c:pt>
                <c:pt idx="13">
                  <c:v>5</c:v>
                </c:pt>
                <c:pt idx="14">
                  <c:v>4</c:v>
                </c:pt>
                <c:pt idx="15">
                  <c:v>4</c:v>
                </c:pt>
                <c:pt idx="16">
                  <c:v>3</c:v>
                </c:pt>
                <c:pt idx="17">
                  <c:v>2</c:v>
                </c:pt>
                <c:pt idx="18">
                  <c:v>2</c:v>
                </c:pt>
                <c:pt idx="19">
                  <c:v>2</c:v>
                </c:pt>
                <c:pt idx="20">
                  <c:v>1</c:v>
                </c:pt>
                <c:pt idx="21">
                  <c:v>1</c:v>
                </c:pt>
                <c:pt idx="22">
                  <c:v>1</c:v>
                </c:pt>
                <c:pt idx="23">
                  <c:v>1</c:v>
                </c:pt>
                <c:pt idx="24">
                  <c:v>1</c:v>
                </c:pt>
              </c:numCache>
            </c:numRef>
          </c:val>
          <c:extLst xmlns:c16r2="http://schemas.microsoft.com/office/drawing/2015/06/chart">
            <c:ext xmlns:c16="http://schemas.microsoft.com/office/drawing/2014/chart" uri="{C3380CC4-5D6E-409C-BE32-E72D297353CC}">
              <c16:uniqueId val="{00000000-12CA-465A-A5A9-B4F220D93CC5}"/>
            </c:ext>
          </c:extLst>
        </c:ser>
        <c:dLbls>
          <c:showLegendKey val="0"/>
          <c:showVal val="0"/>
          <c:showCatName val="0"/>
          <c:showSerName val="0"/>
          <c:showPercent val="0"/>
          <c:showBubbleSize val="0"/>
        </c:dLbls>
        <c:gapWidth val="219"/>
        <c:overlap val="-27"/>
        <c:axId val="81051008"/>
        <c:axId val="82379904"/>
      </c:barChart>
      <c:catAx>
        <c:axId val="810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79904"/>
        <c:crosses val="autoZero"/>
        <c:auto val="1"/>
        <c:lblAlgn val="ctr"/>
        <c:lblOffset val="100"/>
        <c:noMultiLvlLbl val="0"/>
      </c:catAx>
      <c:valAx>
        <c:axId val="8237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5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Figure 5: To what extent do the current policies successful adress these challenges</a:t>
            </a:r>
            <a:endParaRPr lang="en-GB" sz="1200">
              <a:effectLst/>
            </a:endParaRPr>
          </a:p>
        </c:rich>
      </c:tx>
      <c:overlay val="0"/>
      <c:spPr>
        <a:noFill/>
        <a:ln>
          <a:noFill/>
        </a:ln>
        <a:effectLst/>
      </c:spPr>
    </c:title>
    <c:autoTitleDeleted val="0"/>
    <c:plotArea>
      <c:layout/>
      <c:barChart>
        <c:barDir val="bar"/>
        <c:grouping val="stacked"/>
        <c:varyColors val="0"/>
        <c:ser>
          <c:idx val="0"/>
          <c:order val="0"/>
          <c:tx>
            <c:strRef>
              <c:f>'Figure 5'!$B$1</c:f>
              <c:strCache>
                <c:ptCount val="1"/>
                <c:pt idx="0">
                  <c:v>EU at least fairly  addressing (fully addressed + fairly addressed)</c:v>
                </c:pt>
              </c:strCache>
            </c:strRef>
          </c:tx>
          <c:spPr>
            <a:solidFill>
              <a:srgbClr val="002060"/>
            </a:solidFill>
            <a:ln>
              <a:noFill/>
            </a:ln>
            <a:effectLst/>
          </c:spPr>
          <c:invertIfNegative val="0"/>
          <c:cat>
            <c:strRef>
              <c:f>'Figure 5'!$A$2:$A$23</c:f>
              <c:strCache>
                <c:ptCount val="22"/>
                <c:pt idx="0">
                  <c:v>Reduce unemployment and social disparities</c:v>
                </c:pt>
                <c:pt idx="1">
                  <c:v>Improve quality of public institutions (including digitalisation)</c:v>
                </c:pt>
                <c:pt idx="2">
                  <c:v>Support social investment and social innovation</c:v>
                </c:pt>
                <c:pt idx="3">
                  <c:v>Ensure that existing rules are applied and enforced consistently across the EU</c:v>
                </c:pt>
                <c:pt idx="4">
                  <c:v>Facilitate access to finance, in particular to SMEs</c:v>
                </c:pt>
                <c:pt idx="5">
                  <c:v>Ensure safe, sustainable transport and mobility</c:v>
                </c:pt>
                <c:pt idx="6">
                  <c:v>Facilitate digital transition of the economy, industry, services and society</c:v>
                </c:pt>
                <c:pt idx="7">
                  <c:v>Ensure a high level of consumer protection and effective redress</c:v>
                </c:pt>
                <c:pt idx="8">
                  <c:v>Promote a safe and sustainable food chain</c:v>
                </c:pt>
                <c:pt idx="9">
                  <c:v>Ensure a clean and healthy environment and the protection of natural resources</c:v>
                </c:pt>
                <c:pt idx="10">
                  <c:v>Support industrial development</c:v>
                </c:pt>
                <c:pt idx="11">
                  <c:v>Promote and protect public health</c:v>
                </c:pt>
                <c:pt idx="12">
                  <c:v>Promote security of citizens</c:v>
                </c:pt>
                <c:pt idx="13">
                  <c:v>Support education, skills and training</c:v>
                </c:pt>
                <c:pt idx="14">
                  <c:v>Promote financial stability</c:v>
                </c:pt>
                <c:pt idx="15">
                  <c:v>Support labour mobility</c:v>
                </c:pt>
                <c:pt idx="16">
                  <c:v>Ensure fair conditions of competition in the EU</c:v>
                </c:pt>
                <c:pt idx="17">
                  <c:v>Support capital flows and investment</c:v>
                </c:pt>
                <c:pt idx="18">
                  <c:v>Provide reliable and comparable statistics</c:v>
                </c:pt>
                <c:pt idx="19">
                  <c:v>Facilitate transition to low carbon and circular economy and resilience to climate change; support security of supply</c:v>
                </c:pt>
                <c:pt idx="20">
                  <c:v>Foster research and innovation across the EU</c:v>
                </c:pt>
                <c:pt idx="21">
                  <c:v>Ensure smooth circulation of goods both within EU and at EU borders</c:v>
                </c:pt>
              </c:strCache>
            </c:strRef>
          </c:cat>
          <c:val>
            <c:numRef>
              <c:f>'Figure 5'!$B$2:$B$23</c:f>
              <c:numCache>
                <c:formatCode>0%</c:formatCode>
                <c:ptCount val="22"/>
                <c:pt idx="0">
                  <c:v>0.21285140562248994</c:v>
                </c:pt>
                <c:pt idx="1">
                  <c:v>0.29460580912863066</c:v>
                </c:pt>
                <c:pt idx="2">
                  <c:v>0.31634819532908709</c:v>
                </c:pt>
                <c:pt idx="3">
                  <c:v>0.38900203665987776</c:v>
                </c:pt>
                <c:pt idx="4">
                  <c:v>0.4</c:v>
                </c:pt>
                <c:pt idx="5">
                  <c:v>0.40518962075848308</c:v>
                </c:pt>
                <c:pt idx="6">
                  <c:v>0.40690978886756235</c:v>
                </c:pt>
                <c:pt idx="7">
                  <c:v>0.45739910313901344</c:v>
                </c:pt>
                <c:pt idx="8">
                  <c:v>0.4575892857142857</c:v>
                </c:pt>
                <c:pt idx="9">
                  <c:v>0.45849056603773586</c:v>
                </c:pt>
                <c:pt idx="10">
                  <c:v>0.45857418111753367</c:v>
                </c:pt>
                <c:pt idx="11">
                  <c:v>0.45918367346938771</c:v>
                </c:pt>
                <c:pt idx="12">
                  <c:v>0.47071129707112969</c:v>
                </c:pt>
                <c:pt idx="13">
                  <c:v>0.4873646209386282</c:v>
                </c:pt>
                <c:pt idx="14">
                  <c:v>0.48893805309734517</c:v>
                </c:pt>
                <c:pt idx="15">
                  <c:v>0.49064449064449067</c:v>
                </c:pt>
                <c:pt idx="16">
                  <c:v>0.49891067538126366</c:v>
                </c:pt>
                <c:pt idx="17">
                  <c:v>0.5304347826086957</c:v>
                </c:pt>
                <c:pt idx="18">
                  <c:v>0.53579175704989157</c:v>
                </c:pt>
                <c:pt idx="19">
                  <c:v>0.56230031948881787</c:v>
                </c:pt>
                <c:pt idx="20">
                  <c:v>0.61799660441426152</c:v>
                </c:pt>
                <c:pt idx="21">
                  <c:v>0.67391304347826086</c:v>
                </c:pt>
              </c:numCache>
            </c:numRef>
          </c:val>
          <c:extLst xmlns:c16r2="http://schemas.microsoft.com/office/drawing/2015/06/chart">
            <c:ext xmlns:c16="http://schemas.microsoft.com/office/drawing/2014/chart" uri="{C3380CC4-5D6E-409C-BE32-E72D297353CC}">
              <c16:uniqueId val="{00000000-947D-4C85-B356-3D29B78E1F11}"/>
            </c:ext>
          </c:extLst>
        </c:ser>
        <c:ser>
          <c:idx val="1"/>
          <c:order val="1"/>
          <c:tx>
            <c:strRef>
              <c:f>'Figure 5'!$C$1</c:f>
              <c:strCache>
                <c:ptCount val="1"/>
                <c:pt idx="0">
                  <c:v>EU not addressing (addressing at some extent + not at all)</c:v>
                </c:pt>
              </c:strCache>
            </c:strRef>
          </c:tx>
          <c:spPr>
            <a:solidFill>
              <a:srgbClr val="C00000"/>
            </a:solidFill>
            <a:ln>
              <a:noFill/>
            </a:ln>
            <a:effectLst/>
          </c:spPr>
          <c:invertIfNegative val="0"/>
          <c:cat>
            <c:strRef>
              <c:f>'Figure 5'!$A$2:$A$23</c:f>
              <c:strCache>
                <c:ptCount val="22"/>
                <c:pt idx="0">
                  <c:v>Reduce unemployment and social disparities</c:v>
                </c:pt>
                <c:pt idx="1">
                  <c:v>Improve quality of public institutions (including digitalisation)</c:v>
                </c:pt>
                <c:pt idx="2">
                  <c:v>Support social investment and social innovation</c:v>
                </c:pt>
                <c:pt idx="3">
                  <c:v>Ensure that existing rules are applied and enforced consistently across the EU</c:v>
                </c:pt>
                <c:pt idx="4">
                  <c:v>Facilitate access to finance, in particular to SMEs</c:v>
                </c:pt>
                <c:pt idx="5">
                  <c:v>Ensure safe, sustainable transport and mobility</c:v>
                </c:pt>
                <c:pt idx="6">
                  <c:v>Facilitate digital transition of the economy, industry, services and society</c:v>
                </c:pt>
                <c:pt idx="7">
                  <c:v>Ensure a high level of consumer protection and effective redress</c:v>
                </c:pt>
                <c:pt idx="8">
                  <c:v>Promote a safe and sustainable food chain</c:v>
                </c:pt>
                <c:pt idx="9">
                  <c:v>Ensure a clean and healthy environment and the protection of natural resources</c:v>
                </c:pt>
                <c:pt idx="10">
                  <c:v>Support industrial development</c:v>
                </c:pt>
                <c:pt idx="11">
                  <c:v>Promote and protect public health</c:v>
                </c:pt>
                <c:pt idx="12">
                  <c:v>Promote security of citizens</c:v>
                </c:pt>
                <c:pt idx="13">
                  <c:v>Support education, skills and training</c:v>
                </c:pt>
                <c:pt idx="14">
                  <c:v>Promote financial stability</c:v>
                </c:pt>
                <c:pt idx="15">
                  <c:v>Support labour mobility</c:v>
                </c:pt>
                <c:pt idx="16">
                  <c:v>Ensure fair conditions of competition in the EU</c:v>
                </c:pt>
                <c:pt idx="17">
                  <c:v>Support capital flows and investment</c:v>
                </c:pt>
                <c:pt idx="18">
                  <c:v>Provide reliable and comparable statistics</c:v>
                </c:pt>
                <c:pt idx="19">
                  <c:v>Facilitate transition to low carbon and circular economy and resilience to climate change; support security of supply</c:v>
                </c:pt>
                <c:pt idx="20">
                  <c:v>Foster research and innovation across the EU</c:v>
                </c:pt>
                <c:pt idx="21">
                  <c:v>Ensure smooth circulation of goods both within EU and at EU borders</c:v>
                </c:pt>
              </c:strCache>
            </c:strRef>
          </c:cat>
          <c:val>
            <c:numRef>
              <c:f>'Figure 5'!$C$2:$C$23</c:f>
              <c:numCache>
                <c:formatCode>0%</c:formatCode>
                <c:ptCount val="22"/>
                <c:pt idx="0">
                  <c:v>0.78714859437751006</c:v>
                </c:pt>
                <c:pt idx="1">
                  <c:v>0.70539419087136934</c:v>
                </c:pt>
                <c:pt idx="2">
                  <c:v>0.68365180467091291</c:v>
                </c:pt>
                <c:pt idx="3">
                  <c:v>0.61099796334012224</c:v>
                </c:pt>
                <c:pt idx="4">
                  <c:v>0.6</c:v>
                </c:pt>
                <c:pt idx="5">
                  <c:v>0.59481037924151692</c:v>
                </c:pt>
                <c:pt idx="6">
                  <c:v>0.59309021113243765</c:v>
                </c:pt>
                <c:pt idx="7">
                  <c:v>0.54260089686098656</c:v>
                </c:pt>
                <c:pt idx="8">
                  <c:v>0.5424107142857143</c:v>
                </c:pt>
                <c:pt idx="9">
                  <c:v>0.54150943396226414</c:v>
                </c:pt>
                <c:pt idx="10">
                  <c:v>0.54142581888246633</c:v>
                </c:pt>
                <c:pt idx="11">
                  <c:v>0.54081632653061229</c:v>
                </c:pt>
                <c:pt idx="12">
                  <c:v>0.52928870292887031</c:v>
                </c:pt>
                <c:pt idx="13">
                  <c:v>0.5126353790613718</c:v>
                </c:pt>
                <c:pt idx="14">
                  <c:v>0.51106194690265483</c:v>
                </c:pt>
                <c:pt idx="15">
                  <c:v>0.50935550935550933</c:v>
                </c:pt>
                <c:pt idx="16">
                  <c:v>0.50108932461873634</c:v>
                </c:pt>
                <c:pt idx="17">
                  <c:v>0.46956521739130436</c:v>
                </c:pt>
                <c:pt idx="18">
                  <c:v>0.46420824295010849</c:v>
                </c:pt>
                <c:pt idx="19">
                  <c:v>0.43769968051118213</c:v>
                </c:pt>
                <c:pt idx="20">
                  <c:v>0.38200339558573854</c:v>
                </c:pt>
                <c:pt idx="21">
                  <c:v>0.32608695652173914</c:v>
                </c:pt>
              </c:numCache>
            </c:numRef>
          </c:val>
          <c:extLst xmlns:c16r2="http://schemas.microsoft.com/office/drawing/2015/06/chart">
            <c:ext xmlns:c16="http://schemas.microsoft.com/office/drawing/2014/chart" uri="{C3380CC4-5D6E-409C-BE32-E72D297353CC}">
              <c16:uniqueId val="{00000001-947D-4C85-B356-3D29B78E1F11}"/>
            </c:ext>
          </c:extLst>
        </c:ser>
        <c:dLbls>
          <c:showLegendKey val="0"/>
          <c:showVal val="0"/>
          <c:showCatName val="0"/>
          <c:showSerName val="0"/>
          <c:showPercent val="0"/>
          <c:showBubbleSize val="0"/>
        </c:dLbls>
        <c:gapWidth val="150"/>
        <c:overlap val="100"/>
        <c:axId val="82406784"/>
        <c:axId val="82408576"/>
      </c:barChart>
      <c:catAx>
        <c:axId val="8240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408576"/>
        <c:crosses val="autoZero"/>
        <c:auto val="1"/>
        <c:lblAlgn val="ctr"/>
        <c:lblOffset val="100"/>
        <c:noMultiLvlLbl val="0"/>
      </c:catAx>
      <c:valAx>
        <c:axId val="82408576"/>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0678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Figure 7 :</a:t>
            </a:r>
            <a:r>
              <a:rPr lang="en-GB" sz="1000" b="0" i="0" u="none" strike="noStrike" kern="1200" spc="0" baseline="0">
                <a:solidFill>
                  <a:sysClr val="windowText" lastClr="000000">
                    <a:lumMod val="65000"/>
                    <a:lumOff val="35000"/>
                  </a:sysClr>
                </a:solidFill>
                <a:effectLst/>
                <a:latin typeface="+mn-lt"/>
                <a:ea typeface="+mn-ea"/>
                <a:cs typeface="+mn-cs"/>
              </a:rPr>
              <a:t> </a:t>
            </a:r>
            <a:r>
              <a:rPr lang="en-GB" sz="1000" b="0" i="0" u="none" strike="noStrike" baseline="0">
                <a:effectLst/>
              </a:rPr>
              <a:t>The Commission has preliminarily identified a number of policy challenges which programmes/funds in this area of investment, research &amp; innovation, SMEs and single market could address. How important are these policy challenges in your view</a:t>
            </a:r>
            <a:endParaRPr lang="en-GB" sz="1000"/>
          </a:p>
        </c:rich>
      </c:tx>
      <c:overlay val="0"/>
      <c:spPr>
        <a:noFill/>
        <a:ln>
          <a:noFill/>
        </a:ln>
        <a:effectLst/>
      </c:spPr>
    </c:title>
    <c:autoTitleDeleted val="0"/>
    <c:plotArea>
      <c:layout/>
      <c:barChart>
        <c:barDir val="bar"/>
        <c:grouping val="stacked"/>
        <c:varyColors val="0"/>
        <c:ser>
          <c:idx val="0"/>
          <c:order val="0"/>
          <c:tx>
            <c:strRef>
              <c:f>Sheet2!$B$80</c:f>
              <c:strCache>
                <c:ptCount val="1"/>
                <c:pt idx="0">
                  <c:v>Great Importance (Very Important + Rather Important)</c:v>
                </c:pt>
              </c:strCache>
            </c:strRef>
          </c:tx>
          <c:spPr>
            <a:solidFill>
              <a:srgbClr val="002060"/>
            </a:solidFill>
            <a:ln>
              <a:noFill/>
            </a:ln>
            <a:effectLst/>
          </c:spPr>
          <c:invertIfNegative val="0"/>
          <c:cat>
            <c:strRef>
              <c:f>Sheet2!$A$81:$A$101</c:f>
              <c:strCache>
                <c:ptCount val="21"/>
                <c:pt idx="0">
                  <c:v>Support capital flows and investment</c:v>
                </c:pt>
                <c:pt idx="1">
                  <c:v>Support labour mobility</c:v>
                </c:pt>
                <c:pt idx="2">
                  <c:v>Ensure smooth circulation of goods both within EU and at EU borders</c:v>
                </c:pt>
                <c:pt idx="3">
                  <c:v>Ensure a high level of consumer protection and effective redress</c:v>
                </c:pt>
                <c:pt idx="4">
                  <c:v>Promote financial stability</c:v>
                </c:pt>
                <c:pt idx="5">
                  <c:v>Promote security of citizens</c:v>
                </c:pt>
                <c:pt idx="6">
                  <c:v>Support social investment and social innovation</c:v>
                </c:pt>
                <c:pt idx="7">
                  <c:v>Ensure that existing rules are applied and enforced consistently across the EU</c:v>
                </c:pt>
                <c:pt idx="8">
                  <c:v>Improve quality of public institutions (including digitalisation)</c:v>
                </c:pt>
                <c:pt idx="9">
                  <c:v>Ensure safe, sustainable transport and mobility</c:v>
                </c:pt>
                <c:pt idx="10">
                  <c:v>Facilitate access to finance, in particular to SMEs</c:v>
                </c:pt>
                <c:pt idx="11">
                  <c:v>Support industrial development</c:v>
                </c:pt>
                <c:pt idx="12">
                  <c:v>Ensure fair conditions of competition in the EU</c:v>
                </c:pt>
                <c:pt idx="13">
                  <c:v>Promote a safe and sustainable food chain</c:v>
                </c:pt>
                <c:pt idx="14">
                  <c:v>Promote and protect public health</c:v>
                </c:pt>
                <c:pt idx="15">
                  <c:v>Facilitate digital transition of the economy, industry, services and society</c:v>
                </c:pt>
                <c:pt idx="16">
                  <c:v>Reduce unemployment and social disparities</c:v>
                </c:pt>
                <c:pt idx="17">
                  <c:v>Facilitate transition to low carbon and circular economy and resilience to climate change, support security of supply</c:v>
                </c:pt>
                <c:pt idx="18">
                  <c:v>Ensure a clean and healthy environment and the protection of natural resources</c:v>
                </c:pt>
                <c:pt idx="19">
                  <c:v>Support education, skills and training</c:v>
                </c:pt>
                <c:pt idx="20">
                  <c:v>Foster research and innovation across the EU</c:v>
                </c:pt>
              </c:strCache>
            </c:strRef>
          </c:cat>
          <c:val>
            <c:numRef>
              <c:f>Sheet2!$B$81:$B$101</c:f>
              <c:numCache>
                <c:formatCode>0%</c:formatCode>
                <c:ptCount val="21"/>
                <c:pt idx="0">
                  <c:v>0.63157894736842102</c:v>
                </c:pt>
                <c:pt idx="1">
                  <c:v>0.65457685664939547</c:v>
                </c:pt>
                <c:pt idx="2">
                  <c:v>0.66608084358523723</c:v>
                </c:pt>
                <c:pt idx="3">
                  <c:v>0.67504488330341117</c:v>
                </c:pt>
                <c:pt idx="4">
                  <c:v>0.71001757469244287</c:v>
                </c:pt>
                <c:pt idx="5">
                  <c:v>0.71600688468158347</c:v>
                </c:pt>
                <c:pt idx="6">
                  <c:v>0.73949579831932777</c:v>
                </c:pt>
                <c:pt idx="7">
                  <c:v>0.74749163879598657</c:v>
                </c:pt>
                <c:pt idx="8">
                  <c:v>0.75168918918918914</c:v>
                </c:pt>
                <c:pt idx="9">
                  <c:v>0.75873544093178036</c:v>
                </c:pt>
                <c:pt idx="10">
                  <c:v>0.76166666666666671</c:v>
                </c:pt>
                <c:pt idx="11">
                  <c:v>0.771004942339374</c:v>
                </c:pt>
                <c:pt idx="12">
                  <c:v>0.79695431472081213</c:v>
                </c:pt>
                <c:pt idx="13">
                  <c:v>0.80139372822299648</c:v>
                </c:pt>
                <c:pt idx="14">
                  <c:v>0.81848739495798317</c:v>
                </c:pt>
                <c:pt idx="15">
                  <c:v>0.82154340836012862</c:v>
                </c:pt>
                <c:pt idx="16">
                  <c:v>0.82402707275803722</c:v>
                </c:pt>
                <c:pt idx="17">
                  <c:v>0.88778877887788776</c:v>
                </c:pt>
                <c:pt idx="18">
                  <c:v>0.89105691056910574</c:v>
                </c:pt>
                <c:pt idx="19">
                  <c:v>0.90836012861736337</c:v>
                </c:pt>
                <c:pt idx="20">
                  <c:v>0.92586750788643535</c:v>
                </c:pt>
              </c:numCache>
            </c:numRef>
          </c:val>
          <c:extLst xmlns:c16r2="http://schemas.microsoft.com/office/drawing/2015/06/chart">
            <c:ext xmlns:c16="http://schemas.microsoft.com/office/drawing/2014/chart" uri="{C3380CC4-5D6E-409C-BE32-E72D297353CC}">
              <c16:uniqueId val="{00000000-C108-4972-B1CB-1AEF2B8CD9F6}"/>
            </c:ext>
          </c:extLst>
        </c:ser>
        <c:ser>
          <c:idx val="1"/>
          <c:order val="1"/>
          <c:tx>
            <c:strRef>
              <c:f>Sheet2!$C$80</c:f>
              <c:strCache>
                <c:ptCount val="1"/>
                <c:pt idx="0">
                  <c:v>No Importance (Neither + Rather not important + not at all)</c:v>
                </c:pt>
              </c:strCache>
            </c:strRef>
          </c:tx>
          <c:spPr>
            <a:solidFill>
              <a:srgbClr val="C00000"/>
            </a:solidFill>
            <a:ln>
              <a:noFill/>
            </a:ln>
            <a:effectLst/>
          </c:spPr>
          <c:invertIfNegative val="0"/>
          <c:cat>
            <c:strRef>
              <c:f>Sheet2!$A$81:$A$101</c:f>
              <c:strCache>
                <c:ptCount val="21"/>
                <c:pt idx="0">
                  <c:v>Support capital flows and investment</c:v>
                </c:pt>
                <c:pt idx="1">
                  <c:v>Support labour mobility</c:v>
                </c:pt>
                <c:pt idx="2">
                  <c:v>Ensure smooth circulation of goods both within EU and at EU borders</c:v>
                </c:pt>
                <c:pt idx="3">
                  <c:v>Ensure a high level of consumer protection and effective redress</c:v>
                </c:pt>
                <c:pt idx="4">
                  <c:v>Promote financial stability</c:v>
                </c:pt>
                <c:pt idx="5">
                  <c:v>Promote security of citizens</c:v>
                </c:pt>
                <c:pt idx="6">
                  <c:v>Support social investment and social innovation</c:v>
                </c:pt>
                <c:pt idx="7">
                  <c:v>Ensure that existing rules are applied and enforced consistently across the EU</c:v>
                </c:pt>
                <c:pt idx="8">
                  <c:v>Improve quality of public institutions (including digitalisation)</c:v>
                </c:pt>
                <c:pt idx="9">
                  <c:v>Ensure safe, sustainable transport and mobility</c:v>
                </c:pt>
                <c:pt idx="10">
                  <c:v>Facilitate access to finance, in particular to SMEs</c:v>
                </c:pt>
                <c:pt idx="11">
                  <c:v>Support industrial development</c:v>
                </c:pt>
                <c:pt idx="12">
                  <c:v>Ensure fair conditions of competition in the EU</c:v>
                </c:pt>
                <c:pt idx="13">
                  <c:v>Promote a safe and sustainable food chain</c:v>
                </c:pt>
                <c:pt idx="14">
                  <c:v>Promote and protect public health</c:v>
                </c:pt>
                <c:pt idx="15">
                  <c:v>Facilitate digital transition of the economy, industry, services and society</c:v>
                </c:pt>
                <c:pt idx="16">
                  <c:v>Reduce unemployment and social disparities</c:v>
                </c:pt>
                <c:pt idx="17">
                  <c:v>Facilitate transition to low carbon and circular economy and resilience to climate change, support security of supply</c:v>
                </c:pt>
                <c:pt idx="18">
                  <c:v>Ensure a clean and healthy environment and the protection of natural resources</c:v>
                </c:pt>
                <c:pt idx="19">
                  <c:v>Support education, skills and training</c:v>
                </c:pt>
                <c:pt idx="20">
                  <c:v>Foster research and innovation across the EU</c:v>
                </c:pt>
              </c:strCache>
            </c:strRef>
          </c:cat>
          <c:val>
            <c:numRef>
              <c:f>Sheet2!$C$81:$C$101</c:f>
              <c:numCache>
                <c:formatCode>0%</c:formatCode>
                <c:ptCount val="21"/>
                <c:pt idx="0">
                  <c:v>0.36842105263157898</c:v>
                </c:pt>
                <c:pt idx="1">
                  <c:v>0.34542314335060453</c:v>
                </c:pt>
                <c:pt idx="2">
                  <c:v>0.33391915641476277</c:v>
                </c:pt>
                <c:pt idx="3">
                  <c:v>0.32495511669658883</c:v>
                </c:pt>
                <c:pt idx="4">
                  <c:v>0.28998242530755713</c:v>
                </c:pt>
                <c:pt idx="5">
                  <c:v>0.28399311531841653</c:v>
                </c:pt>
                <c:pt idx="6">
                  <c:v>0.26050420168067223</c:v>
                </c:pt>
                <c:pt idx="7">
                  <c:v>0.25250836120401343</c:v>
                </c:pt>
                <c:pt idx="8">
                  <c:v>0.24831081081081086</c:v>
                </c:pt>
                <c:pt idx="9">
                  <c:v>0.24126455906821964</c:v>
                </c:pt>
                <c:pt idx="10">
                  <c:v>0.23833333333333329</c:v>
                </c:pt>
                <c:pt idx="11">
                  <c:v>0.228995057660626</c:v>
                </c:pt>
                <c:pt idx="12">
                  <c:v>0.20304568527918787</c:v>
                </c:pt>
                <c:pt idx="13">
                  <c:v>0.19860627177700352</c:v>
                </c:pt>
                <c:pt idx="14">
                  <c:v>0.18151260504201683</c:v>
                </c:pt>
                <c:pt idx="15">
                  <c:v>0.17845659163987138</c:v>
                </c:pt>
                <c:pt idx="16">
                  <c:v>0.17597292724196278</c:v>
                </c:pt>
                <c:pt idx="17">
                  <c:v>0.11221122112211224</c:v>
                </c:pt>
                <c:pt idx="18">
                  <c:v>0.10894308943089426</c:v>
                </c:pt>
                <c:pt idx="19">
                  <c:v>9.1639871382636628E-2</c:v>
                </c:pt>
                <c:pt idx="20">
                  <c:v>7.4132492113564652E-2</c:v>
                </c:pt>
              </c:numCache>
            </c:numRef>
          </c:val>
          <c:extLst xmlns:c16r2="http://schemas.microsoft.com/office/drawing/2015/06/chart">
            <c:ext xmlns:c16="http://schemas.microsoft.com/office/drawing/2014/chart" uri="{C3380CC4-5D6E-409C-BE32-E72D297353CC}">
              <c16:uniqueId val="{00000001-C108-4972-B1CB-1AEF2B8CD9F6}"/>
            </c:ext>
          </c:extLst>
        </c:ser>
        <c:dLbls>
          <c:showLegendKey val="0"/>
          <c:showVal val="0"/>
          <c:showCatName val="0"/>
          <c:showSerName val="0"/>
          <c:showPercent val="0"/>
          <c:showBubbleSize val="0"/>
        </c:dLbls>
        <c:gapWidth val="219"/>
        <c:overlap val="100"/>
        <c:axId val="82533376"/>
        <c:axId val="82535168"/>
      </c:barChart>
      <c:catAx>
        <c:axId val="8253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535168"/>
        <c:crosses val="autoZero"/>
        <c:auto val="1"/>
        <c:lblAlgn val="ctr"/>
        <c:lblOffset val="100"/>
        <c:noMultiLvlLbl val="0"/>
      </c:catAx>
      <c:valAx>
        <c:axId val="82535168"/>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3337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000"/>
              <a:t>Figure 8: </a:t>
            </a:r>
            <a:r>
              <a:rPr lang="en-GB" sz="1000" b="0" i="0" baseline="0">
                <a:effectLst/>
              </a:rPr>
              <a:t>The Commission has preliminarily identified a number of steps that could help to further simplify and reduce administrative burdens for beneficiaries under current programmes/funds. To what extent would these steps be helpful in your view?</a:t>
            </a:r>
            <a:endParaRPr lang="en-GB" sz="1000">
              <a:effectLst/>
            </a:endParaRPr>
          </a:p>
        </c:rich>
      </c:tx>
      <c:overlay val="0"/>
      <c:spPr>
        <a:noFill/>
        <a:ln>
          <a:noFill/>
        </a:ln>
        <a:effectLst/>
      </c:spPr>
    </c:title>
    <c:autoTitleDeleted val="0"/>
    <c:plotArea>
      <c:layout/>
      <c:barChart>
        <c:barDir val="bar"/>
        <c:grouping val="stacked"/>
        <c:varyColors val="0"/>
        <c:ser>
          <c:idx val="0"/>
          <c:order val="0"/>
          <c:tx>
            <c:strRef>
              <c:f>Burden!$P$70</c:f>
              <c:strCache>
                <c:ptCount val="1"/>
                <c:pt idx="0">
                  <c:v>Burden (to a large extent + to a fairly extent)</c:v>
                </c:pt>
              </c:strCache>
            </c:strRef>
          </c:tx>
          <c:spPr>
            <a:solidFill>
              <a:srgbClr val="002060"/>
            </a:solidFill>
            <a:ln>
              <a:noFill/>
            </a:ln>
            <a:effectLst/>
          </c:spPr>
          <c:invertIfNegative val="0"/>
          <c:cat>
            <c:strRef>
              <c:f>Burden!$O$71:$O$80</c:f>
              <c:strCache>
                <c:ptCount val="10"/>
                <c:pt idx="0">
                  <c:v>More reliance on national rules</c:v>
                </c:pt>
                <c:pt idx="1">
                  <c:v>More structured reporting</c:v>
                </c:pt>
                <c:pt idx="2">
                  <c:v>E-governance</c:v>
                </c:pt>
                <c:pt idx="3">
                  <c:v>Adequate administrative capacity</c:v>
                </c:pt>
                <c:pt idx="4">
                  <c:v>Extension of the single audit principle</c:v>
                </c:pt>
                <c:pt idx="5">
                  <c:v>User-friendly IT tools</c:v>
                </c:pt>
                <c:pt idx="6">
                  <c:v>Better feedback to applicants</c:v>
                </c:pt>
                <c:pt idx="7">
                  <c:v>A stable but flexible framework between programming periods</c:v>
                </c:pt>
                <c:pt idx="8">
                  <c:v>Alignment of rules between EU funds</c:v>
                </c:pt>
                <c:pt idx="9">
                  <c:v>Fewer, clearer, shorter rules</c:v>
                </c:pt>
              </c:strCache>
            </c:strRef>
          </c:cat>
          <c:val>
            <c:numRef>
              <c:f>Burden!$P$71:$P$80</c:f>
              <c:numCache>
                <c:formatCode>0%</c:formatCode>
                <c:ptCount val="10"/>
                <c:pt idx="0">
                  <c:v>0.37887067395264118</c:v>
                </c:pt>
                <c:pt idx="1">
                  <c:v>0.58639705882352944</c:v>
                </c:pt>
                <c:pt idx="2">
                  <c:v>0.71255060728744934</c:v>
                </c:pt>
                <c:pt idx="3">
                  <c:v>0.72574626865671643</c:v>
                </c:pt>
                <c:pt idx="4">
                  <c:v>0.73684210526315785</c:v>
                </c:pt>
                <c:pt idx="5">
                  <c:v>0.78509532062391685</c:v>
                </c:pt>
                <c:pt idx="6">
                  <c:v>0.79334500875656744</c:v>
                </c:pt>
                <c:pt idx="7">
                  <c:v>0.8033088235294118</c:v>
                </c:pt>
                <c:pt idx="8">
                  <c:v>0.87434554973821987</c:v>
                </c:pt>
                <c:pt idx="9">
                  <c:v>0.93288590604026844</c:v>
                </c:pt>
              </c:numCache>
            </c:numRef>
          </c:val>
          <c:extLst xmlns:c16r2="http://schemas.microsoft.com/office/drawing/2015/06/chart">
            <c:ext xmlns:c16="http://schemas.microsoft.com/office/drawing/2014/chart" uri="{C3380CC4-5D6E-409C-BE32-E72D297353CC}">
              <c16:uniqueId val="{00000000-0836-4EF1-915E-A916BE02D886}"/>
            </c:ext>
          </c:extLst>
        </c:ser>
        <c:ser>
          <c:idx val="1"/>
          <c:order val="1"/>
          <c:tx>
            <c:strRef>
              <c:f>Burden!$Q$70</c:f>
              <c:strCache>
                <c:ptCount val="1"/>
                <c:pt idx="0">
                  <c:v>not a burden (to some extent only + not at all)</c:v>
                </c:pt>
              </c:strCache>
            </c:strRef>
          </c:tx>
          <c:spPr>
            <a:solidFill>
              <a:srgbClr val="C00000"/>
            </a:solidFill>
            <a:ln>
              <a:noFill/>
            </a:ln>
            <a:effectLst/>
          </c:spPr>
          <c:invertIfNegative val="0"/>
          <c:cat>
            <c:strRef>
              <c:f>Burden!$O$71:$O$80</c:f>
              <c:strCache>
                <c:ptCount val="10"/>
                <c:pt idx="0">
                  <c:v>More reliance on national rules</c:v>
                </c:pt>
                <c:pt idx="1">
                  <c:v>More structured reporting</c:v>
                </c:pt>
                <c:pt idx="2">
                  <c:v>E-governance</c:v>
                </c:pt>
                <c:pt idx="3">
                  <c:v>Adequate administrative capacity</c:v>
                </c:pt>
                <c:pt idx="4">
                  <c:v>Extension of the single audit principle</c:v>
                </c:pt>
                <c:pt idx="5">
                  <c:v>User-friendly IT tools</c:v>
                </c:pt>
                <c:pt idx="6">
                  <c:v>Better feedback to applicants</c:v>
                </c:pt>
                <c:pt idx="7">
                  <c:v>A stable but flexible framework between programming periods</c:v>
                </c:pt>
                <c:pt idx="8">
                  <c:v>Alignment of rules between EU funds</c:v>
                </c:pt>
                <c:pt idx="9">
                  <c:v>Fewer, clearer, shorter rules</c:v>
                </c:pt>
              </c:strCache>
            </c:strRef>
          </c:cat>
          <c:val>
            <c:numRef>
              <c:f>Burden!$Q$71:$Q$80</c:f>
              <c:numCache>
                <c:formatCode>0%</c:formatCode>
                <c:ptCount val="10"/>
                <c:pt idx="0">
                  <c:v>0.62112932604735882</c:v>
                </c:pt>
                <c:pt idx="1">
                  <c:v>0.41360294117647056</c:v>
                </c:pt>
                <c:pt idx="2">
                  <c:v>0.28744939271255066</c:v>
                </c:pt>
                <c:pt idx="3">
                  <c:v>0.27425373134328357</c:v>
                </c:pt>
                <c:pt idx="4">
                  <c:v>0.26315789473684215</c:v>
                </c:pt>
                <c:pt idx="5">
                  <c:v>0.21490467937608315</c:v>
                </c:pt>
                <c:pt idx="6">
                  <c:v>0.20665499124343256</c:v>
                </c:pt>
                <c:pt idx="7">
                  <c:v>0.1966911764705882</c:v>
                </c:pt>
                <c:pt idx="8">
                  <c:v>0.12565445026178013</c:v>
                </c:pt>
                <c:pt idx="9">
                  <c:v>6.7114093959731558E-2</c:v>
                </c:pt>
              </c:numCache>
            </c:numRef>
          </c:val>
          <c:extLst xmlns:c16r2="http://schemas.microsoft.com/office/drawing/2015/06/chart">
            <c:ext xmlns:c16="http://schemas.microsoft.com/office/drawing/2014/chart" uri="{C3380CC4-5D6E-409C-BE32-E72D297353CC}">
              <c16:uniqueId val="{00000001-0836-4EF1-915E-A916BE02D886}"/>
            </c:ext>
          </c:extLst>
        </c:ser>
        <c:dLbls>
          <c:showLegendKey val="0"/>
          <c:showVal val="0"/>
          <c:showCatName val="0"/>
          <c:showSerName val="0"/>
          <c:showPercent val="0"/>
          <c:showBubbleSize val="0"/>
        </c:dLbls>
        <c:gapWidth val="150"/>
        <c:overlap val="100"/>
        <c:axId val="82560512"/>
        <c:axId val="82562048"/>
      </c:barChart>
      <c:catAx>
        <c:axId val="8256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562048"/>
        <c:crosses val="autoZero"/>
        <c:auto val="1"/>
        <c:lblAlgn val="ctr"/>
        <c:lblOffset val="100"/>
        <c:noMultiLvlLbl val="0"/>
      </c:catAx>
      <c:valAx>
        <c:axId val="82562048"/>
        <c:scaling>
          <c:orientation val="minMax"/>
          <c:max val="1"/>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60512"/>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Figure 9: Percentage of respondents considering</a:t>
            </a:r>
            <a:r>
              <a:rPr lang="en-GB" sz="1100" b="0" i="0" u="none" strike="noStrike" kern="1200" spc="0" baseline="0">
                <a:solidFill>
                  <a:sysClr val="windowText" lastClr="000000">
                    <a:lumMod val="65000"/>
                    <a:lumOff val="35000"/>
                  </a:sysClr>
                </a:solidFill>
                <a:effectLst/>
                <a:latin typeface="+mn-lt"/>
                <a:ea typeface="+mn-ea"/>
                <a:cs typeface="+mn-cs"/>
              </a:rPr>
              <a:t> </a:t>
            </a:r>
            <a:r>
              <a:rPr lang="en-GB" sz="1100" b="0" i="0" baseline="0">
                <a:effectLst/>
              </a:rPr>
              <a:t>the insufficient use of FIs as obstacles which prevent the current programmes/funds from successfully achieving their objectives</a:t>
            </a:r>
            <a:endParaRPr lang="en-GB" sz="1100">
              <a:effectLst/>
            </a:endParaRPr>
          </a:p>
        </c:rich>
      </c:tx>
      <c:overlay val="0"/>
      <c:spPr>
        <a:noFill/>
        <a:ln>
          <a:noFill/>
        </a:ln>
        <a:effectLst/>
      </c:spPr>
    </c:title>
    <c:autoTitleDeleted val="0"/>
    <c:plotArea>
      <c:layout/>
      <c:barChart>
        <c:barDir val="bar"/>
        <c:grouping val="percentStacked"/>
        <c:varyColors val="0"/>
        <c:ser>
          <c:idx val="0"/>
          <c:order val="0"/>
          <c:tx>
            <c:strRef>
              <c:f>'Other OPC'!$H$1</c:f>
              <c:strCache>
                <c:ptCount val="1"/>
                <c:pt idx="0">
                  <c:v>Insufficient </c:v>
                </c:pt>
              </c:strCache>
            </c:strRef>
          </c:tx>
          <c:spPr>
            <a:solidFill>
              <a:srgbClr val="002060"/>
            </a:solidFill>
            <a:ln>
              <a:noFill/>
            </a:ln>
            <a:effectLst/>
          </c:spPr>
          <c:invertIfNegative val="0"/>
          <c:cat>
            <c:strRef>
              <c:f>'Other OPC'!$A$2:$A$3</c:f>
              <c:strCache>
                <c:ptCount val="2"/>
                <c:pt idx="0">
                  <c:v>Cohesion</c:v>
                </c:pt>
                <c:pt idx="1">
                  <c:v>EU Funds Security</c:v>
                </c:pt>
              </c:strCache>
            </c:strRef>
          </c:cat>
          <c:val>
            <c:numRef>
              <c:f>'Other OPC'!$H$2:$H$3</c:f>
              <c:numCache>
                <c:formatCode>General</c:formatCode>
                <c:ptCount val="2"/>
                <c:pt idx="0">
                  <c:v>0.4143537987104009</c:v>
                </c:pt>
                <c:pt idx="1">
                  <c:v>0.43478260869565216</c:v>
                </c:pt>
              </c:numCache>
            </c:numRef>
          </c:val>
          <c:extLst xmlns:c16r2="http://schemas.microsoft.com/office/drawing/2015/06/chart">
            <c:ext xmlns:c16="http://schemas.microsoft.com/office/drawing/2014/chart" uri="{C3380CC4-5D6E-409C-BE32-E72D297353CC}">
              <c16:uniqueId val="{00000000-CD86-47A8-ACA7-9B2563ACF90F}"/>
            </c:ext>
          </c:extLst>
        </c:ser>
        <c:ser>
          <c:idx val="1"/>
          <c:order val="1"/>
          <c:tx>
            <c:strRef>
              <c:f>'Other OPC'!$I$1</c:f>
              <c:strCache>
                <c:ptCount val="1"/>
                <c:pt idx="0">
                  <c:v>Sufficient </c:v>
                </c:pt>
              </c:strCache>
            </c:strRef>
          </c:tx>
          <c:spPr>
            <a:solidFill>
              <a:srgbClr val="C00000"/>
            </a:solidFill>
            <a:ln>
              <a:noFill/>
            </a:ln>
            <a:effectLst/>
          </c:spPr>
          <c:invertIfNegative val="0"/>
          <c:cat>
            <c:strRef>
              <c:f>'Other OPC'!$A$2:$A$3</c:f>
              <c:strCache>
                <c:ptCount val="2"/>
                <c:pt idx="0">
                  <c:v>Cohesion</c:v>
                </c:pt>
                <c:pt idx="1">
                  <c:v>EU Funds Security</c:v>
                </c:pt>
              </c:strCache>
            </c:strRef>
          </c:cat>
          <c:val>
            <c:numRef>
              <c:f>'Other OPC'!$I$2:$I$3</c:f>
              <c:numCache>
                <c:formatCode>General</c:formatCode>
                <c:ptCount val="2"/>
                <c:pt idx="0">
                  <c:v>0.5856462012895991</c:v>
                </c:pt>
                <c:pt idx="1">
                  <c:v>0.56521739130434789</c:v>
                </c:pt>
              </c:numCache>
            </c:numRef>
          </c:val>
          <c:extLst xmlns:c16r2="http://schemas.microsoft.com/office/drawing/2015/06/chart">
            <c:ext xmlns:c16="http://schemas.microsoft.com/office/drawing/2014/chart" uri="{C3380CC4-5D6E-409C-BE32-E72D297353CC}">
              <c16:uniqueId val="{00000001-CD86-47A8-ACA7-9B2563ACF90F}"/>
            </c:ext>
          </c:extLst>
        </c:ser>
        <c:dLbls>
          <c:showLegendKey val="0"/>
          <c:showVal val="0"/>
          <c:showCatName val="0"/>
          <c:showSerName val="0"/>
          <c:showPercent val="0"/>
          <c:showBubbleSize val="0"/>
        </c:dLbls>
        <c:gapWidth val="150"/>
        <c:overlap val="100"/>
        <c:axId val="82494208"/>
        <c:axId val="82495744"/>
      </c:barChart>
      <c:catAx>
        <c:axId val="8249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95744"/>
        <c:crosses val="autoZero"/>
        <c:auto val="1"/>
        <c:lblAlgn val="ctr"/>
        <c:lblOffset val="100"/>
        <c:noMultiLvlLbl val="0"/>
      </c:catAx>
      <c:valAx>
        <c:axId val="82495744"/>
        <c:scaling>
          <c:orientation val="minMax"/>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9420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baseline="0">
                <a:effectLst/>
              </a:rPr>
              <a:t>Figure 10: Percentage of respondents considering difficulty to</a:t>
            </a:r>
            <a:r>
              <a:rPr lang="en-GB" sz="1000" b="0" i="0" u="none" strike="noStrike" kern="1200" spc="0" baseline="0">
                <a:solidFill>
                  <a:sysClr val="windowText" lastClr="000000">
                    <a:lumMod val="65000"/>
                    <a:lumOff val="35000"/>
                  </a:sysClr>
                </a:solidFill>
                <a:effectLst/>
                <a:latin typeface="+mn-lt"/>
                <a:ea typeface="+mn-ea"/>
                <a:cs typeface="+mn-cs"/>
              </a:rPr>
              <a:t> </a:t>
            </a:r>
            <a:r>
              <a:rPr lang="en-GB" sz="1000" b="0" i="0" baseline="0">
                <a:effectLst/>
              </a:rPr>
              <a:t>access to financial instruments</a:t>
            </a:r>
            <a:r>
              <a:rPr lang="en-GB" sz="1000" b="0" i="0" u="none" strike="noStrike" kern="1200" spc="0" baseline="0">
                <a:solidFill>
                  <a:sysClr val="windowText" lastClr="000000">
                    <a:lumMod val="65000"/>
                    <a:lumOff val="35000"/>
                  </a:sysClr>
                </a:solidFill>
                <a:effectLst/>
                <a:latin typeface="+mn-lt"/>
                <a:ea typeface="+mn-ea"/>
                <a:cs typeface="+mn-cs"/>
              </a:rPr>
              <a:t> </a:t>
            </a:r>
            <a:r>
              <a:rPr lang="en-GB" sz="1000" b="0" i="0" baseline="0">
                <a:effectLst/>
              </a:rPr>
              <a:t>as obstacle which prevent the current programmes/funds from successfully achieving their objectives</a:t>
            </a:r>
            <a:endParaRPr lang="en-GB" sz="1000">
              <a:effectLst/>
            </a:endParaRPr>
          </a:p>
        </c:rich>
      </c:tx>
      <c:overlay val="0"/>
      <c:spPr>
        <a:noFill/>
        <a:ln>
          <a:noFill/>
        </a:ln>
        <a:effectLst/>
      </c:spPr>
    </c:title>
    <c:autoTitleDeleted val="0"/>
    <c:plotArea>
      <c:layout/>
      <c:barChart>
        <c:barDir val="bar"/>
        <c:grouping val="percentStacked"/>
        <c:varyColors val="0"/>
        <c:ser>
          <c:idx val="0"/>
          <c:order val="0"/>
          <c:tx>
            <c:strRef>
              <c:f>'Other OPC'!$B$31</c:f>
              <c:strCache>
                <c:ptCount val="1"/>
                <c:pt idx="0">
                  <c:v>Difficulty to access</c:v>
                </c:pt>
              </c:strCache>
            </c:strRef>
          </c:tx>
          <c:spPr>
            <a:solidFill>
              <a:srgbClr val="002060"/>
            </a:solidFill>
            <a:ln>
              <a:noFill/>
            </a:ln>
            <a:effectLst/>
          </c:spPr>
          <c:invertIfNegative val="0"/>
          <c:cat>
            <c:strRef>
              <c:f>'Other OPC'!$A$32</c:f>
              <c:strCache>
                <c:ptCount val="1"/>
                <c:pt idx="0">
                  <c:v>Strategic Infrastructure </c:v>
                </c:pt>
              </c:strCache>
            </c:strRef>
          </c:cat>
          <c:val>
            <c:numRef>
              <c:f>'Other OPC'!$B$32</c:f>
              <c:numCache>
                <c:formatCode>General</c:formatCode>
                <c:ptCount val="1"/>
                <c:pt idx="0">
                  <c:v>0.56151419558359617</c:v>
                </c:pt>
              </c:numCache>
            </c:numRef>
          </c:val>
          <c:extLst xmlns:c16r2="http://schemas.microsoft.com/office/drawing/2015/06/chart">
            <c:ext xmlns:c16="http://schemas.microsoft.com/office/drawing/2014/chart" uri="{C3380CC4-5D6E-409C-BE32-E72D297353CC}">
              <c16:uniqueId val="{00000000-291F-46A3-B77A-39AD538D98B2}"/>
            </c:ext>
          </c:extLst>
        </c:ser>
        <c:ser>
          <c:idx val="1"/>
          <c:order val="1"/>
          <c:tx>
            <c:strRef>
              <c:f>'Other OPC'!$C$31</c:f>
              <c:strCache>
                <c:ptCount val="1"/>
                <c:pt idx="0">
                  <c:v>Easy to access</c:v>
                </c:pt>
              </c:strCache>
            </c:strRef>
          </c:tx>
          <c:spPr>
            <a:solidFill>
              <a:srgbClr val="C00000"/>
            </a:solidFill>
            <a:ln>
              <a:noFill/>
            </a:ln>
            <a:effectLst/>
          </c:spPr>
          <c:invertIfNegative val="0"/>
          <c:cat>
            <c:strRef>
              <c:f>'Other OPC'!$A$32</c:f>
              <c:strCache>
                <c:ptCount val="1"/>
                <c:pt idx="0">
                  <c:v>Strategic Infrastructure </c:v>
                </c:pt>
              </c:strCache>
            </c:strRef>
          </c:cat>
          <c:val>
            <c:numRef>
              <c:f>'Other OPC'!$C$32</c:f>
              <c:numCache>
                <c:formatCode>General</c:formatCode>
                <c:ptCount val="1"/>
                <c:pt idx="0">
                  <c:v>0.43848580441640383</c:v>
                </c:pt>
              </c:numCache>
            </c:numRef>
          </c:val>
          <c:extLst xmlns:c16r2="http://schemas.microsoft.com/office/drawing/2015/06/chart">
            <c:ext xmlns:c16="http://schemas.microsoft.com/office/drawing/2014/chart" uri="{C3380CC4-5D6E-409C-BE32-E72D297353CC}">
              <c16:uniqueId val="{00000001-291F-46A3-B77A-39AD538D98B2}"/>
            </c:ext>
          </c:extLst>
        </c:ser>
        <c:dLbls>
          <c:showLegendKey val="0"/>
          <c:showVal val="0"/>
          <c:showCatName val="0"/>
          <c:showSerName val="0"/>
          <c:showPercent val="0"/>
          <c:showBubbleSize val="0"/>
        </c:dLbls>
        <c:gapWidth val="150"/>
        <c:overlap val="100"/>
        <c:axId val="82601088"/>
        <c:axId val="82602624"/>
      </c:barChart>
      <c:catAx>
        <c:axId val="8260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02624"/>
        <c:crosses val="autoZero"/>
        <c:auto val="1"/>
        <c:lblAlgn val="ctr"/>
        <c:lblOffset val="100"/>
        <c:noMultiLvlLbl val="0"/>
      </c:catAx>
      <c:valAx>
        <c:axId val="82602624"/>
        <c:scaling>
          <c:orientation val="minMax"/>
        </c:scaling>
        <c:delete val="0"/>
        <c:axPos val="b"/>
        <c:majorGridlines>
          <c:spPr>
            <a:ln w="12700"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0108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FCB5DC13C614684C03D619EE9A26D" ma:contentTypeVersion="0" ma:contentTypeDescription="Create a new document." ma:contentTypeScope="" ma:versionID="df4c09130e8b0223e3cc8a22bbadd672">
  <xsd:schema xmlns:xsd="http://www.w3.org/2001/XMLSchema" xmlns:xs="http://www.w3.org/2001/XMLSchema" xmlns:p="http://schemas.microsoft.com/office/2006/metadata/properties" targetNamespace="http://schemas.microsoft.com/office/2006/metadata/properties" ma:root="true" ma:fieldsID="c41db4e022f34b5568f4fb5a4f99f7b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0EB25-522B-4F4F-AD8A-09E5F7127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1FD3A0-265F-4B10-9999-519D10714321}">
  <ds:schemaRef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64FF0D-8326-4033-ABDE-ADAC210863D1}">
  <ds:schemaRefs>
    <ds:schemaRef ds:uri="http://schemas.microsoft.com/sharepoint/v3/contenttype/forms"/>
  </ds:schemaRefs>
</ds:datastoreItem>
</file>

<file path=customXml/itemProps4.xml><?xml version="1.0" encoding="utf-8"?>
<ds:datastoreItem xmlns:ds="http://schemas.openxmlformats.org/officeDocument/2006/customXml" ds:itemID="{389A1831-3F75-4CAA-B6AF-0FB30734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54034</Words>
  <Characters>315562</Characters>
  <Application>Microsoft Office Word</Application>
  <DocSecurity>0</DocSecurity>
  <Lines>7012</Lines>
  <Paragraphs>2980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2018-05-28T12:52:00Z</cp:lastPrinted>
  <dcterms:created xsi:type="dcterms:W3CDTF">2018-05-29T14:57:00Z</dcterms:created>
  <dcterms:modified xsi:type="dcterms:W3CDTF">2018-06-05T18:02:00Z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DocStatus">
    <vt:lpwstr>Green</vt:lpwstr>
  </property>
  <property fmtid="{D5CDD505-2E9C-101B-9397-08002B2CF9AE}" pid="6" name="ContentTypeId">
    <vt:lpwstr>0x010100F91FCB5DC13C614684C03D619EE9A26D</vt:lpwstr>
  </property>
  <property fmtid="{D5CDD505-2E9C-101B-9397-08002B2CF9AE}" pid="7" name="IsMyDocuments">
    <vt:bool>true</vt:bool>
  </property>
</Properties>
</file>