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E7995" w14:textId="4B57B684" w:rsidR="0021058A" w:rsidRDefault="00CA0738" w:rsidP="00CA0738">
      <w:pPr>
        <w:pStyle w:val="Pagedecouverture"/>
      </w:pPr>
      <w:bookmarkStart w:id="0" w:name="LW_BM_COVERPAGE"/>
      <w:r>
        <w:pict w14:anchorId="1622D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40862DFB-DF25-4908-A866-3841DD284C2A" style="width:450.75pt;height:403.5pt">
            <v:imagedata r:id="rId12" o:title=""/>
          </v:shape>
        </w:pict>
      </w:r>
    </w:p>
    <w:bookmarkEnd w:id="0"/>
    <w:p w14:paraId="14BE7996" w14:textId="77777777" w:rsidR="0021058A" w:rsidRDefault="0021058A" w:rsidP="0021058A">
      <w:pPr>
        <w:sectPr w:rsidR="0021058A" w:rsidSect="00CA0738">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14BE7997" w14:textId="77777777" w:rsidR="00244E6A" w:rsidRPr="00AF77BE" w:rsidRDefault="00244E6A" w:rsidP="00244E6A">
      <w:pPr>
        <w:pStyle w:val="TOCHeading"/>
        <w:rPr>
          <w:sz w:val="28"/>
          <w:szCs w:val="28"/>
        </w:rPr>
      </w:pPr>
      <w:bookmarkStart w:id="1" w:name="_GoBack"/>
      <w:bookmarkEnd w:id="1"/>
      <w:r w:rsidRPr="00AF77BE">
        <w:rPr>
          <w:sz w:val="28"/>
          <w:szCs w:val="28"/>
        </w:rPr>
        <w:lastRenderedPageBreak/>
        <w:t>Table of contents</w:t>
      </w:r>
    </w:p>
    <w:p w14:paraId="56C5F911" w14:textId="3A18322E" w:rsidR="00812D88" w:rsidRDefault="00244E6A">
      <w:pPr>
        <w:pStyle w:val="TOC1"/>
        <w:rPr>
          <w:rFonts w:asciiTheme="minorHAnsi" w:eastAsiaTheme="minorEastAsia" w:hAnsiTheme="minorHAnsi" w:cstheme="minorBidi"/>
          <w:caps w:val="0"/>
          <w:noProof/>
          <w:sz w:val="22"/>
          <w:szCs w:val="22"/>
          <w:lang w:eastAsia="en-GB"/>
        </w:rPr>
      </w:pPr>
      <w:r>
        <w:fldChar w:fldCharType="begin"/>
      </w:r>
      <w:r>
        <w:instrText xml:space="preserve"> TOC \o "1-1" \h \z \t "Heading 2;2;Heading 3;3;Annex Title;1" </w:instrText>
      </w:r>
      <w:r>
        <w:fldChar w:fldCharType="separate"/>
      </w:r>
      <w:hyperlink w:anchor="_Toc515012590" w:history="1">
        <w:r w:rsidR="00812D88" w:rsidRPr="008E12DC">
          <w:rPr>
            <w:rStyle w:val="Hyperlink"/>
            <w:noProof/>
          </w:rPr>
          <w:t>1.</w:t>
        </w:r>
        <w:r w:rsidR="00812D88">
          <w:rPr>
            <w:rFonts w:asciiTheme="minorHAnsi" w:eastAsiaTheme="minorEastAsia" w:hAnsiTheme="minorHAnsi" w:cstheme="minorBidi"/>
            <w:caps w:val="0"/>
            <w:noProof/>
            <w:sz w:val="22"/>
            <w:szCs w:val="22"/>
            <w:lang w:eastAsia="en-GB"/>
          </w:rPr>
          <w:tab/>
        </w:r>
        <w:r w:rsidR="00812D88" w:rsidRPr="008E12DC">
          <w:rPr>
            <w:rStyle w:val="Hyperlink"/>
            <w:noProof/>
          </w:rPr>
          <w:t>Problem statement and needs assessment</w:t>
        </w:r>
        <w:r w:rsidR="00812D88">
          <w:rPr>
            <w:noProof/>
            <w:webHidden/>
          </w:rPr>
          <w:tab/>
        </w:r>
        <w:r w:rsidR="00812D88">
          <w:rPr>
            <w:noProof/>
            <w:webHidden/>
          </w:rPr>
          <w:fldChar w:fldCharType="begin"/>
        </w:r>
        <w:r w:rsidR="00812D88">
          <w:rPr>
            <w:noProof/>
            <w:webHidden/>
          </w:rPr>
          <w:instrText xml:space="preserve"> PAGEREF _Toc515012590 \h </w:instrText>
        </w:r>
        <w:r w:rsidR="00812D88">
          <w:rPr>
            <w:noProof/>
            <w:webHidden/>
          </w:rPr>
        </w:r>
        <w:r w:rsidR="00812D88">
          <w:rPr>
            <w:noProof/>
            <w:webHidden/>
          </w:rPr>
          <w:fldChar w:fldCharType="separate"/>
        </w:r>
        <w:r w:rsidR="00ED6A78">
          <w:rPr>
            <w:noProof/>
            <w:webHidden/>
          </w:rPr>
          <w:t>3</w:t>
        </w:r>
        <w:r w:rsidR="00812D88">
          <w:rPr>
            <w:noProof/>
            <w:webHidden/>
          </w:rPr>
          <w:fldChar w:fldCharType="end"/>
        </w:r>
      </w:hyperlink>
    </w:p>
    <w:p w14:paraId="03F0EE5A" w14:textId="350E9EC7" w:rsidR="00812D88" w:rsidRDefault="00CA0738">
      <w:pPr>
        <w:pStyle w:val="TOC1"/>
        <w:rPr>
          <w:rFonts w:asciiTheme="minorHAnsi" w:eastAsiaTheme="minorEastAsia" w:hAnsiTheme="minorHAnsi" w:cstheme="minorBidi"/>
          <w:caps w:val="0"/>
          <w:noProof/>
          <w:sz w:val="22"/>
          <w:szCs w:val="22"/>
          <w:lang w:eastAsia="en-GB"/>
        </w:rPr>
      </w:pPr>
      <w:hyperlink w:anchor="_Toc515012591" w:history="1">
        <w:r w:rsidR="00812D88" w:rsidRPr="008E12DC">
          <w:rPr>
            <w:rStyle w:val="Hyperlink"/>
            <w:noProof/>
          </w:rPr>
          <w:t>2.</w:t>
        </w:r>
        <w:r w:rsidR="00812D88">
          <w:rPr>
            <w:rFonts w:asciiTheme="minorHAnsi" w:eastAsiaTheme="minorEastAsia" w:hAnsiTheme="minorHAnsi" w:cstheme="minorBidi"/>
            <w:caps w:val="0"/>
            <w:noProof/>
            <w:sz w:val="22"/>
            <w:szCs w:val="22"/>
            <w:lang w:eastAsia="en-GB"/>
          </w:rPr>
          <w:tab/>
        </w:r>
        <w:r w:rsidR="00812D88" w:rsidRPr="008E12DC">
          <w:rPr>
            <w:rStyle w:val="Hyperlink"/>
            <w:noProof/>
          </w:rPr>
          <w:t>EU added value</w:t>
        </w:r>
        <w:r w:rsidR="00812D88">
          <w:rPr>
            <w:noProof/>
            <w:webHidden/>
          </w:rPr>
          <w:tab/>
        </w:r>
        <w:r w:rsidR="00812D88">
          <w:rPr>
            <w:noProof/>
            <w:webHidden/>
          </w:rPr>
          <w:fldChar w:fldCharType="begin"/>
        </w:r>
        <w:r w:rsidR="00812D88">
          <w:rPr>
            <w:noProof/>
            <w:webHidden/>
          </w:rPr>
          <w:instrText xml:space="preserve"> PAGEREF _Toc515012591 \h </w:instrText>
        </w:r>
        <w:r w:rsidR="00812D88">
          <w:rPr>
            <w:noProof/>
            <w:webHidden/>
          </w:rPr>
        </w:r>
        <w:r w:rsidR="00812D88">
          <w:rPr>
            <w:noProof/>
            <w:webHidden/>
          </w:rPr>
          <w:fldChar w:fldCharType="separate"/>
        </w:r>
        <w:r w:rsidR="00ED6A78">
          <w:rPr>
            <w:noProof/>
            <w:webHidden/>
          </w:rPr>
          <w:t>9</w:t>
        </w:r>
        <w:r w:rsidR="00812D88">
          <w:rPr>
            <w:noProof/>
            <w:webHidden/>
          </w:rPr>
          <w:fldChar w:fldCharType="end"/>
        </w:r>
      </w:hyperlink>
    </w:p>
    <w:p w14:paraId="4CF498C2" w14:textId="6C98B585" w:rsidR="00812D88" w:rsidRDefault="00CA0738">
      <w:pPr>
        <w:pStyle w:val="TOC1"/>
        <w:rPr>
          <w:rFonts w:asciiTheme="minorHAnsi" w:eastAsiaTheme="minorEastAsia" w:hAnsiTheme="minorHAnsi" w:cstheme="minorBidi"/>
          <w:caps w:val="0"/>
          <w:noProof/>
          <w:sz w:val="22"/>
          <w:szCs w:val="22"/>
          <w:lang w:eastAsia="en-GB"/>
        </w:rPr>
      </w:pPr>
      <w:hyperlink w:anchor="_Toc515012592" w:history="1">
        <w:r w:rsidR="00812D88" w:rsidRPr="008E12DC">
          <w:rPr>
            <w:rStyle w:val="Hyperlink"/>
            <w:noProof/>
          </w:rPr>
          <w:t>3.</w:t>
        </w:r>
        <w:r w:rsidR="00812D88">
          <w:rPr>
            <w:rFonts w:asciiTheme="minorHAnsi" w:eastAsiaTheme="minorEastAsia" w:hAnsiTheme="minorHAnsi" w:cstheme="minorBidi"/>
            <w:caps w:val="0"/>
            <w:noProof/>
            <w:sz w:val="22"/>
            <w:szCs w:val="22"/>
            <w:lang w:eastAsia="en-GB"/>
          </w:rPr>
          <w:tab/>
        </w:r>
        <w:r w:rsidR="00812D88" w:rsidRPr="008E12DC">
          <w:rPr>
            <w:rStyle w:val="Hyperlink"/>
            <w:noProof/>
          </w:rPr>
          <w:t>THE OBJECTIVES</w:t>
        </w:r>
        <w:r w:rsidR="00812D88">
          <w:rPr>
            <w:noProof/>
            <w:webHidden/>
          </w:rPr>
          <w:tab/>
        </w:r>
        <w:r w:rsidR="00812D88">
          <w:rPr>
            <w:noProof/>
            <w:webHidden/>
          </w:rPr>
          <w:fldChar w:fldCharType="begin"/>
        </w:r>
        <w:r w:rsidR="00812D88">
          <w:rPr>
            <w:noProof/>
            <w:webHidden/>
          </w:rPr>
          <w:instrText xml:space="preserve"> PAGEREF _Toc515012592 \h </w:instrText>
        </w:r>
        <w:r w:rsidR="00812D88">
          <w:rPr>
            <w:noProof/>
            <w:webHidden/>
          </w:rPr>
        </w:r>
        <w:r w:rsidR="00812D88">
          <w:rPr>
            <w:noProof/>
            <w:webHidden/>
          </w:rPr>
          <w:fldChar w:fldCharType="separate"/>
        </w:r>
        <w:r w:rsidR="00ED6A78">
          <w:rPr>
            <w:noProof/>
            <w:webHidden/>
          </w:rPr>
          <w:t>12</w:t>
        </w:r>
        <w:r w:rsidR="00812D88">
          <w:rPr>
            <w:noProof/>
            <w:webHidden/>
          </w:rPr>
          <w:fldChar w:fldCharType="end"/>
        </w:r>
      </w:hyperlink>
    </w:p>
    <w:p w14:paraId="5E952ECE" w14:textId="519748D7" w:rsidR="00812D88" w:rsidRDefault="00CA0738">
      <w:pPr>
        <w:pStyle w:val="TOC1"/>
        <w:rPr>
          <w:rFonts w:asciiTheme="minorHAnsi" w:eastAsiaTheme="minorEastAsia" w:hAnsiTheme="minorHAnsi" w:cstheme="minorBidi"/>
          <w:caps w:val="0"/>
          <w:noProof/>
          <w:sz w:val="22"/>
          <w:szCs w:val="22"/>
          <w:lang w:eastAsia="en-GB"/>
        </w:rPr>
      </w:pPr>
      <w:hyperlink w:anchor="_Toc515012593" w:history="1">
        <w:r w:rsidR="00812D88" w:rsidRPr="008E12DC">
          <w:rPr>
            <w:rStyle w:val="Hyperlink"/>
            <w:noProof/>
          </w:rPr>
          <w:t>4.</w:t>
        </w:r>
        <w:r w:rsidR="00812D88">
          <w:rPr>
            <w:rFonts w:asciiTheme="minorHAnsi" w:eastAsiaTheme="minorEastAsia" w:hAnsiTheme="minorHAnsi" w:cstheme="minorBidi"/>
            <w:caps w:val="0"/>
            <w:noProof/>
            <w:sz w:val="22"/>
            <w:szCs w:val="22"/>
            <w:lang w:eastAsia="en-GB"/>
          </w:rPr>
          <w:tab/>
        </w:r>
        <w:r w:rsidR="00812D88" w:rsidRPr="008E12DC">
          <w:rPr>
            <w:rStyle w:val="Hyperlink"/>
            <w:noProof/>
          </w:rPr>
          <w:t>Preferred Policy options</w:t>
        </w:r>
        <w:r w:rsidR="00812D88">
          <w:rPr>
            <w:noProof/>
            <w:webHidden/>
          </w:rPr>
          <w:tab/>
        </w:r>
        <w:r w:rsidR="00812D88">
          <w:rPr>
            <w:noProof/>
            <w:webHidden/>
          </w:rPr>
          <w:fldChar w:fldCharType="begin"/>
        </w:r>
        <w:r w:rsidR="00812D88">
          <w:rPr>
            <w:noProof/>
            <w:webHidden/>
          </w:rPr>
          <w:instrText xml:space="preserve"> PAGEREF _Toc515012593 \h </w:instrText>
        </w:r>
        <w:r w:rsidR="00812D88">
          <w:rPr>
            <w:noProof/>
            <w:webHidden/>
          </w:rPr>
        </w:r>
        <w:r w:rsidR="00812D88">
          <w:rPr>
            <w:noProof/>
            <w:webHidden/>
          </w:rPr>
          <w:fldChar w:fldCharType="separate"/>
        </w:r>
        <w:r w:rsidR="00ED6A78">
          <w:rPr>
            <w:noProof/>
            <w:webHidden/>
          </w:rPr>
          <w:t>12</w:t>
        </w:r>
        <w:r w:rsidR="00812D88">
          <w:rPr>
            <w:noProof/>
            <w:webHidden/>
          </w:rPr>
          <w:fldChar w:fldCharType="end"/>
        </w:r>
      </w:hyperlink>
    </w:p>
    <w:p w14:paraId="1C3176FF" w14:textId="44A285DC" w:rsidR="00812D88" w:rsidRDefault="00CA0738">
      <w:pPr>
        <w:pStyle w:val="TOC2"/>
        <w:tabs>
          <w:tab w:val="left" w:pos="1077"/>
        </w:tabs>
        <w:rPr>
          <w:rFonts w:asciiTheme="minorHAnsi" w:eastAsiaTheme="minorEastAsia" w:hAnsiTheme="minorHAnsi" w:cstheme="minorBidi"/>
          <w:noProof/>
          <w:sz w:val="22"/>
          <w:szCs w:val="22"/>
          <w:lang w:eastAsia="en-GB"/>
        </w:rPr>
      </w:pPr>
      <w:hyperlink w:anchor="_Toc515012594" w:history="1">
        <w:r w:rsidR="00812D88" w:rsidRPr="008E12DC">
          <w:rPr>
            <w:rStyle w:val="Hyperlink"/>
            <w:rFonts w:cs="Garamond"/>
            <w:noProof/>
          </w:rPr>
          <w:t>4.1.</w:t>
        </w:r>
        <w:r w:rsidR="00812D88">
          <w:rPr>
            <w:rFonts w:asciiTheme="minorHAnsi" w:eastAsiaTheme="minorEastAsia" w:hAnsiTheme="minorHAnsi" w:cstheme="minorBidi"/>
            <w:noProof/>
            <w:sz w:val="22"/>
            <w:szCs w:val="22"/>
            <w:lang w:eastAsia="en-GB"/>
          </w:rPr>
          <w:tab/>
        </w:r>
        <w:r w:rsidR="00812D88" w:rsidRPr="008E12DC">
          <w:rPr>
            <w:rStyle w:val="Hyperlink"/>
            <w:rFonts w:cs="Garamond"/>
            <w:noProof/>
          </w:rPr>
          <w:t>Preferred option description</w:t>
        </w:r>
        <w:r w:rsidR="00812D88">
          <w:rPr>
            <w:noProof/>
            <w:webHidden/>
          </w:rPr>
          <w:tab/>
        </w:r>
        <w:r w:rsidR="00812D88">
          <w:rPr>
            <w:noProof/>
            <w:webHidden/>
          </w:rPr>
          <w:fldChar w:fldCharType="begin"/>
        </w:r>
        <w:r w:rsidR="00812D88">
          <w:rPr>
            <w:noProof/>
            <w:webHidden/>
          </w:rPr>
          <w:instrText xml:space="preserve"> PAGEREF _Toc515012594 \h </w:instrText>
        </w:r>
        <w:r w:rsidR="00812D88">
          <w:rPr>
            <w:noProof/>
            <w:webHidden/>
          </w:rPr>
        </w:r>
        <w:r w:rsidR="00812D88">
          <w:rPr>
            <w:noProof/>
            <w:webHidden/>
          </w:rPr>
          <w:fldChar w:fldCharType="separate"/>
        </w:r>
        <w:r w:rsidR="00ED6A78">
          <w:rPr>
            <w:noProof/>
            <w:webHidden/>
          </w:rPr>
          <w:t>12</w:t>
        </w:r>
        <w:r w:rsidR="00812D88">
          <w:rPr>
            <w:noProof/>
            <w:webHidden/>
          </w:rPr>
          <w:fldChar w:fldCharType="end"/>
        </w:r>
      </w:hyperlink>
    </w:p>
    <w:p w14:paraId="30AEC62A" w14:textId="0B842C37" w:rsidR="00812D88" w:rsidRDefault="00CA0738">
      <w:pPr>
        <w:pStyle w:val="TOC2"/>
        <w:tabs>
          <w:tab w:val="left" w:pos="1077"/>
        </w:tabs>
        <w:rPr>
          <w:rFonts w:asciiTheme="minorHAnsi" w:eastAsiaTheme="minorEastAsia" w:hAnsiTheme="minorHAnsi" w:cstheme="minorBidi"/>
          <w:noProof/>
          <w:sz w:val="22"/>
          <w:szCs w:val="22"/>
          <w:lang w:eastAsia="en-GB"/>
        </w:rPr>
      </w:pPr>
      <w:hyperlink w:anchor="_Toc515012595" w:history="1">
        <w:r w:rsidR="00812D88" w:rsidRPr="008E12DC">
          <w:rPr>
            <w:rStyle w:val="Hyperlink"/>
            <w:rFonts w:cs="Garamond"/>
            <w:noProof/>
          </w:rPr>
          <w:t>4.2.</w:t>
        </w:r>
        <w:r w:rsidR="00812D88">
          <w:rPr>
            <w:rFonts w:asciiTheme="minorHAnsi" w:eastAsiaTheme="minorEastAsia" w:hAnsiTheme="minorHAnsi" w:cstheme="minorBidi"/>
            <w:noProof/>
            <w:sz w:val="22"/>
            <w:szCs w:val="22"/>
            <w:lang w:eastAsia="en-GB"/>
          </w:rPr>
          <w:tab/>
        </w:r>
        <w:r w:rsidR="00812D88" w:rsidRPr="008E12DC">
          <w:rPr>
            <w:rStyle w:val="Hyperlink"/>
            <w:rFonts w:cs="Garamond"/>
            <w:noProof/>
          </w:rPr>
          <w:t>Subsidiarity, proportionality and intended legal basis</w:t>
        </w:r>
        <w:r w:rsidR="00812D88">
          <w:rPr>
            <w:noProof/>
            <w:webHidden/>
          </w:rPr>
          <w:tab/>
        </w:r>
        <w:r w:rsidR="00812D88">
          <w:rPr>
            <w:noProof/>
            <w:webHidden/>
          </w:rPr>
          <w:fldChar w:fldCharType="begin"/>
        </w:r>
        <w:r w:rsidR="00812D88">
          <w:rPr>
            <w:noProof/>
            <w:webHidden/>
          </w:rPr>
          <w:instrText xml:space="preserve"> PAGEREF _Toc515012595 \h </w:instrText>
        </w:r>
        <w:r w:rsidR="00812D88">
          <w:rPr>
            <w:noProof/>
            <w:webHidden/>
          </w:rPr>
        </w:r>
        <w:r w:rsidR="00812D88">
          <w:rPr>
            <w:noProof/>
            <w:webHidden/>
          </w:rPr>
          <w:fldChar w:fldCharType="separate"/>
        </w:r>
        <w:r w:rsidR="00ED6A78">
          <w:rPr>
            <w:noProof/>
            <w:webHidden/>
          </w:rPr>
          <w:t>18</w:t>
        </w:r>
        <w:r w:rsidR="00812D88">
          <w:rPr>
            <w:noProof/>
            <w:webHidden/>
          </w:rPr>
          <w:fldChar w:fldCharType="end"/>
        </w:r>
      </w:hyperlink>
    </w:p>
    <w:p w14:paraId="3BF51592" w14:textId="4817C89F" w:rsidR="00812D88" w:rsidRDefault="00CA0738">
      <w:pPr>
        <w:pStyle w:val="TOC1"/>
        <w:rPr>
          <w:rFonts w:asciiTheme="minorHAnsi" w:eastAsiaTheme="minorEastAsia" w:hAnsiTheme="minorHAnsi" w:cstheme="minorBidi"/>
          <w:caps w:val="0"/>
          <w:noProof/>
          <w:sz w:val="22"/>
          <w:szCs w:val="22"/>
          <w:lang w:eastAsia="en-GB"/>
        </w:rPr>
      </w:pPr>
      <w:hyperlink w:anchor="_Toc515012596" w:history="1">
        <w:r w:rsidR="00812D88" w:rsidRPr="008E12DC">
          <w:rPr>
            <w:rStyle w:val="Hyperlink"/>
            <w:noProof/>
          </w:rPr>
          <w:t>5.</w:t>
        </w:r>
        <w:r w:rsidR="00812D88">
          <w:rPr>
            <w:rFonts w:asciiTheme="minorHAnsi" w:eastAsiaTheme="minorEastAsia" w:hAnsiTheme="minorHAnsi" w:cstheme="minorBidi"/>
            <w:caps w:val="0"/>
            <w:noProof/>
            <w:sz w:val="22"/>
            <w:szCs w:val="22"/>
            <w:lang w:eastAsia="en-GB"/>
          </w:rPr>
          <w:tab/>
        </w:r>
        <w:r w:rsidR="00812D88" w:rsidRPr="008E12DC">
          <w:rPr>
            <w:rStyle w:val="Hyperlink"/>
            <w:noProof/>
          </w:rPr>
          <w:t>Delivery mechanisms</w:t>
        </w:r>
        <w:r w:rsidR="00812D88">
          <w:rPr>
            <w:noProof/>
            <w:webHidden/>
          </w:rPr>
          <w:tab/>
        </w:r>
        <w:r w:rsidR="00812D88">
          <w:rPr>
            <w:noProof/>
            <w:webHidden/>
          </w:rPr>
          <w:fldChar w:fldCharType="begin"/>
        </w:r>
        <w:r w:rsidR="00812D88">
          <w:rPr>
            <w:noProof/>
            <w:webHidden/>
          </w:rPr>
          <w:instrText xml:space="preserve"> PAGEREF _Toc515012596 \h </w:instrText>
        </w:r>
        <w:r w:rsidR="00812D88">
          <w:rPr>
            <w:noProof/>
            <w:webHidden/>
          </w:rPr>
        </w:r>
        <w:r w:rsidR="00812D88">
          <w:rPr>
            <w:noProof/>
            <w:webHidden/>
          </w:rPr>
          <w:fldChar w:fldCharType="separate"/>
        </w:r>
        <w:r w:rsidR="00ED6A78">
          <w:rPr>
            <w:noProof/>
            <w:webHidden/>
          </w:rPr>
          <w:t>19</w:t>
        </w:r>
        <w:r w:rsidR="00812D88">
          <w:rPr>
            <w:noProof/>
            <w:webHidden/>
          </w:rPr>
          <w:fldChar w:fldCharType="end"/>
        </w:r>
      </w:hyperlink>
    </w:p>
    <w:p w14:paraId="4449537C" w14:textId="47269CD6" w:rsidR="00812D88" w:rsidRDefault="00CA0738">
      <w:pPr>
        <w:pStyle w:val="TOC2"/>
        <w:tabs>
          <w:tab w:val="left" w:pos="1077"/>
        </w:tabs>
        <w:rPr>
          <w:rFonts w:asciiTheme="minorHAnsi" w:eastAsiaTheme="minorEastAsia" w:hAnsiTheme="minorHAnsi" w:cstheme="minorBidi"/>
          <w:noProof/>
          <w:sz w:val="22"/>
          <w:szCs w:val="22"/>
          <w:lang w:eastAsia="en-GB"/>
        </w:rPr>
      </w:pPr>
      <w:hyperlink w:anchor="_Toc515012597" w:history="1">
        <w:r w:rsidR="00812D88" w:rsidRPr="008E12DC">
          <w:rPr>
            <w:rStyle w:val="Hyperlink"/>
            <w:noProof/>
            <w:lang w:eastAsia="en-GB"/>
          </w:rPr>
          <w:t>5.1.</w:t>
        </w:r>
        <w:r w:rsidR="00812D88">
          <w:rPr>
            <w:rFonts w:asciiTheme="minorHAnsi" w:eastAsiaTheme="minorEastAsia" w:hAnsiTheme="minorHAnsi" w:cstheme="minorBidi"/>
            <w:noProof/>
            <w:sz w:val="22"/>
            <w:szCs w:val="22"/>
            <w:lang w:eastAsia="en-GB"/>
          </w:rPr>
          <w:tab/>
        </w:r>
        <w:r w:rsidR="00812D88" w:rsidRPr="008E12DC">
          <w:rPr>
            <w:rStyle w:val="Hyperlink"/>
            <w:noProof/>
            <w:lang w:eastAsia="en-GB"/>
          </w:rPr>
          <w:t>Overall delivery mechanisms</w:t>
        </w:r>
        <w:r w:rsidR="00812D88">
          <w:rPr>
            <w:noProof/>
            <w:webHidden/>
          </w:rPr>
          <w:tab/>
        </w:r>
        <w:r w:rsidR="00812D88">
          <w:rPr>
            <w:noProof/>
            <w:webHidden/>
          </w:rPr>
          <w:fldChar w:fldCharType="begin"/>
        </w:r>
        <w:r w:rsidR="00812D88">
          <w:rPr>
            <w:noProof/>
            <w:webHidden/>
          </w:rPr>
          <w:instrText xml:space="preserve"> PAGEREF _Toc515012597 \h </w:instrText>
        </w:r>
        <w:r w:rsidR="00812D88">
          <w:rPr>
            <w:noProof/>
            <w:webHidden/>
          </w:rPr>
        </w:r>
        <w:r w:rsidR="00812D88">
          <w:rPr>
            <w:noProof/>
            <w:webHidden/>
          </w:rPr>
          <w:fldChar w:fldCharType="separate"/>
        </w:r>
        <w:r w:rsidR="00ED6A78">
          <w:rPr>
            <w:noProof/>
            <w:webHidden/>
          </w:rPr>
          <w:t>19</w:t>
        </w:r>
        <w:r w:rsidR="00812D88">
          <w:rPr>
            <w:noProof/>
            <w:webHidden/>
          </w:rPr>
          <w:fldChar w:fldCharType="end"/>
        </w:r>
      </w:hyperlink>
    </w:p>
    <w:p w14:paraId="4C14A6E5" w14:textId="255FB494" w:rsidR="00812D88" w:rsidRDefault="00CA0738">
      <w:pPr>
        <w:pStyle w:val="TOC2"/>
        <w:tabs>
          <w:tab w:val="left" w:pos="1077"/>
        </w:tabs>
        <w:rPr>
          <w:rFonts w:asciiTheme="minorHAnsi" w:eastAsiaTheme="minorEastAsia" w:hAnsiTheme="minorHAnsi" w:cstheme="minorBidi"/>
          <w:noProof/>
          <w:sz w:val="22"/>
          <w:szCs w:val="22"/>
          <w:lang w:eastAsia="en-GB"/>
        </w:rPr>
      </w:pPr>
      <w:hyperlink w:anchor="_Toc515012598" w:history="1">
        <w:r w:rsidR="00812D88" w:rsidRPr="008E12DC">
          <w:rPr>
            <w:rStyle w:val="Hyperlink"/>
            <w:noProof/>
            <w:lang w:eastAsia="en-GB"/>
          </w:rPr>
          <w:t>5.2.</w:t>
        </w:r>
        <w:r w:rsidR="00812D88">
          <w:rPr>
            <w:rFonts w:asciiTheme="minorHAnsi" w:eastAsiaTheme="minorEastAsia" w:hAnsiTheme="minorHAnsi" w:cstheme="minorBidi"/>
            <w:noProof/>
            <w:sz w:val="22"/>
            <w:szCs w:val="22"/>
            <w:lang w:eastAsia="en-GB"/>
          </w:rPr>
          <w:tab/>
        </w:r>
        <w:r w:rsidR="00812D88" w:rsidRPr="008E12DC">
          <w:rPr>
            <w:rStyle w:val="Hyperlink"/>
            <w:noProof/>
            <w:lang w:eastAsia="en-GB"/>
          </w:rPr>
          <w:t>Synergies &amp; complementarities with other EU action programmes and funds</w:t>
        </w:r>
        <w:r w:rsidR="00812D88">
          <w:rPr>
            <w:noProof/>
            <w:webHidden/>
          </w:rPr>
          <w:tab/>
        </w:r>
        <w:r w:rsidR="00812D88">
          <w:rPr>
            <w:noProof/>
            <w:webHidden/>
          </w:rPr>
          <w:fldChar w:fldCharType="begin"/>
        </w:r>
        <w:r w:rsidR="00812D88">
          <w:rPr>
            <w:noProof/>
            <w:webHidden/>
          </w:rPr>
          <w:instrText xml:space="preserve"> PAGEREF _Toc515012598 \h </w:instrText>
        </w:r>
        <w:r w:rsidR="00812D88">
          <w:rPr>
            <w:noProof/>
            <w:webHidden/>
          </w:rPr>
        </w:r>
        <w:r w:rsidR="00812D88">
          <w:rPr>
            <w:noProof/>
            <w:webHidden/>
          </w:rPr>
          <w:fldChar w:fldCharType="separate"/>
        </w:r>
        <w:r w:rsidR="00ED6A78">
          <w:rPr>
            <w:noProof/>
            <w:webHidden/>
          </w:rPr>
          <w:t>20</w:t>
        </w:r>
        <w:r w:rsidR="00812D88">
          <w:rPr>
            <w:noProof/>
            <w:webHidden/>
          </w:rPr>
          <w:fldChar w:fldCharType="end"/>
        </w:r>
      </w:hyperlink>
    </w:p>
    <w:p w14:paraId="4F5379C7" w14:textId="083A7852" w:rsidR="00812D88" w:rsidRDefault="00CA0738">
      <w:pPr>
        <w:pStyle w:val="TOC2"/>
        <w:tabs>
          <w:tab w:val="left" w:pos="1077"/>
        </w:tabs>
        <w:rPr>
          <w:rFonts w:asciiTheme="minorHAnsi" w:eastAsiaTheme="minorEastAsia" w:hAnsiTheme="minorHAnsi" w:cstheme="minorBidi"/>
          <w:noProof/>
          <w:sz w:val="22"/>
          <w:szCs w:val="22"/>
          <w:lang w:eastAsia="en-GB"/>
        </w:rPr>
      </w:pPr>
      <w:hyperlink w:anchor="_Toc515012599" w:history="1">
        <w:r w:rsidR="00812D88" w:rsidRPr="008E12DC">
          <w:rPr>
            <w:rStyle w:val="Hyperlink"/>
            <w:noProof/>
            <w:lang w:eastAsia="en-GB"/>
          </w:rPr>
          <w:t>5.3.</w:t>
        </w:r>
        <w:r w:rsidR="00812D88">
          <w:rPr>
            <w:rFonts w:asciiTheme="minorHAnsi" w:eastAsiaTheme="minorEastAsia" w:hAnsiTheme="minorHAnsi" w:cstheme="minorBidi"/>
            <w:noProof/>
            <w:sz w:val="22"/>
            <w:szCs w:val="22"/>
            <w:lang w:eastAsia="en-GB"/>
          </w:rPr>
          <w:tab/>
        </w:r>
        <w:r w:rsidR="00812D88" w:rsidRPr="008E12DC">
          <w:rPr>
            <w:rStyle w:val="Hyperlink"/>
            <w:noProof/>
            <w:lang w:eastAsia="en-GB"/>
          </w:rPr>
          <w:t>Other changes to delivery mechanisms</w:t>
        </w:r>
        <w:r w:rsidR="00812D88">
          <w:rPr>
            <w:noProof/>
            <w:webHidden/>
          </w:rPr>
          <w:tab/>
        </w:r>
        <w:r w:rsidR="00812D88">
          <w:rPr>
            <w:noProof/>
            <w:webHidden/>
          </w:rPr>
          <w:fldChar w:fldCharType="begin"/>
        </w:r>
        <w:r w:rsidR="00812D88">
          <w:rPr>
            <w:noProof/>
            <w:webHidden/>
          </w:rPr>
          <w:instrText xml:space="preserve"> PAGEREF _Toc515012599 \h </w:instrText>
        </w:r>
        <w:r w:rsidR="00812D88">
          <w:rPr>
            <w:noProof/>
            <w:webHidden/>
          </w:rPr>
        </w:r>
        <w:r w:rsidR="00812D88">
          <w:rPr>
            <w:noProof/>
            <w:webHidden/>
          </w:rPr>
          <w:fldChar w:fldCharType="separate"/>
        </w:r>
        <w:r w:rsidR="00ED6A78">
          <w:rPr>
            <w:noProof/>
            <w:webHidden/>
          </w:rPr>
          <w:t>25</w:t>
        </w:r>
        <w:r w:rsidR="00812D88">
          <w:rPr>
            <w:noProof/>
            <w:webHidden/>
          </w:rPr>
          <w:fldChar w:fldCharType="end"/>
        </w:r>
      </w:hyperlink>
    </w:p>
    <w:p w14:paraId="5073B849" w14:textId="0500D080" w:rsidR="00812D88" w:rsidRDefault="00CA0738">
      <w:pPr>
        <w:pStyle w:val="TOC1"/>
        <w:rPr>
          <w:rFonts w:asciiTheme="minorHAnsi" w:eastAsiaTheme="minorEastAsia" w:hAnsiTheme="minorHAnsi" w:cstheme="minorBidi"/>
          <w:caps w:val="0"/>
          <w:noProof/>
          <w:sz w:val="22"/>
          <w:szCs w:val="22"/>
          <w:lang w:eastAsia="en-GB"/>
        </w:rPr>
      </w:pPr>
      <w:hyperlink w:anchor="_Toc515012600" w:history="1">
        <w:r w:rsidR="00812D88" w:rsidRPr="008E12DC">
          <w:rPr>
            <w:rStyle w:val="Hyperlink"/>
            <w:noProof/>
          </w:rPr>
          <w:t>6.</w:t>
        </w:r>
        <w:r w:rsidR="00812D88">
          <w:rPr>
            <w:rFonts w:asciiTheme="minorHAnsi" w:eastAsiaTheme="minorEastAsia" w:hAnsiTheme="minorHAnsi" w:cstheme="minorBidi"/>
            <w:caps w:val="0"/>
            <w:noProof/>
            <w:sz w:val="22"/>
            <w:szCs w:val="22"/>
            <w:lang w:eastAsia="en-GB"/>
          </w:rPr>
          <w:tab/>
        </w:r>
        <w:r w:rsidR="00812D88" w:rsidRPr="008E12DC">
          <w:rPr>
            <w:rStyle w:val="Hyperlink"/>
            <w:noProof/>
          </w:rPr>
          <w:t>monitoring and evaluation</w:t>
        </w:r>
        <w:r w:rsidR="00812D88">
          <w:rPr>
            <w:noProof/>
            <w:webHidden/>
          </w:rPr>
          <w:tab/>
        </w:r>
        <w:r w:rsidR="00812D88">
          <w:rPr>
            <w:noProof/>
            <w:webHidden/>
          </w:rPr>
          <w:fldChar w:fldCharType="begin"/>
        </w:r>
        <w:r w:rsidR="00812D88">
          <w:rPr>
            <w:noProof/>
            <w:webHidden/>
          </w:rPr>
          <w:instrText xml:space="preserve"> PAGEREF _Toc515012600 \h </w:instrText>
        </w:r>
        <w:r w:rsidR="00812D88">
          <w:rPr>
            <w:noProof/>
            <w:webHidden/>
          </w:rPr>
        </w:r>
        <w:r w:rsidR="00812D88">
          <w:rPr>
            <w:noProof/>
            <w:webHidden/>
          </w:rPr>
          <w:fldChar w:fldCharType="separate"/>
        </w:r>
        <w:r w:rsidR="00ED6A78">
          <w:rPr>
            <w:noProof/>
            <w:webHidden/>
          </w:rPr>
          <w:t>25</w:t>
        </w:r>
        <w:r w:rsidR="00812D88">
          <w:rPr>
            <w:noProof/>
            <w:webHidden/>
          </w:rPr>
          <w:fldChar w:fldCharType="end"/>
        </w:r>
      </w:hyperlink>
    </w:p>
    <w:p w14:paraId="02719F11" w14:textId="636A57FE" w:rsidR="00812D88" w:rsidRDefault="00CA0738">
      <w:pPr>
        <w:pStyle w:val="TOC2"/>
        <w:tabs>
          <w:tab w:val="left" w:pos="1077"/>
        </w:tabs>
        <w:rPr>
          <w:rFonts w:asciiTheme="minorHAnsi" w:eastAsiaTheme="minorEastAsia" w:hAnsiTheme="minorHAnsi" w:cstheme="minorBidi"/>
          <w:noProof/>
          <w:sz w:val="22"/>
          <w:szCs w:val="22"/>
          <w:lang w:eastAsia="en-GB"/>
        </w:rPr>
      </w:pPr>
      <w:hyperlink w:anchor="_Toc515012601" w:history="1">
        <w:r w:rsidR="00812D88" w:rsidRPr="008E12DC">
          <w:rPr>
            <w:rStyle w:val="Hyperlink"/>
            <w:noProof/>
          </w:rPr>
          <w:t>6.1.</w:t>
        </w:r>
        <w:r w:rsidR="00812D88">
          <w:rPr>
            <w:rFonts w:asciiTheme="minorHAnsi" w:eastAsiaTheme="minorEastAsia" w:hAnsiTheme="minorHAnsi" w:cstheme="minorBidi"/>
            <w:noProof/>
            <w:sz w:val="22"/>
            <w:szCs w:val="22"/>
            <w:lang w:eastAsia="en-GB"/>
          </w:rPr>
          <w:tab/>
        </w:r>
        <w:r w:rsidR="00812D88" w:rsidRPr="008E12DC">
          <w:rPr>
            <w:rStyle w:val="Hyperlink"/>
            <w:noProof/>
          </w:rPr>
          <w:t>Final evaluation Fiscalis 2013</w:t>
        </w:r>
        <w:r w:rsidR="00812D88">
          <w:rPr>
            <w:noProof/>
            <w:webHidden/>
          </w:rPr>
          <w:tab/>
        </w:r>
        <w:r w:rsidR="00812D88">
          <w:rPr>
            <w:noProof/>
            <w:webHidden/>
          </w:rPr>
          <w:fldChar w:fldCharType="begin"/>
        </w:r>
        <w:r w:rsidR="00812D88">
          <w:rPr>
            <w:noProof/>
            <w:webHidden/>
          </w:rPr>
          <w:instrText xml:space="preserve"> PAGEREF _Toc515012601 \h </w:instrText>
        </w:r>
        <w:r w:rsidR="00812D88">
          <w:rPr>
            <w:noProof/>
            <w:webHidden/>
          </w:rPr>
        </w:r>
        <w:r w:rsidR="00812D88">
          <w:rPr>
            <w:noProof/>
            <w:webHidden/>
          </w:rPr>
          <w:fldChar w:fldCharType="separate"/>
        </w:r>
        <w:r w:rsidR="00ED6A78">
          <w:rPr>
            <w:noProof/>
            <w:webHidden/>
          </w:rPr>
          <w:t>25</w:t>
        </w:r>
        <w:r w:rsidR="00812D88">
          <w:rPr>
            <w:noProof/>
            <w:webHidden/>
          </w:rPr>
          <w:fldChar w:fldCharType="end"/>
        </w:r>
      </w:hyperlink>
    </w:p>
    <w:p w14:paraId="5BEFFAC8" w14:textId="426655BF" w:rsidR="00812D88" w:rsidRDefault="00CA0738">
      <w:pPr>
        <w:pStyle w:val="TOC2"/>
        <w:tabs>
          <w:tab w:val="left" w:pos="1077"/>
        </w:tabs>
        <w:rPr>
          <w:rFonts w:asciiTheme="minorHAnsi" w:eastAsiaTheme="minorEastAsia" w:hAnsiTheme="minorHAnsi" w:cstheme="minorBidi"/>
          <w:noProof/>
          <w:sz w:val="22"/>
          <w:szCs w:val="22"/>
          <w:lang w:eastAsia="en-GB"/>
        </w:rPr>
      </w:pPr>
      <w:hyperlink w:anchor="_Toc515012602" w:history="1">
        <w:r w:rsidR="00812D88" w:rsidRPr="008E12DC">
          <w:rPr>
            <w:rStyle w:val="Hyperlink"/>
            <w:noProof/>
          </w:rPr>
          <w:t>6.2.</w:t>
        </w:r>
        <w:r w:rsidR="00812D88">
          <w:rPr>
            <w:rFonts w:asciiTheme="minorHAnsi" w:eastAsiaTheme="minorEastAsia" w:hAnsiTheme="minorHAnsi" w:cstheme="minorBidi"/>
            <w:noProof/>
            <w:sz w:val="22"/>
            <w:szCs w:val="22"/>
            <w:lang w:eastAsia="en-GB"/>
          </w:rPr>
          <w:tab/>
        </w:r>
        <w:r w:rsidR="00812D88" w:rsidRPr="008E12DC">
          <w:rPr>
            <w:rStyle w:val="Hyperlink"/>
            <w:noProof/>
          </w:rPr>
          <w:t>Monitoring Fiscalis 2020</w:t>
        </w:r>
        <w:r w:rsidR="00812D88">
          <w:rPr>
            <w:noProof/>
            <w:webHidden/>
          </w:rPr>
          <w:tab/>
        </w:r>
        <w:r w:rsidR="00812D88">
          <w:rPr>
            <w:noProof/>
            <w:webHidden/>
          </w:rPr>
          <w:fldChar w:fldCharType="begin"/>
        </w:r>
        <w:r w:rsidR="00812D88">
          <w:rPr>
            <w:noProof/>
            <w:webHidden/>
          </w:rPr>
          <w:instrText xml:space="preserve"> PAGEREF _Toc515012602 \h </w:instrText>
        </w:r>
        <w:r w:rsidR="00812D88">
          <w:rPr>
            <w:noProof/>
            <w:webHidden/>
          </w:rPr>
        </w:r>
        <w:r w:rsidR="00812D88">
          <w:rPr>
            <w:noProof/>
            <w:webHidden/>
          </w:rPr>
          <w:fldChar w:fldCharType="separate"/>
        </w:r>
        <w:r w:rsidR="00ED6A78">
          <w:rPr>
            <w:noProof/>
            <w:webHidden/>
          </w:rPr>
          <w:t>25</w:t>
        </w:r>
        <w:r w:rsidR="00812D88">
          <w:rPr>
            <w:noProof/>
            <w:webHidden/>
          </w:rPr>
          <w:fldChar w:fldCharType="end"/>
        </w:r>
      </w:hyperlink>
    </w:p>
    <w:p w14:paraId="2074BFEC" w14:textId="7FC80E2D" w:rsidR="00812D88" w:rsidRDefault="00CA0738">
      <w:pPr>
        <w:pStyle w:val="TOC2"/>
        <w:tabs>
          <w:tab w:val="left" w:pos="1077"/>
        </w:tabs>
        <w:rPr>
          <w:rFonts w:asciiTheme="minorHAnsi" w:eastAsiaTheme="minorEastAsia" w:hAnsiTheme="minorHAnsi" w:cstheme="minorBidi"/>
          <w:noProof/>
          <w:sz w:val="22"/>
          <w:szCs w:val="22"/>
          <w:lang w:eastAsia="en-GB"/>
        </w:rPr>
      </w:pPr>
      <w:hyperlink w:anchor="_Toc515012603" w:history="1">
        <w:r w:rsidR="00812D88" w:rsidRPr="008E12DC">
          <w:rPr>
            <w:rStyle w:val="Hyperlink"/>
            <w:noProof/>
          </w:rPr>
          <w:t>6.3.</w:t>
        </w:r>
        <w:r w:rsidR="00812D88">
          <w:rPr>
            <w:rFonts w:asciiTheme="minorHAnsi" w:eastAsiaTheme="minorEastAsia" w:hAnsiTheme="minorHAnsi" w:cstheme="minorBidi"/>
            <w:noProof/>
            <w:sz w:val="22"/>
            <w:szCs w:val="22"/>
            <w:lang w:eastAsia="en-GB"/>
          </w:rPr>
          <w:tab/>
        </w:r>
        <w:r w:rsidR="00812D88" w:rsidRPr="008E12DC">
          <w:rPr>
            <w:rStyle w:val="Hyperlink"/>
            <w:noProof/>
          </w:rPr>
          <w:t>Mid-term evaluation of Fiscalis 2020</w:t>
        </w:r>
        <w:r w:rsidR="00812D88">
          <w:rPr>
            <w:noProof/>
            <w:webHidden/>
          </w:rPr>
          <w:tab/>
        </w:r>
        <w:r w:rsidR="00812D88">
          <w:rPr>
            <w:noProof/>
            <w:webHidden/>
          </w:rPr>
          <w:fldChar w:fldCharType="begin"/>
        </w:r>
        <w:r w:rsidR="00812D88">
          <w:rPr>
            <w:noProof/>
            <w:webHidden/>
          </w:rPr>
          <w:instrText xml:space="preserve"> PAGEREF _Toc515012603 \h </w:instrText>
        </w:r>
        <w:r w:rsidR="00812D88">
          <w:rPr>
            <w:noProof/>
            <w:webHidden/>
          </w:rPr>
        </w:r>
        <w:r w:rsidR="00812D88">
          <w:rPr>
            <w:noProof/>
            <w:webHidden/>
          </w:rPr>
          <w:fldChar w:fldCharType="separate"/>
        </w:r>
        <w:r w:rsidR="00ED6A78">
          <w:rPr>
            <w:noProof/>
            <w:webHidden/>
          </w:rPr>
          <w:t>26</w:t>
        </w:r>
        <w:r w:rsidR="00812D88">
          <w:rPr>
            <w:noProof/>
            <w:webHidden/>
          </w:rPr>
          <w:fldChar w:fldCharType="end"/>
        </w:r>
      </w:hyperlink>
    </w:p>
    <w:p w14:paraId="39F3957B" w14:textId="1FFCA239" w:rsidR="00812D88" w:rsidRDefault="00CA0738">
      <w:pPr>
        <w:pStyle w:val="TOC2"/>
        <w:tabs>
          <w:tab w:val="left" w:pos="1077"/>
        </w:tabs>
        <w:rPr>
          <w:rFonts w:asciiTheme="minorHAnsi" w:eastAsiaTheme="minorEastAsia" w:hAnsiTheme="minorHAnsi" w:cstheme="minorBidi"/>
          <w:noProof/>
          <w:sz w:val="22"/>
          <w:szCs w:val="22"/>
          <w:lang w:eastAsia="en-GB"/>
        </w:rPr>
      </w:pPr>
      <w:hyperlink w:anchor="_Toc515012604" w:history="1">
        <w:r w:rsidR="00812D88" w:rsidRPr="008E12DC">
          <w:rPr>
            <w:rStyle w:val="Hyperlink"/>
            <w:noProof/>
          </w:rPr>
          <w:t>6.4.</w:t>
        </w:r>
        <w:r w:rsidR="00812D88">
          <w:rPr>
            <w:rFonts w:asciiTheme="minorHAnsi" w:eastAsiaTheme="minorEastAsia" w:hAnsiTheme="minorHAnsi" w:cstheme="minorBidi"/>
            <w:noProof/>
            <w:sz w:val="22"/>
            <w:szCs w:val="22"/>
            <w:lang w:eastAsia="en-GB"/>
          </w:rPr>
          <w:tab/>
        </w:r>
        <w:r w:rsidR="00812D88" w:rsidRPr="008E12DC">
          <w:rPr>
            <w:rStyle w:val="Hyperlink"/>
            <w:noProof/>
          </w:rPr>
          <w:t>Ex-ante evaluation study</w:t>
        </w:r>
        <w:r w:rsidR="00812D88">
          <w:rPr>
            <w:noProof/>
            <w:webHidden/>
          </w:rPr>
          <w:tab/>
        </w:r>
        <w:r w:rsidR="00812D88">
          <w:rPr>
            <w:noProof/>
            <w:webHidden/>
          </w:rPr>
          <w:fldChar w:fldCharType="begin"/>
        </w:r>
        <w:r w:rsidR="00812D88">
          <w:rPr>
            <w:noProof/>
            <w:webHidden/>
          </w:rPr>
          <w:instrText xml:space="preserve"> PAGEREF _Toc515012604 \h </w:instrText>
        </w:r>
        <w:r w:rsidR="00812D88">
          <w:rPr>
            <w:noProof/>
            <w:webHidden/>
          </w:rPr>
        </w:r>
        <w:r w:rsidR="00812D88">
          <w:rPr>
            <w:noProof/>
            <w:webHidden/>
          </w:rPr>
          <w:fldChar w:fldCharType="separate"/>
        </w:r>
        <w:r w:rsidR="00ED6A78">
          <w:rPr>
            <w:noProof/>
            <w:webHidden/>
          </w:rPr>
          <w:t>26</w:t>
        </w:r>
        <w:r w:rsidR="00812D88">
          <w:rPr>
            <w:noProof/>
            <w:webHidden/>
          </w:rPr>
          <w:fldChar w:fldCharType="end"/>
        </w:r>
      </w:hyperlink>
    </w:p>
    <w:p w14:paraId="50BA53DE" w14:textId="50DC90DC" w:rsidR="00812D88" w:rsidRDefault="00CA0738">
      <w:pPr>
        <w:pStyle w:val="TOC2"/>
        <w:tabs>
          <w:tab w:val="left" w:pos="1077"/>
        </w:tabs>
        <w:rPr>
          <w:rFonts w:asciiTheme="minorHAnsi" w:eastAsiaTheme="minorEastAsia" w:hAnsiTheme="minorHAnsi" w:cstheme="minorBidi"/>
          <w:noProof/>
          <w:sz w:val="22"/>
          <w:szCs w:val="22"/>
          <w:lang w:eastAsia="en-GB"/>
        </w:rPr>
      </w:pPr>
      <w:hyperlink w:anchor="_Toc515012605" w:history="1">
        <w:r w:rsidR="00812D88" w:rsidRPr="008E12DC">
          <w:rPr>
            <w:rStyle w:val="Hyperlink"/>
            <w:noProof/>
          </w:rPr>
          <w:t>6.5.</w:t>
        </w:r>
        <w:r w:rsidR="00812D88">
          <w:rPr>
            <w:rFonts w:asciiTheme="minorHAnsi" w:eastAsiaTheme="minorEastAsia" w:hAnsiTheme="minorHAnsi" w:cstheme="minorBidi"/>
            <w:noProof/>
            <w:sz w:val="22"/>
            <w:szCs w:val="22"/>
            <w:lang w:eastAsia="en-GB"/>
          </w:rPr>
          <w:tab/>
        </w:r>
        <w:r w:rsidR="00812D88" w:rsidRPr="008E12DC">
          <w:rPr>
            <w:rStyle w:val="Hyperlink"/>
            <w:noProof/>
          </w:rPr>
          <w:t>Monitoring strategy of the performance</w:t>
        </w:r>
        <w:r w:rsidR="00812D88">
          <w:rPr>
            <w:noProof/>
            <w:webHidden/>
          </w:rPr>
          <w:tab/>
        </w:r>
        <w:r w:rsidR="00812D88">
          <w:rPr>
            <w:noProof/>
            <w:webHidden/>
          </w:rPr>
          <w:fldChar w:fldCharType="begin"/>
        </w:r>
        <w:r w:rsidR="00812D88">
          <w:rPr>
            <w:noProof/>
            <w:webHidden/>
          </w:rPr>
          <w:instrText xml:space="preserve"> PAGEREF _Toc515012605 \h </w:instrText>
        </w:r>
        <w:r w:rsidR="00812D88">
          <w:rPr>
            <w:noProof/>
            <w:webHidden/>
          </w:rPr>
        </w:r>
        <w:r w:rsidR="00812D88">
          <w:rPr>
            <w:noProof/>
            <w:webHidden/>
          </w:rPr>
          <w:fldChar w:fldCharType="separate"/>
        </w:r>
        <w:r w:rsidR="00ED6A78">
          <w:rPr>
            <w:noProof/>
            <w:webHidden/>
          </w:rPr>
          <w:t>27</w:t>
        </w:r>
        <w:r w:rsidR="00812D88">
          <w:rPr>
            <w:noProof/>
            <w:webHidden/>
          </w:rPr>
          <w:fldChar w:fldCharType="end"/>
        </w:r>
      </w:hyperlink>
    </w:p>
    <w:p w14:paraId="173050BB" w14:textId="7D5B85BD" w:rsidR="00812D88" w:rsidRDefault="00CA0738">
      <w:pPr>
        <w:pStyle w:val="TOC3"/>
        <w:tabs>
          <w:tab w:val="left" w:pos="1320"/>
          <w:tab w:val="right" w:leader="dot" w:pos="8608"/>
        </w:tabs>
        <w:rPr>
          <w:rFonts w:eastAsiaTheme="minorEastAsia"/>
          <w:noProof/>
          <w:lang w:eastAsia="en-GB"/>
        </w:rPr>
      </w:pPr>
      <w:hyperlink w:anchor="_Toc515012606" w:history="1">
        <w:r w:rsidR="00812D88" w:rsidRPr="008E12DC">
          <w:rPr>
            <w:rStyle w:val="Hyperlink"/>
            <w:noProof/>
          </w:rPr>
          <w:t>6.5.1.</w:t>
        </w:r>
        <w:r w:rsidR="00812D88">
          <w:rPr>
            <w:rFonts w:eastAsiaTheme="minorEastAsia"/>
            <w:noProof/>
            <w:lang w:eastAsia="en-GB"/>
          </w:rPr>
          <w:tab/>
        </w:r>
        <w:r w:rsidR="00812D88" w:rsidRPr="008E12DC">
          <w:rPr>
            <w:rStyle w:val="Hyperlink"/>
            <w:noProof/>
          </w:rPr>
          <w:t>Data for the monitoring</w:t>
        </w:r>
        <w:r w:rsidR="00812D88">
          <w:rPr>
            <w:noProof/>
            <w:webHidden/>
          </w:rPr>
          <w:tab/>
        </w:r>
        <w:r w:rsidR="00812D88">
          <w:rPr>
            <w:noProof/>
            <w:webHidden/>
          </w:rPr>
          <w:fldChar w:fldCharType="begin"/>
        </w:r>
        <w:r w:rsidR="00812D88">
          <w:rPr>
            <w:noProof/>
            <w:webHidden/>
          </w:rPr>
          <w:instrText xml:space="preserve"> PAGEREF _Toc515012606 \h </w:instrText>
        </w:r>
        <w:r w:rsidR="00812D88">
          <w:rPr>
            <w:noProof/>
            <w:webHidden/>
          </w:rPr>
        </w:r>
        <w:r w:rsidR="00812D88">
          <w:rPr>
            <w:noProof/>
            <w:webHidden/>
          </w:rPr>
          <w:fldChar w:fldCharType="separate"/>
        </w:r>
        <w:r w:rsidR="00ED6A78">
          <w:rPr>
            <w:noProof/>
            <w:webHidden/>
          </w:rPr>
          <w:t>28</w:t>
        </w:r>
        <w:r w:rsidR="00812D88">
          <w:rPr>
            <w:noProof/>
            <w:webHidden/>
          </w:rPr>
          <w:fldChar w:fldCharType="end"/>
        </w:r>
      </w:hyperlink>
    </w:p>
    <w:p w14:paraId="3395CAAF" w14:textId="109A8A8F" w:rsidR="00812D88" w:rsidRDefault="00CA0738">
      <w:pPr>
        <w:pStyle w:val="TOC3"/>
        <w:tabs>
          <w:tab w:val="left" w:pos="1320"/>
          <w:tab w:val="right" w:leader="dot" w:pos="8608"/>
        </w:tabs>
        <w:rPr>
          <w:rFonts w:eastAsiaTheme="minorEastAsia"/>
          <w:noProof/>
          <w:lang w:eastAsia="en-GB"/>
        </w:rPr>
      </w:pPr>
      <w:hyperlink w:anchor="_Toc515012607" w:history="1">
        <w:r w:rsidR="00812D88" w:rsidRPr="008E12DC">
          <w:rPr>
            <w:rStyle w:val="Hyperlink"/>
            <w:noProof/>
          </w:rPr>
          <w:t>6.5.2.</w:t>
        </w:r>
        <w:r w:rsidR="00812D88">
          <w:rPr>
            <w:rFonts w:eastAsiaTheme="minorEastAsia"/>
            <w:noProof/>
            <w:lang w:eastAsia="en-GB"/>
          </w:rPr>
          <w:tab/>
        </w:r>
        <w:r w:rsidR="00812D88" w:rsidRPr="008E12DC">
          <w:rPr>
            <w:rStyle w:val="Hyperlink"/>
            <w:noProof/>
          </w:rPr>
          <w:t>Fiscalis programme core indicators</w:t>
        </w:r>
        <w:r w:rsidR="00812D88">
          <w:rPr>
            <w:noProof/>
            <w:webHidden/>
          </w:rPr>
          <w:tab/>
        </w:r>
        <w:r w:rsidR="00812D88">
          <w:rPr>
            <w:noProof/>
            <w:webHidden/>
          </w:rPr>
          <w:fldChar w:fldCharType="begin"/>
        </w:r>
        <w:r w:rsidR="00812D88">
          <w:rPr>
            <w:noProof/>
            <w:webHidden/>
          </w:rPr>
          <w:instrText xml:space="preserve"> PAGEREF _Toc515012607 \h </w:instrText>
        </w:r>
        <w:r w:rsidR="00812D88">
          <w:rPr>
            <w:noProof/>
            <w:webHidden/>
          </w:rPr>
        </w:r>
        <w:r w:rsidR="00812D88">
          <w:rPr>
            <w:noProof/>
            <w:webHidden/>
          </w:rPr>
          <w:fldChar w:fldCharType="separate"/>
        </w:r>
        <w:r w:rsidR="00ED6A78">
          <w:rPr>
            <w:noProof/>
            <w:webHidden/>
          </w:rPr>
          <w:t>28</w:t>
        </w:r>
        <w:r w:rsidR="00812D88">
          <w:rPr>
            <w:noProof/>
            <w:webHidden/>
          </w:rPr>
          <w:fldChar w:fldCharType="end"/>
        </w:r>
      </w:hyperlink>
    </w:p>
    <w:p w14:paraId="148D709F" w14:textId="2DFD3A91" w:rsidR="00812D88" w:rsidRDefault="00CA0738">
      <w:pPr>
        <w:pStyle w:val="TOC1"/>
        <w:rPr>
          <w:rFonts w:asciiTheme="minorHAnsi" w:eastAsiaTheme="minorEastAsia" w:hAnsiTheme="minorHAnsi" w:cstheme="minorBidi"/>
          <w:caps w:val="0"/>
          <w:noProof/>
          <w:sz w:val="22"/>
          <w:szCs w:val="22"/>
          <w:lang w:eastAsia="en-GB"/>
        </w:rPr>
      </w:pPr>
      <w:hyperlink w:anchor="_Toc515012608" w:history="1">
        <w:r w:rsidR="00812D88" w:rsidRPr="008E12DC">
          <w:rPr>
            <w:rStyle w:val="Hyperlink"/>
            <w:noProof/>
          </w:rPr>
          <w:t>Annex 1: Intervention overview for EU tax policy</w:t>
        </w:r>
        <w:r w:rsidR="00812D88">
          <w:rPr>
            <w:noProof/>
            <w:webHidden/>
          </w:rPr>
          <w:tab/>
        </w:r>
        <w:r w:rsidR="00812D88">
          <w:rPr>
            <w:noProof/>
            <w:webHidden/>
          </w:rPr>
          <w:fldChar w:fldCharType="begin"/>
        </w:r>
        <w:r w:rsidR="00812D88">
          <w:rPr>
            <w:noProof/>
            <w:webHidden/>
          </w:rPr>
          <w:instrText xml:space="preserve"> PAGEREF _Toc515012608 \h </w:instrText>
        </w:r>
        <w:r w:rsidR="00812D88">
          <w:rPr>
            <w:noProof/>
            <w:webHidden/>
          </w:rPr>
        </w:r>
        <w:r w:rsidR="00812D88">
          <w:rPr>
            <w:noProof/>
            <w:webHidden/>
          </w:rPr>
          <w:fldChar w:fldCharType="separate"/>
        </w:r>
        <w:r w:rsidR="00ED6A78">
          <w:rPr>
            <w:noProof/>
            <w:webHidden/>
          </w:rPr>
          <w:t>30</w:t>
        </w:r>
        <w:r w:rsidR="00812D88">
          <w:rPr>
            <w:noProof/>
            <w:webHidden/>
          </w:rPr>
          <w:fldChar w:fldCharType="end"/>
        </w:r>
      </w:hyperlink>
    </w:p>
    <w:p w14:paraId="14BE799E" w14:textId="7E106A2B" w:rsidR="00244E6A" w:rsidRDefault="00244E6A" w:rsidP="00244E6A">
      <w:pPr>
        <w:sectPr w:rsidR="00244E6A" w:rsidSect="0072467D">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pPr>
      <w:r>
        <w:fldChar w:fldCharType="end"/>
      </w:r>
    </w:p>
    <w:p w14:paraId="14BE799F" w14:textId="77777777" w:rsidR="00244E6A" w:rsidRPr="00FA7100" w:rsidRDefault="00244E6A" w:rsidP="00244E6A">
      <w:pPr>
        <w:jc w:val="center"/>
        <w:rPr>
          <w:rFonts w:ascii="Times New Roman" w:hAnsi="Times New Roman" w:cs="Times New Roman"/>
          <w:b/>
          <w:sz w:val="28"/>
          <w:szCs w:val="28"/>
        </w:rPr>
      </w:pPr>
      <w:r w:rsidRPr="00FA7100">
        <w:rPr>
          <w:rFonts w:ascii="Times New Roman" w:hAnsi="Times New Roman" w:cs="Times New Roman"/>
          <w:b/>
          <w:sz w:val="28"/>
          <w:szCs w:val="28"/>
        </w:rPr>
        <w:lastRenderedPageBreak/>
        <w:t>Glossary</w:t>
      </w:r>
    </w:p>
    <w:tbl>
      <w:tblPr>
        <w:tblStyle w:val="TableGrid"/>
        <w:tblW w:w="0" w:type="auto"/>
        <w:tblLook w:val="04A0" w:firstRow="1" w:lastRow="0" w:firstColumn="1" w:lastColumn="0" w:noHBand="0" w:noVBand="1"/>
      </w:tblPr>
      <w:tblGrid>
        <w:gridCol w:w="2235"/>
        <w:gridCol w:w="6599"/>
      </w:tblGrid>
      <w:tr w:rsidR="00244E6A" w14:paraId="14BE79A2" w14:textId="77777777" w:rsidTr="00812D88">
        <w:tc>
          <w:tcPr>
            <w:tcW w:w="2235" w:type="dxa"/>
            <w:tcBorders>
              <w:bottom w:val="double" w:sz="4" w:space="0" w:color="auto"/>
            </w:tcBorders>
            <w:shd w:val="clear" w:color="auto" w:fill="F2F2F2" w:themeFill="background1" w:themeFillShade="F2"/>
          </w:tcPr>
          <w:p w14:paraId="14BE79A0" w14:textId="77777777" w:rsidR="00244E6A" w:rsidRPr="001548C7" w:rsidRDefault="00244E6A" w:rsidP="00244E6A">
            <w:pPr>
              <w:spacing w:before="120" w:after="120"/>
              <w:jc w:val="center"/>
              <w:rPr>
                <w:b/>
                <w:i/>
              </w:rPr>
            </w:pPr>
            <w:r w:rsidRPr="001548C7">
              <w:rPr>
                <w:b/>
                <w:i/>
              </w:rPr>
              <w:t>Term or acronym</w:t>
            </w:r>
          </w:p>
        </w:tc>
        <w:tc>
          <w:tcPr>
            <w:tcW w:w="6599" w:type="dxa"/>
            <w:tcBorders>
              <w:bottom w:val="double" w:sz="4" w:space="0" w:color="auto"/>
            </w:tcBorders>
            <w:shd w:val="clear" w:color="auto" w:fill="F2F2F2" w:themeFill="background1" w:themeFillShade="F2"/>
          </w:tcPr>
          <w:p w14:paraId="14BE79A1" w14:textId="77777777" w:rsidR="00244E6A" w:rsidRPr="001548C7" w:rsidRDefault="00244E6A" w:rsidP="00244E6A">
            <w:pPr>
              <w:spacing w:before="120" w:after="120"/>
              <w:jc w:val="center"/>
              <w:rPr>
                <w:b/>
                <w:i/>
              </w:rPr>
            </w:pPr>
            <w:r w:rsidRPr="001548C7">
              <w:rPr>
                <w:b/>
                <w:i/>
              </w:rPr>
              <w:t>Meaning or definition</w:t>
            </w:r>
          </w:p>
        </w:tc>
      </w:tr>
      <w:tr w:rsidR="00244E6A" w14:paraId="14BE79A5" w14:textId="77777777" w:rsidTr="00812D88">
        <w:tc>
          <w:tcPr>
            <w:tcW w:w="2235" w:type="dxa"/>
            <w:tcBorders>
              <w:top w:val="double" w:sz="4" w:space="0" w:color="auto"/>
            </w:tcBorders>
            <w:tcMar>
              <w:top w:w="85" w:type="dxa"/>
              <w:left w:w="57" w:type="dxa"/>
              <w:bottom w:w="85" w:type="dxa"/>
              <w:right w:w="57" w:type="dxa"/>
            </w:tcMar>
          </w:tcPr>
          <w:p w14:paraId="14BE79A3" w14:textId="77777777" w:rsidR="00244E6A" w:rsidRDefault="00244E6A" w:rsidP="00244E6A"/>
        </w:tc>
        <w:tc>
          <w:tcPr>
            <w:tcW w:w="6599" w:type="dxa"/>
            <w:tcBorders>
              <w:top w:val="double" w:sz="4" w:space="0" w:color="auto"/>
            </w:tcBorders>
            <w:tcMar>
              <w:top w:w="85" w:type="dxa"/>
              <w:left w:w="57" w:type="dxa"/>
              <w:bottom w:w="85" w:type="dxa"/>
              <w:right w:w="57" w:type="dxa"/>
            </w:tcMar>
          </w:tcPr>
          <w:p w14:paraId="14BE79A4" w14:textId="77777777" w:rsidR="00244E6A" w:rsidRDefault="00244E6A" w:rsidP="00244E6A"/>
        </w:tc>
      </w:tr>
      <w:tr w:rsidR="000761F0" w14:paraId="14BE79A8" w14:textId="77777777" w:rsidTr="00812D88">
        <w:tc>
          <w:tcPr>
            <w:tcW w:w="2235" w:type="dxa"/>
            <w:tcMar>
              <w:top w:w="85" w:type="dxa"/>
              <w:left w:w="57" w:type="dxa"/>
              <w:bottom w:w="85" w:type="dxa"/>
              <w:right w:w="57" w:type="dxa"/>
            </w:tcMar>
          </w:tcPr>
          <w:p w14:paraId="14BE79A6" w14:textId="77777777" w:rsidR="000761F0" w:rsidRDefault="000761F0" w:rsidP="000761F0">
            <w:r>
              <w:t>C2020</w:t>
            </w:r>
          </w:p>
        </w:tc>
        <w:tc>
          <w:tcPr>
            <w:tcW w:w="6599" w:type="dxa"/>
            <w:tcMar>
              <w:top w:w="85" w:type="dxa"/>
              <w:left w:w="57" w:type="dxa"/>
              <w:bottom w:w="85" w:type="dxa"/>
              <w:right w:w="57" w:type="dxa"/>
            </w:tcMar>
          </w:tcPr>
          <w:p w14:paraId="14BE79A7" w14:textId="77777777" w:rsidR="000761F0" w:rsidRDefault="001663C0" w:rsidP="000761F0">
            <w:r>
              <w:t>Customs 2020 Programme</w:t>
            </w:r>
          </w:p>
        </w:tc>
      </w:tr>
      <w:tr w:rsidR="001663C0" w14:paraId="14BE79AB" w14:textId="77777777" w:rsidTr="00812D88">
        <w:tc>
          <w:tcPr>
            <w:tcW w:w="2235" w:type="dxa"/>
            <w:tcMar>
              <w:top w:w="85" w:type="dxa"/>
              <w:left w:w="57" w:type="dxa"/>
              <w:bottom w:w="85" w:type="dxa"/>
              <w:right w:w="57" w:type="dxa"/>
            </w:tcMar>
          </w:tcPr>
          <w:p w14:paraId="14BE79A9" w14:textId="77777777" w:rsidR="001663C0" w:rsidRDefault="001663C0" w:rsidP="000761F0">
            <w:r>
              <w:t>CCN-CSI</w:t>
            </w:r>
          </w:p>
        </w:tc>
        <w:tc>
          <w:tcPr>
            <w:tcW w:w="6599" w:type="dxa"/>
            <w:tcMar>
              <w:top w:w="85" w:type="dxa"/>
              <w:left w:w="57" w:type="dxa"/>
              <w:bottom w:w="85" w:type="dxa"/>
              <w:right w:w="57" w:type="dxa"/>
            </w:tcMar>
          </w:tcPr>
          <w:p w14:paraId="14BE79AA" w14:textId="77777777" w:rsidR="001663C0" w:rsidRDefault="001663C0" w:rsidP="000761F0">
            <w:r>
              <w:rPr>
                <w:rStyle w:val="st"/>
              </w:rPr>
              <w:t>Common Communication Network/Common System Interface</w:t>
            </w:r>
          </w:p>
        </w:tc>
      </w:tr>
      <w:tr w:rsidR="000759A5" w14:paraId="14BE79AE" w14:textId="77777777" w:rsidTr="00812D88">
        <w:tc>
          <w:tcPr>
            <w:tcW w:w="2235" w:type="dxa"/>
            <w:tcMar>
              <w:top w:w="85" w:type="dxa"/>
              <w:left w:w="57" w:type="dxa"/>
              <w:bottom w:w="85" w:type="dxa"/>
              <w:right w:w="57" w:type="dxa"/>
            </w:tcMar>
          </w:tcPr>
          <w:p w14:paraId="14BE79AC" w14:textId="77777777" w:rsidR="000759A5" w:rsidRDefault="000759A5" w:rsidP="000761F0">
            <w:r>
              <w:t>DAC</w:t>
            </w:r>
          </w:p>
        </w:tc>
        <w:tc>
          <w:tcPr>
            <w:tcW w:w="6599" w:type="dxa"/>
            <w:tcMar>
              <w:top w:w="85" w:type="dxa"/>
              <w:left w:w="57" w:type="dxa"/>
              <w:bottom w:w="85" w:type="dxa"/>
              <w:right w:w="57" w:type="dxa"/>
            </w:tcMar>
          </w:tcPr>
          <w:p w14:paraId="14BE79AD" w14:textId="25DB41F7" w:rsidR="000759A5" w:rsidRDefault="001916F1" w:rsidP="00BC6427">
            <w:r>
              <w:t xml:space="preserve">Council </w:t>
            </w:r>
            <w:r w:rsidR="001663C0">
              <w:t>Directive</w:t>
            </w:r>
            <w:r>
              <w:t xml:space="preserve"> 2011/16/EU</w:t>
            </w:r>
            <w:r w:rsidR="00B52A16">
              <w:t xml:space="preserve"> </w:t>
            </w:r>
            <w:r w:rsidR="001663C0">
              <w:t>on Administrative Cooperation</w:t>
            </w:r>
            <w:r w:rsidR="00997DEF">
              <w:t xml:space="preserve"> </w:t>
            </w:r>
            <w:r>
              <w:t xml:space="preserve">in the field of taxation </w:t>
            </w:r>
            <w:r w:rsidR="00B81E55">
              <w:t>and</w:t>
            </w:r>
            <w:r w:rsidR="00B52A16">
              <w:t xml:space="preserve"> </w:t>
            </w:r>
            <w:r w:rsidR="00B81E55">
              <w:t xml:space="preserve">repealing Directive 77/799/EEC </w:t>
            </w:r>
            <w:r>
              <w:t xml:space="preserve">of 15.02.2011 ( OJ L 64/1 of 11.3.2011) and its amendments </w:t>
            </w:r>
          </w:p>
        </w:tc>
      </w:tr>
      <w:tr w:rsidR="001663C0" w14:paraId="14BE79B1" w14:textId="77777777" w:rsidTr="00812D88">
        <w:tc>
          <w:tcPr>
            <w:tcW w:w="2235" w:type="dxa"/>
            <w:tcMar>
              <w:top w:w="85" w:type="dxa"/>
              <w:left w:w="57" w:type="dxa"/>
              <w:bottom w:w="85" w:type="dxa"/>
              <w:right w:w="57" w:type="dxa"/>
            </w:tcMar>
          </w:tcPr>
          <w:p w14:paraId="14BE79AF" w14:textId="77777777" w:rsidR="001663C0" w:rsidRDefault="001663C0" w:rsidP="000761F0">
            <w:r>
              <w:t>ECJ</w:t>
            </w:r>
          </w:p>
        </w:tc>
        <w:tc>
          <w:tcPr>
            <w:tcW w:w="6599" w:type="dxa"/>
            <w:tcMar>
              <w:top w:w="85" w:type="dxa"/>
              <w:left w:w="57" w:type="dxa"/>
              <w:bottom w:w="85" w:type="dxa"/>
              <w:right w:w="57" w:type="dxa"/>
            </w:tcMar>
          </w:tcPr>
          <w:p w14:paraId="14BE79B0" w14:textId="77777777" w:rsidR="001663C0" w:rsidRDefault="001663C0" w:rsidP="000761F0">
            <w:r>
              <w:t>European Court of Justice</w:t>
            </w:r>
          </w:p>
        </w:tc>
      </w:tr>
      <w:tr w:rsidR="000761F0" w14:paraId="14BE79B4" w14:textId="77777777" w:rsidTr="00812D88">
        <w:tc>
          <w:tcPr>
            <w:tcW w:w="2235" w:type="dxa"/>
            <w:tcMar>
              <w:top w:w="85" w:type="dxa"/>
              <w:left w:w="57" w:type="dxa"/>
              <w:bottom w:w="85" w:type="dxa"/>
              <w:right w:w="57" w:type="dxa"/>
            </w:tcMar>
          </w:tcPr>
          <w:p w14:paraId="14BE79B2" w14:textId="77777777" w:rsidR="000761F0" w:rsidRDefault="000759A5" w:rsidP="000761F0">
            <w:r>
              <w:t>eForms</w:t>
            </w:r>
          </w:p>
        </w:tc>
        <w:tc>
          <w:tcPr>
            <w:tcW w:w="6599" w:type="dxa"/>
            <w:tcMar>
              <w:top w:w="85" w:type="dxa"/>
              <w:left w:w="57" w:type="dxa"/>
              <w:bottom w:w="85" w:type="dxa"/>
              <w:right w:w="57" w:type="dxa"/>
            </w:tcMar>
          </w:tcPr>
          <w:p w14:paraId="14BE79B3" w14:textId="34B547A5" w:rsidR="000761F0" w:rsidRDefault="00997DEF" w:rsidP="002E0364">
            <w:r>
              <w:t>Electronic forms for exchange of information between tax competent authorities under administrative cooperation</w:t>
            </w:r>
          </w:p>
        </w:tc>
      </w:tr>
      <w:tr w:rsidR="000759A5" w14:paraId="14BE79B7" w14:textId="77777777" w:rsidTr="00812D88">
        <w:tc>
          <w:tcPr>
            <w:tcW w:w="2235" w:type="dxa"/>
            <w:tcMar>
              <w:top w:w="85" w:type="dxa"/>
              <w:left w:w="57" w:type="dxa"/>
              <w:bottom w:w="85" w:type="dxa"/>
              <w:right w:w="57" w:type="dxa"/>
            </w:tcMar>
          </w:tcPr>
          <w:p w14:paraId="14BE79B5" w14:textId="77777777" w:rsidR="000759A5" w:rsidRDefault="000759A5" w:rsidP="000761F0">
            <w:r>
              <w:t>EMCS</w:t>
            </w:r>
          </w:p>
        </w:tc>
        <w:tc>
          <w:tcPr>
            <w:tcW w:w="6599" w:type="dxa"/>
            <w:tcMar>
              <w:top w:w="85" w:type="dxa"/>
              <w:left w:w="57" w:type="dxa"/>
              <w:bottom w:w="85" w:type="dxa"/>
              <w:right w:w="57" w:type="dxa"/>
            </w:tcMar>
          </w:tcPr>
          <w:p w14:paraId="14BE79B6" w14:textId="77777777" w:rsidR="000759A5" w:rsidRPr="001663C0" w:rsidRDefault="001663C0" w:rsidP="000761F0">
            <w:pPr>
              <w:rPr>
                <w:i/>
              </w:rPr>
            </w:pPr>
            <w:r w:rsidRPr="001663C0">
              <w:rPr>
                <w:rStyle w:val="Emphasis"/>
                <w:i w:val="0"/>
              </w:rPr>
              <w:t>Excise Movement and Control System</w:t>
            </w:r>
          </w:p>
        </w:tc>
      </w:tr>
      <w:tr w:rsidR="000761F0" w14:paraId="14BE79BA" w14:textId="77777777" w:rsidTr="00812D88">
        <w:tc>
          <w:tcPr>
            <w:tcW w:w="2235" w:type="dxa"/>
            <w:tcMar>
              <w:top w:w="85" w:type="dxa"/>
              <w:left w:w="57" w:type="dxa"/>
              <w:bottom w:w="85" w:type="dxa"/>
              <w:right w:w="57" w:type="dxa"/>
            </w:tcMar>
          </w:tcPr>
          <w:p w14:paraId="14BE79B8" w14:textId="77777777" w:rsidR="000761F0" w:rsidRDefault="000761F0" w:rsidP="000761F0">
            <w:r>
              <w:t>EPPO</w:t>
            </w:r>
          </w:p>
        </w:tc>
        <w:tc>
          <w:tcPr>
            <w:tcW w:w="6599" w:type="dxa"/>
            <w:tcMar>
              <w:top w:w="85" w:type="dxa"/>
              <w:left w:w="57" w:type="dxa"/>
              <w:bottom w:w="85" w:type="dxa"/>
              <w:right w:w="57" w:type="dxa"/>
            </w:tcMar>
          </w:tcPr>
          <w:p w14:paraId="14BE79B9" w14:textId="77777777" w:rsidR="000761F0" w:rsidRDefault="001663C0" w:rsidP="000761F0">
            <w:r>
              <w:rPr>
                <w:rStyle w:val="st"/>
              </w:rPr>
              <w:t>European Public Prosecutor's Office</w:t>
            </w:r>
          </w:p>
        </w:tc>
      </w:tr>
      <w:tr w:rsidR="000761F0" w14:paraId="14BE79BD" w14:textId="77777777" w:rsidTr="00812D88">
        <w:tc>
          <w:tcPr>
            <w:tcW w:w="2235" w:type="dxa"/>
            <w:tcMar>
              <w:top w:w="85" w:type="dxa"/>
              <w:left w:w="57" w:type="dxa"/>
              <w:bottom w:w="85" w:type="dxa"/>
              <w:right w:w="57" w:type="dxa"/>
            </w:tcMar>
          </w:tcPr>
          <w:p w14:paraId="14BE79BB" w14:textId="77777777" w:rsidR="000761F0" w:rsidRDefault="000761F0" w:rsidP="000761F0">
            <w:r>
              <w:t>ESTAT</w:t>
            </w:r>
          </w:p>
        </w:tc>
        <w:tc>
          <w:tcPr>
            <w:tcW w:w="6599" w:type="dxa"/>
            <w:tcMar>
              <w:top w:w="85" w:type="dxa"/>
              <w:left w:w="57" w:type="dxa"/>
              <w:bottom w:w="85" w:type="dxa"/>
              <w:right w:w="57" w:type="dxa"/>
            </w:tcMar>
          </w:tcPr>
          <w:p w14:paraId="14BE79BC" w14:textId="77777777" w:rsidR="000761F0" w:rsidRDefault="001663C0" w:rsidP="000761F0">
            <w:r>
              <w:t>Eurostat</w:t>
            </w:r>
          </w:p>
        </w:tc>
      </w:tr>
      <w:tr w:rsidR="000761F0" w14:paraId="14BE79C0" w14:textId="77777777" w:rsidTr="00812D88">
        <w:tc>
          <w:tcPr>
            <w:tcW w:w="2235" w:type="dxa"/>
            <w:tcMar>
              <w:top w:w="85" w:type="dxa"/>
              <w:left w:w="57" w:type="dxa"/>
              <w:bottom w:w="85" w:type="dxa"/>
              <w:right w:w="57" w:type="dxa"/>
            </w:tcMar>
          </w:tcPr>
          <w:p w14:paraId="14BE79BE" w14:textId="77777777" w:rsidR="000761F0" w:rsidRDefault="000761F0" w:rsidP="000761F0">
            <w:r>
              <w:t>F2020</w:t>
            </w:r>
          </w:p>
        </w:tc>
        <w:tc>
          <w:tcPr>
            <w:tcW w:w="6599" w:type="dxa"/>
            <w:tcMar>
              <w:top w:w="85" w:type="dxa"/>
              <w:left w:w="57" w:type="dxa"/>
              <w:bottom w:w="85" w:type="dxa"/>
              <w:right w:w="57" w:type="dxa"/>
            </w:tcMar>
          </w:tcPr>
          <w:p w14:paraId="14BE79BF" w14:textId="77777777" w:rsidR="000761F0" w:rsidRDefault="001663C0" w:rsidP="000761F0">
            <w:r>
              <w:t>Fiscalis 2020 Programme</w:t>
            </w:r>
          </w:p>
        </w:tc>
      </w:tr>
      <w:tr w:rsidR="000761F0" w14:paraId="14BE79C3" w14:textId="77777777" w:rsidTr="00812D88">
        <w:tc>
          <w:tcPr>
            <w:tcW w:w="2235" w:type="dxa"/>
            <w:tcMar>
              <w:top w:w="85" w:type="dxa"/>
              <w:left w:w="57" w:type="dxa"/>
              <w:bottom w:w="85" w:type="dxa"/>
              <w:right w:w="57" w:type="dxa"/>
            </w:tcMar>
          </w:tcPr>
          <w:p w14:paraId="14BE79C1" w14:textId="77777777" w:rsidR="000761F0" w:rsidRDefault="000761F0" w:rsidP="000761F0">
            <w:r>
              <w:t>Fiscalis</w:t>
            </w:r>
          </w:p>
        </w:tc>
        <w:tc>
          <w:tcPr>
            <w:tcW w:w="6599" w:type="dxa"/>
            <w:tcMar>
              <w:top w:w="85" w:type="dxa"/>
              <w:left w:w="57" w:type="dxa"/>
              <w:bottom w:w="85" w:type="dxa"/>
              <w:right w:w="57" w:type="dxa"/>
            </w:tcMar>
          </w:tcPr>
          <w:p w14:paraId="14BE79C2" w14:textId="739A6F45" w:rsidR="000761F0" w:rsidRDefault="00997DEF" w:rsidP="000761F0">
            <w:r>
              <w:t>The spending programme aimed at supporting the operation of tax systems</w:t>
            </w:r>
          </w:p>
        </w:tc>
      </w:tr>
      <w:tr w:rsidR="000761F0" w14:paraId="14BE79C6" w14:textId="77777777" w:rsidTr="00812D88">
        <w:tc>
          <w:tcPr>
            <w:tcW w:w="2235" w:type="dxa"/>
            <w:tcMar>
              <w:top w:w="85" w:type="dxa"/>
              <w:left w:w="57" w:type="dxa"/>
              <w:bottom w:w="85" w:type="dxa"/>
              <w:right w:w="57" w:type="dxa"/>
            </w:tcMar>
          </w:tcPr>
          <w:p w14:paraId="14BE79C4" w14:textId="77777777" w:rsidR="000761F0" w:rsidRDefault="001663C0" w:rsidP="000761F0">
            <w:r>
              <w:t>FTA</w:t>
            </w:r>
          </w:p>
        </w:tc>
        <w:tc>
          <w:tcPr>
            <w:tcW w:w="6599" w:type="dxa"/>
            <w:tcMar>
              <w:top w:w="85" w:type="dxa"/>
              <w:left w:w="57" w:type="dxa"/>
              <w:bottom w:w="85" w:type="dxa"/>
              <w:right w:w="57" w:type="dxa"/>
            </w:tcMar>
          </w:tcPr>
          <w:p w14:paraId="14BE79C5" w14:textId="77777777" w:rsidR="000761F0" w:rsidRDefault="00E43F34" w:rsidP="000761F0">
            <w:r w:rsidRPr="002A5863" w:rsidDel="0057353A">
              <w:t>OECD</w:t>
            </w:r>
            <w:r>
              <w:t>'s</w:t>
            </w:r>
            <w:r w:rsidRPr="002A5863" w:rsidDel="0057353A">
              <w:t xml:space="preserve"> Forum on Tax Administration</w:t>
            </w:r>
          </w:p>
        </w:tc>
      </w:tr>
      <w:tr w:rsidR="000761F0" w14:paraId="14BE79C9" w14:textId="77777777" w:rsidTr="00812D88">
        <w:tc>
          <w:tcPr>
            <w:tcW w:w="2235" w:type="dxa"/>
            <w:tcMar>
              <w:top w:w="85" w:type="dxa"/>
              <w:left w:w="57" w:type="dxa"/>
              <w:bottom w:w="85" w:type="dxa"/>
              <w:right w:w="57" w:type="dxa"/>
            </w:tcMar>
          </w:tcPr>
          <w:p w14:paraId="14BE79C7" w14:textId="77777777" w:rsidR="000761F0" w:rsidRDefault="001663C0" w:rsidP="000761F0">
            <w:r>
              <w:t>FTT</w:t>
            </w:r>
          </w:p>
        </w:tc>
        <w:tc>
          <w:tcPr>
            <w:tcW w:w="6599" w:type="dxa"/>
            <w:tcMar>
              <w:top w:w="85" w:type="dxa"/>
              <w:left w:w="57" w:type="dxa"/>
              <w:bottom w:w="85" w:type="dxa"/>
              <w:right w:w="57" w:type="dxa"/>
            </w:tcMar>
          </w:tcPr>
          <w:p w14:paraId="14BE79C8" w14:textId="77777777" w:rsidR="000761F0" w:rsidRDefault="00E43F34" w:rsidP="000761F0">
            <w:r>
              <w:t>Financial Transaction Tax</w:t>
            </w:r>
          </w:p>
        </w:tc>
      </w:tr>
      <w:tr w:rsidR="00BC6427" w14:paraId="446008C2" w14:textId="77777777" w:rsidTr="00812D88">
        <w:tc>
          <w:tcPr>
            <w:tcW w:w="2235" w:type="dxa"/>
            <w:tcMar>
              <w:top w:w="85" w:type="dxa"/>
              <w:left w:w="57" w:type="dxa"/>
              <w:bottom w:w="85" w:type="dxa"/>
              <w:right w:w="57" w:type="dxa"/>
            </w:tcMar>
          </w:tcPr>
          <w:p w14:paraId="21CDCDB3" w14:textId="13F43E82" w:rsidR="00BC6427" w:rsidRDefault="00BC6427" w:rsidP="000761F0">
            <w:r>
              <w:t>G20</w:t>
            </w:r>
          </w:p>
        </w:tc>
        <w:tc>
          <w:tcPr>
            <w:tcW w:w="6599" w:type="dxa"/>
            <w:tcMar>
              <w:top w:w="85" w:type="dxa"/>
              <w:left w:w="57" w:type="dxa"/>
              <w:bottom w:w="85" w:type="dxa"/>
              <w:right w:w="57" w:type="dxa"/>
            </w:tcMar>
          </w:tcPr>
          <w:p w14:paraId="6F58FFF3" w14:textId="6446AB9D" w:rsidR="00BC6427" w:rsidRDefault="00BC6427" w:rsidP="000761F0">
            <w:r>
              <w:t>Group of Twenty</w:t>
            </w:r>
          </w:p>
        </w:tc>
      </w:tr>
      <w:tr w:rsidR="000761F0" w14:paraId="14BE79CC" w14:textId="77777777" w:rsidTr="00812D88">
        <w:tc>
          <w:tcPr>
            <w:tcW w:w="2235" w:type="dxa"/>
            <w:tcMar>
              <w:top w:w="85" w:type="dxa"/>
              <w:left w:w="57" w:type="dxa"/>
              <w:bottom w:w="85" w:type="dxa"/>
              <w:right w:w="57" w:type="dxa"/>
            </w:tcMar>
          </w:tcPr>
          <w:p w14:paraId="14BE79CA" w14:textId="77777777" w:rsidR="000761F0" w:rsidRDefault="001663C0" w:rsidP="000761F0">
            <w:r>
              <w:t>IOTA</w:t>
            </w:r>
          </w:p>
        </w:tc>
        <w:tc>
          <w:tcPr>
            <w:tcW w:w="6599" w:type="dxa"/>
            <w:tcMar>
              <w:top w:w="85" w:type="dxa"/>
              <w:left w:w="57" w:type="dxa"/>
              <w:bottom w:w="85" w:type="dxa"/>
              <w:right w:w="57" w:type="dxa"/>
            </w:tcMar>
          </w:tcPr>
          <w:p w14:paraId="14BE79CB" w14:textId="77777777" w:rsidR="000761F0" w:rsidRDefault="00E43F34" w:rsidP="000761F0">
            <w:r>
              <w:t>The Intra-European Organisation of Tax Administrations</w:t>
            </w:r>
          </w:p>
        </w:tc>
      </w:tr>
      <w:tr w:rsidR="000761F0" w14:paraId="14BE79CF" w14:textId="77777777" w:rsidTr="00812D88">
        <w:tc>
          <w:tcPr>
            <w:tcW w:w="2235" w:type="dxa"/>
            <w:tcMar>
              <w:top w:w="85" w:type="dxa"/>
              <w:left w:w="57" w:type="dxa"/>
              <w:bottom w:w="85" w:type="dxa"/>
              <w:right w:w="57" w:type="dxa"/>
            </w:tcMar>
          </w:tcPr>
          <w:p w14:paraId="14BE79CD" w14:textId="77777777" w:rsidR="000761F0" w:rsidRDefault="000761F0" w:rsidP="000761F0">
            <w:r>
              <w:t>ISF</w:t>
            </w:r>
          </w:p>
        </w:tc>
        <w:tc>
          <w:tcPr>
            <w:tcW w:w="6599" w:type="dxa"/>
            <w:tcMar>
              <w:top w:w="85" w:type="dxa"/>
              <w:left w:w="57" w:type="dxa"/>
              <w:bottom w:w="85" w:type="dxa"/>
              <w:right w:w="57" w:type="dxa"/>
            </w:tcMar>
          </w:tcPr>
          <w:p w14:paraId="14BE79CE" w14:textId="77777777" w:rsidR="000761F0" w:rsidRDefault="00E43F34" w:rsidP="000761F0">
            <w:r>
              <w:rPr>
                <w:rStyle w:val="st"/>
              </w:rPr>
              <w:t>The Internal Security Fund</w:t>
            </w:r>
          </w:p>
        </w:tc>
      </w:tr>
      <w:tr w:rsidR="000761F0" w14:paraId="14BE79D8" w14:textId="77777777" w:rsidTr="00812D88">
        <w:tc>
          <w:tcPr>
            <w:tcW w:w="2235" w:type="dxa"/>
            <w:tcMar>
              <w:top w:w="85" w:type="dxa"/>
              <w:left w:w="57" w:type="dxa"/>
              <w:bottom w:w="85" w:type="dxa"/>
              <w:right w:w="57" w:type="dxa"/>
            </w:tcMar>
          </w:tcPr>
          <w:p w14:paraId="14BE79D6" w14:textId="77777777" w:rsidR="000761F0" w:rsidRDefault="000761F0" w:rsidP="000761F0">
            <w:r>
              <w:t>MFF</w:t>
            </w:r>
          </w:p>
        </w:tc>
        <w:tc>
          <w:tcPr>
            <w:tcW w:w="6599" w:type="dxa"/>
            <w:tcMar>
              <w:top w:w="85" w:type="dxa"/>
              <w:left w:w="57" w:type="dxa"/>
              <w:bottom w:w="85" w:type="dxa"/>
              <w:right w:w="57" w:type="dxa"/>
            </w:tcMar>
          </w:tcPr>
          <w:p w14:paraId="14BE79D7" w14:textId="77777777" w:rsidR="000761F0" w:rsidRDefault="00E43F34" w:rsidP="000761F0">
            <w:r>
              <w:rPr>
                <w:rStyle w:val="st"/>
              </w:rPr>
              <w:t>Multi-annual Financial Framework</w:t>
            </w:r>
          </w:p>
        </w:tc>
      </w:tr>
      <w:tr w:rsidR="001663C0" w14:paraId="14BE79DB" w14:textId="77777777" w:rsidTr="00812D88">
        <w:tc>
          <w:tcPr>
            <w:tcW w:w="2235" w:type="dxa"/>
            <w:tcMar>
              <w:top w:w="85" w:type="dxa"/>
              <w:left w:w="57" w:type="dxa"/>
              <w:bottom w:w="85" w:type="dxa"/>
              <w:right w:w="57" w:type="dxa"/>
            </w:tcMar>
          </w:tcPr>
          <w:p w14:paraId="14BE79D9" w14:textId="77777777" w:rsidR="001663C0" w:rsidRDefault="001663C0" w:rsidP="000761F0">
            <w:r>
              <w:t>MOSS</w:t>
            </w:r>
            <w:r w:rsidR="00E43F34">
              <w:t xml:space="preserve"> scheme</w:t>
            </w:r>
          </w:p>
        </w:tc>
        <w:tc>
          <w:tcPr>
            <w:tcW w:w="6599" w:type="dxa"/>
            <w:tcMar>
              <w:top w:w="85" w:type="dxa"/>
              <w:left w:w="57" w:type="dxa"/>
              <w:bottom w:w="85" w:type="dxa"/>
              <w:right w:w="57" w:type="dxa"/>
            </w:tcMar>
          </w:tcPr>
          <w:p w14:paraId="14BE79DA" w14:textId="77777777" w:rsidR="001663C0" w:rsidRDefault="00E43F34" w:rsidP="000761F0">
            <w:r>
              <w:rPr>
                <w:rStyle w:val="st"/>
              </w:rPr>
              <w:t>The Mini One-Stop-Shop</w:t>
            </w:r>
          </w:p>
        </w:tc>
      </w:tr>
      <w:tr w:rsidR="000761F0" w14:paraId="14BE79DE" w14:textId="77777777" w:rsidTr="00812D88">
        <w:tc>
          <w:tcPr>
            <w:tcW w:w="2235" w:type="dxa"/>
            <w:tcMar>
              <w:top w:w="85" w:type="dxa"/>
              <w:left w:w="57" w:type="dxa"/>
              <w:bottom w:w="85" w:type="dxa"/>
              <w:right w:w="57" w:type="dxa"/>
            </w:tcMar>
          </w:tcPr>
          <w:p w14:paraId="14BE79DC" w14:textId="77777777" w:rsidR="000761F0" w:rsidRDefault="000761F0" w:rsidP="000761F0">
            <w:r>
              <w:t>OLAF</w:t>
            </w:r>
          </w:p>
        </w:tc>
        <w:tc>
          <w:tcPr>
            <w:tcW w:w="6599" w:type="dxa"/>
            <w:tcMar>
              <w:top w:w="85" w:type="dxa"/>
              <w:left w:w="57" w:type="dxa"/>
              <w:bottom w:w="85" w:type="dxa"/>
              <w:right w:w="57" w:type="dxa"/>
            </w:tcMar>
          </w:tcPr>
          <w:p w14:paraId="14BE79DD" w14:textId="77777777" w:rsidR="000761F0" w:rsidRDefault="00E43F34" w:rsidP="000761F0">
            <w:r>
              <w:rPr>
                <w:rStyle w:val="st"/>
              </w:rPr>
              <w:t>The European Anti-Fraud Office</w:t>
            </w:r>
          </w:p>
        </w:tc>
      </w:tr>
      <w:tr w:rsidR="001663C0" w14:paraId="14BE79E1" w14:textId="77777777" w:rsidTr="00812D88">
        <w:tc>
          <w:tcPr>
            <w:tcW w:w="2235" w:type="dxa"/>
            <w:tcMar>
              <w:top w:w="85" w:type="dxa"/>
              <w:left w:w="57" w:type="dxa"/>
              <w:bottom w:w="85" w:type="dxa"/>
              <w:right w:w="57" w:type="dxa"/>
            </w:tcMar>
          </w:tcPr>
          <w:p w14:paraId="14BE79DF" w14:textId="77777777" w:rsidR="001663C0" w:rsidRDefault="001663C0" w:rsidP="000761F0">
            <w:r>
              <w:t>OSS</w:t>
            </w:r>
          </w:p>
        </w:tc>
        <w:tc>
          <w:tcPr>
            <w:tcW w:w="6599" w:type="dxa"/>
            <w:tcMar>
              <w:top w:w="85" w:type="dxa"/>
              <w:left w:w="57" w:type="dxa"/>
              <w:bottom w:w="85" w:type="dxa"/>
              <w:right w:w="57" w:type="dxa"/>
            </w:tcMar>
          </w:tcPr>
          <w:p w14:paraId="14BE79E0" w14:textId="77777777" w:rsidR="001663C0" w:rsidRDefault="00E43F34" w:rsidP="000761F0">
            <w:r>
              <w:rPr>
                <w:rStyle w:val="st"/>
              </w:rPr>
              <w:t>One-Stop-Shop</w:t>
            </w:r>
          </w:p>
        </w:tc>
      </w:tr>
      <w:tr w:rsidR="001663C0" w14:paraId="14BE79E4" w14:textId="77777777" w:rsidTr="00812D88">
        <w:tc>
          <w:tcPr>
            <w:tcW w:w="2235" w:type="dxa"/>
            <w:tcMar>
              <w:top w:w="85" w:type="dxa"/>
              <w:left w:w="57" w:type="dxa"/>
              <w:bottom w:w="85" w:type="dxa"/>
              <w:right w:w="57" w:type="dxa"/>
            </w:tcMar>
          </w:tcPr>
          <w:p w14:paraId="14BE79E2" w14:textId="77777777" w:rsidR="001663C0" w:rsidRDefault="001663C0" w:rsidP="000761F0">
            <w:r>
              <w:t>OECD</w:t>
            </w:r>
          </w:p>
        </w:tc>
        <w:tc>
          <w:tcPr>
            <w:tcW w:w="6599" w:type="dxa"/>
            <w:tcMar>
              <w:top w:w="85" w:type="dxa"/>
              <w:left w:w="57" w:type="dxa"/>
              <w:bottom w:w="85" w:type="dxa"/>
              <w:right w:w="57" w:type="dxa"/>
            </w:tcMar>
          </w:tcPr>
          <w:p w14:paraId="14BE79E3" w14:textId="77777777" w:rsidR="001663C0" w:rsidRDefault="00E43F34" w:rsidP="000761F0">
            <w:r>
              <w:t>The Organisation for Economic Co-operation and Development</w:t>
            </w:r>
          </w:p>
        </w:tc>
      </w:tr>
      <w:tr w:rsidR="000761F0" w14:paraId="14BE79E7" w14:textId="77777777" w:rsidTr="00812D88">
        <w:tc>
          <w:tcPr>
            <w:tcW w:w="2235" w:type="dxa"/>
            <w:tcMar>
              <w:top w:w="85" w:type="dxa"/>
              <w:left w:w="57" w:type="dxa"/>
              <w:bottom w:w="85" w:type="dxa"/>
              <w:right w:w="57" w:type="dxa"/>
            </w:tcMar>
          </w:tcPr>
          <w:p w14:paraId="14BE79E5" w14:textId="77777777" w:rsidR="000761F0" w:rsidRDefault="000761F0" w:rsidP="000761F0">
            <w:r>
              <w:t>PMF</w:t>
            </w:r>
          </w:p>
        </w:tc>
        <w:tc>
          <w:tcPr>
            <w:tcW w:w="6599" w:type="dxa"/>
            <w:tcMar>
              <w:top w:w="85" w:type="dxa"/>
              <w:left w:w="57" w:type="dxa"/>
              <w:bottom w:w="85" w:type="dxa"/>
              <w:right w:w="57" w:type="dxa"/>
            </w:tcMar>
          </w:tcPr>
          <w:p w14:paraId="14BE79E6" w14:textId="77777777" w:rsidR="000761F0" w:rsidRDefault="00E43F34" w:rsidP="000761F0">
            <w:r w:rsidRPr="00236367">
              <w:t>Performance Management Framework</w:t>
            </w:r>
          </w:p>
        </w:tc>
      </w:tr>
      <w:tr w:rsidR="00BC6427" w14:paraId="1578785F" w14:textId="77777777" w:rsidTr="00812D88">
        <w:tc>
          <w:tcPr>
            <w:tcW w:w="2235" w:type="dxa"/>
            <w:tcMar>
              <w:top w:w="85" w:type="dxa"/>
              <w:left w:w="57" w:type="dxa"/>
              <w:bottom w:w="85" w:type="dxa"/>
              <w:right w:w="57" w:type="dxa"/>
            </w:tcMar>
          </w:tcPr>
          <w:p w14:paraId="4EC0BB8A" w14:textId="41237AAD" w:rsidR="00BC6427" w:rsidRDefault="00BC6427" w:rsidP="000761F0">
            <w:r>
              <w:t>SME</w:t>
            </w:r>
          </w:p>
        </w:tc>
        <w:tc>
          <w:tcPr>
            <w:tcW w:w="6599" w:type="dxa"/>
            <w:tcMar>
              <w:top w:w="85" w:type="dxa"/>
              <w:left w:w="57" w:type="dxa"/>
              <w:bottom w:w="85" w:type="dxa"/>
              <w:right w:w="57" w:type="dxa"/>
            </w:tcMar>
          </w:tcPr>
          <w:p w14:paraId="52E77B77" w14:textId="532CA7AE" w:rsidR="00BC6427" w:rsidRPr="00236367" w:rsidRDefault="00BC6427" w:rsidP="000761F0">
            <w:r>
              <w:t>Small and Medium-sized enterprise</w:t>
            </w:r>
          </w:p>
        </w:tc>
      </w:tr>
      <w:tr w:rsidR="00F97381" w14:paraId="60BBE4BB" w14:textId="77777777" w:rsidTr="00812D88">
        <w:tc>
          <w:tcPr>
            <w:tcW w:w="2235" w:type="dxa"/>
            <w:tcMar>
              <w:top w:w="85" w:type="dxa"/>
              <w:left w:w="57" w:type="dxa"/>
              <w:bottom w:w="85" w:type="dxa"/>
              <w:right w:w="57" w:type="dxa"/>
            </w:tcMar>
          </w:tcPr>
          <w:p w14:paraId="7BF766F2" w14:textId="558544E8" w:rsidR="00F97381" w:rsidRDefault="00F97381" w:rsidP="000761F0">
            <w:r>
              <w:t>SMP</w:t>
            </w:r>
          </w:p>
        </w:tc>
        <w:tc>
          <w:tcPr>
            <w:tcW w:w="6599" w:type="dxa"/>
            <w:tcMar>
              <w:top w:w="85" w:type="dxa"/>
              <w:left w:w="57" w:type="dxa"/>
              <w:bottom w:w="85" w:type="dxa"/>
              <w:right w:w="57" w:type="dxa"/>
            </w:tcMar>
          </w:tcPr>
          <w:p w14:paraId="5D354C45" w14:textId="6548438A" w:rsidR="00F97381" w:rsidRPr="00236367" w:rsidRDefault="00F97381" w:rsidP="00F97381">
            <w:r>
              <w:t>Single Market Programme</w:t>
            </w:r>
          </w:p>
        </w:tc>
      </w:tr>
      <w:tr w:rsidR="000761F0" w14:paraId="14BE79ED" w14:textId="77777777" w:rsidTr="00812D88">
        <w:tc>
          <w:tcPr>
            <w:tcW w:w="2235" w:type="dxa"/>
            <w:tcMar>
              <w:top w:w="85" w:type="dxa"/>
              <w:left w:w="57" w:type="dxa"/>
              <w:bottom w:w="85" w:type="dxa"/>
              <w:right w:w="57" w:type="dxa"/>
            </w:tcMar>
          </w:tcPr>
          <w:p w14:paraId="14BE79EB" w14:textId="77777777" w:rsidR="000761F0" w:rsidRDefault="000761F0" w:rsidP="000761F0">
            <w:r>
              <w:t>TAXUD</w:t>
            </w:r>
          </w:p>
        </w:tc>
        <w:tc>
          <w:tcPr>
            <w:tcW w:w="6599" w:type="dxa"/>
            <w:tcMar>
              <w:top w:w="85" w:type="dxa"/>
              <w:left w:w="57" w:type="dxa"/>
              <w:bottom w:w="85" w:type="dxa"/>
              <w:right w:w="57" w:type="dxa"/>
            </w:tcMar>
          </w:tcPr>
          <w:p w14:paraId="14BE79EC" w14:textId="77777777" w:rsidR="000761F0" w:rsidRDefault="00E43F34" w:rsidP="000761F0">
            <w:r>
              <w:rPr>
                <w:rStyle w:val="st"/>
              </w:rPr>
              <w:t>Directorate-General for Taxation and Customs Union</w:t>
            </w:r>
          </w:p>
        </w:tc>
      </w:tr>
      <w:tr w:rsidR="000761F0" w14:paraId="14BE79F0" w14:textId="77777777" w:rsidTr="00812D88">
        <w:tc>
          <w:tcPr>
            <w:tcW w:w="2235" w:type="dxa"/>
            <w:tcMar>
              <w:top w:w="85" w:type="dxa"/>
              <w:left w:w="57" w:type="dxa"/>
              <w:bottom w:w="85" w:type="dxa"/>
              <w:right w:w="57" w:type="dxa"/>
            </w:tcMar>
          </w:tcPr>
          <w:p w14:paraId="14BE79EE" w14:textId="77777777" w:rsidR="000761F0" w:rsidRDefault="000761F0" w:rsidP="000761F0">
            <w:r>
              <w:t>TFEU</w:t>
            </w:r>
          </w:p>
        </w:tc>
        <w:tc>
          <w:tcPr>
            <w:tcW w:w="6599" w:type="dxa"/>
            <w:tcMar>
              <w:top w:w="85" w:type="dxa"/>
              <w:left w:w="57" w:type="dxa"/>
              <w:bottom w:w="85" w:type="dxa"/>
              <w:right w:w="57" w:type="dxa"/>
            </w:tcMar>
          </w:tcPr>
          <w:p w14:paraId="14BE79EF" w14:textId="77777777" w:rsidR="000761F0" w:rsidRPr="00E43F34" w:rsidRDefault="00E43F34" w:rsidP="000761F0">
            <w:pPr>
              <w:rPr>
                <w:i/>
              </w:rPr>
            </w:pPr>
            <w:r w:rsidRPr="00E43F34">
              <w:rPr>
                <w:rStyle w:val="Emphasis"/>
                <w:i w:val="0"/>
              </w:rPr>
              <w:t>Treaty on the Functioning of the European Union</w:t>
            </w:r>
          </w:p>
        </w:tc>
      </w:tr>
      <w:tr w:rsidR="000761F0" w14:paraId="14BE79F3" w14:textId="77777777" w:rsidTr="00812D88">
        <w:tc>
          <w:tcPr>
            <w:tcW w:w="2235" w:type="dxa"/>
            <w:tcMar>
              <w:top w:w="85" w:type="dxa"/>
              <w:left w:w="57" w:type="dxa"/>
              <w:bottom w:w="85" w:type="dxa"/>
              <w:right w:w="57" w:type="dxa"/>
            </w:tcMar>
          </w:tcPr>
          <w:p w14:paraId="14BE79F1" w14:textId="77777777" w:rsidR="000761F0" w:rsidRDefault="00DA3903" w:rsidP="000761F0">
            <w:r>
              <w:t>TNA</w:t>
            </w:r>
          </w:p>
        </w:tc>
        <w:tc>
          <w:tcPr>
            <w:tcW w:w="6599" w:type="dxa"/>
            <w:tcMar>
              <w:top w:w="85" w:type="dxa"/>
              <w:left w:w="57" w:type="dxa"/>
              <w:bottom w:w="85" w:type="dxa"/>
              <w:right w:w="57" w:type="dxa"/>
            </w:tcMar>
          </w:tcPr>
          <w:p w14:paraId="14BE79F2" w14:textId="09A0532F" w:rsidR="000761F0" w:rsidRDefault="002E158B" w:rsidP="000761F0">
            <w:r>
              <w:t>Transaction Network Analysis</w:t>
            </w:r>
          </w:p>
        </w:tc>
      </w:tr>
      <w:tr w:rsidR="000761F0" w14:paraId="14BE79F9" w14:textId="77777777" w:rsidTr="00812D88">
        <w:tc>
          <w:tcPr>
            <w:tcW w:w="2235" w:type="dxa"/>
            <w:tcMar>
              <w:top w:w="85" w:type="dxa"/>
              <w:left w:w="57" w:type="dxa"/>
              <w:bottom w:w="85" w:type="dxa"/>
              <w:right w:w="57" w:type="dxa"/>
            </w:tcMar>
          </w:tcPr>
          <w:p w14:paraId="14BE79F7" w14:textId="77777777" w:rsidR="000761F0" w:rsidRDefault="000761F0" w:rsidP="000761F0">
            <w:r>
              <w:t>VAT</w:t>
            </w:r>
          </w:p>
        </w:tc>
        <w:tc>
          <w:tcPr>
            <w:tcW w:w="6599" w:type="dxa"/>
            <w:tcMar>
              <w:top w:w="85" w:type="dxa"/>
              <w:left w:w="57" w:type="dxa"/>
              <w:bottom w:w="85" w:type="dxa"/>
              <w:right w:w="57" w:type="dxa"/>
            </w:tcMar>
          </w:tcPr>
          <w:p w14:paraId="14BE79F8" w14:textId="77777777" w:rsidR="000761F0" w:rsidRDefault="00E43F34" w:rsidP="000761F0">
            <w:r>
              <w:t>Value-added tax</w:t>
            </w:r>
          </w:p>
        </w:tc>
      </w:tr>
    </w:tbl>
    <w:p w14:paraId="14BE79FE" w14:textId="77777777" w:rsidR="00C15858" w:rsidRDefault="00C15858" w:rsidP="00C15858">
      <w:r>
        <w:br w:type="page"/>
      </w:r>
    </w:p>
    <w:p w14:paraId="14BE79FF" w14:textId="77777777" w:rsidR="00244E6A" w:rsidRDefault="001D063C" w:rsidP="00244E6A">
      <w:pPr>
        <w:pStyle w:val="Heading1"/>
      </w:pPr>
      <w:bookmarkStart w:id="2" w:name="_Toc515012590"/>
      <w:r>
        <w:rPr>
          <w:szCs w:val="24"/>
        </w:rPr>
        <w:lastRenderedPageBreak/>
        <w:t>Problem statement and needs assessment</w:t>
      </w:r>
      <w:bookmarkEnd w:id="2"/>
    </w:p>
    <w:p w14:paraId="4DFE22F1" w14:textId="677E759F" w:rsidR="00205682" w:rsidRPr="00E77A89" w:rsidRDefault="00205682" w:rsidP="00205682">
      <w:pPr>
        <w:pBdr>
          <w:top w:val="single" w:sz="4" w:space="1" w:color="auto"/>
          <w:left w:val="single" w:sz="4" w:space="4" w:color="auto"/>
          <w:bottom w:val="single" w:sz="4" w:space="1" w:color="auto"/>
          <w:right w:val="single" w:sz="4" w:space="4" w:color="auto"/>
        </w:pBdr>
        <w:spacing w:line="240" w:lineRule="auto"/>
        <w:jc w:val="both"/>
        <w:rPr>
          <w:rStyle w:val="A6"/>
          <w:rFonts w:ascii="Times New Roman" w:hAnsi="Times New Roman" w:cs="Times New Roman"/>
          <w:b/>
          <w:sz w:val="24"/>
          <w:szCs w:val="24"/>
        </w:rPr>
      </w:pPr>
      <w:r w:rsidRPr="00E77A89">
        <w:rPr>
          <w:rStyle w:val="A6"/>
          <w:rFonts w:ascii="Times New Roman" w:hAnsi="Times New Roman" w:cs="Times New Roman"/>
          <w:b/>
          <w:sz w:val="24"/>
          <w:szCs w:val="24"/>
          <w:lang w:eastAsia="en-GB"/>
        </w:rPr>
        <w:t xml:space="preserve">On 2 May 2018, the European Commission adopted its proposals for a new Multiannual Financial Framework (MFF) for 2021-2027. Under </w:t>
      </w:r>
      <w:hyperlink r:id="rId25" w:history="1">
        <w:r w:rsidRPr="00E77A89">
          <w:rPr>
            <w:rStyle w:val="Hyperlink"/>
            <w:rFonts w:ascii="Times New Roman" w:hAnsi="Times New Roman" w:cs="Times New Roman"/>
            <w:b/>
            <w:sz w:val="24"/>
            <w:szCs w:val="24"/>
            <w:lang w:eastAsia="en-GB"/>
          </w:rPr>
          <w:t>these proposals</w:t>
        </w:r>
      </w:hyperlink>
      <w:r w:rsidRPr="00E77A89">
        <w:rPr>
          <w:rStyle w:val="A6"/>
          <w:rFonts w:ascii="Times New Roman" w:hAnsi="Times New Roman" w:cs="Times New Roman"/>
          <w:b/>
          <w:sz w:val="24"/>
          <w:szCs w:val="24"/>
          <w:lang w:eastAsia="en-GB"/>
        </w:rPr>
        <w:t xml:space="preserve">, the </w:t>
      </w:r>
      <w:r w:rsidR="00C775BB" w:rsidRPr="00E77A89">
        <w:rPr>
          <w:rStyle w:val="A6"/>
          <w:rFonts w:ascii="Times New Roman" w:hAnsi="Times New Roman" w:cs="Times New Roman"/>
          <w:b/>
          <w:sz w:val="24"/>
          <w:szCs w:val="24"/>
        </w:rPr>
        <w:t>Fiscalis</w:t>
      </w:r>
      <w:r w:rsidRPr="00E77A89">
        <w:rPr>
          <w:rStyle w:val="A6"/>
          <w:rFonts w:ascii="Times New Roman" w:hAnsi="Times New Roman" w:cs="Times New Roman"/>
          <w:b/>
          <w:sz w:val="24"/>
          <w:szCs w:val="24"/>
          <w:lang w:eastAsia="en-GB"/>
        </w:rPr>
        <w:t xml:space="preserve"> programme will have a budget of EUR </w:t>
      </w:r>
      <w:r w:rsidRPr="00E77A89">
        <w:rPr>
          <w:rStyle w:val="A6"/>
          <w:rFonts w:ascii="Times New Roman" w:hAnsi="Times New Roman" w:cs="Times New Roman"/>
          <w:b/>
          <w:sz w:val="24"/>
          <w:szCs w:val="24"/>
        </w:rPr>
        <w:t>270 million</w:t>
      </w:r>
      <w:r w:rsidRPr="00E77A89">
        <w:rPr>
          <w:rStyle w:val="A6"/>
          <w:rFonts w:ascii="Times New Roman" w:hAnsi="Times New Roman" w:cs="Times New Roman"/>
          <w:b/>
          <w:sz w:val="24"/>
          <w:szCs w:val="24"/>
          <w:lang w:eastAsia="en-GB"/>
        </w:rPr>
        <w:t xml:space="preserve"> (in current prices) over this period. This </w:t>
      </w:r>
      <w:r w:rsidR="00BC6427" w:rsidRPr="00E77A89">
        <w:rPr>
          <w:rStyle w:val="A6"/>
          <w:rFonts w:ascii="Times New Roman" w:hAnsi="Times New Roman" w:cs="Times New Roman"/>
          <w:b/>
          <w:sz w:val="24"/>
          <w:szCs w:val="24"/>
          <w:lang w:eastAsia="en-GB"/>
        </w:rPr>
        <w:t xml:space="preserve">ex-ante evaluation </w:t>
      </w:r>
      <w:r w:rsidRPr="00E77A89">
        <w:rPr>
          <w:rStyle w:val="A6"/>
          <w:rFonts w:ascii="Times New Roman" w:hAnsi="Times New Roman" w:cs="Times New Roman"/>
          <w:b/>
          <w:sz w:val="24"/>
          <w:szCs w:val="24"/>
          <w:lang w:eastAsia="en-GB"/>
        </w:rPr>
        <w:t>reflects the decisions of the MFF proposals and focuses on the changes and policy choices</w:t>
      </w:r>
      <w:r w:rsidR="00DB62B3" w:rsidRPr="00E77A89">
        <w:rPr>
          <w:rStyle w:val="A6"/>
          <w:rFonts w:ascii="Times New Roman" w:hAnsi="Times New Roman" w:cs="Times New Roman"/>
          <w:b/>
          <w:sz w:val="24"/>
          <w:szCs w:val="24"/>
          <w:lang w:eastAsia="en-GB"/>
        </w:rPr>
        <w:t>,</w:t>
      </w:r>
      <w:r w:rsidRPr="00E77A89">
        <w:rPr>
          <w:rStyle w:val="A6"/>
          <w:rFonts w:ascii="Times New Roman" w:hAnsi="Times New Roman" w:cs="Times New Roman"/>
          <w:b/>
          <w:sz w:val="24"/>
          <w:szCs w:val="24"/>
          <w:lang w:eastAsia="en-GB"/>
        </w:rPr>
        <w:t xml:space="preserve"> which are specific to this programme. </w:t>
      </w:r>
    </w:p>
    <w:p w14:paraId="14BE7A00" w14:textId="77777777" w:rsidR="00BA315F" w:rsidRPr="00E77A89" w:rsidRDefault="004B7293" w:rsidP="002A5863">
      <w:pPr>
        <w:pStyle w:val="Subtitle"/>
        <w:rPr>
          <w:rFonts w:ascii="Times New Roman" w:hAnsi="Times New Roman" w:cs="Times New Roman"/>
        </w:rPr>
      </w:pPr>
      <w:r w:rsidRPr="00E77A89">
        <w:rPr>
          <w:rFonts w:ascii="Times New Roman" w:hAnsi="Times New Roman" w:cs="Times New Roman"/>
        </w:rPr>
        <w:t>EU tax policy</w:t>
      </w:r>
    </w:p>
    <w:p w14:paraId="14BE7A01" w14:textId="30110325" w:rsidR="007D532D" w:rsidRPr="00E77A89" w:rsidRDefault="009154FE" w:rsidP="00205682">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rPr>
        <w:t>EU t</w:t>
      </w:r>
      <w:r w:rsidR="008302F7" w:rsidRPr="00E77A89">
        <w:rPr>
          <w:rFonts w:ascii="Times New Roman" w:hAnsi="Times New Roman" w:cs="Times New Roman"/>
          <w:sz w:val="24"/>
          <w:szCs w:val="24"/>
        </w:rPr>
        <w:t xml:space="preserve">ax policy supports </w:t>
      </w:r>
      <w:r w:rsidR="008302F7" w:rsidRPr="00E77A89">
        <w:rPr>
          <w:rFonts w:ascii="Times New Roman" w:hAnsi="Times New Roman" w:cs="Times New Roman"/>
          <w:b/>
          <w:sz w:val="24"/>
          <w:szCs w:val="24"/>
        </w:rPr>
        <w:t>revenue collection</w:t>
      </w:r>
      <w:r w:rsidR="008302F7" w:rsidRPr="00E77A89">
        <w:rPr>
          <w:rFonts w:ascii="Times New Roman" w:hAnsi="Times New Roman" w:cs="Times New Roman"/>
          <w:sz w:val="24"/>
          <w:szCs w:val="24"/>
        </w:rPr>
        <w:t xml:space="preserve"> for the EU and Member States' budgets</w:t>
      </w:r>
      <w:r w:rsidR="00F70AD2" w:rsidRPr="00E77A89">
        <w:rPr>
          <w:rFonts w:ascii="Times New Roman" w:hAnsi="Times New Roman" w:cs="Times New Roman"/>
          <w:sz w:val="24"/>
          <w:szCs w:val="24"/>
        </w:rPr>
        <w:t xml:space="preserve">. While initially it focussed on putting in place harmonising legislation mainly for indirect taxes, it has over the years widened its focus more on coordination on tax matters </w:t>
      </w:r>
      <w:r w:rsidR="00080896" w:rsidRPr="00E77A89">
        <w:rPr>
          <w:rFonts w:ascii="Times New Roman" w:hAnsi="Times New Roman" w:cs="Times New Roman"/>
          <w:sz w:val="24"/>
          <w:szCs w:val="24"/>
        </w:rPr>
        <w:t>amongst Member States and</w:t>
      </w:r>
      <w:r w:rsidR="008302F7" w:rsidRPr="00E77A89">
        <w:rPr>
          <w:rFonts w:ascii="Times New Roman" w:hAnsi="Times New Roman" w:cs="Times New Roman"/>
          <w:sz w:val="24"/>
          <w:szCs w:val="24"/>
        </w:rPr>
        <w:t xml:space="preserve"> the </w:t>
      </w:r>
      <w:r w:rsidR="008302F7" w:rsidRPr="00E77A89">
        <w:rPr>
          <w:rFonts w:ascii="Times New Roman" w:hAnsi="Times New Roman" w:cs="Times New Roman"/>
          <w:b/>
          <w:sz w:val="24"/>
          <w:szCs w:val="24"/>
        </w:rPr>
        <w:t>fight against tax fraud</w:t>
      </w:r>
      <w:r w:rsidR="00BC6427" w:rsidRPr="00E77A89">
        <w:rPr>
          <w:rFonts w:ascii="Times New Roman" w:hAnsi="Times New Roman" w:cs="Times New Roman"/>
          <w:b/>
          <w:sz w:val="24"/>
          <w:szCs w:val="24"/>
        </w:rPr>
        <w:t>, tax evasion and tax avoidance</w:t>
      </w:r>
      <w:r w:rsidR="008302F7" w:rsidRPr="00E77A89">
        <w:rPr>
          <w:rFonts w:ascii="Times New Roman" w:hAnsi="Times New Roman" w:cs="Times New Roman"/>
          <w:sz w:val="24"/>
          <w:szCs w:val="24"/>
        </w:rPr>
        <w:t xml:space="preserve">. </w:t>
      </w:r>
      <w:r w:rsidR="00080896" w:rsidRPr="00E77A89">
        <w:rPr>
          <w:rFonts w:ascii="Times New Roman" w:hAnsi="Times New Roman" w:cs="Times New Roman"/>
          <w:sz w:val="24"/>
          <w:szCs w:val="24"/>
        </w:rPr>
        <w:t>EU tax policy</w:t>
      </w:r>
      <w:r w:rsidR="008302F7" w:rsidRPr="00E77A89">
        <w:rPr>
          <w:rFonts w:ascii="Times New Roman" w:hAnsi="Times New Roman" w:cs="Times New Roman"/>
          <w:sz w:val="24"/>
          <w:szCs w:val="24"/>
        </w:rPr>
        <w:t xml:space="preserve"> is a key element </w:t>
      </w:r>
      <w:r w:rsidR="00080896" w:rsidRPr="00E77A89">
        <w:rPr>
          <w:rFonts w:ascii="Times New Roman" w:hAnsi="Times New Roman" w:cs="Times New Roman"/>
          <w:sz w:val="24"/>
          <w:szCs w:val="24"/>
        </w:rPr>
        <w:t>for ensuring the</w:t>
      </w:r>
      <w:r w:rsidR="00BC6427" w:rsidRPr="00E77A89">
        <w:rPr>
          <w:rFonts w:ascii="Times New Roman" w:hAnsi="Times New Roman" w:cs="Times New Roman"/>
          <w:sz w:val="24"/>
          <w:szCs w:val="24"/>
        </w:rPr>
        <w:t xml:space="preserve"> proper</w:t>
      </w:r>
      <w:r w:rsidR="00080896" w:rsidRPr="00E77A89">
        <w:rPr>
          <w:rFonts w:ascii="Times New Roman" w:hAnsi="Times New Roman" w:cs="Times New Roman"/>
          <w:sz w:val="24"/>
          <w:szCs w:val="24"/>
        </w:rPr>
        <w:t xml:space="preserve"> functioning of </w:t>
      </w:r>
      <w:r w:rsidR="008302F7" w:rsidRPr="00E77A89">
        <w:rPr>
          <w:rFonts w:ascii="Times New Roman" w:hAnsi="Times New Roman" w:cs="Times New Roman"/>
          <w:sz w:val="24"/>
          <w:szCs w:val="24"/>
        </w:rPr>
        <w:t xml:space="preserve">the </w:t>
      </w:r>
      <w:r w:rsidR="00F8628D" w:rsidRPr="00E77A89">
        <w:rPr>
          <w:rFonts w:ascii="Times New Roman" w:hAnsi="Times New Roman" w:cs="Times New Roman"/>
          <w:sz w:val="24"/>
          <w:szCs w:val="24"/>
        </w:rPr>
        <w:t>single market</w:t>
      </w:r>
      <w:r w:rsidR="00BC6427" w:rsidRPr="00E77A89">
        <w:rPr>
          <w:rFonts w:ascii="Times New Roman" w:hAnsi="Times New Roman" w:cs="Times New Roman"/>
          <w:sz w:val="24"/>
          <w:szCs w:val="24"/>
        </w:rPr>
        <w:t xml:space="preserve"> including by</w:t>
      </w:r>
      <w:r w:rsidR="00080896" w:rsidRPr="00E77A89">
        <w:rPr>
          <w:rFonts w:ascii="Times New Roman" w:hAnsi="Times New Roman" w:cs="Times New Roman"/>
          <w:sz w:val="24"/>
          <w:szCs w:val="24"/>
        </w:rPr>
        <w:t xml:space="preserve"> avoiding distortions of competition through taxation</w:t>
      </w:r>
      <w:r w:rsidR="008302F7" w:rsidRPr="00E77A89">
        <w:rPr>
          <w:rFonts w:ascii="Times New Roman" w:hAnsi="Times New Roman" w:cs="Times New Roman"/>
          <w:sz w:val="24"/>
          <w:szCs w:val="24"/>
          <w:lang w:eastAsia="en-GB"/>
        </w:rPr>
        <w:t xml:space="preserve">. This policy has two branches: indirect </w:t>
      </w:r>
      <w:r w:rsidR="008302F7" w:rsidRPr="00E77A89">
        <w:rPr>
          <w:rStyle w:val="A6"/>
          <w:rFonts w:ascii="Times New Roman" w:hAnsi="Times New Roman" w:cs="Times New Roman"/>
          <w:sz w:val="24"/>
          <w:szCs w:val="24"/>
        </w:rPr>
        <w:t>and</w:t>
      </w:r>
      <w:r w:rsidR="008302F7" w:rsidRPr="00E77A89">
        <w:rPr>
          <w:rFonts w:ascii="Times New Roman" w:hAnsi="Times New Roman" w:cs="Times New Roman"/>
          <w:sz w:val="24"/>
          <w:szCs w:val="24"/>
          <w:lang w:eastAsia="en-GB"/>
        </w:rPr>
        <w:t xml:space="preserve"> direct taxation</w:t>
      </w:r>
      <w:r w:rsidR="00080896" w:rsidRPr="00E77A89">
        <w:rPr>
          <w:rFonts w:ascii="Times New Roman" w:hAnsi="Times New Roman" w:cs="Times New Roman"/>
          <w:sz w:val="24"/>
          <w:szCs w:val="24"/>
          <w:lang w:eastAsia="en-GB"/>
        </w:rPr>
        <w:t>. Both are addressed</w:t>
      </w:r>
      <w:r w:rsidR="008302F7" w:rsidRPr="00E77A89">
        <w:rPr>
          <w:rFonts w:ascii="Times New Roman" w:hAnsi="Times New Roman" w:cs="Times New Roman"/>
          <w:sz w:val="24"/>
          <w:szCs w:val="24"/>
          <w:lang w:eastAsia="en-GB"/>
        </w:rPr>
        <w:t xml:space="preserve"> in</w:t>
      </w:r>
      <w:r w:rsidR="008302F7" w:rsidRPr="00E77A89">
        <w:rPr>
          <w:rFonts w:ascii="Times New Roman" w:hAnsi="Times New Roman" w:cs="Times New Roman"/>
          <w:sz w:val="24"/>
          <w:szCs w:val="24"/>
        </w:rPr>
        <w:t xml:space="preserve"> the EU cooperation programme </w:t>
      </w:r>
      <w:r w:rsidR="008302F7" w:rsidRPr="00E77A89">
        <w:rPr>
          <w:rFonts w:ascii="Times New Roman" w:hAnsi="Times New Roman" w:cs="Times New Roman"/>
          <w:b/>
          <w:sz w:val="24"/>
          <w:szCs w:val="24"/>
        </w:rPr>
        <w:t>Fiscalis</w:t>
      </w:r>
      <w:r w:rsidR="00205682" w:rsidRPr="00E77A89">
        <w:rPr>
          <w:rFonts w:ascii="Times New Roman" w:hAnsi="Times New Roman" w:cs="Times New Roman"/>
          <w:b/>
          <w:sz w:val="24"/>
          <w:szCs w:val="24"/>
        </w:rPr>
        <w:t>,</w:t>
      </w:r>
      <w:r w:rsidR="008302F7" w:rsidRPr="00E77A89">
        <w:rPr>
          <w:rFonts w:ascii="Times New Roman" w:hAnsi="Times New Roman" w:cs="Times New Roman"/>
          <w:b/>
          <w:sz w:val="24"/>
          <w:szCs w:val="24"/>
        </w:rPr>
        <w:t xml:space="preserve"> </w:t>
      </w:r>
      <w:r w:rsidR="008302F7" w:rsidRPr="00E77A89">
        <w:rPr>
          <w:rFonts w:ascii="Times New Roman" w:hAnsi="Times New Roman" w:cs="Times New Roman"/>
          <w:sz w:val="24"/>
          <w:szCs w:val="24"/>
        </w:rPr>
        <w:t xml:space="preserve">which provides the necessary funding </w:t>
      </w:r>
      <w:r w:rsidR="00AC5C19" w:rsidRPr="00E77A89">
        <w:rPr>
          <w:rFonts w:ascii="Times New Roman" w:hAnsi="Times New Roman" w:cs="Times New Roman"/>
          <w:sz w:val="24"/>
          <w:szCs w:val="24"/>
        </w:rPr>
        <w:t>and</w:t>
      </w:r>
      <w:r w:rsidR="008302F7" w:rsidRPr="00E77A89">
        <w:rPr>
          <w:rFonts w:ascii="Times New Roman" w:hAnsi="Times New Roman" w:cs="Times New Roman"/>
          <w:sz w:val="24"/>
          <w:szCs w:val="24"/>
        </w:rPr>
        <w:t xml:space="preserve"> implementation </w:t>
      </w:r>
      <w:r w:rsidR="00AC5C19" w:rsidRPr="00E77A89">
        <w:rPr>
          <w:rFonts w:ascii="Times New Roman" w:hAnsi="Times New Roman" w:cs="Times New Roman"/>
          <w:sz w:val="24"/>
          <w:szCs w:val="24"/>
        </w:rPr>
        <w:t xml:space="preserve">mechanisms </w:t>
      </w:r>
      <w:r w:rsidR="008302F7" w:rsidRPr="00E77A89">
        <w:rPr>
          <w:rFonts w:ascii="Times New Roman" w:hAnsi="Times New Roman" w:cs="Times New Roman"/>
          <w:sz w:val="24"/>
          <w:szCs w:val="24"/>
        </w:rPr>
        <w:t>f</w:t>
      </w:r>
      <w:r w:rsidR="00AC5C19" w:rsidRPr="00E77A89">
        <w:rPr>
          <w:rFonts w:ascii="Times New Roman" w:hAnsi="Times New Roman" w:cs="Times New Roman"/>
          <w:sz w:val="24"/>
          <w:szCs w:val="24"/>
        </w:rPr>
        <w:t>or</w:t>
      </w:r>
      <w:r w:rsidR="008302F7" w:rsidRPr="00E77A89">
        <w:rPr>
          <w:rFonts w:ascii="Times New Roman" w:hAnsi="Times New Roman" w:cs="Times New Roman"/>
          <w:sz w:val="24"/>
          <w:szCs w:val="24"/>
        </w:rPr>
        <w:t xml:space="preserve"> the EU's tax policy agenda</w:t>
      </w:r>
      <w:r w:rsidR="00D4075C" w:rsidRPr="00E77A89">
        <w:rPr>
          <w:rFonts w:ascii="Times New Roman" w:hAnsi="Times New Roman" w:cs="Times New Roman"/>
          <w:sz w:val="24"/>
          <w:szCs w:val="24"/>
          <w:lang w:eastAsia="en-GB"/>
        </w:rPr>
        <w:t xml:space="preserve">. </w:t>
      </w:r>
    </w:p>
    <w:p w14:paraId="14BE7A03" w14:textId="478E0109" w:rsidR="007D532D" w:rsidRPr="00E77A89" w:rsidRDefault="007D532D" w:rsidP="00205682">
      <w:pPr>
        <w:spacing w:line="240" w:lineRule="auto"/>
        <w:jc w:val="both"/>
        <w:rPr>
          <w:rFonts w:ascii="Times New Roman" w:hAnsi="Times New Roman" w:cs="Times New Roman"/>
          <w:sz w:val="24"/>
          <w:szCs w:val="24"/>
          <w:lang w:eastAsia="en-GB"/>
        </w:rPr>
      </w:pPr>
      <w:r w:rsidRPr="00E77A89" w:rsidDel="00B93234">
        <w:rPr>
          <w:rFonts w:ascii="Times New Roman" w:hAnsi="Times New Roman" w:cs="Times New Roman"/>
          <w:sz w:val="24"/>
          <w:szCs w:val="24"/>
          <w:lang w:eastAsia="en-GB"/>
        </w:rPr>
        <w:t>Designed</w:t>
      </w:r>
      <w:r w:rsidRPr="00E77A89">
        <w:rPr>
          <w:rFonts w:ascii="Times New Roman" w:hAnsi="Times New Roman" w:cs="Times New Roman"/>
          <w:sz w:val="24"/>
          <w:szCs w:val="24"/>
          <w:lang w:eastAsia="en-GB"/>
        </w:rPr>
        <w:t xml:space="preserve"> in 1993 purely as a training and exchange programme for tax officials, Fiscalis evolved over time to become a</w:t>
      </w:r>
      <w:r w:rsidRPr="00E77A89">
        <w:rPr>
          <w:rFonts w:ascii="Times New Roman" w:hAnsi="Times New Roman" w:cs="Times New Roman"/>
          <w:b/>
          <w:sz w:val="24"/>
          <w:szCs w:val="24"/>
          <w:lang w:eastAsia="en-GB"/>
        </w:rPr>
        <w:t xml:space="preserve"> fully-fledged tax policy framework</w:t>
      </w:r>
      <w:r w:rsidRPr="00E77A89">
        <w:rPr>
          <w:rFonts w:ascii="Times New Roman" w:hAnsi="Times New Roman" w:cs="Times New Roman"/>
          <w:sz w:val="24"/>
          <w:szCs w:val="24"/>
          <w:lang w:eastAsia="en-GB"/>
        </w:rPr>
        <w:t xml:space="preserve"> that actively fulfil</w:t>
      </w:r>
      <w:r w:rsidRPr="00E77A89" w:rsidDel="00B93234">
        <w:rPr>
          <w:rFonts w:ascii="Times New Roman" w:hAnsi="Times New Roman" w:cs="Times New Roman"/>
          <w:sz w:val="24"/>
          <w:szCs w:val="24"/>
          <w:lang w:eastAsia="en-GB"/>
        </w:rPr>
        <w:t>s</w:t>
      </w:r>
      <w:r w:rsidRPr="00E77A89">
        <w:rPr>
          <w:rFonts w:ascii="Times New Roman" w:hAnsi="Times New Roman" w:cs="Times New Roman"/>
          <w:sz w:val="24"/>
          <w:szCs w:val="24"/>
          <w:lang w:eastAsia="en-GB"/>
        </w:rPr>
        <w:t xml:space="preserve"> an important element of the policy itself, namely </w:t>
      </w:r>
      <w:r w:rsidR="009358DF" w:rsidRPr="00E77A89">
        <w:rPr>
          <w:rFonts w:ascii="Times New Roman" w:hAnsi="Times New Roman" w:cs="Times New Roman"/>
          <w:sz w:val="24"/>
          <w:szCs w:val="24"/>
          <w:lang w:eastAsia="en-GB"/>
        </w:rPr>
        <w:t xml:space="preserve">by enabling and boosting </w:t>
      </w:r>
      <w:r w:rsidRPr="00E77A89">
        <w:rPr>
          <w:rFonts w:ascii="Times New Roman" w:hAnsi="Times New Roman" w:cs="Times New Roman"/>
          <w:sz w:val="24"/>
          <w:szCs w:val="24"/>
          <w:lang w:eastAsia="en-GB"/>
        </w:rPr>
        <w:t xml:space="preserve">cooperation and capacity building for all EU tax administrations. The various Fiscalis programmes have clearly been a game changer of the taxation landscape over the last 20 years and EU action in taxation relies to a large extent on the Fiscalis programme, which offers a flexible and simple framework for enabling tax cooperation with a </w:t>
      </w:r>
      <w:r w:rsidR="007A371F" w:rsidRPr="00E77A89">
        <w:rPr>
          <w:rFonts w:ascii="Times New Roman" w:hAnsi="Times New Roman" w:cs="Times New Roman"/>
          <w:sz w:val="24"/>
          <w:szCs w:val="24"/>
          <w:lang w:eastAsia="en-GB"/>
        </w:rPr>
        <w:t>su</w:t>
      </w:r>
      <w:r w:rsidR="008F0C7E" w:rsidRPr="00E77A89">
        <w:rPr>
          <w:rFonts w:ascii="Times New Roman" w:hAnsi="Times New Roman" w:cs="Times New Roman"/>
          <w:sz w:val="24"/>
          <w:szCs w:val="24"/>
          <w:lang w:eastAsia="en-GB"/>
        </w:rPr>
        <w:t>b</w:t>
      </w:r>
      <w:r w:rsidR="007A371F" w:rsidRPr="00E77A89">
        <w:rPr>
          <w:rFonts w:ascii="Times New Roman" w:hAnsi="Times New Roman" w:cs="Times New Roman"/>
          <w:sz w:val="24"/>
          <w:szCs w:val="24"/>
          <w:lang w:eastAsia="en-GB"/>
        </w:rPr>
        <w:t>stantial</w:t>
      </w:r>
      <w:r w:rsidRPr="00E77A89">
        <w:rPr>
          <w:rFonts w:ascii="Times New Roman" w:hAnsi="Times New Roman" w:cs="Times New Roman"/>
          <w:sz w:val="24"/>
          <w:szCs w:val="24"/>
          <w:lang w:eastAsia="en-GB"/>
        </w:rPr>
        <w:t xml:space="preserve"> EU added value and impact despite its limited size. </w:t>
      </w:r>
    </w:p>
    <w:p w14:paraId="14BE7A04" w14:textId="349BD03C" w:rsidR="008302F7" w:rsidRPr="00E77A89" w:rsidRDefault="00D4075C" w:rsidP="008302F7">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On top of general tax provisions (Article 110 – 112 TFEU) </w:t>
      </w:r>
      <w:r w:rsidR="002111A2" w:rsidRPr="00E77A89">
        <w:rPr>
          <w:rFonts w:ascii="Times New Roman" w:hAnsi="Times New Roman" w:cs="Times New Roman"/>
          <w:sz w:val="24"/>
          <w:szCs w:val="24"/>
          <w:lang w:eastAsia="en-GB"/>
        </w:rPr>
        <w:t>which aim at avoiding protectionism measures</w:t>
      </w:r>
      <w:r w:rsidRPr="00E77A89">
        <w:rPr>
          <w:rFonts w:ascii="Times New Roman" w:hAnsi="Times New Roman" w:cs="Times New Roman"/>
          <w:sz w:val="24"/>
          <w:szCs w:val="24"/>
          <w:lang w:eastAsia="en-GB"/>
        </w:rPr>
        <w:t xml:space="preserve">, there are </w:t>
      </w:r>
      <w:r w:rsidR="002111A2" w:rsidRPr="00E77A89">
        <w:rPr>
          <w:rFonts w:ascii="Times New Roman" w:hAnsi="Times New Roman" w:cs="Times New Roman"/>
          <w:sz w:val="24"/>
          <w:szCs w:val="24"/>
          <w:lang w:eastAsia="en-GB"/>
        </w:rPr>
        <w:t xml:space="preserve">additional Treaty </w:t>
      </w:r>
      <w:r w:rsidRPr="00E77A89">
        <w:rPr>
          <w:rFonts w:ascii="Times New Roman" w:hAnsi="Times New Roman" w:cs="Times New Roman"/>
          <w:sz w:val="24"/>
          <w:szCs w:val="24"/>
          <w:lang w:eastAsia="en-GB"/>
        </w:rPr>
        <w:t>provisions applicable to each branch:</w:t>
      </w:r>
    </w:p>
    <w:p w14:paraId="14BE7A05" w14:textId="36B98BD4" w:rsidR="008302F7" w:rsidRPr="00E77A89" w:rsidRDefault="008302F7" w:rsidP="0000359D">
      <w:pPr>
        <w:pStyle w:val="ListParagraph"/>
        <w:numPr>
          <w:ilvl w:val="0"/>
          <w:numId w:val="18"/>
        </w:numPr>
        <w:spacing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EU regulatory intervention aiming at harmonising taxes is limited by the Treaties (Art</w:t>
      </w:r>
      <w:r w:rsidR="00BC6427" w:rsidRPr="00E77A89">
        <w:rPr>
          <w:rFonts w:ascii="Times New Roman" w:hAnsi="Times New Roman" w:cs="Times New Roman"/>
          <w:sz w:val="24"/>
          <w:szCs w:val="24"/>
          <w:lang w:eastAsia="en-GB"/>
        </w:rPr>
        <w:t>icle</w:t>
      </w:r>
      <w:r w:rsidRPr="00E77A89">
        <w:rPr>
          <w:rFonts w:ascii="Times New Roman" w:hAnsi="Times New Roman" w:cs="Times New Roman"/>
          <w:sz w:val="24"/>
          <w:szCs w:val="24"/>
          <w:lang w:eastAsia="en-GB"/>
        </w:rPr>
        <w:t xml:space="preserve"> 113 TFEU) to the area of </w:t>
      </w:r>
      <w:r w:rsidRPr="00E77A89">
        <w:rPr>
          <w:rFonts w:ascii="Times New Roman" w:hAnsi="Times New Roman" w:cs="Times New Roman"/>
          <w:b/>
          <w:sz w:val="24"/>
          <w:szCs w:val="24"/>
          <w:lang w:eastAsia="en-GB"/>
        </w:rPr>
        <w:t>indirect taxation</w:t>
      </w:r>
      <w:r w:rsidRPr="00E77A89">
        <w:rPr>
          <w:rFonts w:ascii="Times New Roman" w:hAnsi="Times New Roman" w:cs="Times New Roman"/>
          <w:sz w:val="24"/>
          <w:szCs w:val="24"/>
          <w:lang w:eastAsia="en-GB"/>
        </w:rPr>
        <w:t xml:space="preserve"> (VAT and excise duties). In this domain – the largest source of rev</w:t>
      </w:r>
      <w:r w:rsidR="0000359D" w:rsidRPr="00E77A89">
        <w:rPr>
          <w:rFonts w:ascii="Times New Roman" w:hAnsi="Times New Roman" w:cs="Times New Roman"/>
          <w:sz w:val="24"/>
          <w:szCs w:val="24"/>
          <w:lang w:eastAsia="en-GB"/>
        </w:rPr>
        <w:t xml:space="preserve">enue for national budgets – the </w:t>
      </w:r>
      <w:r w:rsidRPr="00E77A89">
        <w:rPr>
          <w:rFonts w:ascii="Times New Roman" w:hAnsi="Times New Roman" w:cs="Times New Roman"/>
          <w:sz w:val="24"/>
          <w:szCs w:val="24"/>
          <w:lang w:eastAsia="en-GB"/>
        </w:rPr>
        <w:t xml:space="preserve">Union developed a comprehensive set of rules </w:t>
      </w:r>
      <w:r w:rsidR="00AC5C19" w:rsidRPr="00E77A89">
        <w:rPr>
          <w:rFonts w:ascii="Times New Roman" w:hAnsi="Times New Roman" w:cs="Times New Roman"/>
          <w:sz w:val="24"/>
          <w:szCs w:val="24"/>
          <w:lang w:eastAsia="en-GB"/>
        </w:rPr>
        <w:t xml:space="preserve">as </w:t>
      </w:r>
      <w:r w:rsidRPr="00E77A89" w:rsidDel="003412EA">
        <w:rPr>
          <w:rFonts w:ascii="Times New Roman" w:hAnsi="Times New Roman" w:cs="Times New Roman"/>
          <w:sz w:val="24"/>
          <w:szCs w:val="24"/>
          <w:lang w:eastAsia="en-GB"/>
        </w:rPr>
        <w:t>a fundament of</w:t>
      </w:r>
      <w:r w:rsidRPr="00E77A89">
        <w:rPr>
          <w:rFonts w:ascii="Times New Roman" w:hAnsi="Times New Roman" w:cs="Times New Roman"/>
          <w:sz w:val="24"/>
          <w:szCs w:val="24"/>
          <w:lang w:eastAsia="en-GB"/>
        </w:rPr>
        <w:t xml:space="preserve"> the establishment and functioning of the </w:t>
      </w:r>
      <w:r w:rsidR="00F8628D" w:rsidRPr="00E77A89">
        <w:rPr>
          <w:rFonts w:ascii="Times New Roman" w:hAnsi="Times New Roman" w:cs="Times New Roman"/>
          <w:sz w:val="24"/>
          <w:szCs w:val="24"/>
          <w:lang w:eastAsia="en-GB"/>
        </w:rPr>
        <w:t>single market</w:t>
      </w:r>
      <w:r w:rsidRPr="00E77A89">
        <w:rPr>
          <w:rFonts w:ascii="Times New Roman" w:hAnsi="Times New Roman" w:cs="Times New Roman"/>
          <w:sz w:val="24"/>
          <w:szCs w:val="24"/>
          <w:lang w:eastAsia="en-GB"/>
        </w:rPr>
        <w:t xml:space="preserve"> and </w:t>
      </w:r>
      <w:r w:rsidRPr="00E77A89" w:rsidDel="003412EA">
        <w:rPr>
          <w:rFonts w:ascii="Times New Roman" w:hAnsi="Times New Roman" w:cs="Times New Roman"/>
          <w:sz w:val="24"/>
          <w:szCs w:val="24"/>
          <w:lang w:eastAsia="en-GB"/>
        </w:rPr>
        <w:t xml:space="preserve">the </w:t>
      </w:r>
      <w:r w:rsidRPr="00E77A89">
        <w:rPr>
          <w:rFonts w:ascii="Times New Roman" w:hAnsi="Times New Roman" w:cs="Times New Roman"/>
          <w:sz w:val="24"/>
          <w:szCs w:val="24"/>
          <w:lang w:eastAsia="en-GB"/>
        </w:rPr>
        <w:t>avoid</w:t>
      </w:r>
      <w:r w:rsidRPr="00E77A89" w:rsidDel="003412EA">
        <w:rPr>
          <w:rFonts w:ascii="Times New Roman" w:hAnsi="Times New Roman" w:cs="Times New Roman"/>
          <w:sz w:val="24"/>
          <w:szCs w:val="24"/>
          <w:lang w:eastAsia="en-GB"/>
        </w:rPr>
        <w:t>ance</w:t>
      </w:r>
      <w:r w:rsidRPr="00E77A89">
        <w:rPr>
          <w:rFonts w:ascii="Times New Roman" w:hAnsi="Times New Roman" w:cs="Times New Roman"/>
          <w:sz w:val="24"/>
          <w:szCs w:val="24"/>
          <w:lang w:eastAsia="en-GB"/>
        </w:rPr>
        <w:t xml:space="preserve"> </w:t>
      </w:r>
      <w:r w:rsidRPr="00E77A89" w:rsidDel="003412EA">
        <w:rPr>
          <w:rFonts w:ascii="Times New Roman" w:hAnsi="Times New Roman" w:cs="Times New Roman"/>
          <w:sz w:val="24"/>
          <w:szCs w:val="24"/>
          <w:lang w:eastAsia="en-GB"/>
        </w:rPr>
        <w:t>of</w:t>
      </w:r>
      <w:r w:rsidRPr="00E77A89">
        <w:rPr>
          <w:rFonts w:ascii="Times New Roman" w:hAnsi="Times New Roman" w:cs="Times New Roman"/>
          <w:sz w:val="24"/>
          <w:szCs w:val="24"/>
          <w:lang w:eastAsia="en-GB"/>
        </w:rPr>
        <w:t xml:space="preserve"> distortion of competition. The EU's intervention under the programme aims primarily at helping Member States to apply the rules correctly, </w:t>
      </w:r>
      <w:r w:rsidRPr="00E77A89" w:rsidDel="003412EA">
        <w:rPr>
          <w:rFonts w:ascii="Times New Roman" w:hAnsi="Times New Roman" w:cs="Times New Roman"/>
          <w:sz w:val="24"/>
          <w:szCs w:val="24"/>
          <w:lang w:eastAsia="en-GB"/>
        </w:rPr>
        <w:t xml:space="preserve">to </w:t>
      </w:r>
      <w:r w:rsidR="00AC5C19" w:rsidRPr="00E77A89">
        <w:rPr>
          <w:rFonts w:ascii="Times New Roman" w:hAnsi="Times New Roman" w:cs="Times New Roman"/>
          <w:sz w:val="24"/>
          <w:szCs w:val="24"/>
          <w:lang w:eastAsia="en-GB"/>
        </w:rPr>
        <w:t xml:space="preserve">implement the EU legislation through common </w:t>
      </w:r>
      <w:r w:rsidR="00C07539" w:rsidRPr="00E77A89">
        <w:rPr>
          <w:rFonts w:ascii="Times New Roman" w:hAnsi="Times New Roman" w:cs="Times New Roman"/>
          <w:sz w:val="24"/>
          <w:szCs w:val="24"/>
          <w:lang w:eastAsia="en-GB"/>
        </w:rPr>
        <w:t xml:space="preserve">electronic </w:t>
      </w:r>
      <w:r w:rsidR="00AC5C19" w:rsidRPr="00E77A89">
        <w:rPr>
          <w:rFonts w:ascii="Times New Roman" w:hAnsi="Times New Roman" w:cs="Times New Roman"/>
          <w:sz w:val="24"/>
          <w:szCs w:val="24"/>
          <w:lang w:eastAsia="en-GB"/>
        </w:rPr>
        <w:t xml:space="preserve">systems, </w:t>
      </w:r>
      <w:r w:rsidRPr="00E77A89">
        <w:rPr>
          <w:rFonts w:ascii="Times New Roman" w:hAnsi="Times New Roman" w:cs="Times New Roman"/>
          <w:sz w:val="24"/>
          <w:szCs w:val="24"/>
          <w:lang w:eastAsia="en-GB"/>
        </w:rPr>
        <w:t>facilitat</w:t>
      </w:r>
      <w:r w:rsidRPr="00E77A89" w:rsidDel="003412EA">
        <w:rPr>
          <w:rFonts w:ascii="Times New Roman" w:hAnsi="Times New Roman" w:cs="Times New Roman"/>
          <w:sz w:val="24"/>
          <w:szCs w:val="24"/>
          <w:lang w:eastAsia="en-GB"/>
        </w:rPr>
        <w:t>e</w:t>
      </w:r>
      <w:r w:rsidRPr="00E77A89">
        <w:rPr>
          <w:rFonts w:ascii="Times New Roman" w:hAnsi="Times New Roman" w:cs="Times New Roman"/>
          <w:sz w:val="24"/>
          <w:szCs w:val="24"/>
          <w:lang w:eastAsia="en-GB"/>
        </w:rPr>
        <w:t xml:space="preserve"> compliance with the help of databases and </w:t>
      </w:r>
      <w:r w:rsidRPr="00E77A89" w:rsidDel="003412EA">
        <w:rPr>
          <w:rFonts w:ascii="Times New Roman" w:hAnsi="Times New Roman" w:cs="Times New Roman"/>
          <w:sz w:val="24"/>
          <w:szCs w:val="24"/>
          <w:lang w:eastAsia="en-GB"/>
        </w:rPr>
        <w:t xml:space="preserve">to </w:t>
      </w:r>
      <w:r w:rsidRPr="00E77A89">
        <w:rPr>
          <w:rFonts w:ascii="Times New Roman" w:hAnsi="Times New Roman" w:cs="Times New Roman"/>
          <w:sz w:val="24"/>
          <w:szCs w:val="24"/>
          <w:lang w:eastAsia="en-GB"/>
        </w:rPr>
        <w:t xml:space="preserve">adapt </w:t>
      </w:r>
      <w:r w:rsidR="002111A2" w:rsidRPr="00E77A89">
        <w:rPr>
          <w:rFonts w:ascii="Times New Roman" w:hAnsi="Times New Roman" w:cs="Times New Roman"/>
          <w:sz w:val="24"/>
          <w:szCs w:val="24"/>
          <w:lang w:eastAsia="en-GB"/>
        </w:rPr>
        <w:t xml:space="preserve">the implementation of </w:t>
      </w:r>
      <w:r w:rsidRPr="00E77A89">
        <w:rPr>
          <w:rFonts w:ascii="Times New Roman" w:hAnsi="Times New Roman" w:cs="Times New Roman"/>
          <w:sz w:val="24"/>
          <w:szCs w:val="24"/>
          <w:lang w:eastAsia="en-GB"/>
        </w:rPr>
        <w:t>these rules to a constantly changing political and technological environment.</w:t>
      </w:r>
    </w:p>
    <w:p w14:paraId="14BE7A06" w14:textId="7CF3AF4F" w:rsidR="008302F7" w:rsidRPr="00E77A89" w:rsidRDefault="008302F7" w:rsidP="0000359D">
      <w:pPr>
        <w:pStyle w:val="ListParagraph"/>
        <w:numPr>
          <w:ilvl w:val="0"/>
          <w:numId w:val="18"/>
        </w:numPr>
        <w:spacing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In the field of </w:t>
      </w:r>
      <w:r w:rsidRPr="00E77A89">
        <w:rPr>
          <w:rFonts w:ascii="Times New Roman" w:hAnsi="Times New Roman" w:cs="Times New Roman"/>
          <w:b/>
          <w:sz w:val="24"/>
          <w:szCs w:val="24"/>
          <w:lang w:eastAsia="en-GB"/>
        </w:rPr>
        <w:t>direct taxation</w:t>
      </w:r>
      <w:r w:rsidRPr="00E77A89">
        <w:rPr>
          <w:rFonts w:ascii="Times New Roman" w:hAnsi="Times New Roman" w:cs="Times New Roman"/>
          <w:sz w:val="24"/>
          <w:szCs w:val="24"/>
          <w:lang w:eastAsia="en-GB"/>
        </w:rPr>
        <w:t xml:space="preserve"> (</w:t>
      </w:r>
      <w:r w:rsidR="00C217F0" w:rsidRPr="00E77A89">
        <w:rPr>
          <w:rFonts w:ascii="Times New Roman" w:hAnsi="Times New Roman" w:cs="Times New Roman"/>
          <w:sz w:val="24"/>
          <w:szCs w:val="24"/>
          <w:lang w:eastAsia="en-GB"/>
        </w:rPr>
        <w:t xml:space="preserve">personal </w:t>
      </w:r>
      <w:r w:rsidRPr="00E77A89">
        <w:rPr>
          <w:rFonts w:ascii="Times New Roman" w:hAnsi="Times New Roman" w:cs="Times New Roman"/>
          <w:sz w:val="24"/>
          <w:szCs w:val="24"/>
          <w:lang w:eastAsia="en-GB"/>
        </w:rPr>
        <w:t xml:space="preserve">income tax and </w:t>
      </w:r>
      <w:r w:rsidR="00C217F0" w:rsidRPr="00E77A89">
        <w:rPr>
          <w:rFonts w:ascii="Times New Roman" w:hAnsi="Times New Roman" w:cs="Times New Roman"/>
          <w:sz w:val="24"/>
          <w:szCs w:val="24"/>
          <w:lang w:eastAsia="en-GB"/>
        </w:rPr>
        <w:t xml:space="preserve">corporate </w:t>
      </w:r>
      <w:r w:rsidRPr="00E77A89">
        <w:rPr>
          <w:rFonts w:ascii="Times New Roman" w:hAnsi="Times New Roman" w:cs="Times New Roman"/>
          <w:sz w:val="24"/>
          <w:szCs w:val="24"/>
          <w:lang w:eastAsia="en-GB"/>
        </w:rPr>
        <w:t>tax), the Treaties confer no specific powers to the EU. The direct tax landscape is thus characterised by the juxtaposition of different tax systems</w:t>
      </w:r>
      <w:r w:rsidR="002111A2" w:rsidRPr="00E77A89">
        <w:rPr>
          <w:rFonts w:ascii="Times New Roman" w:hAnsi="Times New Roman" w:cs="Times New Roman"/>
          <w:sz w:val="24"/>
          <w:szCs w:val="24"/>
          <w:lang w:eastAsia="en-GB"/>
        </w:rPr>
        <w:t>. T</w:t>
      </w:r>
      <w:r w:rsidRPr="00E77A89">
        <w:rPr>
          <w:rFonts w:ascii="Times New Roman" w:hAnsi="Times New Roman" w:cs="Times New Roman"/>
          <w:sz w:val="24"/>
          <w:szCs w:val="24"/>
          <w:lang w:eastAsia="en-GB"/>
        </w:rPr>
        <w:t xml:space="preserve">he EU can rely only on the general </w:t>
      </w:r>
      <w:r w:rsidR="00AC5C19" w:rsidRPr="00E77A89">
        <w:rPr>
          <w:rFonts w:ascii="Times New Roman" w:hAnsi="Times New Roman" w:cs="Times New Roman"/>
          <w:sz w:val="24"/>
          <w:szCs w:val="24"/>
          <w:lang w:eastAsia="en-GB"/>
        </w:rPr>
        <w:t xml:space="preserve">tax </w:t>
      </w:r>
      <w:r w:rsidRPr="00E77A89">
        <w:rPr>
          <w:rFonts w:ascii="Times New Roman" w:hAnsi="Times New Roman" w:cs="Times New Roman"/>
          <w:sz w:val="24"/>
          <w:szCs w:val="24"/>
          <w:lang w:eastAsia="en-GB"/>
        </w:rPr>
        <w:t xml:space="preserve">provisions </w:t>
      </w:r>
      <w:r w:rsidR="00AC5C19" w:rsidRPr="00E77A89">
        <w:rPr>
          <w:rFonts w:ascii="Times New Roman" w:hAnsi="Times New Roman" w:cs="Times New Roman"/>
          <w:sz w:val="24"/>
          <w:szCs w:val="24"/>
          <w:lang w:eastAsia="en-GB"/>
        </w:rPr>
        <w:t>(Article</w:t>
      </w:r>
      <w:r w:rsidR="00BC6427" w:rsidRPr="00E77A89">
        <w:rPr>
          <w:rFonts w:ascii="Times New Roman" w:hAnsi="Times New Roman" w:cs="Times New Roman"/>
          <w:sz w:val="24"/>
          <w:szCs w:val="24"/>
          <w:lang w:eastAsia="en-GB"/>
        </w:rPr>
        <w:t>s</w:t>
      </w:r>
      <w:r w:rsidR="00AC5C19" w:rsidRPr="00E77A89">
        <w:rPr>
          <w:rFonts w:ascii="Times New Roman" w:hAnsi="Times New Roman" w:cs="Times New Roman"/>
          <w:sz w:val="24"/>
          <w:szCs w:val="24"/>
          <w:lang w:eastAsia="en-GB"/>
        </w:rPr>
        <w:t xml:space="preserve"> 110 – 112 TFEU) and those relating to </w:t>
      </w:r>
      <w:r w:rsidRPr="00E77A89">
        <w:rPr>
          <w:rFonts w:ascii="Times New Roman" w:hAnsi="Times New Roman" w:cs="Times New Roman"/>
          <w:sz w:val="24"/>
          <w:szCs w:val="24"/>
          <w:lang w:eastAsia="en-GB"/>
        </w:rPr>
        <w:t xml:space="preserve">the </w:t>
      </w:r>
      <w:r w:rsidR="00F8628D" w:rsidRPr="00E77A89">
        <w:rPr>
          <w:rFonts w:ascii="Times New Roman" w:hAnsi="Times New Roman" w:cs="Times New Roman"/>
          <w:sz w:val="24"/>
          <w:szCs w:val="24"/>
          <w:lang w:eastAsia="en-GB"/>
        </w:rPr>
        <w:t>single market</w:t>
      </w:r>
      <w:r w:rsidRPr="00E77A89">
        <w:rPr>
          <w:rFonts w:ascii="Times New Roman" w:hAnsi="Times New Roman" w:cs="Times New Roman"/>
          <w:sz w:val="24"/>
          <w:szCs w:val="24"/>
          <w:lang w:eastAsia="en-GB"/>
        </w:rPr>
        <w:t xml:space="preserve"> (Art</w:t>
      </w:r>
      <w:r w:rsidR="00BC6427" w:rsidRPr="00E77A89">
        <w:rPr>
          <w:rFonts w:ascii="Times New Roman" w:hAnsi="Times New Roman" w:cs="Times New Roman"/>
          <w:sz w:val="24"/>
          <w:szCs w:val="24"/>
          <w:lang w:eastAsia="en-GB"/>
        </w:rPr>
        <w:t>icles</w:t>
      </w:r>
      <w:r w:rsidRPr="00E77A89">
        <w:rPr>
          <w:rFonts w:ascii="Times New Roman" w:hAnsi="Times New Roman" w:cs="Times New Roman"/>
          <w:sz w:val="24"/>
          <w:szCs w:val="24"/>
          <w:lang w:eastAsia="en-GB"/>
        </w:rPr>
        <w:t xml:space="preserve"> 114-115</w:t>
      </w:r>
      <w:r w:rsidR="00BC6427" w:rsidRPr="00E77A89">
        <w:rPr>
          <w:rFonts w:ascii="Times New Roman" w:hAnsi="Times New Roman" w:cs="Times New Roman"/>
          <w:sz w:val="24"/>
          <w:szCs w:val="24"/>
          <w:lang w:eastAsia="en-GB"/>
        </w:rPr>
        <w:t xml:space="preserve"> TFEU</w:t>
      </w:r>
      <w:r w:rsidRPr="00E77A89">
        <w:rPr>
          <w:rFonts w:ascii="Times New Roman" w:hAnsi="Times New Roman" w:cs="Times New Roman"/>
          <w:sz w:val="24"/>
          <w:szCs w:val="24"/>
          <w:lang w:eastAsia="en-GB"/>
        </w:rPr>
        <w:t xml:space="preserve">) to provide overall tax governance and adopt relevant EU legislation. Given the global and trans-European nature of the </w:t>
      </w:r>
      <w:r w:rsidRPr="00E77A89">
        <w:rPr>
          <w:rStyle w:val="A6"/>
          <w:rFonts w:ascii="Times New Roman" w:hAnsi="Times New Roman" w:cs="Times New Roman"/>
          <w:sz w:val="24"/>
          <w:szCs w:val="24"/>
        </w:rPr>
        <w:t>challenges</w:t>
      </w:r>
      <w:r w:rsidRPr="00E77A89">
        <w:rPr>
          <w:rFonts w:ascii="Times New Roman" w:hAnsi="Times New Roman" w:cs="Times New Roman"/>
          <w:sz w:val="24"/>
          <w:szCs w:val="24"/>
          <w:lang w:eastAsia="en-GB"/>
        </w:rPr>
        <w:t xml:space="preserve"> for Member States to protect their tax bases, the EU's intervention under the programme focusses on setting and applying common principles as well as on strengthening the operational cooperation and the exchange of information and data between Member States.</w:t>
      </w:r>
      <w:r w:rsidR="002111A2" w:rsidRPr="00E77A89">
        <w:rPr>
          <w:rFonts w:ascii="Times New Roman" w:hAnsi="Times New Roman" w:cs="Times New Roman"/>
          <w:sz w:val="24"/>
          <w:szCs w:val="24"/>
          <w:lang w:eastAsia="en-GB"/>
        </w:rPr>
        <w:t xml:space="preserve"> Here again, Fiscalis is crucial in providing support for the implementation of the relevant EU legislation with cooperation activities and </w:t>
      </w:r>
      <w:r w:rsidR="004B67F5" w:rsidRPr="00E77A89">
        <w:rPr>
          <w:rFonts w:ascii="Times New Roman" w:hAnsi="Times New Roman" w:cs="Times New Roman"/>
          <w:sz w:val="24"/>
          <w:szCs w:val="24"/>
          <w:lang w:eastAsia="en-GB"/>
        </w:rPr>
        <w:t xml:space="preserve">electronic </w:t>
      </w:r>
      <w:r w:rsidR="002111A2" w:rsidRPr="00E77A89">
        <w:rPr>
          <w:rFonts w:ascii="Times New Roman" w:hAnsi="Times New Roman" w:cs="Times New Roman"/>
          <w:sz w:val="24"/>
          <w:szCs w:val="24"/>
          <w:lang w:eastAsia="en-GB"/>
        </w:rPr>
        <w:t>systems.</w:t>
      </w:r>
    </w:p>
    <w:p w14:paraId="14BE7A07" w14:textId="391905F2" w:rsidR="00BA315F" w:rsidRPr="00E77A89" w:rsidRDefault="00BA315F" w:rsidP="001547B8">
      <w:pPr>
        <w:pStyle w:val="Subtitle"/>
        <w:keepNext/>
        <w:keepLines/>
        <w:numPr>
          <w:ilvl w:val="0"/>
          <w:numId w:val="0"/>
        </w:numPr>
        <w:rPr>
          <w:rFonts w:ascii="Times New Roman" w:hAnsi="Times New Roman" w:cs="Times New Roman"/>
        </w:rPr>
      </w:pPr>
      <w:r w:rsidRPr="00E77A89">
        <w:rPr>
          <w:rFonts w:ascii="Times New Roman" w:hAnsi="Times New Roman" w:cs="Times New Roman"/>
        </w:rPr>
        <w:t>Recent trends</w:t>
      </w:r>
      <w:r w:rsidR="004B7293" w:rsidRPr="00E77A89">
        <w:rPr>
          <w:rFonts w:ascii="Times New Roman" w:hAnsi="Times New Roman" w:cs="Times New Roman"/>
        </w:rPr>
        <w:t xml:space="preserve"> </w:t>
      </w:r>
    </w:p>
    <w:p w14:paraId="7CE2FFCB" w14:textId="77777777" w:rsidR="00F355F9" w:rsidRPr="00E77A89" w:rsidRDefault="00F355F9" w:rsidP="008302F7">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The FISCALIS programme must be adapted in order to take into account the needs of recent developments in tax policy. </w:t>
      </w:r>
    </w:p>
    <w:p w14:paraId="14BE7A08" w14:textId="2755668E" w:rsidR="008302F7" w:rsidRPr="00E77A89" w:rsidRDefault="00F355F9" w:rsidP="008302F7">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Indeed, o</w:t>
      </w:r>
      <w:r w:rsidR="008302F7" w:rsidRPr="00E77A89">
        <w:rPr>
          <w:rFonts w:ascii="Times New Roman" w:hAnsi="Times New Roman" w:cs="Times New Roman"/>
          <w:sz w:val="24"/>
          <w:szCs w:val="24"/>
          <w:lang w:eastAsia="en-GB"/>
        </w:rPr>
        <w:t xml:space="preserve">ver the recent </w:t>
      </w:r>
      <w:r w:rsidR="00490AEB" w:rsidRPr="00E77A89">
        <w:rPr>
          <w:rFonts w:ascii="Times New Roman" w:hAnsi="Times New Roman" w:cs="Times New Roman"/>
          <w:sz w:val="24"/>
          <w:szCs w:val="24"/>
          <w:lang w:eastAsia="en-GB"/>
        </w:rPr>
        <w:t>years, the political agenda has</w:t>
      </w:r>
      <w:r w:rsidR="008302F7" w:rsidRPr="00E77A89">
        <w:rPr>
          <w:rFonts w:ascii="Times New Roman" w:hAnsi="Times New Roman" w:cs="Times New Roman"/>
          <w:sz w:val="24"/>
          <w:szCs w:val="24"/>
          <w:lang w:eastAsia="en-GB"/>
        </w:rPr>
        <w:t xml:space="preserve"> been increasingly influenced by </w:t>
      </w:r>
      <w:r w:rsidR="008302F7" w:rsidRPr="00E77A89">
        <w:rPr>
          <w:rFonts w:ascii="Times New Roman" w:hAnsi="Times New Roman" w:cs="Times New Roman"/>
          <w:b/>
          <w:sz w:val="24"/>
          <w:szCs w:val="24"/>
          <w:lang w:eastAsia="en-GB"/>
        </w:rPr>
        <w:t>tax competition</w:t>
      </w:r>
      <w:r w:rsidR="008302F7" w:rsidRPr="00E77A89">
        <w:rPr>
          <w:rFonts w:ascii="Times New Roman" w:hAnsi="Times New Roman" w:cs="Times New Roman"/>
          <w:sz w:val="24"/>
          <w:szCs w:val="24"/>
          <w:lang w:eastAsia="en-GB"/>
        </w:rPr>
        <w:t xml:space="preserve"> between countries and tax </w:t>
      </w:r>
      <w:r w:rsidR="00BC6427" w:rsidRPr="00E77A89">
        <w:rPr>
          <w:rFonts w:ascii="Times New Roman" w:hAnsi="Times New Roman" w:cs="Times New Roman"/>
          <w:sz w:val="24"/>
          <w:szCs w:val="24"/>
          <w:lang w:eastAsia="en-GB"/>
        </w:rPr>
        <w:t>avoidance practices</w:t>
      </w:r>
      <w:r w:rsidR="00091649" w:rsidRPr="00E77A89">
        <w:rPr>
          <w:rFonts w:ascii="Times New Roman" w:hAnsi="Times New Roman" w:cs="Times New Roman"/>
          <w:sz w:val="24"/>
          <w:szCs w:val="24"/>
          <w:lang w:eastAsia="en-GB"/>
        </w:rPr>
        <w:t xml:space="preserve"> </w:t>
      </w:r>
      <w:r w:rsidR="008302F7" w:rsidRPr="00E77A89">
        <w:rPr>
          <w:rFonts w:ascii="Times New Roman" w:hAnsi="Times New Roman" w:cs="Times New Roman"/>
          <w:sz w:val="24"/>
          <w:szCs w:val="24"/>
          <w:lang w:eastAsia="en-GB"/>
        </w:rPr>
        <w:t>by companies.</w:t>
      </w:r>
      <w:r w:rsidR="00BC6427" w:rsidRPr="00E77A89">
        <w:rPr>
          <w:rFonts w:ascii="Times New Roman" w:hAnsi="Times New Roman" w:cs="Times New Roman"/>
          <w:sz w:val="24"/>
          <w:szCs w:val="24"/>
          <w:lang w:eastAsia="en-GB"/>
        </w:rPr>
        <w:t xml:space="preserve"> Those phenomena goes well beyond Member States’ borders and involve also third countries.</w:t>
      </w:r>
      <w:r w:rsidR="008302F7" w:rsidRPr="00E77A89">
        <w:rPr>
          <w:rFonts w:ascii="Times New Roman" w:hAnsi="Times New Roman" w:cs="Times New Roman"/>
          <w:sz w:val="24"/>
          <w:szCs w:val="24"/>
          <w:lang w:eastAsia="en-GB"/>
        </w:rPr>
        <w:t xml:space="preserve"> A series of tax scandals created expectations for the Union to </w:t>
      </w:r>
      <w:r w:rsidR="00BC6427" w:rsidRPr="00E77A89">
        <w:rPr>
          <w:rFonts w:ascii="Times New Roman" w:hAnsi="Times New Roman" w:cs="Times New Roman"/>
          <w:sz w:val="24"/>
          <w:szCs w:val="24"/>
          <w:lang w:eastAsia="en-GB"/>
        </w:rPr>
        <w:t xml:space="preserve">take action to fight tax fraud, evasion and avoidance as they </w:t>
      </w:r>
      <w:r w:rsidR="008302F7" w:rsidRPr="00E77A89">
        <w:rPr>
          <w:rFonts w:ascii="Times New Roman" w:hAnsi="Times New Roman" w:cs="Times New Roman"/>
          <w:sz w:val="24"/>
          <w:szCs w:val="24"/>
          <w:lang w:eastAsia="en-GB"/>
        </w:rPr>
        <w:t>tax fraud evasion</w:t>
      </w:r>
      <w:r w:rsidR="00BC6427" w:rsidRPr="00E77A89">
        <w:rPr>
          <w:rFonts w:ascii="Times New Roman" w:hAnsi="Times New Roman" w:cs="Times New Roman"/>
          <w:sz w:val="24"/>
          <w:szCs w:val="24"/>
          <w:lang w:eastAsia="en-GB"/>
        </w:rPr>
        <w:t xml:space="preserve"> and </w:t>
      </w:r>
      <w:r w:rsidR="00091649" w:rsidRPr="00E77A89">
        <w:rPr>
          <w:rFonts w:ascii="Times New Roman" w:hAnsi="Times New Roman" w:cs="Times New Roman"/>
          <w:sz w:val="24"/>
          <w:szCs w:val="24"/>
          <w:lang w:eastAsia="en-GB"/>
        </w:rPr>
        <w:t>a</w:t>
      </w:r>
      <w:r w:rsidR="00BC6427" w:rsidRPr="00E77A89">
        <w:rPr>
          <w:rFonts w:ascii="Times New Roman" w:hAnsi="Times New Roman" w:cs="Times New Roman"/>
          <w:sz w:val="24"/>
          <w:szCs w:val="24"/>
          <w:lang w:eastAsia="en-GB"/>
        </w:rPr>
        <w:t>voidance as they distort</w:t>
      </w:r>
      <w:r w:rsidR="008302F7" w:rsidRPr="00E77A89">
        <w:rPr>
          <w:rFonts w:ascii="Times New Roman" w:hAnsi="Times New Roman" w:cs="Times New Roman"/>
          <w:sz w:val="24"/>
          <w:szCs w:val="24"/>
          <w:lang w:eastAsia="en-GB"/>
        </w:rPr>
        <w:t xml:space="preserve"> competition</w:t>
      </w:r>
      <w:r w:rsidR="000C53D3" w:rsidRPr="00E77A89">
        <w:rPr>
          <w:rFonts w:ascii="Times New Roman" w:hAnsi="Times New Roman" w:cs="Times New Roman"/>
          <w:sz w:val="24"/>
          <w:szCs w:val="24"/>
          <w:lang w:eastAsia="en-GB"/>
        </w:rPr>
        <w:t>,</w:t>
      </w:r>
      <w:r w:rsidR="008302F7" w:rsidRPr="00E77A89">
        <w:rPr>
          <w:rFonts w:ascii="Times New Roman" w:hAnsi="Times New Roman" w:cs="Times New Roman"/>
          <w:sz w:val="24"/>
          <w:szCs w:val="24"/>
          <w:lang w:eastAsia="en-GB"/>
        </w:rPr>
        <w:t xml:space="preserve"> jeopardise the functioning of the </w:t>
      </w:r>
      <w:r w:rsidR="00F8628D" w:rsidRPr="00E77A89">
        <w:rPr>
          <w:rFonts w:ascii="Times New Roman" w:hAnsi="Times New Roman" w:cs="Times New Roman"/>
          <w:sz w:val="24"/>
          <w:szCs w:val="24"/>
          <w:lang w:eastAsia="en-GB"/>
        </w:rPr>
        <w:t>single market</w:t>
      </w:r>
      <w:r w:rsidR="008302F7" w:rsidRPr="00E77A89">
        <w:rPr>
          <w:rFonts w:ascii="Times New Roman" w:hAnsi="Times New Roman" w:cs="Times New Roman"/>
          <w:sz w:val="24"/>
          <w:szCs w:val="24"/>
          <w:lang w:eastAsia="en-GB"/>
        </w:rPr>
        <w:t xml:space="preserve"> </w:t>
      </w:r>
      <w:r w:rsidR="000C53D3" w:rsidRPr="00E77A89">
        <w:rPr>
          <w:rFonts w:ascii="Times New Roman" w:hAnsi="Times New Roman" w:cs="Times New Roman"/>
          <w:sz w:val="24"/>
          <w:szCs w:val="24"/>
          <w:lang w:eastAsia="en-GB"/>
        </w:rPr>
        <w:t>and</w:t>
      </w:r>
      <w:r w:rsidR="008302F7" w:rsidRPr="00E77A89">
        <w:rPr>
          <w:rFonts w:ascii="Times New Roman" w:hAnsi="Times New Roman" w:cs="Times New Roman"/>
          <w:sz w:val="24"/>
          <w:szCs w:val="24"/>
          <w:lang w:eastAsia="en-GB"/>
        </w:rPr>
        <w:t xml:space="preserve"> </w:t>
      </w:r>
      <w:r w:rsidR="000C53D3" w:rsidRPr="00E77A89">
        <w:rPr>
          <w:rFonts w:ascii="Times New Roman" w:hAnsi="Times New Roman" w:cs="Times New Roman"/>
          <w:sz w:val="24"/>
          <w:szCs w:val="24"/>
          <w:lang w:eastAsia="en-GB"/>
        </w:rPr>
        <w:t xml:space="preserve">undermine </w:t>
      </w:r>
      <w:r w:rsidR="008302F7" w:rsidRPr="00E77A89">
        <w:rPr>
          <w:rFonts w:ascii="Times New Roman" w:hAnsi="Times New Roman" w:cs="Times New Roman"/>
          <w:sz w:val="24"/>
          <w:szCs w:val="24"/>
          <w:lang w:eastAsia="en-GB"/>
        </w:rPr>
        <w:t xml:space="preserve">social fairness. </w:t>
      </w:r>
    </w:p>
    <w:p w14:paraId="4F741A78" w14:textId="56A97AE1" w:rsidR="001C3AE9" w:rsidRPr="00E77A89" w:rsidRDefault="00091649" w:rsidP="001C3AE9">
      <w:pPr>
        <w:spacing w:line="240" w:lineRule="auto"/>
        <w:jc w:val="both"/>
        <w:rPr>
          <w:rFonts w:ascii="Times New Roman" w:eastAsia="Calibri" w:hAnsi="Times New Roman" w:cs="Times New Roman"/>
          <w:sz w:val="24"/>
          <w:szCs w:val="24"/>
        </w:rPr>
      </w:pPr>
      <w:r w:rsidRPr="00E77A89">
        <w:rPr>
          <w:rFonts w:ascii="Times New Roman" w:hAnsi="Times New Roman" w:cs="Times New Roman"/>
          <w:sz w:val="24"/>
          <w:szCs w:val="24"/>
        </w:rPr>
        <w:t>To</w:t>
      </w:r>
      <w:r w:rsidR="001C3AE9" w:rsidRPr="00E77A89">
        <w:rPr>
          <w:rFonts w:ascii="Times New Roman" w:hAnsi="Times New Roman" w:cs="Times New Roman"/>
          <w:sz w:val="24"/>
          <w:szCs w:val="24"/>
        </w:rPr>
        <w:t xml:space="preserve"> keep </w:t>
      </w:r>
      <w:r w:rsidR="001C3AE9" w:rsidRPr="00E77A89">
        <w:rPr>
          <w:rFonts w:ascii="Times New Roman" w:hAnsi="Times New Roman" w:cs="Times New Roman"/>
          <w:b/>
          <w:sz w:val="24"/>
          <w:szCs w:val="24"/>
        </w:rPr>
        <w:t xml:space="preserve">pace with those develoments, the number of initiatives tabled by the Commission </w:t>
      </w:r>
      <w:r w:rsidR="001C3AE9" w:rsidRPr="00E77A89">
        <w:rPr>
          <w:rFonts w:ascii="Times New Roman" w:hAnsi="Times New Roman" w:cs="Times New Roman"/>
          <w:sz w:val="24"/>
          <w:szCs w:val="24"/>
        </w:rPr>
        <w:t xml:space="preserve">over the recent years increased tremendously (e.g. 4 amendments to DAC in only 3 years). Over the last 2-3 years, </w:t>
      </w:r>
      <w:r w:rsidR="001C3AE9" w:rsidRPr="00E77A89">
        <w:rPr>
          <w:rFonts w:ascii="Times New Roman" w:eastAsia="Calibri" w:hAnsi="Times New Roman" w:cs="Times New Roman"/>
          <w:sz w:val="24"/>
          <w:szCs w:val="24"/>
        </w:rPr>
        <w:t xml:space="preserve">the tax agenda pursued at Union level therefore </w:t>
      </w:r>
      <w:r w:rsidR="001C3AE9" w:rsidRPr="00E77A89">
        <w:rPr>
          <w:rFonts w:ascii="Times New Roman" w:hAnsi="Times New Roman" w:cs="Times New Roman"/>
          <w:sz w:val="24"/>
          <w:szCs w:val="24"/>
        </w:rPr>
        <w:t xml:space="preserve">included many major initiatives with both communications announcing ambitious action plans and proposals to the legislators setting out concrete steps to enhance the functioning of taxation systems in the single market: DACs, VAT definitive regime, fair taxation. </w:t>
      </w:r>
      <w:r w:rsidR="001C3AE9" w:rsidRPr="00E77A89">
        <w:rPr>
          <w:rFonts w:ascii="Times New Roman" w:eastAsia="Calibri" w:hAnsi="Times New Roman" w:cs="Times New Roman"/>
          <w:sz w:val="24"/>
          <w:szCs w:val="24"/>
        </w:rPr>
        <w:t xml:space="preserve">The full implementation and application of the recently adopted legislation of this agenda is still on-going and will require a coordinated EU approach. </w:t>
      </w:r>
      <w:r w:rsidR="001C3AE9" w:rsidRPr="00E77A89">
        <w:rPr>
          <w:rFonts w:ascii="Times New Roman" w:hAnsi="Times New Roman" w:cs="Times New Roman"/>
          <w:sz w:val="24"/>
          <w:szCs w:val="24"/>
        </w:rPr>
        <w:t>The Union equally should demonstrate that it is proactive and takes account of the (limited) capacity of Member States to take the necessary actions in isolation.</w:t>
      </w:r>
    </w:p>
    <w:p w14:paraId="51101A5F" w14:textId="3BF4F896" w:rsidR="001916F1" w:rsidRPr="00E77A89" w:rsidRDefault="001916F1" w:rsidP="001916F1">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Another recent development which must be taken into account for the purposes of designing the future Fiscalis programme is the adoption by the Commission on 21 March 2018 of the proposals for the fair taxation of the digital economy</w:t>
      </w:r>
      <w:r w:rsidR="00885EDE" w:rsidRPr="00E77A89">
        <w:rPr>
          <w:rStyle w:val="FootnoteReference"/>
          <w:rFonts w:ascii="Times New Roman" w:hAnsi="Times New Roman" w:cs="Times New Roman"/>
          <w:sz w:val="24"/>
          <w:szCs w:val="24"/>
        </w:rPr>
        <w:footnoteReference w:id="2"/>
      </w:r>
      <w:r w:rsidRPr="00E77A89">
        <w:rPr>
          <w:rFonts w:ascii="Times New Roman" w:hAnsi="Times New Roman" w:cs="Times New Roman"/>
          <w:sz w:val="24"/>
          <w:szCs w:val="24"/>
        </w:rPr>
        <w:t>. One of the proposals concerns the introduction of a harmonised system of a digital services tax (DST)</w:t>
      </w:r>
      <w:r w:rsidRPr="00E77A89">
        <w:rPr>
          <w:rStyle w:val="FootnoteReference"/>
          <w:rFonts w:ascii="Times New Roman" w:hAnsi="Times New Roman" w:cs="Times New Roman"/>
          <w:sz w:val="24"/>
          <w:szCs w:val="24"/>
        </w:rPr>
        <w:footnoteReference w:id="3"/>
      </w:r>
      <w:r w:rsidRPr="00E77A89">
        <w:rPr>
          <w:rFonts w:ascii="Times New Roman" w:hAnsi="Times New Roman" w:cs="Times New Roman"/>
          <w:sz w:val="24"/>
          <w:szCs w:val="24"/>
        </w:rPr>
        <w:t>, which is foreseen as an interim indirect tax. Subject to Council negotiations, the proposal for a Directive on the DST lays down a One-Stop-Shop mechanism for the declaration and payment of the new tax, which will require the administrative cooperation among Member States.</w:t>
      </w:r>
      <w:r w:rsidR="00B52A16" w:rsidRPr="00E77A89">
        <w:rPr>
          <w:rFonts w:ascii="Times New Roman" w:hAnsi="Times New Roman" w:cs="Times New Roman"/>
          <w:sz w:val="24"/>
          <w:szCs w:val="24"/>
        </w:rPr>
        <w:t xml:space="preserve"> </w:t>
      </w:r>
    </w:p>
    <w:p w14:paraId="684253E8" w14:textId="38995C06" w:rsidR="001916F1" w:rsidRPr="00E77A89" w:rsidRDefault="00423F48" w:rsidP="001F48EC">
      <w:pPr>
        <w:spacing w:after="0"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As to excise duties, recent or upcoming developments demonstrate that the Fiscalis programme can bring significant help. S</w:t>
      </w:r>
      <w:r w:rsidR="001916F1" w:rsidRPr="00E77A89">
        <w:rPr>
          <w:rFonts w:ascii="Times New Roman" w:hAnsi="Times New Roman" w:cs="Times New Roman"/>
          <w:sz w:val="24"/>
          <w:szCs w:val="24"/>
          <w:lang w:eastAsia="en-GB"/>
        </w:rPr>
        <w:t>ince 2010, the automation of the monitoring</w:t>
      </w:r>
      <w:r w:rsidR="001916F1" w:rsidRPr="00E77A89">
        <w:rPr>
          <w:rFonts w:ascii="Times New Roman" w:hAnsi="Times New Roman" w:cs="Times New Roman"/>
          <w:sz w:val="24"/>
          <w:szCs w:val="24"/>
          <w:vertAlign w:val="superscript"/>
          <w:lang w:eastAsia="en-GB"/>
        </w:rPr>
        <w:footnoteReference w:id="4"/>
      </w:r>
      <w:r w:rsidR="001916F1" w:rsidRPr="00E77A89">
        <w:rPr>
          <w:rFonts w:ascii="Times New Roman" w:hAnsi="Times New Roman" w:cs="Times New Roman"/>
          <w:sz w:val="24"/>
          <w:szCs w:val="24"/>
          <w:lang w:eastAsia="en-GB"/>
        </w:rPr>
        <w:t xml:space="preserve"> of cross-border movements of excise goods under duty suspension has been seen by Member States and economic operators as an enormous improvement on its paper-based predecessor. However, some issues were identified in an evaluation performed in 2015: lack of synchronisation between excise and customs procedures, still paper-based monitoring of the movements of excise goods released for consumption and business-to-consumer sales requiring a local tax representative. The latter two were deemed very burdensome and especially detrimental to SMEs. Moreover, excise duty can also be seen as a tool to fight climate change (e.g. polluting energy products) or to reduce the consumption of potentially harmful new products (e.g. electronic cigarettes).</w:t>
      </w:r>
    </w:p>
    <w:p w14:paraId="2222EC7A" w14:textId="77777777" w:rsidR="00885EDE" w:rsidRPr="00E77A89" w:rsidRDefault="00885EDE" w:rsidP="001F48EC">
      <w:pPr>
        <w:spacing w:after="0" w:line="240" w:lineRule="auto"/>
        <w:jc w:val="both"/>
        <w:rPr>
          <w:rFonts w:ascii="Times New Roman" w:hAnsi="Times New Roman" w:cs="Times New Roman"/>
          <w:sz w:val="24"/>
          <w:szCs w:val="24"/>
          <w:lang w:eastAsia="en-GB"/>
        </w:rPr>
      </w:pPr>
    </w:p>
    <w:p w14:paraId="14BE7A0B" w14:textId="4372FF37" w:rsidR="004B7293" w:rsidRPr="00E77A89" w:rsidRDefault="00490AEB" w:rsidP="004B7293">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In addition</w:t>
      </w:r>
      <w:r w:rsidR="008302F7" w:rsidRPr="00E77A89">
        <w:rPr>
          <w:rFonts w:ascii="Times New Roman" w:hAnsi="Times New Roman" w:cs="Times New Roman"/>
          <w:sz w:val="24"/>
          <w:szCs w:val="24"/>
          <w:lang w:eastAsia="en-GB"/>
        </w:rPr>
        <w:t xml:space="preserve">, tax administrations are also faced with </w:t>
      </w:r>
      <w:r w:rsidR="008302F7" w:rsidRPr="00E77A89">
        <w:rPr>
          <w:rFonts w:ascii="Times New Roman" w:hAnsi="Times New Roman" w:cs="Times New Roman"/>
          <w:b/>
          <w:sz w:val="24"/>
          <w:szCs w:val="24"/>
          <w:lang w:eastAsia="en-GB"/>
        </w:rPr>
        <w:t>digitalisation</w:t>
      </w:r>
      <w:r w:rsidR="008302F7" w:rsidRPr="00E77A89">
        <w:rPr>
          <w:rFonts w:ascii="Times New Roman" w:hAnsi="Times New Roman" w:cs="Times New Roman"/>
          <w:sz w:val="24"/>
          <w:szCs w:val="24"/>
          <w:lang w:eastAsia="en-GB"/>
        </w:rPr>
        <w:t xml:space="preserve">, new economic models such as </w:t>
      </w:r>
      <w:r w:rsidR="008302F7" w:rsidRPr="00E77A89">
        <w:rPr>
          <w:rFonts w:ascii="Times New Roman" w:hAnsi="Times New Roman" w:cs="Times New Roman"/>
          <w:b/>
          <w:sz w:val="24"/>
          <w:szCs w:val="24"/>
          <w:lang w:eastAsia="en-GB"/>
        </w:rPr>
        <w:t>e-commerce</w:t>
      </w:r>
      <w:r w:rsidR="008302F7" w:rsidRPr="00E77A89">
        <w:rPr>
          <w:rFonts w:ascii="Times New Roman" w:hAnsi="Times New Roman" w:cs="Times New Roman"/>
          <w:sz w:val="24"/>
          <w:szCs w:val="24"/>
          <w:lang w:eastAsia="en-GB"/>
        </w:rPr>
        <w:t xml:space="preserve"> and </w:t>
      </w:r>
      <w:r w:rsidR="008302F7" w:rsidRPr="00E77A89">
        <w:rPr>
          <w:rFonts w:ascii="Times New Roman" w:hAnsi="Times New Roman" w:cs="Times New Roman"/>
          <w:b/>
          <w:sz w:val="24"/>
          <w:szCs w:val="24"/>
          <w:lang w:eastAsia="en-GB"/>
        </w:rPr>
        <w:t>sharing economy</w:t>
      </w:r>
      <w:r w:rsidR="008302F7" w:rsidRPr="00E77A89">
        <w:rPr>
          <w:rFonts w:ascii="Times New Roman" w:hAnsi="Times New Roman" w:cs="Times New Roman"/>
          <w:sz w:val="24"/>
          <w:szCs w:val="24"/>
          <w:lang w:eastAsia="en-GB"/>
        </w:rPr>
        <w:t xml:space="preserve"> </w:t>
      </w:r>
      <w:r w:rsidR="007C0437" w:rsidRPr="00E77A89">
        <w:rPr>
          <w:rFonts w:ascii="Times New Roman" w:hAnsi="Times New Roman" w:cs="Times New Roman"/>
          <w:sz w:val="24"/>
          <w:szCs w:val="24"/>
          <w:lang w:eastAsia="en-GB"/>
        </w:rPr>
        <w:t xml:space="preserve">on one hand </w:t>
      </w:r>
      <w:r w:rsidR="008302F7" w:rsidRPr="00E77A89">
        <w:rPr>
          <w:rFonts w:ascii="Times New Roman" w:hAnsi="Times New Roman" w:cs="Times New Roman"/>
          <w:sz w:val="24"/>
          <w:szCs w:val="24"/>
          <w:lang w:eastAsia="en-GB"/>
        </w:rPr>
        <w:t>and resource cuts</w:t>
      </w:r>
      <w:r w:rsidR="007C0437" w:rsidRPr="00E77A89">
        <w:rPr>
          <w:rFonts w:ascii="Times New Roman" w:hAnsi="Times New Roman" w:cs="Times New Roman"/>
          <w:sz w:val="24"/>
          <w:szCs w:val="24"/>
          <w:lang w:eastAsia="en-GB"/>
        </w:rPr>
        <w:t xml:space="preserve"> on the other hand</w:t>
      </w:r>
      <w:r w:rsidR="008302F7" w:rsidRPr="00E77A89">
        <w:rPr>
          <w:rFonts w:ascii="Times New Roman" w:hAnsi="Times New Roman" w:cs="Times New Roman"/>
          <w:sz w:val="24"/>
          <w:szCs w:val="24"/>
          <w:lang w:eastAsia="en-GB"/>
        </w:rPr>
        <w:t xml:space="preserve">. These trends raise new challenges for the </w:t>
      </w:r>
      <w:r w:rsidR="006E2BCD" w:rsidRPr="00E77A89">
        <w:rPr>
          <w:rFonts w:ascii="Times New Roman" w:hAnsi="Times New Roman" w:cs="Times New Roman"/>
          <w:sz w:val="24"/>
          <w:szCs w:val="24"/>
          <w:lang w:eastAsia="en-GB"/>
        </w:rPr>
        <w:t xml:space="preserve">functioning and performance of </w:t>
      </w:r>
      <w:r w:rsidR="008302F7" w:rsidRPr="00E77A89">
        <w:rPr>
          <w:rFonts w:ascii="Times New Roman" w:hAnsi="Times New Roman" w:cs="Times New Roman"/>
          <w:sz w:val="24"/>
          <w:szCs w:val="24"/>
          <w:lang w:eastAsia="en-GB"/>
        </w:rPr>
        <w:t>national tax administrations</w:t>
      </w:r>
      <w:r w:rsidR="006E2BCD" w:rsidRPr="00E77A89">
        <w:rPr>
          <w:rFonts w:ascii="Times New Roman" w:hAnsi="Times New Roman" w:cs="Times New Roman"/>
          <w:sz w:val="24"/>
          <w:szCs w:val="24"/>
          <w:lang w:eastAsia="en-GB"/>
        </w:rPr>
        <w:t>. They</w:t>
      </w:r>
      <w:r w:rsidR="008302F7" w:rsidRPr="00E77A89" w:rsidDel="003412EA">
        <w:rPr>
          <w:rFonts w:ascii="Times New Roman" w:hAnsi="Times New Roman" w:cs="Times New Roman"/>
          <w:sz w:val="24"/>
          <w:szCs w:val="24"/>
          <w:lang w:eastAsia="en-GB"/>
        </w:rPr>
        <w:t xml:space="preserve"> </w:t>
      </w:r>
      <w:r w:rsidR="008302F7" w:rsidRPr="00E77A89">
        <w:rPr>
          <w:rFonts w:ascii="Times New Roman" w:hAnsi="Times New Roman" w:cs="Times New Roman"/>
          <w:sz w:val="24"/>
          <w:szCs w:val="24"/>
          <w:lang w:eastAsia="en-GB"/>
        </w:rPr>
        <w:t xml:space="preserve">call for better and innovative ways to carry out their core tasks, i.e. collecting taxes which directly and feed the national and </w:t>
      </w:r>
      <w:r w:rsidRPr="00E77A89">
        <w:rPr>
          <w:rFonts w:ascii="Times New Roman" w:hAnsi="Times New Roman" w:cs="Times New Roman"/>
          <w:sz w:val="24"/>
          <w:szCs w:val="24"/>
          <w:lang w:eastAsia="en-GB"/>
        </w:rPr>
        <w:t xml:space="preserve">indirectly the </w:t>
      </w:r>
      <w:r w:rsidR="008302F7" w:rsidRPr="00E77A89">
        <w:rPr>
          <w:rFonts w:ascii="Times New Roman" w:hAnsi="Times New Roman" w:cs="Times New Roman"/>
          <w:sz w:val="24"/>
          <w:szCs w:val="24"/>
          <w:lang w:eastAsia="en-GB"/>
        </w:rPr>
        <w:t>Union budgets</w:t>
      </w:r>
      <w:r w:rsidR="006E2BCD" w:rsidRPr="00E77A89">
        <w:rPr>
          <w:rFonts w:ascii="Times New Roman" w:hAnsi="Times New Roman" w:cs="Times New Roman"/>
          <w:sz w:val="24"/>
          <w:szCs w:val="24"/>
          <w:lang w:eastAsia="en-GB"/>
        </w:rPr>
        <w:t>.</w:t>
      </w:r>
      <w:r w:rsidR="00B52A16" w:rsidRPr="00E77A89">
        <w:rPr>
          <w:rFonts w:ascii="Times New Roman" w:hAnsi="Times New Roman" w:cs="Times New Roman"/>
          <w:sz w:val="24"/>
          <w:szCs w:val="24"/>
          <w:lang w:eastAsia="en-GB"/>
        </w:rPr>
        <w:t xml:space="preserve"> </w:t>
      </w:r>
    </w:p>
    <w:p w14:paraId="14BE7A0C" w14:textId="275415B7" w:rsidR="004B7293" w:rsidRPr="00E77A89" w:rsidRDefault="007C0437" w:rsidP="004B7293">
      <w:pPr>
        <w:spacing w:line="240" w:lineRule="auto"/>
        <w:jc w:val="both"/>
        <w:rPr>
          <w:rFonts w:ascii="Times New Roman" w:hAnsi="Times New Roman" w:cs="Times New Roman"/>
          <w:sz w:val="24"/>
          <w:szCs w:val="24"/>
        </w:rPr>
      </w:pPr>
      <w:r w:rsidRPr="00E77A89">
        <w:rPr>
          <w:rFonts w:ascii="Times New Roman" w:eastAsia="Calibri" w:hAnsi="Times New Roman" w:cs="Times New Roman"/>
          <w:sz w:val="24"/>
          <w:szCs w:val="24"/>
        </w:rPr>
        <w:t xml:space="preserve">Beyond the political ambition of the Commission, Member States as well are insisting more and more on the </w:t>
      </w:r>
      <w:r w:rsidRPr="00E77A89">
        <w:rPr>
          <w:rFonts w:ascii="Times New Roman" w:eastAsia="Calibri" w:hAnsi="Times New Roman" w:cs="Times New Roman"/>
          <w:b/>
          <w:sz w:val="24"/>
          <w:szCs w:val="24"/>
        </w:rPr>
        <w:t xml:space="preserve">need for support to national administrations, </w:t>
      </w:r>
      <w:r w:rsidRPr="00E77A89">
        <w:rPr>
          <w:rFonts w:ascii="Times New Roman" w:eastAsia="Calibri" w:hAnsi="Times New Roman" w:cs="Times New Roman"/>
          <w:sz w:val="24"/>
          <w:szCs w:val="24"/>
        </w:rPr>
        <w:t xml:space="preserve">demonstrating the need for more and better </w:t>
      </w:r>
      <w:r w:rsidR="009B3B1B" w:rsidRPr="00E77A89">
        <w:rPr>
          <w:rFonts w:ascii="Times New Roman" w:eastAsia="Calibri" w:hAnsi="Times New Roman" w:cs="Times New Roman"/>
          <w:sz w:val="24"/>
          <w:szCs w:val="24"/>
        </w:rPr>
        <w:t xml:space="preserve">- </w:t>
      </w:r>
      <w:r w:rsidRPr="00E77A89">
        <w:rPr>
          <w:rFonts w:ascii="Times New Roman" w:eastAsia="Calibri" w:hAnsi="Times New Roman" w:cs="Times New Roman"/>
          <w:sz w:val="24"/>
          <w:szCs w:val="24"/>
        </w:rPr>
        <w:t xml:space="preserve">operational </w:t>
      </w:r>
      <w:r w:rsidR="009B3B1B" w:rsidRPr="00E77A89">
        <w:rPr>
          <w:rFonts w:ascii="Times New Roman" w:eastAsia="Calibri" w:hAnsi="Times New Roman" w:cs="Times New Roman"/>
          <w:sz w:val="24"/>
          <w:szCs w:val="24"/>
        </w:rPr>
        <w:t xml:space="preserve">- </w:t>
      </w:r>
      <w:r w:rsidRPr="00E77A89">
        <w:rPr>
          <w:rFonts w:ascii="Times New Roman" w:eastAsia="Calibri" w:hAnsi="Times New Roman" w:cs="Times New Roman"/>
          <w:sz w:val="24"/>
          <w:szCs w:val="24"/>
        </w:rPr>
        <w:t>cooperation between Member States to face the challenges on the European and international scene.</w:t>
      </w:r>
    </w:p>
    <w:p w14:paraId="14BE7A0D" w14:textId="60DF7031" w:rsidR="004B7293" w:rsidRPr="00E77A89" w:rsidRDefault="004B7293" w:rsidP="004B7293">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Future work on all these actions will be guided by the </w:t>
      </w:r>
      <w:r w:rsidRPr="00E77A89">
        <w:rPr>
          <w:rFonts w:ascii="Times New Roman" w:hAnsi="Times New Roman" w:cs="Times New Roman"/>
          <w:b/>
          <w:sz w:val="24"/>
          <w:szCs w:val="24"/>
        </w:rPr>
        <w:t xml:space="preserve">need to reduce </w:t>
      </w:r>
      <w:r w:rsidR="007C0437" w:rsidRPr="00E77A89">
        <w:rPr>
          <w:rFonts w:ascii="Times New Roman" w:hAnsi="Times New Roman" w:cs="Times New Roman"/>
          <w:b/>
          <w:sz w:val="24"/>
          <w:szCs w:val="24"/>
        </w:rPr>
        <w:t xml:space="preserve">the </w:t>
      </w:r>
      <w:r w:rsidRPr="00E77A89">
        <w:rPr>
          <w:rFonts w:ascii="Times New Roman" w:hAnsi="Times New Roman" w:cs="Times New Roman"/>
          <w:b/>
          <w:sz w:val="24"/>
          <w:szCs w:val="24"/>
        </w:rPr>
        <w:t>costs and complexity of tax systems</w:t>
      </w:r>
      <w:r w:rsidRPr="00E77A89">
        <w:rPr>
          <w:rFonts w:ascii="Times New Roman" w:hAnsi="Times New Roman" w:cs="Times New Roman"/>
          <w:sz w:val="24"/>
          <w:szCs w:val="24"/>
        </w:rPr>
        <w:t xml:space="preserve"> for both the administrations and the taxpayers and economic operators. For administrations, the development and full use of automated tools and risk management techniques would release human and budgetary resources to concentrate on achieving targeted objectives. For taxpayers and economic operators, decreasing costs and complexity would encourage better tax compliance and facilitate trade. </w:t>
      </w:r>
    </w:p>
    <w:p w14:paraId="14BE7A0E" w14:textId="6F9F4455" w:rsidR="004B7293" w:rsidRPr="00E77A89" w:rsidRDefault="004B7293" w:rsidP="004B7293">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The Union should also promote </w:t>
      </w:r>
      <w:r w:rsidR="007C0437" w:rsidRPr="00E77A89">
        <w:rPr>
          <w:rFonts w:ascii="Times New Roman" w:hAnsi="Times New Roman" w:cs="Times New Roman"/>
          <w:b/>
          <w:sz w:val="24"/>
          <w:szCs w:val="24"/>
        </w:rPr>
        <w:t xml:space="preserve">more joint activities </w:t>
      </w:r>
      <w:r w:rsidRPr="00E77A89">
        <w:rPr>
          <w:rFonts w:ascii="Times New Roman" w:hAnsi="Times New Roman" w:cs="Times New Roman"/>
          <w:b/>
          <w:sz w:val="24"/>
          <w:szCs w:val="24"/>
        </w:rPr>
        <w:t xml:space="preserve">between direct and indirect taxes and between taxation and customs </w:t>
      </w:r>
      <w:r w:rsidRPr="00E77A89">
        <w:rPr>
          <w:rFonts w:ascii="Times New Roman" w:hAnsi="Times New Roman" w:cs="Times New Roman"/>
          <w:sz w:val="24"/>
          <w:szCs w:val="24"/>
        </w:rPr>
        <w:t xml:space="preserve">by enhancing communication and promoting a more systematic sharing of best practices and tools, where appropriate. This can help to improve the efficiency of audits and controls and reduce the burden on taxpayers and economic operators. </w:t>
      </w:r>
    </w:p>
    <w:p w14:paraId="14BE7A10" w14:textId="2713500C" w:rsidR="004B7293" w:rsidRPr="00E77A89" w:rsidRDefault="004B7293" w:rsidP="004B729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r w:rsidRPr="00E77A89">
        <w:rPr>
          <w:rFonts w:ascii="Times New Roman" w:hAnsi="Times New Roman" w:cs="Times New Roman"/>
          <w:b/>
          <w:sz w:val="24"/>
          <w:szCs w:val="24"/>
        </w:rPr>
        <w:t xml:space="preserve">If the Union wants to achieve all – or even any – of these current and future goals, it must act decisively and continue what it has started: it should provide the appropriate framework and means to deliver on its ambitious tax agenda and well-founded initiatives. The programme should thus be conceived and designed in such a way as to provide </w:t>
      </w:r>
      <w:r w:rsidR="00A737A3" w:rsidRPr="00E77A89">
        <w:rPr>
          <w:rFonts w:ascii="Times New Roman" w:hAnsi="Times New Roman" w:cs="Times New Roman"/>
          <w:b/>
          <w:sz w:val="24"/>
          <w:szCs w:val="24"/>
        </w:rPr>
        <w:t xml:space="preserve">an enhanced level of administrative cooperation compared to the past </w:t>
      </w:r>
      <w:r w:rsidRPr="00E77A89">
        <w:rPr>
          <w:rFonts w:ascii="Times New Roman" w:hAnsi="Times New Roman" w:cs="Times New Roman"/>
          <w:b/>
          <w:sz w:val="24"/>
          <w:szCs w:val="24"/>
        </w:rPr>
        <w:t>and administrative agility to meet these – identified or unknown – evolutions, while also providing a consistent framework to monitor activities.</w:t>
      </w:r>
    </w:p>
    <w:p w14:paraId="14BE7A11" w14:textId="389C6CD6" w:rsidR="004B7293" w:rsidRPr="00E77A89" w:rsidRDefault="004B7293" w:rsidP="004B7293">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Finally, EU tax policy has been recently </w:t>
      </w:r>
      <w:r w:rsidR="009B3B1B" w:rsidRPr="00E77A89">
        <w:rPr>
          <w:rFonts w:ascii="Times New Roman" w:hAnsi="Times New Roman" w:cs="Times New Roman"/>
          <w:sz w:val="24"/>
          <w:szCs w:val="24"/>
        </w:rPr>
        <w:t>strongly influenced</w:t>
      </w:r>
      <w:r w:rsidRPr="00E77A89">
        <w:rPr>
          <w:rFonts w:ascii="Times New Roman" w:hAnsi="Times New Roman" w:cs="Times New Roman"/>
          <w:sz w:val="24"/>
          <w:szCs w:val="24"/>
        </w:rPr>
        <w:t xml:space="preserve"> by the </w:t>
      </w:r>
      <w:r w:rsidRPr="00E77A89">
        <w:rPr>
          <w:rFonts w:ascii="Times New Roman" w:hAnsi="Times New Roman" w:cs="Times New Roman"/>
          <w:b/>
          <w:sz w:val="24"/>
          <w:szCs w:val="24"/>
        </w:rPr>
        <w:t>international context</w:t>
      </w:r>
      <w:r w:rsidRPr="00E77A89">
        <w:rPr>
          <w:rFonts w:ascii="Times New Roman" w:hAnsi="Times New Roman" w:cs="Times New Roman"/>
          <w:sz w:val="24"/>
          <w:szCs w:val="24"/>
        </w:rPr>
        <w:t>, and in particularly by the negotiations at G20 and OECD level. In this fast-moving legal and international environment, there is a momentum (notably at OECD level) to deepen the cooperation on standard setting actions and allow</w:t>
      </w:r>
      <w:r w:rsidR="001C3AE9" w:rsidRPr="00E77A89">
        <w:rPr>
          <w:rFonts w:ascii="Times New Roman" w:hAnsi="Times New Roman" w:cs="Times New Roman"/>
          <w:sz w:val="24"/>
          <w:szCs w:val="24"/>
        </w:rPr>
        <w:t xml:space="preserve"> to</w:t>
      </w:r>
      <w:r w:rsidRPr="00E77A89">
        <w:rPr>
          <w:rFonts w:ascii="Times New Roman" w:hAnsi="Times New Roman" w:cs="Times New Roman"/>
          <w:sz w:val="24"/>
          <w:szCs w:val="24"/>
        </w:rPr>
        <w:t xml:space="preserve"> define not only the legal but also </w:t>
      </w:r>
      <w:r w:rsidR="001C3AE9" w:rsidRPr="00E77A89">
        <w:rPr>
          <w:rFonts w:ascii="Times New Roman" w:hAnsi="Times New Roman" w:cs="Times New Roman"/>
          <w:sz w:val="24"/>
          <w:szCs w:val="24"/>
        </w:rPr>
        <w:t xml:space="preserve">the </w:t>
      </w:r>
      <w:r w:rsidRPr="00E77A89">
        <w:rPr>
          <w:rFonts w:ascii="Times New Roman" w:hAnsi="Times New Roman" w:cs="Times New Roman"/>
          <w:sz w:val="24"/>
          <w:szCs w:val="24"/>
        </w:rPr>
        <w:t xml:space="preserve">IT frame that will govern tax policy in the coming years. </w:t>
      </w:r>
      <w:r w:rsidR="001C3AE9" w:rsidRPr="00E77A89">
        <w:rPr>
          <w:rFonts w:ascii="Times New Roman" w:hAnsi="Times New Roman" w:cs="Times New Roman"/>
          <w:sz w:val="24"/>
          <w:szCs w:val="24"/>
        </w:rPr>
        <w:t>Therefore</w:t>
      </w:r>
      <w:r w:rsidR="00091649" w:rsidRPr="00E77A89">
        <w:rPr>
          <w:rFonts w:ascii="Times New Roman" w:hAnsi="Times New Roman" w:cs="Times New Roman"/>
          <w:sz w:val="24"/>
          <w:szCs w:val="24"/>
        </w:rPr>
        <w:t>,</w:t>
      </w:r>
      <w:r w:rsidR="001C3AE9" w:rsidRPr="00E77A89">
        <w:rPr>
          <w:rFonts w:ascii="Times New Roman" w:hAnsi="Times New Roman" w:cs="Times New Roman"/>
          <w:sz w:val="24"/>
          <w:szCs w:val="24"/>
        </w:rPr>
        <w:t xml:space="preserve"> it appears that it</w:t>
      </w:r>
      <w:r w:rsidRPr="00E77A89">
        <w:rPr>
          <w:rFonts w:ascii="Times New Roman" w:hAnsi="Times New Roman" w:cs="Times New Roman"/>
          <w:sz w:val="24"/>
          <w:szCs w:val="24"/>
        </w:rPr>
        <w:t xml:space="preserve"> would be in the interest of the Member States to influence the process by sharing IT elements with third parties to benefit from streamlining of the international framework and limiting the IT investments. </w:t>
      </w:r>
    </w:p>
    <w:p w14:paraId="14BE7A12" w14:textId="377C0B4B" w:rsidR="004B7293" w:rsidRPr="00E77A89" w:rsidRDefault="004B7293" w:rsidP="004B7293">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Although relatively straightforward with Member States, </w:t>
      </w:r>
      <w:r w:rsidRPr="00E77A89">
        <w:rPr>
          <w:rFonts w:ascii="Times New Roman" w:hAnsi="Times New Roman" w:cs="Times New Roman"/>
          <w:b/>
          <w:sz w:val="24"/>
          <w:szCs w:val="24"/>
        </w:rPr>
        <w:t xml:space="preserve">international cooperation with third countries or international organisations </w:t>
      </w:r>
      <w:r w:rsidRPr="00E77A89">
        <w:rPr>
          <w:rFonts w:ascii="Times New Roman" w:hAnsi="Times New Roman" w:cs="Times New Roman"/>
          <w:sz w:val="24"/>
          <w:szCs w:val="24"/>
        </w:rPr>
        <w:t>has specific constraints</w:t>
      </w:r>
      <w:r w:rsidRPr="00E77A89">
        <w:rPr>
          <w:rStyle w:val="FootnoteReference"/>
          <w:rFonts w:ascii="Times New Roman" w:hAnsi="Times New Roman" w:cs="Times New Roman"/>
          <w:sz w:val="24"/>
          <w:szCs w:val="24"/>
        </w:rPr>
        <w:footnoteReference w:id="5"/>
      </w:r>
      <w:r w:rsidRPr="00E77A89">
        <w:rPr>
          <w:rFonts w:ascii="Times New Roman" w:hAnsi="Times New Roman" w:cs="Times New Roman"/>
          <w:sz w:val="24"/>
          <w:szCs w:val="24"/>
        </w:rPr>
        <w:t>, in particular when the Fiscalis 2020 programme is involved</w:t>
      </w:r>
      <w:r w:rsidR="00490AEB" w:rsidRPr="00E77A89">
        <w:rPr>
          <w:rFonts w:ascii="Times New Roman" w:hAnsi="Times New Roman" w:cs="Times New Roman"/>
          <w:sz w:val="24"/>
          <w:szCs w:val="24"/>
        </w:rPr>
        <w:t xml:space="preserve">. These constraints are both </w:t>
      </w:r>
      <w:r w:rsidR="009B3B1B" w:rsidRPr="00E77A89">
        <w:rPr>
          <w:rFonts w:ascii="Times New Roman" w:hAnsi="Times New Roman" w:cs="Times New Roman"/>
          <w:sz w:val="24"/>
          <w:szCs w:val="24"/>
        </w:rPr>
        <w:t xml:space="preserve">of </w:t>
      </w:r>
      <w:r w:rsidR="00490AEB" w:rsidRPr="00E77A89">
        <w:rPr>
          <w:rFonts w:ascii="Times New Roman" w:hAnsi="Times New Roman" w:cs="Times New Roman"/>
          <w:sz w:val="24"/>
          <w:szCs w:val="24"/>
        </w:rPr>
        <w:t xml:space="preserve">a legal and </w:t>
      </w:r>
      <w:r w:rsidR="009B3B1B" w:rsidRPr="00E77A89">
        <w:rPr>
          <w:rFonts w:ascii="Times New Roman" w:hAnsi="Times New Roman" w:cs="Times New Roman"/>
          <w:sz w:val="24"/>
          <w:szCs w:val="24"/>
        </w:rPr>
        <w:t xml:space="preserve">of a </w:t>
      </w:r>
      <w:r w:rsidR="00490AEB" w:rsidRPr="00E77A89">
        <w:rPr>
          <w:rFonts w:ascii="Times New Roman" w:hAnsi="Times New Roman" w:cs="Times New Roman"/>
          <w:sz w:val="24"/>
          <w:szCs w:val="24"/>
        </w:rPr>
        <w:t>financial nature.</w:t>
      </w:r>
    </w:p>
    <w:p w14:paraId="14BE7A13" w14:textId="3965C96E" w:rsidR="004B7293" w:rsidRPr="00E77A89" w:rsidRDefault="004B7293" w:rsidP="004B7293">
      <w:pPr>
        <w:pStyle w:val="ListParagraph"/>
        <w:numPr>
          <w:ilvl w:val="0"/>
          <w:numId w:val="25"/>
        </w:numPr>
        <w:spacing w:before="200" w:line="240" w:lineRule="auto"/>
        <w:ind w:left="357" w:hanging="357"/>
        <w:contextualSpacing w:val="0"/>
        <w:jc w:val="both"/>
        <w:rPr>
          <w:rFonts w:ascii="Times New Roman" w:hAnsi="Times New Roman" w:cs="Times New Roman"/>
          <w:sz w:val="24"/>
          <w:szCs w:val="24"/>
        </w:rPr>
      </w:pPr>
      <w:r w:rsidRPr="00E77A89">
        <w:rPr>
          <w:rFonts w:ascii="Times New Roman" w:hAnsi="Times New Roman" w:cs="Times New Roman"/>
          <w:sz w:val="24"/>
          <w:szCs w:val="24"/>
          <w:u w:val="single"/>
        </w:rPr>
        <w:t>On the legal side</w:t>
      </w:r>
      <w:r w:rsidRPr="00E77A89">
        <w:rPr>
          <w:rFonts w:ascii="Times New Roman" w:hAnsi="Times New Roman" w:cs="Times New Roman"/>
          <w:sz w:val="24"/>
          <w:szCs w:val="24"/>
        </w:rPr>
        <w:t xml:space="preserve">, assuming that cooperation with third countries or international organisations can occur under specific agreements (such as double tax treaties) and that legislation is in place at EU level, </w:t>
      </w:r>
      <w:r w:rsidR="00AC5C19" w:rsidRPr="00E77A89">
        <w:rPr>
          <w:rFonts w:ascii="Times New Roman" w:hAnsi="Times New Roman" w:cs="Times New Roman"/>
          <w:sz w:val="24"/>
          <w:szCs w:val="24"/>
        </w:rPr>
        <w:t xml:space="preserve">an important </w:t>
      </w:r>
      <w:r w:rsidRPr="00E77A89">
        <w:rPr>
          <w:rFonts w:ascii="Times New Roman" w:hAnsi="Times New Roman" w:cs="Times New Roman"/>
          <w:sz w:val="24"/>
          <w:szCs w:val="24"/>
        </w:rPr>
        <w:t xml:space="preserve">constraint identified relates to </w:t>
      </w:r>
      <w:r w:rsidR="00D775F4" w:rsidRPr="00E77A89">
        <w:rPr>
          <w:rFonts w:ascii="Times New Roman" w:hAnsi="Times New Roman" w:cs="Times New Roman"/>
          <w:sz w:val="24"/>
          <w:szCs w:val="24"/>
        </w:rPr>
        <w:t xml:space="preserve">the requirement of an international agreement </w:t>
      </w:r>
      <w:r w:rsidR="00FA07CC" w:rsidRPr="00E77A89">
        <w:rPr>
          <w:rFonts w:ascii="Times New Roman" w:hAnsi="Times New Roman" w:cs="Times New Roman"/>
          <w:sz w:val="24"/>
          <w:szCs w:val="24"/>
        </w:rPr>
        <w:t xml:space="preserve">concluded in accordance with Article 218 TFUE </w:t>
      </w:r>
      <w:r w:rsidR="00D775F4" w:rsidRPr="00E77A89">
        <w:rPr>
          <w:rFonts w:ascii="Times New Roman" w:hAnsi="Times New Roman" w:cs="Times New Roman"/>
          <w:sz w:val="24"/>
          <w:szCs w:val="24"/>
        </w:rPr>
        <w:t xml:space="preserve">between the Union and each third country that </w:t>
      </w:r>
      <w:r w:rsidR="00AC5C19" w:rsidRPr="00E77A89">
        <w:rPr>
          <w:rFonts w:ascii="Times New Roman" w:hAnsi="Times New Roman" w:cs="Times New Roman"/>
          <w:sz w:val="24"/>
          <w:szCs w:val="24"/>
        </w:rPr>
        <w:t xml:space="preserve">should </w:t>
      </w:r>
      <w:r w:rsidR="00D775F4" w:rsidRPr="00E77A89">
        <w:rPr>
          <w:rFonts w:ascii="Times New Roman" w:hAnsi="Times New Roman" w:cs="Times New Roman"/>
          <w:sz w:val="24"/>
          <w:szCs w:val="24"/>
        </w:rPr>
        <w:t>make</w:t>
      </w:r>
      <w:r w:rsidRPr="00E77A89">
        <w:rPr>
          <w:rFonts w:ascii="Times New Roman" w:hAnsi="Times New Roman" w:cs="Times New Roman"/>
          <w:sz w:val="24"/>
          <w:szCs w:val="24"/>
        </w:rPr>
        <w:t xml:space="preserve"> use of European </w:t>
      </w:r>
      <w:r w:rsidR="004B67F5" w:rsidRPr="00E77A89">
        <w:rPr>
          <w:rFonts w:ascii="Times New Roman" w:hAnsi="Times New Roman" w:cs="Times New Roman"/>
          <w:sz w:val="24"/>
          <w:szCs w:val="24"/>
          <w:lang w:eastAsia="en-GB"/>
        </w:rPr>
        <w:t xml:space="preserve">electronic </w:t>
      </w:r>
      <w:r w:rsidR="004B67F5" w:rsidRPr="00E77A89">
        <w:rPr>
          <w:rFonts w:ascii="Times New Roman" w:hAnsi="Times New Roman" w:cs="Times New Roman"/>
          <w:sz w:val="24"/>
          <w:szCs w:val="24"/>
        </w:rPr>
        <w:t xml:space="preserve">systems </w:t>
      </w:r>
      <w:r w:rsidR="00D775F4" w:rsidRPr="00E77A89">
        <w:rPr>
          <w:rFonts w:ascii="Times New Roman" w:hAnsi="Times New Roman" w:cs="Times New Roman"/>
          <w:sz w:val="24"/>
          <w:szCs w:val="24"/>
        </w:rPr>
        <w:t xml:space="preserve">running under </w:t>
      </w:r>
      <w:r w:rsidR="00091649" w:rsidRPr="00E77A89">
        <w:rPr>
          <w:rFonts w:ascii="Times New Roman" w:hAnsi="Times New Roman" w:cs="Times New Roman"/>
          <w:sz w:val="24"/>
          <w:szCs w:val="24"/>
        </w:rPr>
        <w:t xml:space="preserve">Fiscalis. </w:t>
      </w:r>
      <w:r w:rsidR="00FA07CC" w:rsidRPr="00E77A89">
        <w:rPr>
          <w:rFonts w:ascii="Times New Roman" w:hAnsi="Times New Roman" w:cs="Times New Roman"/>
          <w:sz w:val="24"/>
          <w:szCs w:val="24"/>
        </w:rPr>
        <w:t>As the procedure of Article 218 TFUE requires time</w:t>
      </w:r>
      <w:r w:rsidR="00F95DD8" w:rsidRPr="00E77A89">
        <w:rPr>
          <w:rFonts w:ascii="Times New Roman" w:hAnsi="Times New Roman" w:cs="Times New Roman"/>
          <w:sz w:val="24"/>
          <w:szCs w:val="24"/>
        </w:rPr>
        <w:t xml:space="preserve"> to be completed</w:t>
      </w:r>
      <w:r w:rsidR="00FA07CC" w:rsidRPr="00E77A89">
        <w:rPr>
          <w:rFonts w:ascii="Times New Roman" w:hAnsi="Times New Roman" w:cs="Times New Roman"/>
          <w:sz w:val="24"/>
          <w:szCs w:val="24"/>
        </w:rPr>
        <w:t>, it does not allow the UE to be reactive enough</w:t>
      </w:r>
      <w:r w:rsidR="00D3423F" w:rsidRPr="00E77A89">
        <w:rPr>
          <w:rFonts w:ascii="Times New Roman" w:hAnsi="Times New Roman" w:cs="Times New Roman"/>
          <w:sz w:val="24"/>
          <w:szCs w:val="24"/>
        </w:rPr>
        <w:t xml:space="preserve"> and to position itself as a major partner in the implementation of </w:t>
      </w:r>
      <w:r w:rsidR="004B67F5" w:rsidRPr="00E77A89">
        <w:rPr>
          <w:rFonts w:ascii="Times New Roman" w:hAnsi="Times New Roman" w:cs="Times New Roman"/>
          <w:sz w:val="24"/>
          <w:szCs w:val="24"/>
          <w:lang w:eastAsia="en-GB"/>
        </w:rPr>
        <w:t xml:space="preserve">electronic </w:t>
      </w:r>
      <w:r w:rsidR="00D3423F" w:rsidRPr="00E77A89">
        <w:rPr>
          <w:rFonts w:ascii="Times New Roman" w:hAnsi="Times New Roman" w:cs="Times New Roman"/>
          <w:sz w:val="24"/>
          <w:szCs w:val="24"/>
        </w:rPr>
        <w:t>systems</w:t>
      </w:r>
      <w:r w:rsidR="00F95DD8" w:rsidRPr="00E77A89">
        <w:rPr>
          <w:rFonts w:ascii="Times New Roman" w:hAnsi="Times New Roman" w:cs="Times New Roman"/>
          <w:sz w:val="24"/>
          <w:szCs w:val="24"/>
        </w:rPr>
        <w:t xml:space="preserve"> with a worldwide impact</w:t>
      </w:r>
      <w:r w:rsidR="00FA07CC" w:rsidRPr="00E77A89">
        <w:rPr>
          <w:rFonts w:ascii="Times New Roman" w:hAnsi="Times New Roman" w:cs="Times New Roman"/>
          <w:sz w:val="24"/>
          <w:szCs w:val="24"/>
        </w:rPr>
        <w:t xml:space="preserve">. </w:t>
      </w:r>
      <w:r w:rsidR="00D775F4" w:rsidRPr="00E77A89">
        <w:rPr>
          <w:rFonts w:ascii="Times New Roman" w:hAnsi="Times New Roman" w:cs="Times New Roman"/>
          <w:sz w:val="24"/>
          <w:szCs w:val="24"/>
        </w:rPr>
        <w:t xml:space="preserve">In a context where there is a multiplication and internationalisation of interactions with third country administrations in terms of IT solutions, the existing EU solutions would ideally have to be globalised if we want the European IT solutions to </w:t>
      </w:r>
      <w:r w:rsidR="00D3423F" w:rsidRPr="00E77A89">
        <w:rPr>
          <w:rFonts w:ascii="Times New Roman" w:hAnsi="Times New Roman" w:cs="Times New Roman"/>
          <w:sz w:val="24"/>
          <w:szCs w:val="24"/>
        </w:rPr>
        <w:t xml:space="preserve">be kept </w:t>
      </w:r>
      <w:r w:rsidR="00AC5C19" w:rsidRPr="00E77A89">
        <w:rPr>
          <w:rFonts w:ascii="Times New Roman" w:hAnsi="Times New Roman" w:cs="Times New Roman"/>
          <w:sz w:val="24"/>
          <w:szCs w:val="24"/>
        </w:rPr>
        <w:t>and avoid M</w:t>
      </w:r>
      <w:r w:rsidR="001C3AE9" w:rsidRPr="00E77A89">
        <w:rPr>
          <w:rFonts w:ascii="Times New Roman" w:hAnsi="Times New Roman" w:cs="Times New Roman"/>
          <w:sz w:val="24"/>
          <w:szCs w:val="24"/>
        </w:rPr>
        <w:t xml:space="preserve">ember </w:t>
      </w:r>
      <w:r w:rsidR="00AC5C19" w:rsidRPr="00E77A89">
        <w:rPr>
          <w:rFonts w:ascii="Times New Roman" w:hAnsi="Times New Roman" w:cs="Times New Roman"/>
          <w:sz w:val="24"/>
          <w:szCs w:val="24"/>
        </w:rPr>
        <w:t>S</w:t>
      </w:r>
      <w:r w:rsidR="001C3AE9" w:rsidRPr="00E77A89">
        <w:rPr>
          <w:rFonts w:ascii="Times New Roman" w:hAnsi="Times New Roman" w:cs="Times New Roman"/>
          <w:sz w:val="24"/>
          <w:szCs w:val="24"/>
        </w:rPr>
        <w:t>tates</w:t>
      </w:r>
      <w:r w:rsidR="00AC5C19" w:rsidRPr="00E77A89">
        <w:rPr>
          <w:rFonts w:ascii="Times New Roman" w:hAnsi="Times New Roman" w:cs="Times New Roman"/>
          <w:sz w:val="24"/>
          <w:szCs w:val="24"/>
        </w:rPr>
        <w:t xml:space="preserve"> from having to multiply their </w:t>
      </w:r>
      <w:r w:rsidR="004B67F5" w:rsidRPr="00E77A89">
        <w:rPr>
          <w:rFonts w:ascii="Times New Roman" w:hAnsi="Times New Roman" w:cs="Times New Roman"/>
          <w:sz w:val="24"/>
          <w:szCs w:val="24"/>
          <w:lang w:eastAsia="en-GB"/>
        </w:rPr>
        <w:t xml:space="preserve">electronic </w:t>
      </w:r>
      <w:r w:rsidR="00AC5C19" w:rsidRPr="00E77A89">
        <w:rPr>
          <w:rFonts w:ascii="Times New Roman" w:hAnsi="Times New Roman" w:cs="Times New Roman"/>
          <w:sz w:val="24"/>
          <w:szCs w:val="24"/>
        </w:rPr>
        <w:t>systems</w:t>
      </w:r>
      <w:r w:rsidR="00D775F4" w:rsidRPr="00E77A89">
        <w:rPr>
          <w:rFonts w:ascii="Times New Roman" w:hAnsi="Times New Roman" w:cs="Times New Roman"/>
          <w:sz w:val="24"/>
          <w:szCs w:val="24"/>
        </w:rPr>
        <w:t>. The legal constraints which are very burdensome and time-consuming would need to be overcome in the near future.</w:t>
      </w:r>
      <w:r w:rsidRPr="00E77A89">
        <w:rPr>
          <w:rFonts w:ascii="Times New Roman" w:hAnsi="Times New Roman" w:cs="Times New Roman"/>
          <w:sz w:val="24"/>
          <w:szCs w:val="24"/>
        </w:rPr>
        <w:t xml:space="preserve"> The aspects </w:t>
      </w:r>
      <w:r w:rsidR="001C3AE9" w:rsidRPr="00E77A89">
        <w:rPr>
          <w:rFonts w:ascii="Times New Roman" w:hAnsi="Times New Roman" w:cs="Times New Roman"/>
          <w:sz w:val="24"/>
          <w:szCs w:val="24"/>
        </w:rPr>
        <w:t xml:space="preserve">linked to intellectual property rights </w:t>
      </w:r>
      <w:r w:rsidRPr="00E77A89">
        <w:rPr>
          <w:rFonts w:ascii="Times New Roman" w:hAnsi="Times New Roman" w:cs="Times New Roman"/>
          <w:sz w:val="24"/>
          <w:szCs w:val="24"/>
        </w:rPr>
        <w:t>would also have to be considered, notably concerning the ownership and the p</w:t>
      </w:r>
      <w:r w:rsidR="00D775F4" w:rsidRPr="00E77A89">
        <w:rPr>
          <w:rFonts w:ascii="Times New Roman" w:hAnsi="Times New Roman" w:cs="Times New Roman"/>
          <w:sz w:val="24"/>
          <w:szCs w:val="24"/>
        </w:rPr>
        <w:t>ossible restrictions on the use o</w:t>
      </w:r>
      <w:r w:rsidR="00366A10" w:rsidRPr="00E77A89">
        <w:rPr>
          <w:rFonts w:ascii="Times New Roman" w:hAnsi="Times New Roman" w:cs="Times New Roman"/>
          <w:sz w:val="24"/>
          <w:szCs w:val="24"/>
        </w:rPr>
        <w:t>f</w:t>
      </w:r>
      <w:r w:rsidR="00D775F4" w:rsidRPr="00E77A89">
        <w:rPr>
          <w:rFonts w:ascii="Times New Roman" w:hAnsi="Times New Roman" w:cs="Times New Roman"/>
          <w:sz w:val="24"/>
          <w:szCs w:val="24"/>
        </w:rPr>
        <w:t xml:space="preserve"> </w:t>
      </w:r>
      <w:r w:rsidR="004B67F5" w:rsidRPr="00E77A89">
        <w:rPr>
          <w:rFonts w:ascii="Times New Roman" w:hAnsi="Times New Roman" w:cs="Times New Roman"/>
          <w:sz w:val="24"/>
          <w:szCs w:val="24"/>
        </w:rPr>
        <w:t xml:space="preserve">European </w:t>
      </w:r>
      <w:r w:rsidR="004B67F5" w:rsidRPr="00E77A89">
        <w:rPr>
          <w:rFonts w:ascii="Times New Roman" w:hAnsi="Times New Roman" w:cs="Times New Roman"/>
          <w:sz w:val="24"/>
          <w:szCs w:val="24"/>
          <w:lang w:eastAsia="en-GB"/>
        </w:rPr>
        <w:t xml:space="preserve">electronic </w:t>
      </w:r>
      <w:r w:rsidR="00D775F4" w:rsidRPr="00E77A89">
        <w:rPr>
          <w:rFonts w:ascii="Times New Roman" w:hAnsi="Times New Roman" w:cs="Times New Roman"/>
          <w:sz w:val="24"/>
          <w:szCs w:val="24"/>
        </w:rPr>
        <w:t>systems by third parties.</w:t>
      </w:r>
    </w:p>
    <w:p w14:paraId="14BE7A14" w14:textId="10ED65D1" w:rsidR="00EB2359" w:rsidRPr="00E77A89" w:rsidRDefault="004B7293" w:rsidP="00366A10">
      <w:pPr>
        <w:pStyle w:val="ListParagraph"/>
        <w:numPr>
          <w:ilvl w:val="0"/>
          <w:numId w:val="25"/>
        </w:numPr>
        <w:spacing w:before="200" w:line="240" w:lineRule="auto"/>
        <w:ind w:left="357" w:hanging="357"/>
        <w:contextualSpacing w:val="0"/>
        <w:jc w:val="both"/>
        <w:rPr>
          <w:rFonts w:ascii="Times New Roman" w:hAnsi="Times New Roman" w:cs="Times New Roman"/>
          <w:sz w:val="24"/>
          <w:szCs w:val="24"/>
        </w:rPr>
      </w:pPr>
      <w:r w:rsidRPr="00E77A89">
        <w:rPr>
          <w:rFonts w:ascii="Times New Roman" w:hAnsi="Times New Roman" w:cs="Times New Roman"/>
          <w:sz w:val="24"/>
          <w:szCs w:val="24"/>
          <w:u w:val="single"/>
        </w:rPr>
        <w:t>On the financial side</w:t>
      </w:r>
      <w:r w:rsidRPr="00E77A89">
        <w:rPr>
          <w:rFonts w:ascii="Times New Roman" w:hAnsi="Times New Roman" w:cs="Times New Roman"/>
          <w:sz w:val="24"/>
          <w:szCs w:val="24"/>
        </w:rPr>
        <w:t xml:space="preserve">, </w:t>
      </w:r>
      <w:r w:rsidR="00D775F4" w:rsidRPr="00E77A89">
        <w:rPr>
          <w:rFonts w:ascii="Times New Roman" w:hAnsi="Times New Roman" w:cs="Times New Roman"/>
          <w:sz w:val="24"/>
          <w:szCs w:val="24"/>
        </w:rPr>
        <w:t xml:space="preserve">the questions arises if third countries/parties would have to pay for getting IT solutions which have been developed under Fiscalis, knowing that </w:t>
      </w:r>
      <w:r w:rsidR="00EB2359" w:rsidRPr="00E77A89">
        <w:rPr>
          <w:rFonts w:ascii="Times New Roman" w:hAnsi="Times New Roman" w:cs="Times New Roman"/>
          <w:sz w:val="24"/>
          <w:szCs w:val="24"/>
        </w:rPr>
        <w:t>in some cases the s</w:t>
      </w:r>
      <w:r w:rsidR="00D775F4" w:rsidRPr="00E77A89">
        <w:rPr>
          <w:rFonts w:ascii="Times New Roman" w:hAnsi="Times New Roman" w:cs="Times New Roman"/>
          <w:sz w:val="24"/>
          <w:szCs w:val="24"/>
        </w:rPr>
        <w:t xml:space="preserve">haring of assets will create </w:t>
      </w:r>
      <w:r w:rsidRPr="00E77A89">
        <w:rPr>
          <w:rFonts w:ascii="Times New Roman" w:hAnsi="Times New Roman" w:cs="Times New Roman"/>
          <w:sz w:val="24"/>
          <w:szCs w:val="24"/>
        </w:rPr>
        <w:t xml:space="preserve">none or </w:t>
      </w:r>
      <w:r w:rsidR="00EB2359" w:rsidRPr="00E77A89">
        <w:rPr>
          <w:rFonts w:ascii="Times New Roman" w:hAnsi="Times New Roman" w:cs="Times New Roman"/>
          <w:sz w:val="24"/>
          <w:szCs w:val="24"/>
        </w:rPr>
        <w:t xml:space="preserve">only </w:t>
      </w:r>
      <w:r w:rsidRPr="00E77A89">
        <w:rPr>
          <w:rFonts w:ascii="Times New Roman" w:hAnsi="Times New Roman" w:cs="Times New Roman"/>
          <w:sz w:val="24"/>
          <w:szCs w:val="24"/>
        </w:rPr>
        <w:t xml:space="preserve">marginal </w:t>
      </w:r>
      <w:r w:rsidR="00EB2359" w:rsidRPr="00E77A89">
        <w:rPr>
          <w:rFonts w:ascii="Times New Roman" w:hAnsi="Times New Roman" w:cs="Times New Roman"/>
          <w:sz w:val="24"/>
          <w:szCs w:val="24"/>
        </w:rPr>
        <w:t>additional costs</w:t>
      </w:r>
      <w:r w:rsidRPr="00E77A89">
        <w:rPr>
          <w:rFonts w:ascii="Times New Roman" w:hAnsi="Times New Roman" w:cs="Times New Roman"/>
          <w:sz w:val="24"/>
          <w:szCs w:val="24"/>
        </w:rPr>
        <w:t xml:space="preserve">. These impacts on the Fiscalis budget would have to be evaluated in respect to its limited envelope and focus on supporting Member States. Fiscalis supports the current </w:t>
      </w:r>
      <w:r w:rsidR="004B67F5" w:rsidRPr="00E77A89">
        <w:rPr>
          <w:rFonts w:ascii="Times New Roman" w:hAnsi="Times New Roman" w:cs="Times New Roman"/>
          <w:sz w:val="24"/>
          <w:szCs w:val="24"/>
        </w:rPr>
        <w:t xml:space="preserve">European </w:t>
      </w:r>
      <w:r w:rsidR="004B67F5" w:rsidRPr="00E77A89">
        <w:rPr>
          <w:rFonts w:ascii="Times New Roman" w:hAnsi="Times New Roman" w:cs="Times New Roman"/>
          <w:sz w:val="24"/>
          <w:szCs w:val="24"/>
          <w:lang w:eastAsia="en-GB"/>
        </w:rPr>
        <w:t xml:space="preserve">electronic </w:t>
      </w:r>
      <w:r w:rsidRPr="00E77A89">
        <w:rPr>
          <w:rFonts w:ascii="Times New Roman" w:hAnsi="Times New Roman" w:cs="Times New Roman"/>
          <w:sz w:val="24"/>
          <w:szCs w:val="24"/>
        </w:rPr>
        <w:t>systems, but has a limited budgetary envelope until 2020 (about 22M€ per year</w:t>
      </w:r>
      <w:r w:rsidR="007D532D" w:rsidRPr="00E77A89">
        <w:rPr>
          <w:rFonts w:ascii="Times New Roman" w:hAnsi="Times New Roman" w:cs="Times New Roman"/>
          <w:sz w:val="24"/>
          <w:szCs w:val="24"/>
        </w:rPr>
        <w:t xml:space="preserve"> for IT capacity building</w:t>
      </w:r>
      <w:r w:rsidR="00366A10" w:rsidRPr="00E77A89">
        <w:rPr>
          <w:rFonts w:ascii="Times New Roman" w:hAnsi="Times New Roman" w:cs="Times New Roman"/>
          <w:sz w:val="24"/>
          <w:szCs w:val="24"/>
        </w:rPr>
        <w:t>) which does not guarantee that urgent needs stemming from new legislation can be taken into account</w:t>
      </w:r>
      <w:r w:rsidRPr="00E77A89">
        <w:rPr>
          <w:rFonts w:ascii="Times New Roman" w:hAnsi="Times New Roman" w:cs="Times New Roman"/>
          <w:sz w:val="24"/>
          <w:szCs w:val="24"/>
        </w:rPr>
        <w:t xml:space="preserve">. </w:t>
      </w:r>
      <w:r w:rsidR="00366A10" w:rsidRPr="00E77A89">
        <w:rPr>
          <w:rFonts w:ascii="Times New Roman" w:hAnsi="Times New Roman" w:cs="Times New Roman"/>
          <w:sz w:val="24"/>
          <w:szCs w:val="24"/>
        </w:rPr>
        <w:t>For instance, if progress in Council is swift on the recent Digital Services Tax (DST) proposal (2019 at the latest) and Member States agree to introduce a legal base for intervention at EU level, a OSS relatively limited in scope could be subject to financing through Fiscalis.</w:t>
      </w:r>
    </w:p>
    <w:p w14:paraId="14BE7A15" w14:textId="7AF58FFF" w:rsidR="004B7293" w:rsidRPr="00E77A89" w:rsidRDefault="00EB2359" w:rsidP="00EB2359">
      <w:pPr>
        <w:spacing w:before="200"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Overcoming these legal and budgetary constraints is nevertheless very important if the EU wants to be a key player in the global tax context where more and more tax issues call for global solutions. The exportability of the IT solutions that Fiscalis helps putting in place is crucial for their sustainability. If the EU cannot </w:t>
      </w:r>
      <w:r w:rsidR="000115B8" w:rsidRPr="00E77A89">
        <w:rPr>
          <w:rFonts w:ascii="Times New Roman" w:hAnsi="Times New Roman" w:cs="Times New Roman"/>
          <w:sz w:val="24"/>
          <w:szCs w:val="24"/>
        </w:rPr>
        <w:t xml:space="preserve">export </w:t>
      </w:r>
      <w:r w:rsidRPr="00E77A89">
        <w:rPr>
          <w:rFonts w:ascii="Times New Roman" w:hAnsi="Times New Roman" w:cs="Times New Roman"/>
          <w:sz w:val="24"/>
          <w:szCs w:val="24"/>
        </w:rPr>
        <w:t xml:space="preserve">its IT solutions, the consequence will be that they will be overrun by global solutions and that Member States will have to live with </w:t>
      </w:r>
      <w:r w:rsidR="00F96ABC" w:rsidRPr="00E77A89">
        <w:rPr>
          <w:rFonts w:ascii="Times New Roman" w:hAnsi="Times New Roman" w:cs="Times New Roman"/>
          <w:sz w:val="24"/>
          <w:szCs w:val="24"/>
        </w:rPr>
        <w:t>two</w:t>
      </w:r>
      <w:r w:rsidRPr="00E77A89">
        <w:rPr>
          <w:rFonts w:ascii="Times New Roman" w:hAnsi="Times New Roman" w:cs="Times New Roman"/>
          <w:sz w:val="24"/>
          <w:szCs w:val="24"/>
        </w:rPr>
        <w:t xml:space="preserve"> parallel IT worlds each having a cost price</w:t>
      </w:r>
      <w:r w:rsidR="00F96ABC" w:rsidRPr="00E77A89">
        <w:rPr>
          <w:rFonts w:ascii="Times New Roman" w:hAnsi="Times New Roman" w:cs="Times New Roman"/>
          <w:sz w:val="24"/>
          <w:szCs w:val="24"/>
        </w:rPr>
        <w:t xml:space="preserve"> and jeopardizing the long term benefit of EU IT solutions.</w:t>
      </w:r>
    </w:p>
    <w:p w14:paraId="14BE7A16" w14:textId="77777777" w:rsidR="004B7293" w:rsidRPr="00E77A89" w:rsidRDefault="004B7293" w:rsidP="004B7293">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The challenge for the post-2020 programme will thus be to propose a </w:t>
      </w:r>
      <w:r w:rsidRPr="00E77A89">
        <w:rPr>
          <w:rFonts w:ascii="Times New Roman" w:hAnsi="Times New Roman" w:cs="Times New Roman"/>
          <w:b/>
          <w:sz w:val="24"/>
          <w:szCs w:val="24"/>
        </w:rPr>
        <w:t>new interaction model with the developments on the international scene</w:t>
      </w:r>
      <w:r w:rsidRPr="00E77A89">
        <w:rPr>
          <w:rFonts w:ascii="Times New Roman" w:hAnsi="Times New Roman" w:cs="Times New Roman"/>
          <w:sz w:val="24"/>
          <w:szCs w:val="24"/>
        </w:rPr>
        <w:t xml:space="preserve"> as to: </w:t>
      </w:r>
    </w:p>
    <w:p w14:paraId="14BE7A17" w14:textId="71893768" w:rsidR="004B7293" w:rsidRPr="00E77A89" w:rsidRDefault="004B7293" w:rsidP="004B7293">
      <w:pPr>
        <w:pStyle w:val="ListParagraph"/>
        <w:numPr>
          <w:ilvl w:val="0"/>
          <w:numId w:val="25"/>
        </w:numPr>
        <w:spacing w:before="200" w:line="240" w:lineRule="auto"/>
        <w:ind w:left="357" w:hanging="357"/>
        <w:contextualSpacing w:val="0"/>
        <w:jc w:val="both"/>
        <w:rPr>
          <w:rFonts w:ascii="Times New Roman" w:hAnsi="Times New Roman" w:cs="Times New Roman"/>
          <w:sz w:val="24"/>
          <w:szCs w:val="24"/>
        </w:rPr>
      </w:pPr>
      <w:r w:rsidRPr="00E77A89">
        <w:rPr>
          <w:rFonts w:ascii="Times New Roman" w:hAnsi="Times New Roman" w:cs="Times New Roman"/>
          <w:sz w:val="24"/>
          <w:szCs w:val="24"/>
        </w:rPr>
        <w:t xml:space="preserve">How to use the programmes to join the forces of the Commission and the Member States and promote a </w:t>
      </w:r>
      <w:r w:rsidRPr="00E77A89">
        <w:rPr>
          <w:rFonts w:ascii="Times New Roman" w:hAnsi="Times New Roman" w:cs="Times New Roman"/>
          <w:b/>
          <w:sz w:val="24"/>
          <w:szCs w:val="24"/>
        </w:rPr>
        <w:t xml:space="preserve">joint EU </w:t>
      </w:r>
      <w:r w:rsidR="001C3AE9" w:rsidRPr="00E77A89">
        <w:rPr>
          <w:rFonts w:ascii="Times New Roman" w:hAnsi="Times New Roman" w:cs="Times New Roman"/>
          <w:b/>
          <w:sz w:val="24"/>
          <w:szCs w:val="24"/>
        </w:rPr>
        <w:t>approach i</w:t>
      </w:r>
      <w:r w:rsidRPr="00E77A89">
        <w:rPr>
          <w:rFonts w:ascii="Times New Roman" w:hAnsi="Times New Roman" w:cs="Times New Roman"/>
          <w:b/>
          <w:sz w:val="24"/>
          <w:szCs w:val="24"/>
        </w:rPr>
        <w:t xml:space="preserve">n the international </w:t>
      </w:r>
      <w:r w:rsidR="00881E02" w:rsidRPr="00E77A89">
        <w:rPr>
          <w:rFonts w:ascii="Times New Roman" w:hAnsi="Times New Roman" w:cs="Times New Roman"/>
          <w:b/>
          <w:sz w:val="24"/>
          <w:szCs w:val="24"/>
        </w:rPr>
        <w:t>fora</w:t>
      </w:r>
      <w:r w:rsidRPr="00E77A89">
        <w:rPr>
          <w:rFonts w:ascii="Times New Roman" w:hAnsi="Times New Roman" w:cs="Times New Roman"/>
          <w:sz w:val="24"/>
          <w:szCs w:val="24"/>
        </w:rPr>
        <w:t xml:space="preserve">; </w:t>
      </w:r>
    </w:p>
    <w:p w14:paraId="14BE7A18" w14:textId="536CA8B6" w:rsidR="004B7293" w:rsidRPr="00E77A89" w:rsidRDefault="004B7293" w:rsidP="004B7293">
      <w:pPr>
        <w:pStyle w:val="ListParagraph"/>
        <w:numPr>
          <w:ilvl w:val="0"/>
          <w:numId w:val="25"/>
        </w:numPr>
        <w:spacing w:before="200" w:line="240" w:lineRule="auto"/>
        <w:ind w:left="357" w:hanging="357"/>
        <w:contextualSpacing w:val="0"/>
        <w:jc w:val="both"/>
        <w:rPr>
          <w:rFonts w:ascii="Times New Roman" w:hAnsi="Times New Roman" w:cs="Times New Roman"/>
          <w:sz w:val="24"/>
          <w:szCs w:val="24"/>
        </w:rPr>
      </w:pPr>
      <w:r w:rsidRPr="00E77A89">
        <w:rPr>
          <w:rFonts w:ascii="Times New Roman" w:hAnsi="Times New Roman" w:cs="Times New Roman"/>
          <w:sz w:val="24"/>
          <w:szCs w:val="24"/>
        </w:rPr>
        <w:t xml:space="preserve">How to coordinate the EU legislative, operational and support activities and thereby </w:t>
      </w:r>
      <w:r w:rsidRPr="00E77A89">
        <w:rPr>
          <w:rFonts w:ascii="Times New Roman" w:hAnsi="Times New Roman" w:cs="Times New Roman"/>
          <w:b/>
          <w:sz w:val="24"/>
          <w:szCs w:val="24"/>
        </w:rPr>
        <w:t>avoid the duplication of efforts</w:t>
      </w:r>
      <w:r w:rsidRPr="00E77A89">
        <w:rPr>
          <w:rFonts w:ascii="Times New Roman" w:hAnsi="Times New Roman" w:cs="Times New Roman"/>
          <w:sz w:val="24"/>
          <w:szCs w:val="24"/>
        </w:rPr>
        <w:t xml:space="preserve"> or even parallel running of similar </w:t>
      </w:r>
      <w:r w:rsidR="004B67F5" w:rsidRPr="00E77A89">
        <w:rPr>
          <w:rFonts w:ascii="Times New Roman" w:hAnsi="Times New Roman" w:cs="Times New Roman"/>
          <w:sz w:val="24"/>
          <w:szCs w:val="24"/>
        </w:rPr>
        <w:t xml:space="preserve">electronic </w:t>
      </w:r>
      <w:r w:rsidRPr="00E77A89">
        <w:rPr>
          <w:rFonts w:ascii="Times New Roman" w:hAnsi="Times New Roman" w:cs="Times New Roman"/>
          <w:sz w:val="24"/>
          <w:szCs w:val="24"/>
        </w:rPr>
        <w:t xml:space="preserve">systems and operations by Member States. </w:t>
      </w:r>
    </w:p>
    <w:p w14:paraId="14BE7A19" w14:textId="39A21CE1" w:rsidR="004B7293" w:rsidRPr="00E77A89" w:rsidRDefault="00F96ABC" w:rsidP="004B7293">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S</w:t>
      </w:r>
      <w:r w:rsidR="004B7293" w:rsidRPr="00E77A89">
        <w:rPr>
          <w:rFonts w:ascii="Times New Roman" w:hAnsi="Times New Roman" w:cs="Times New Roman"/>
          <w:sz w:val="24"/>
          <w:szCs w:val="24"/>
        </w:rPr>
        <w:t xml:space="preserve">haring consistently </w:t>
      </w:r>
      <w:r w:rsidRPr="00E77A89">
        <w:rPr>
          <w:rFonts w:ascii="Times New Roman" w:hAnsi="Times New Roman" w:cs="Times New Roman"/>
          <w:sz w:val="24"/>
          <w:szCs w:val="24"/>
        </w:rPr>
        <w:t xml:space="preserve">with third countries/parties </w:t>
      </w:r>
      <w:r w:rsidR="004B7293" w:rsidRPr="00E77A89">
        <w:rPr>
          <w:rFonts w:ascii="Times New Roman" w:hAnsi="Times New Roman" w:cs="Times New Roman"/>
          <w:sz w:val="24"/>
          <w:szCs w:val="24"/>
        </w:rPr>
        <w:t xml:space="preserve">the technical approach already in place for the functioning of the </w:t>
      </w:r>
      <w:r w:rsidR="00F8628D" w:rsidRPr="00E77A89">
        <w:rPr>
          <w:rFonts w:ascii="Times New Roman" w:hAnsi="Times New Roman" w:cs="Times New Roman"/>
          <w:sz w:val="24"/>
          <w:szCs w:val="24"/>
        </w:rPr>
        <w:t>single market</w:t>
      </w:r>
      <w:r w:rsidR="004B7293" w:rsidRPr="00E77A89">
        <w:rPr>
          <w:rFonts w:ascii="Times New Roman" w:hAnsi="Times New Roman" w:cs="Times New Roman"/>
          <w:sz w:val="24"/>
          <w:szCs w:val="24"/>
        </w:rPr>
        <w:t xml:space="preserve"> while replying to their international commitments</w:t>
      </w:r>
      <w:r w:rsidRPr="00E77A89">
        <w:rPr>
          <w:rFonts w:ascii="Times New Roman" w:hAnsi="Times New Roman" w:cs="Times New Roman"/>
          <w:sz w:val="24"/>
          <w:szCs w:val="24"/>
        </w:rPr>
        <w:t xml:space="preserve"> will be beneficial for Member States and for the EU</w:t>
      </w:r>
      <w:r w:rsidR="004B7293" w:rsidRPr="00E77A89">
        <w:rPr>
          <w:rFonts w:ascii="Times New Roman" w:hAnsi="Times New Roman" w:cs="Times New Roman"/>
          <w:sz w:val="24"/>
          <w:szCs w:val="24"/>
        </w:rPr>
        <w:t>. This cooperation could then develop into a common IT framework under the OECD conventions.</w:t>
      </w:r>
    </w:p>
    <w:p w14:paraId="14BE7A1A" w14:textId="77777777" w:rsidR="004B7293" w:rsidRPr="00E77A89" w:rsidRDefault="004B7293" w:rsidP="004B7293">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In addition, sharing IT assets and experience with the OECD presents an opportunity for the EU to propose its IT solutions and set of technical standards while </w:t>
      </w:r>
      <w:r w:rsidRPr="00E77A89">
        <w:rPr>
          <w:rFonts w:ascii="Times New Roman" w:hAnsi="Times New Roman" w:cs="Times New Roman"/>
          <w:b/>
          <w:sz w:val="24"/>
          <w:szCs w:val="24"/>
        </w:rPr>
        <w:t xml:space="preserve">positioning as being a major player at global level </w:t>
      </w:r>
      <w:r w:rsidRPr="00E77A89">
        <w:rPr>
          <w:rFonts w:ascii="Times New Roman" w:hAnsi="Times New Roman" w:cs="Times New Roman"/>
          <w:sz w:val="24"/>
          <w:szCs w:val="24"/>
        </w:rPr>
        <w:t>in the field of implementing taxation policies on a practical and technical point of view.</w:t>
      </w:r>
    </w:p>
    <w:p w14:paraId="6167C943" w14:textId="77777777" w:rsidR="00341314" w:rsidRPr="00E77A89" w:rsidRDefault="004B7293" w:rsidP="004B729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r w:rsidRPr="00E77A89">
        <w:rPr>
          <w:rFonts w:ascii="Times New Roman" w:hAnsi="Times New Roman" w:cs="Times New Roman"/>
          <w:b/>
          <w:sz w:val="24"/>
          <w:szCs w:val="24"/>
        </w:rPr>
        <w:t>As EU tax policy has been recently mainly driven by the international context, the programme should in the future allow</w:t>
      </w:r>
      <w:r w:rsidR="00F96ABC" w:rsidRPr="00E77A89">
        <w:rPr>
          <w:rFonts w:ascii="Times New Roman" w:hAnsi="Times New Roman" w:cs="Times New Roman"/>
          <w:b/>
          <w:sz w:val="24"/>
          <w:szCs w:val="24"/>
        </w:rPr>
        <w:t xml:space="preserve"> under flexible conditions</w:t>
      </w:r>
      <w:r w:rsidRPr="00E77A89">
        <w:rPr>
          <w:rFonts w:ascii="Times New Roman" w:hAnsi="Times New Roman" w:cs="Times New Roman"/>
          <w:b/>
          <w:sz w:val="24"/>
          <w:szCs w:val="24"/>
        </w:rPr>
        <w:t xml:space="preserve"> organising joint actions and sharing EU developed and funded IT assets</w:t>
      </w:r>
      <w:r w:rsidR="009E3F28" w:rsidRPr="00E77A89">
        <w:rPr>
          <w:rFonts w:ascii="Times New Roman" w:hAnsi="Times New Roman" w:cs="Times New Roman"/>
          <w:b/>
          <w:sz w:val="24"/>
          <w:szCs w:val="24"/>
        </w:rPr>
        <w:t xml:space="preserve"> with international organisations and third countries</w:t>
      </w:r>
      <w:r w:rsidRPr="00E77A89">
        <w:rPr>
          <w:rFonts w:ascii="Times New Roman" w:hAnsi="Times New Roman" w:cs="Times New Roman"/>
          <w:b/>
          <w:sz w:val="24"/>
          <w:szCs w:val="24"/>
        </w:rPr>
        <w:t xml:space="preserve">. </w:t>
      </w:r>
    </w:p>
    <w:p w14:paraId="14BE7A1B" w14:textId="0C27795E" w:rsidR="004B7293" w:rsidRPr="00E77A89" w:rsidRDefault="00341314" w:rsidP="00EC792F">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In addition, a Multi-Annual Strategic Plan for Taxation will allow for a better planning of budgetary and human resources both at national and EU level. Accompanying reporting duties have been introduced to allow for a better monitoring of IT capacity building actions.</w:t>
      </w:r>
    </w:p>
    <w:p w14:paraId="14BE7A1C" w14:textId="414CB65F" w:rsidR="00ED5087" w:rsidRPr="00E77A89" w:rsidRDefault="00881E02" w:rsidP="008302F7">
      <w:pPr>
        <w:spacing w:line="240" w:lineRule="auto"/>
        <w:jc w:val="both"/>
        <w:rPr>
          <w:rStyle w:val="A6"/>
          <w:rFonts w:ascii="Times New Roman" w:hAnsi="Times New Roman" w:cs="Times New Roman"/>
          <w:sz w:val="24"/>
          <w:szCs w:val="24"/>
          <w:lang w:eastAsia="en-GB"/>
        </w:rPr>
      </w:pPr>
      <w:r w:rsidRPr="00E77A89">
        <w:rPr>
          <w:rStyle w:val="A6"/>
          <w:rFonts w:ascii="Times New Roman" w:hAnsi="Times New Roman" w:cs="Times New Roman"/>
          <w:sz w:val="24"/>
          <w:szCs w:val="24"/>
          <w:lang w:eastAsia="en-GB"/>
        </w:rPr>
        <w:t>The</w:t>
      </w:r>
      <w:r w:rsidR="008302F7" w:rsidRPr="00E77A89">
        <w:rPr>
          <w:rStyle w:val="A6"/>
          <w:rFonts w:ascii="Times New Roman" w:hAnsi="Times New Roman" w:cs="Times New Roman"/>
          <w:sz w:val="24"/>
          <w:szCs w:val="24"/>
          <w:lang w:eastAsia="en-GB"/>
        </w:rPr>
        <w:t xml:space="preserve"> </w:t>
      </w:r>
      <w:r w:rsidR="008302F7" w:rsidRPr="00E77A89">
        <w:rPr>
          <w:rStyle w:val="A6"/>
          <w:rFonts w:ascii="Times New Roman" w:hAnsi="Times New Roman" w:cs="Times New Roman"/>
          <w:b/>
          <w:sz w:val="24"/>
          <w:szCs w:val="24"/>
          <w:lang w:eastAsia="en-GB"/>
        </w:rPr>
        <w:t xml:space="preserve">upcoming withdrawal of the UK </w:t>
      </w:r>
      <w:r w:rsidR="008302F7" w:rsidRPr="00E77A89">
        <w:rPr>
          <w:rFonts w:ascii="Times New Roman" w:hAnsi="Times New Roman" w:cs="Times New Roman"/>
          <w:b/>
          <w:sz w:val="24"/>
          <w:szCs w:val="24"/>
          <w:lang w:eastAsia="en-GB"/>
        </w:rPr>
        <w:t>from the EU</w:t>
      </w:r>
      <w:r w:rsidR="008302F7" w:rsidRPr="00E77A89">
        <w:rPr>
          <w:rStyle w:val="A6"/>
          <w:rFonts w:ascii="Times New Roman" w:hAnsi="Times New Roman" w:cs="Times New Roman"/>
          <w:sz w:val="24"/>
          <w:szCs w:val="24"/>
          <w:lang w:eastAsia="en-GB"/>
        </w:rPr>
        <w:t xml:space="preserve"> implies disentangling </w:t>
      </w:r>
      <w:r w:rsidRPr="00E77A89">
        <w:rPr>
          <w:rStyle w:val="A6"/>
          <w:rFonts w:ascii="Times New Roman" w:hAnsi="Times New Roman" w:cs="Times New Roman"/>
          <w:sz w:val="24"/>
          <w:szCs w:val="24"/>
          <w:lang w:eastAsia="en-GB"/>
        </w:rPr>
        <w:t xml:space="preserve">the UK as a Member State from </w:t>
      </w:r>
      <w:r w:rsidR="008302F7" w:rsidRPr="00E77A89">
        <w:rPr>
          <w:rStyle w:val="A6"/>
          <w:rFonts w:ascii="Times New Roman" w:hAnsi="Times New Roman" w:cs="Times New Roman"/>
          <w:sz w:val="24"/>
          <w:szCs w:val="24"/>
          <w:lang w:eastAsia="en-GB"/>
        </w:rPr>
        <w:t xml:space="preserve">all taxation </w:t>
      </w:r>
      <w:r w:rsidR="004B67F5" w:rsidRPr="00E77A89">
        <w:rPr>
          <w:rFonts w:ascii="Times New Roman" w:hAnsi="Times New Roman" w:cs="Times New Roman"/>
          <w:sz w:val="24"/>
          <w:szCs w:val="24"/>
          <w:lang w:eastAsia="en-GB"/>
        </w:rPr>
        <w:t xml:space="preserve">electronic </w:t>
      </w:r>
      <w:r w:rsidR="008302F7" w:rsidRPr="00E77A89">
        <w:rPr>
          <w:rStyle w:val="A6"/>
          <w:rFonts w:ascii="Times New Roman" w:hAnsi="Times New Roman" w:cs="Times New Roman"/>
          <w:sz w:val="24"/>
          <w:szCs w:val="24"/>
          <w:lang w:eastAsia="en-GB"/>
        </w:rPr>
        <w:t xml:space="preserve">systems financed by Fiscalis 2020. </w:t>
      </w:r>
      <w:r w:rsidRPr="00E77A89">
        <w:rPr>
          <w:rStyle w:val="A6"/>
          <w:rFonts w:ascii="Times New Roman" w:hAnsi="Times New Roman" w:cs="Times New Roman"/>
          <w:sz w:val="24"/>
          <w:szCs w:val="24"/>
          <w:lang w:eastAsia="en-GB"/>
        </w:rPr>
        <w:t xml:space="preserve">The </w:t>
      </w:r>
      <w:r w:rsidR="008302F7" w:rsidRPr="00E77A89">
        <w:rPr>
          <w:rStyle w:val="A6"/>
          <w:rFonts w:ascii="Times New Roman" w:hAnsi="Times New Roman" w:cs="Times New Roman"/>
          <w:sz w:val="24"/>
          <w:szCs w:val="24"/>
          <w:lang w:eastAsia="en-GB"/>
        </w:rPr>
        <w:t>implications and costs</w:t>
      </w:r>
      <w:r w:rsidRPr="00E77A89">
        <w:rPr>
          <w:rStyle w:val="A6"/>
          <w:rFonts w:ascii="Times New Roman" w:hAnsi="Times New Roman" w:cs="Times New Roman"/>
          <w:sz w:val="24"/>
          <w:szCs w:val="24"/>
          <w:lang w:eastAsia="en-GB"/>
        </w:rPr>
        <w:t>,</w:t>
      </w:r>
      <w:r w:rsidR="008302F7" w:rsidRPr="00E77A89">
        <w:rPr>
          <w:rStyle w:val="A6"/>
          <w:rFonts w:ascii="Times New Roman" w:hAnsi="Times New Roman" w:cs="Times New Roman"/>
          <w:sz w:val="24"/>
          <w:szCs w:val="24"/>
          <w:lang w:eastAsia="en-GB"/>
        </w:rPr>
        <w:t xml:space="preserve"> however</w:t>
      </w:r>
      <w:r w:rsidRPr="00E77A89">
        <w:rPr>
          <w:rStyle w:val="A6"/>
          <w:rFonts w:ascii="Times New Roman" w:hAnsi="Times New Roman" w:cs="Times New Roman"/>
          <w:sz w:val="24"/>
          <w:szCs w:val="24"/>
          <w:lang w:eastAsia="en-GB"/>
        </w:rPr>
        <w:t>, cannot be precisely estimated and are therefore not</w:t>
      </w:r>
      <w:r w:rsidR="008302F7" w:rsidRPr="00E77A89">
        <w:rPr>
          <w:rStyle w:val="A6"/>
          <w:rFonts w:ascii="Times New Roman" w:hAnsi="Times New Roman" w:cs="Times New Roman"/>
          <w:sz w:val="24"/>
          <w:szCs w:val="24"/>
          <w:lang w:eastAsia="en-GB"/>
        </w:rPr>
        <w:t xml:space="preserve"> covered in this paper as they are still largely unknown at this stage</w:t>
      </w:r>
      <w:r w:rsidRPr="00E77A89">
        <w:rPr>
          <w:rStyle w:val="A6"/>
          <w:rFonts w:ascii="Times New Roman" w:hAnsi="Times New Roman" w:cs="Times New Roman"/>
          <w:sz w:val="24"/>
          <w:szCs w:val="24"/>
          <w:lang w:eastAsia="en-GB"/>
        </w:rPr>
        <w:t xml:space="preserve"> of the ongoing negotiations between the EU and the UK</w:t>
      </w:r>
      <w:r w:rsidR="008302F7" w:rsidRPr="00E77A89">
        <w:rPr>
          <w:rStyle w:val="A6"/>
          <w:rFonts w:ascii="Times New Roman" w:hAnsi="Times New Roman" w:cs="Times New Roman"/>
          <w:sz w:val="24"/>
          <w:szCs w:val="24"/>
          <w:lang w:eastAsia="en-GB"/>
        </w:rPr>
        <w:t xml:space="preserve">. </w:t>
      </w:r>
    </w:p>
    <w:p w14:paraId="14BE7A1D" w14:textId="77777777" w:rsidR="006C615E" w:rsidRPr="00E77A89" w:rsidRDefault="006C615E" w:rsidP="001F48EC">
      <w:pPr>
        <w:pStyle w:val="Subtitle"/>
        <w:numPr>
          <w:ilvl w:val="0"/>
          <w:numId w:val="0"/>
        </w:numPr>
        <w:rPr>
          <w:rFonts w:ascii="Times New Roman" w:hAnsi="Times New Roman" w:cs="Times New Roman"/>
        </w:rPr>
      </w:pPr>
      <w:r w:rsidRPr="00E77A89">
        <w:rPr>
          <w:rFonts w:ascii="Times New Roman" w:hAnsi="Times New Roman" w:cs="Times New Roman"/>
        </w:rPr>
        <w:t>Problem</w:t>
      </w:r>
    </w:p>
    <w:p w14:paraId="14BE7A1E" w14:textId="33E45257" w:rsidR="00AC5C19" w:rsidRPr="00E77A89" w:rsidRDefault="00AC5C19" w:rsidP="00AC5C19">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Against this background, </w:t>
      </w:r>
      <w:r w:rsidR="009E3F28" w:rsidRPr="00E77A89">
        <w:rPr>
          <w:rFonts w:ascii="Times New Roman" w:hAnsi="Times New Roman" w:cs="Times New Roman"/>
          <w:sz w:val="24"/>
          <w:szCs w:val="24"/>
        </w:rPr>
        <w:t xml:space="preserve">the EU and the national </w:t>
      </w:r>
      <w:r w:rsidRPr="00E77A89">
        <w:rPr>
          <w:rFonts w:ascii="Times New Roman" w:hAnsi="Times New Roman" w:cs="Times New Roman"/>
          <w:sz w:val="24"/>
          <w:szCs w:val="24"/>
        </w:rPr>
        <w:t>tax administrations suffer from a</w:t>
      </w:r>
      <w:r w:rsidR="00804F5E" w:rsidRPr="00E77A89">
        <w:rPr>
          <w:rFonts w:ascii="Times New Roman" w:hAnsi="Times New Roman" w:cs="Times New Roman"/>
          <w:sz w:val="24"/>
          <w:szCs w:val="24"/>
        </w:rPr>
        <w:t xml:space="preserve"> </w:t>
      </w:r>
      <w:r w:rsidRPr="00E77A89">
        <w:rPr>
          <w:rFonts w:ascii="Times New Roman" w:hAnsi="Times New Roman" w:cs="Times New Roman"/>
          <w:b/>
          <w:sz w:val="24"/>
          <w:szCs w:val="24"/>
        </w:rPr>
        <w:t>problem</w:t>
      </w:r>
      <w:r w:rsidRPr="00E77A89">
        <w:rPr>
          <w:rFonts w:ascii="Times New Roman" w:hAnsi="Times New Roman" w:cs="Times New Roman"/>
          <w:sz w:val="24"/>
          <w:szCs w:val="24"/>
        </w:rPr>
        <w:t xml:space="preserve"> of insufficient capacity and insufficient cooperation – both within the EU and with third countries – to carry out effectively and efficiently their missions. The drivers at the root of this problem are two-fold:</w:t>
      </w:r>
    </w:p>
    <w:p w14:paraId="14BE7A1F" w14:textId="297DE180" w:rsidR="00AC5C19" w:rsidRPr="00E77A89" w:rsidRDefault="00AC5C19" w:rsidP="00AC5C19">
      <w:pPr>
        <w:pStyle w:val="ListParagraph"/>
        <w:numPr>
          <w:ilvl w:val="0"/>
          <w:numId w:val="15"/>
        </w:numPr>
        <w:spacing w:after="0" w:line="240" w:lineRule="auto"/>
        <w:ind w:left="357" w:hanging="357"/>
        <w:contextualSpacing w:val="0"/>
        <w:jc w:val="both"/>
        <w:rPr>
          <w:rFonts w:ascii="Times New Roman" w:hAnsi="Times New Roman" w:cs="Times New Roman"/>
          <w:sz w:val="24"/>
          <w:szCs w:val="24"/>
        </w:rPr>
      </w:pPr>
      <w:r w:rsidRPr="00E77A89">
        <w:rPr>
          <w:rFonts w:ascii="Times New Roman" w:hAnsi="Times New Roman" w:cs="Times New Roman"/>
          <w:sz w:val="24"/>
          <w:szCs w:val="24"/>
          <w:u w:val="single"/>
        </w:rPr>
        <w:t>unequal capacity of tax administrations</w:t>
      </w:r>
      <w:r w:rsidRPr="00E77A89">
        <w:rPr>
          <w:rFonts w:ascii="Times New Roman" w:hAnsi="Times New Roman" w:cs="Times New Roman"/>
          <w:sz w:val="24"/>
          <w:szCs w:val="24"/>
        </w:rPr>
        <w:t xml:space="preserve">: </w:t>
      </w:r>
      <w:r w:rsidRPr="00E77A89">
        <w:rPr>
          <w:rFonts w:ascii="Times New Roman" w:hAnsi="Times New Roman" w:cs="Times New Roman"/>
          <w:i/>
          <w:sz w:val="24"/>
          <w:szCs w:val="24"/>
        </w:rPr>
        <w:t>unequal skills</w:t>
      </w:r>
      <w:r w:rsidRPr="00E77A89">
        <w:rPr>
          <w:rFonts w:ascii="Times New Roman" w:hAnsi="Times New Roman" w:cs="Times New Roman"/>
          <w:sz w:val="24"/>
          <w:szCs w:val="24"/>
        </w:rPr>
        <w:t xml:space="preserve">, which entails that some may be more advanced / agile than others to respond to the identified trends; </w:t>
      </w:r>
      <w:r w:rsidRPr="00E77A89">
        <w:rPr>
          <w:rFonts w:ascii="Times New Roman" w:hAnsi="Times New Roman" w:cs="Times New Roman"/>
          <w:i/>
          <w:sz w:val="24"/>
          <w:szCs w:val="24"/>
        </w:rPr>
        <w:t>unequal functioning</w:t>
      </w:r>
      <w:r w:rsidRPr="00E77A89">
        <w:rPr>
          <w:rFonts w:ascii="Times New Roman" w:hAnsi="Times New Roman" w:cs="Times New Roman"/>
          <w:sz w:val="24"/>
          <w:szCs w:val="24"/>
        </w:rPr>
        <w:t xml:space="preserve">, which entails inconsistencies in the quality of processes and operations, with some being more performing than others; </w:t>
      </w:r>
      <w:r w:rsidRPr="00E77A89">
        <w:rPr>
          <w:rFonts w:ascii="Times New Roman" w:hAnsi="Times New Roman" w:cs="Times New Roman"/>
          <w:i/>
          <w:sz w:val="24"/>
          <w:szCs w:val="24"/>
        </w:rPr>
        <w:t xml:space="preserve">unequal </w:t>
      </w:r>
      <w:r w:rsidR="004B67F5" w:rsidRPr="00E77A89">
        <w:rPr>
          <w:rFonts w:ascii="Times New Roman" w:hAnsi="Times New Roman" w:cs="Times New Roman"/>
          <w:i/>
          <w:sz w:val="24"/>
          <w:szCs w:val="24"/>
          <w:lang w:eastAsia="en-GB"/>
        </w:rPr>
        <w:t>electronic</w:t>
      </w:r>
      <w:r w:rsidR="004B67F5" w:rsidRPr="00E77A89">
        <w:rPr>
          <w:rFonts w:ascii="Times New Roman" w:hAnsi="Times New Roman" w:cs="Times New Roman"/>
          <w:sz w:val="24"/>
          <w:szCs w:val="24"/>
          <w:lang w:eastAsia="en-GB"/>
        </w:rPr>
        <w:t xml:space="preserve"> </w:t>
      </w:r>
      <w:r w:rsidRPr="00E77A89">
        <w:rPr>
          <w:rFonts w:ascii="Times New Roman" w:hAnsi="Times New Roman" w:cs="Times New Roman"/>
          <w:i/>
          <w:sz w:val="24"/>
          <w:szCs w:val="24"/>
        </w:rPr>
        <w:t>systems</w:t>
      </w:r>
      <w:r w:rsidRPr="00E77A89">
        <w:rPr>
          <w:rFonts w:ascii="Times New Roman" w:hAnsi="Times New Roman" w:cs="Times New Roman"/>
          <w:sz w:val="24"/>
          <w:szCs w:val="24"/>
        </w:rPr>
        <w:t xml:space="preserve">, which entails that some may be better equipped with </w:t>
      </w:r>
      <w:r w:rsidR="004B67F5" w:rsidRPr="00E77A89">
        <w:rPr>
          <w:rFonts w:ascii="Times New Roman" w:hAnsi="Times New Roman" w:cs="Times New Roman"/>
          <w:sz w:val="24"/>
          <w:szCs w:val="24"/>
          <w:lang w:eastAsia="en-GB"/>
        </w:rPr>
        <w:t xml:space="preserve">electronic </w:t>
      </w:r>
      <w:r w:rsidRPr="00E77A89">
        <w:rPr>
          <w:rFonts w:ascii="Times New Roman" w:hAnsi="Times New Roman" w:cs="Times New Roman"/>
          <w:sz w:val="24"/>
          <w:szCs w:val="24"/>
        </w:rPr>
        <w:t>systems than others;</w:t>
      </w:r>
    </w:p>
    <w:p w14:paraId="14BE7A20" w14:textId="03217956" w:rsidR="00AC5C19" w:rsidRPr="00E77A89" w:rsidRDefault="00AC5C19" w:rsidP="00AC5C19">
      <w:pPr>
        <w:pStyle w:val="ListParagraph"/>
        <w:numPr>
          <w:ilvl w:val="0"/>
          <w:numId w:val="15"/>
        </w:numPr>
        <w:spacing w:line="240" w:lineRule="auto"/>
        <w:ind w:left="357" w:hanging="357"/>
        <w:contextualSpacing w:val="0"/>
        <w:jc w:val="both"/>
        <w:rPr>
          <w:rFonts w:ascii="Times New Roman" w:hAnsi="Times New Roman" w:cs="Times New Roman"/>
          <w:sz w:val="24"/>
          <w:szCs w:val="24"/>
        </w:rPr>
      </w:pPr>
      <w:r w:rsidRPr="00E77A89">
        <w:rPr>
          <w:rFonts w:ascii="Times New Roman" w:hAnsi="Times New Roman" w:cs="Times New Roman"/>
          <w:sz w:val="24"/>
          <w:szCs w:val="24"/>
          <w:u w:val="single"/>
        </w:rPr>
        <w:t>obstacles for cooperation between tax administrations and other stakeholders</w:t>
      </w:r>
      <w:r w:rsidRPr="00E77A89">
        <w:rPr>
          <w:rFonts w:ascii="Times New Roman" w:hAnsi="Times New Roman" w:cs="Times New Roman"/>
          <w:sz w:val="24"/>
          <w:szCs w:val="24"/>
        </w:rPr>
        <w:t xml:space="preserve">: </w:t>
      </w:r>
      <w:r w:rsidRPr="00E77A89">
        <w:rPr>
          <w:rFonts w:ascii="Times New Roman" w:hAnsi="Times New Roman" w:cs="Times New Roman"/>
          <w:i/>
          <w:sz w:val="24"/>
          <w:szCs w:val="24"/>
        </w:rPr>
        <w:t>strategic obstacles</w:t>
      </w:r>
      <w:r w:rsidRPr="00E77A89">
        <w:rPr>
          <w:rFonts w:ascii="Times New Roman" w:hAnsi="Times New Roman" w:cs="Times New Roman"/>
          <w:sz w:val="24"/>
          <w:szCs w:val="24"/>
        </w:rPr>
        <w:t xml:space="preserve"> (</w:t>
      </w:r>
      <w:r w:rsidRPr="00E77A89">
        <w:rPr>
          <w:rFonts w:ascii="Times New Roman" w:hAnsi="Times New Roman" w:cs="Times New Roman"/>
          <w:sz w:val="24"/>
          <w:szCs w:val="24"/>
          <w:lang w:eastAsia="en-GB"/>
        </w:rPr>
        <w:t>divergence</w:t>
      </w:r>
      <w:r w:rsidRPr="00E77A89">
        <w:rPr>
          <w:rFonts w:ascii="Times New Roman" w:hAnsi="Times New Roman" w:cs="Times New Roman"/>
          <w:sz w:val="24"/>
          <w:szCs w:val="24"/>
        </w:rPr>
        <w:t xml:space="preserve"> in terms of priorities and strategic objectives, fiscal competition, etc.), </w:t>
      </w:r>
      <w:r w:rsidRPr="00E77A89">
        <w:rPr>
          <w:rFonts w:ascii="Times New Roman" w:hAnsi="Times New Roman" w:cs="Times New Roman"/>
          <w:i/>
          <w:sz w:val="24"/>
          <w:szCs w:val="24"/>
        </w:rPr>
        <w:t>geographical obstacles</w:t>
      </w:r>
      <w:r w:rsidRPr="00E77A89">
        <w:rPr>
          <w:rFonts w:ascii="Times New Roman" w:hAnsi="Times New Roman" w:cs="Times New Roman"/>
          <w:sz w:val="24"/>
          <w:szCs w:val="24"/>
        </w:rPr>
        <w:t xml:space="preserve"> (relations among Member States and with third countries), </w:t>
      </w:r>
      <w:r w:rsidRPr="00E77A89">
        <w:rPr>
          <w:rFonts w:ascii="Times New Roman" w:hAnsi="Times New Roman" w:cs="Times New Roman"/>
          <w:i/>
          <w:sz w:val="24"/>
          <w:szCs w:val="24"/>
        </w:rPr>
        <w:t>legal obstacles</w:t>
      </w:r>
      <w:r w:rsidRPr="00E77A89">
        <w:rPr>
          <w:rFonts w:ascii="Times New Roman" w:hAnsi="Times New Roman" w:cs="Times New Roman"/>
          <w:sz w:val="24"/>
          <w:szCs w:val="24"/>
        </w:rPr>
        <w:t xml:space="preserve"> (non-harmonised tax systems, mismatches of rules, uneven interpretation of tax concepts, etc.) and </w:t>
      </w:r>
      <w:r w:rsidRPr="00E77A89">
        <w:rPr>
          <w:rFonts w:ascii="Times New Roman" w:hAnsi="Times New Roman" w:cs="Times New Roman"/>
          <w:i/>
          <w:sz w:val="24"/>
          <w:szCs w:val="24"/>
        </w:rPr>
        <w:t>administrative</w:t>
      </w:r>
      <w:r w:rsidRPr="00E77A89">
        <w:rPr>
          <w:rFonts w:ascii="Times New Roman" w:hAnsi="Times New Roman" w:cs="Times New Roman"/>
          <w:sz w:val="24"/>
          <w:szCs w:val="24"/>
        </w:rPr>
        <w:t xml:space="preserve"> </w:t>
      </w:r>
      <w:r w:rsidRPr="00E77A89">
        <w:rPr>
          <w:rFonts w:ascii="Times New Roman" w:hAnsi="Times New Roman" w:cs="Times New Roman"/>
          <w:i/>
          <w:sz w:val="24"/>
          <w:szCs w:val="24"/>
        </w:rPr>
        <w:t>obstacles</w:t>
      </w:r>
      <w:r w:rsidRPr="00E77A89">
        <w:rPr>
          <w:rFonts w:ascii="Times New Roman" w:hAnsi="Times New Roman" w:cs="Times New Roman"/>
          <w:sz w:val="24"/>
          <w:szCs w:val="24"/>
        </w:rPr>
        <w:t xml:space="preserve"> (different processes, interoperability, etc.).</w:t>
      </w:r>
    </w:p>
    <w:p w14:paraId="14BE7A21" w14:textId="77777777" w:rsidR="006C615E" w:rsidRPr="00E77A89" w:rsidRDefault="006C615E" w:rsidP="00812D88">
      <w:pPr>
        <w:pStyle w:val="Subtitle"/>
        <w:keepNext/>
        <w:keepLines/>
        <w:numPr>
          <w:ilvl w:val="0"/>
          <w:numId w:val="0"/>
        </w:numPr>
        <w:rPr>
          <w:rFonts w:ascii="Times New Roman" w:hAnsi="Times New Roman" w:cs="Times New Roman"/>
        </w:rPr>
      </w:pPr>
      <w:r w:rsidRPr="00E77A89">
        <w:rPr>
          <w:rFonts w:ascii="Times New Roman" w:hAnsi="Times New Roman" w:cs="Times New Roman"/>
        </w:rPr>
        <w:t>Consequences</w:t>
      </w:r>
    </w:p>
    <w:p w14:paraId="14BE7A22" w14:textId="795EF2C9" w:rsidR="00AC5C19" w:rsidRPr="00E77A89" w:rsidRDefault="00AC5C19" w:rsidP="00AC5C19">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The </w:t>
      </w:r>
      <w:r w:rsidRPr="00E77A89">
        <w:rPr>
          <w:rFonts w:ascii="Times New Roman" w:hAnsi="Times New Roman" w:cs="Times New Roman"/>
          <w:b/>
          <w:sz w:val="24"/>
          <w:szCs w:val="24"/>
        </w:rPr>
        <w:t>effect</w:t>
      </w:r>
      <w:r w:rsidRPr="00E77A89">
        <w:rPr>
          <w:rFonts w:ascii="Times New Roman" w:hAnsi="Times New Roman" w:cs="Times New Roman"/>
          <w:sz w:val="24"/>
          <w:szCs w:val="24"/>
        </w:rPr>
        <w:t xml:space="preserve"> of this performance problem is an inadequate functioning of tax systems in the EU, which in turn jeopardises the functioning of the </w:t>
      </w:r>
      <w:r w:rsidR="00F8628D" w:rsidRPr="00E77A89">
        <w:rPr>
          <w:rFonts w:ascii="Times New Roman" w:hAnsi="Times New Roman" w:cs="Times New Roman"/>
          <w:sz w:val="24"/>
          <w:szCs w:val="24"/>
        </w:rPr>
        <w:t>single market</w:t>
      </w:r>
      <w:r w:rsidRPr="00E77A89">
        <w:rPr>
          <w:rFonts w:ascii="Times New Roman" w:hAnsi="Times New Roman" w:cs="Times New Roman"/>
          <w:sz w:val="24"/>
          <w:szCs w:val="24"/>
        </w:rPr>
        <w:t xml:space="preserve"> and the 4 freedoms, </w:t>
      </w:r>
      <w:r w:rsidR="00255723" w:rsidRPr="00E77A89">
        <w:rPr>
          <w:rFonts w:ascii="Times New Roman" w:hAnsi="Times New Roman" w:cs="Times New Roman"/>
          <w:sz w:val="24"/>
          <w:szCs w:val="24"/>
        </w:rPr>
        <w:t xml:space="preserve">undermines </w:t>
      </w:r>
      <w:r w:rsidRPr="00E77A89">
        <w:rPr>
          <w:rFonts w:ascii="Times New Roman" w:hAnsi="Times New Roman" w:cs="Times New Roman"/>
          <w:sz w:val="24"/>
          <w:szCs w:val="24"/>
        </w:rPr>
        <w:t xml:space="preserve">social fairness and </w:t>
      </w:r>
      <w:r w:rsidR="00255723" w:rsidRPr="00E77A89">
        <w:rPr>
          <w:rFonts w:ascii="Times New Roman" w:hAnsi="Times New Roman" w:cs="Times New Roman"/>
          <w:sz w:val="24"/>
          <w:szCs w:val="24"/>
        </w:rPr>
        <w:t xml:space="preserve">affects </w:t>
      </w:r>
      <w:r w:rsidRPr="00E77A89">
        <w:rPr>
          <w:rFonts w:ascii="Times New Roman" w:hAnsi="Times New Roman" w:cs="Times New Roman"/>
          <w:sz w:val="24"/>
          <w:szCs w:val="24"/>
        </w:rPr>
        <w:t xml:space="preserve">EU competitiveness because of its indirect effects: </w:t>
      </w:r>
    </w:p>
    <w:p w14:paraId="14BE7A23" w14:textId="677BF0F5" w:rsidR="00AC5C19" w:rsidRPr="00E77A89" w:rsidRDefault="00AC5C19" w:rsidP="00AC5C19">
      <w:pPr>
        <w:pStyle w:val="ListParagraph"/>
        <w:numPr>
          <w:ilvl w:val="0"/>
          <w:numId w:val="15"/>
        </w:numPr>
        <w:spacing w:after="0" w:line="240" w:lineRule="auto"/>
        <w:ind w:left="357" w:hanging="357"/>
        <w:contextualSpacing w:val="0"/>
        <w:jc w:val="both"/>
        <w:rPr>
          <w:rFonts w:ascii="Times New Roman" w:hAnsi="Times New Roman" w:cs="Times New Roman"/>
          <w:sz w:val="24"/>
          <w:szCs w:val="24"/>
        </w:rPr>
      </w:pPr>
      <w:r w:rsidRPr="00E77A89">
        <w:rPr>
          <w:rFonts w:ascii="Times New Roman" w:hAnsi="Times New Roman" w:cs="Times New Roman"/>
          <w:sz w:val="24"/>
          <w:szCs w:val="24"/>
          <w:u w:val="single"/>
        </w:rPr>
        <w:t>negative effect on tax bases</w:t>
      </w:r>
      <w:r w:rsidRPr="00E77A89">
        <w:rPr>
          <w:rFonts w:ascii="Times New Roman" w:hAnsi="Times New Roman" w:cs="Times New Roman"/>
          <w:sz w:val="24"/>
          <w:szCs w:val="24"/>
        </w:rPr>
        <w:t xml:space="preserve"> (</w:t>
      </w:r>
      <w:r w:rsidR="00881E02" w:rsidRPr="00E77A89">
        <w:rPr>
          <w:rFonts w:ascii="Times New Roman" w:hAnsi="Times New Roman" w:cs="Times New Roman"/>
          <w:sz w:val="24"/>
          <w:szCs w:val="24"/>
        </w:rPr>
        <w:t xml:space="preserve">tax </w:t>
      </w:r>
      <w:r w:rsidRPr="00E77A89">
        <w:rPr>
          <w:rFonts w:ascii="Times New Roman" w:hAnsi="Times New Roman" w:cs="Times New Roman"/>
          <w:sz w:val="24"/>
          <w:szCs w:val="24"/>
        </w:rPr>
        <w:t xml:space="preserve">fraud, </w:t>
      </w:r>
      <w:r w:rsidRPr="00E77A89">
        <w:rPr>
          <w:rFonts w:ascii="Times New Roman" w:hAnsi="Times New Roman" w:cs="Times New Roman"/>
          <w:sz w:val="24"/>
          <w:szCs w:val="24"/>
          <w:lang w:eastAsia="en-GB"/>
        </w:rPr>
        <w:t>erosion</w:t>
      </w:r>
      <w:r w:rsidRPr="00E77A89">
        <w:rPr>
          <w:rFonts w:ascii="Times New Roman" w:hAnsi="Times New Roman" w:cs="Times New Roman"/>
          <w:sz w:val="24"/>
          <w:szCs w:val="24"/>
        </w:rPr>
        <w:t>, avoidance, etc.) and subsequently EU and national budgets;</w:t>
      </w:r>
    </w:p>
    <w:p w14:paraId="14BE7A24" w14:textId="77777777" w:rsidR="00AC5C19" w:rsidRPr="00E77A89" w:rsidRDefault="00AC5C19" w:rsidP="00AC5C19">
      <w:pPr>
        <w:pStyle w:val="ListParagraph"/>
        <w:numPr>
          <w:ilvl w:val="0"/>
          <w:numId w:val="15"/>
        </w:numPr>
        <w:spacing w:after="0" w:line="240" w:lineRule="auto"/>
        <w:ind w:left="357" w:hanging="357"/>
        <w:contextualSpacing w:val="0"/>
        <w:jc w:val="both"/>
        <w:rPr>
          <w:rFonts w:ascii="Times New Roman" w:hAnsi="Times New Roman" w:cs="Times New Roman"/>
          <w:sz w:val="24"/>
          <w:szCs w:val="24"/>
        </w:rPr>
      </w:pPr>
      <w:r w:rsidRPr="00E77A89">
        <w:rPr>
          <w:rFonts w:ascii="Times New Roman" w:hAnsi="Times New Roman" w:cs="Times New Roman"/>
          <w:sz w:val="24"/>
          <w:szCs w:val="24"/>
          <w:u w:val="single"/>
        </w:rPr>
        <w:t>administrative burden</w:t>
      </w:r>
      <w:r w:rsidRPr="00E77A89">
        <w:rPr>
          <w:rFonts w:ascii="Times New Roman" w:hAnsi="Times New Roman" w:cs="Times New Roman"/>
          <w:sz w:val="24"/>
          <w:szCs w:val="24"/>
        </w:rPr>
        <w:t xml:space="preserve"> falling on citizens and businesses (including SMEs);</w:t>
      </w:r>
    </w:p>
    <w:p w14:paraId="6F29EC4A" w14:textId="4A95149C" w:rsidR="004E4BD1" w:rsidRPr="00E77A89" w:rsidRDefault="00AC5C19" w:rsidP="004E4BD1">
      <w:pPr>
        <w:pStyle w:val="ListParagraph"/>
        <w:numPr>
          <w:ilvl w:val="0"/>
          <w:numId w:val="15"/>
        </w:numPr>
        <w:spacing w:line="240" w:lineRule="auto"/>
        <w:ind w:left="357" w:hanging="357"/>
        <w:contextualSpacing w:val="0"/>
        <w:jc w:val="both"/>
        <w:rPr>
          <w:rFonts w:ascii="Times New Roman" w:hAnsi="Times New Roman" w:cs="Times New Roman"/>
          <w:sz w:val="24"/>
          <w:szCs w:val="24"/>
        </w:rPr>
      </w:pPr>
      <w:r w:rsidRPr="00E77A89">
        <w:rPr>
          <w:rFonts w:ascii="Times New Roman" w:hAnsi="Times New Roman" w:cs="Times New Roman"/>
          <w:sz w:val="24"/>
          <w:szCs w:val="24"/>
          <w:u w:val="single"/>
        </w:rPr>
        <w:t>negative impact on competitive positioning of EU</w:t>
      </w:r>
      <w:r w:rsidRPr="00E77A89">
        <w:rPr>
          <w:rFonts w:ascii="Times New Roman" w:hAnsi="Times New Roman" w:cs="Times New Roman"/>
          <w:sz w:val="24"/>
          <w:szCs w:val="24"/>
        </w:rPr>
        <w:t xml:space="preserve">: less EU </w:t>
      </w:r>
      <w:r w:rsidRPr="00E77A89">
        <w:rPr>
          <w:rFonts w:ascii="Times New Roman" w:hAnsi="Times New Roman" w:cs="Times New Roman"/>
          <w:sz w:val="24"/>
          <w:szCs w:val="24"/>
          <w:lang w:eastAsia="en-GB"/>
        </w:rPr>
        <w:t>companies</w:t>
      </w:r>
      <w:r w:rsidRPr="00E77A89">
        <w:rPr>
          <w:rFonts w:ascii="Times New Roman" w:hAnsi="Times New Roman" w:cs="Times New Roman"/>
          <w:sz w:val="24"/>
          <w:szCs w:val="24"/>
        </w:rPr>
        <w:t xml:space="preserve"> operate cross border and foreign companies are discouraged from entering and operating on the EU market</w:t>
      </w:r>
      <w:r w:rsidR="004E4BD1" w:rsidRPr="00E77A89">
        <w:rPr>
          <w:rFonts w:ascii="Times New Roman" w:hAnsi="Times New Roman" w:cs="Times New Roman"/>
          <w:sz w:val="24"/>
          <w:szCs w:val="24"/>
        </w:rPr>
        <w:t>;</w:t>
      </w:r>
      <w:r w:rsidRPr="00E77A89">
        <w:rPr>
          <w:rFonts w:ascii="Times New Roman" w:hAnsi="Times New Roman" w:cs="Times New Roman"/>
          <w:sz w:val="24"/>
          <w:szCs w:val="24"/>
        </w:rPr>
        <w:t xml:space="preserve"> </w:t>
      </w:r>
      <w:r w:rsidR="004E4BD1" w:rsidRPr="00E77A89">
        <w:rPr>
          <w:rFonts w:ascii="Times New Roman" w:hAnsi="Times New Roman" w:cs="Times New Roman"/>
          <w:sz w:val="24"/>
          <w:szCs w:val="24"/>
        </w:rPr>
        <w:t xml:space="preserve">or, third country operators may be unduly advantaged by the possibilities to avoid VAT created by insufficient cooperation between EU tax administrations. </w:t>
      </w:r>
    </w:p>
    <w:p w14:paraId="14BE7A27" w14:textId="77777777" w:rsidR="006C615E" w:rsidRDefault="006C615E" w:rsidP="001F48EC">
      <w:pPr>
        <w:spacing w:line="240" w:lineRule="auto"/>
        <w:jc w:val="both"/>
        <w:rPr>
          <w:rFonts w:cstheme="minorHAnsi"/>
        </w:rPr>
      </w:pPr>
    </w:p>
    <w:p w14:paraId="14BE7A28" w14:textId="77777777" w:rsidR="006C615E" w:rsidRDefault="006C615E" w:rsidP="001F48EC">
      <w:pPr>
        <w:spacing w:line="240" w:lineRule="auto"/>
        <w:jc w:val="both"/>
        <w:rPr>
          <w:rFonts w:cstheme="minorHAnsi"/>
        </w:rPr>
      </w:pPr>
      <w:r>
        <w:rPr>
          <w:noProof/>
          <w:lang w:eastAsia="en-GB"/>
        </w:rPr>
        <w:drawing>
          <wp:inline distT="0" distB="0" distL="0" distR="0" wp14:anchorId="14BE7B2F" wp14:editId="14BE7B30">
            <wp:extent cx="5472430" cy="29962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72430" cy="2996206"/>
                    </a:xfrm>
                    <a:prstGeom prst="rect">
                      <a:avLst/>
                    </a:prstGeom>
                    <a:noFill/>
                  </pic:spPr>
                </pic:pic>
              </a:graphicData>
            </a:graphic>
          </wp:inline>
        </w:drawing>
      </w:r>
    </w:p>
    <w:p w14:paraId="14BE7A29" w14:textId="77777777" w:rsidR="006C615E" w:rsidRPr="006C615E" w:rsidRDefault="006C615E" w:rsidP="001F48EC">
      <w:pPr>
        <w:spacing w:line="240" w:lineRule="auto"/>
        <w:jc w:val="both"/>
        <w:rPr>
          <w:rFonts w:cstheme="minorHAnsi"/>
        </w:rPr>
      </w:pPr>
      <w:r>
        <w:rPr>
          <w:rFonts w:cstheme="minorHAnsi"/>
        </w:rPr>
        <w:t>Source: Deloitte 2018 study</w:t>
      </w:r>
    </w:p>
    <w:p w14:paraId="14BE7A2A" w14:textId="10A6F046" w:rsidR="00AC5C19" w:rsidRPr="00E77A89" w:rsidRDefault="00AC5C19" w:rsidP="00AC5C19">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lang w:eastAsia="en-GB"/>
        </w:rPr>
      </w:pPr>
      <w:r w:rsidRPr="00E77A89">
        <w:rPr>
          <w:rFonts w:ascii="Times New Roman" w:hAnsi="Times New Roman" w:cs="Times New Roman"/>
          <w:b/>
          <w:sz w:val="24"/>
          <w:szCs w:val="24"/>
          <w:lang w:eastAsia="en-GB"/>
        </w:rPr>
        <w:t>In view of this changing environment, the Union has reached an important milestone in terms of potential furthering European integration and accompanying the national tax administrations on their way to becoming modern administrations and interacting more actively. Deepening the integration is the next logical step to enable tax administrations to respond efficiently to the current and upcoming challenges.</w:t>
      </w:r>
      <w:r w:rsidR="009E3F28" w:rsidRPr="00E77A89">
        <w:rPr>
          <w:rFonts w:ascii="Times New Roman" w:hAnsi="Times New Roman" w:cs="Times New Roman"/>
          <w:b/>
          <w:sz w:val="24"/>
          <w:szCs w:val="24"/>
          <w:lang w:eastAsia="en-GB"/>
        </w:rPr>
        <w:t xml:space="preserve"> </w:t>
      </w:r>
      <w:r w:rsidR="00942A5E" w:rsidRPr="00E77A89">
        <w:rPr>
          <w:rFonts w:ascii="Times New Roman" w:hAnsi="Times New Roman" w:cs="Times New Roman"/>
          <w:b/>
          <w:sz w:val="24"/>
          <w:szCs w:val="24"/>
          <w:lang w:eastAsia="en-GB"/>
        </w:rPr>
        <w:t xml:space="preserve">Member States </w:t>
      </w:r>
      <w:r w:rsidRPr="00E77A89">
        <w:rPr>
          <w:rFonts w:ascii="Times New Roman" w:hAnsi="Times New Roman" w:cs="Times New Roman"/>
          <w:b/>
          <w:sz w:val="24"/>
          <w:szCs w:val="24"/>
          <w:lang w:eastAsia="en-GB"/>
        </w:rPr>
        <w:t>suggested considering in particular more enhanced operational cooperation and tackling better innovation</w:t>
      </w:r>
      <w:r w:rsidR="00881E02" w:rsidRPr="00E77A89">
        <w:rPr>
          <w:rStyle w:val="FootnoteReference"/>
          <w:rFonts w:ascii="Times New Roman" w:hAnsi="Times New Roman" w:cs="Times New Roman"/>
          <w:b/>
          <w:sz w:val="24"/>
          <w:szCs w:val="24"/>
          <w:lang w:eastAsia="en-GB"/>
        </w:rPr>
        <w:footnoteReference w:id="6"/>
      </w:r>
      <w:r w:rsidRPr="00E77A89">
        <w:rPr>
          <w:rFonts w:ascii="Times New Roman" w:hAnsi="Times New Roman" w:cs="Times New Roman"/>
          <w:b/>
          <w:sz w:val="24"/>
          <w:szCs w:val="24"/>
          <w:lang w:eastAsia="en-GB"/>
        </w:rPr>
        <w:t xml:space="preserve">. </w:t>
      </w:r>
    </w:p>
    <w:p w14:paraId="14BE7A2B" w14:textId="77777777" w:rsidR="00BA315F" w:rsidRPr="00E77A89" w:rsidRDefault="00BA315F" w:rsidP="00BA315F">
      <w:pPr>
        <w:pStyle w:val="Subtitle"/>
        <w:rPr>
          <w:rFonts w:ascii="Times New Roman" w:hAnsi="Times New Roman" w:cs="Times New Roman"/>
        </w:rPr>
      </w:pPr>
      <w:r w:rsidRPr="00E77A89">
        <w:rPr>
          <w:rFonts w:ascii="Times New Roman" w:hAnsi="Times New Roman" w:cs="Times New Roman"/>
        </w:rPr>
        <w:t>EU reply</w:t>
      </w:r>
      <w:r w:rsidR="0057353A" w:rsidRPr="00E77A89">
        <w:rPr>
          <w:rFonts w:ascii="Times New Roman" w:hAnsi="Times New Roman" w:cs="Times New Roman"/>
        </w:rPr>
        <w:t xml:space="preserve"> for post 2020 era</w:t>
      </w:r>
    </w:p>
    <w:p w14:paraId="14BE7A2C" w14:textId="77777777" w:rsidR="008302F7" w:rsidRPr="00E77A89" w:rsidRDefault="008302F7" w:rsidP="008302F7">
      <w:pPr>
        <w:spacing w:line="240" w:lineRule="auto"/>
        <w:jc w:val="both"/>
        <w:rPr>
          <w:rStyle w:val="A6"/>
          <w:rFonts w:ascii="Times New Roman" w:hAnsi="Times New Roman" w:cs="Times New Roman"/>
          <w:sz w:val="24"/>
          <w:szCs w:val="24"/>
        </w:rPr>
      </w:pPr>
      <w:r w:rsidRPr="00E77A89">
        <w:rPr>
          <w:rStyle w:val="A6"/>
          <w:rFonts w:ascii="Times New Roman" w:hAnsi="Times New Roman" w:cs="Times New Roman"/>
          <w:sz w:val="24"/>
          <w:szCs w:val="24"/>
        </w:rPr>
        <w:t xml:space="preserve">From its beginning, the Juncker Commission identified taxation as part of its 10 priorities and pursued an ambitious agenda aimed at fairer taxation and more transparency. It streamlined the European Semester to cater for more dialogue at all levels, included taxation as a specific policy area and created </w:t>
      </w:r>
      <w:r w:rsidRPr="00E77A89">
        <w:rPr>
          <w:rStyle w:val="A6"/>
          <w:rFonts w:ascii="Times New Roman" w:hAnsi="Times New Roman" w:cs="Times New Roman"/>
          <w:sz w:val="24"/>
          <w:szCs w:val="24"/>
          <w:lang w:eastAsia="en-GB"/>
        </w:rPr>
        <w:t>an</w:t>
      </w:r>
      <w:r w:rsidRPr="00E77A89">
        <w:rPr>
          <w:rStyle w:val="A6"/>
          <w:rFonts w:ascii="Times New Roman" w:hAnsi="Times New Roman" w:cs="Times New Roman"/>
          <w:sz w:val="24"/>
          <w:szCs w:val="24"/>
        </w:rPr>
        <w:t xml:space="preserve"> advisory European Fiscal Board as part of its broader effort to enhance the EU’s economic governance framework.</w:t>
      </w:r>
    </w:p>
    <w:p w14:paraId="14BE7A2D" w14:textId="4633BA87" w:rsidR="008302F7" w:rsidRPr="00E77A89" w:rsidRDefault="008302F7" w:rsidP="008302F7">
      <w:pPr>
        <w:spacing w:line="240" w:lineRule="auto"/>
        <w:jc w:val="both"/>
        <w:rPr>
          <w:rStyle w:val="A6"/>
          <w:rFonts w:ascii="Times New Roman" w:hAnsi="Times New Roman" w:cs="Times New Roman"/>
          <w:sz w:val="24"/>
          <w:szCs w:val="24"/>
        </w:rPr>
      </w:pPr>
      <w:r w:rsidRPr="00E77A89">
        <w:rPr>
          <w:rStyle w:val="A6"/>
          <w:rFonts w:ascii="Times New Roman" w:hAnsi="Times New Roman" w:cs="Times New Roman"/>
          <w:sz w:val="24"/>
          <w:szCs w:val="24"/>
        </w:rPr>
        <w:t xml:space="preserve">More recently, the White Paper </w:t>
      </w:r>
      <w:r w:rsidR="008259B1" w:rsidRPr="00E77A89">
        <w:rPr>
          <w:rStyle w:val="A6"/>
          <w:rFonts w:ascii="Times New Roman" w:hAnsi="Times New Roman" w:cs="Times New Roman"/>
          <w:sz w:val="24"/>
          <w:szCs w:val="24"/>
        </w:rPr>
        <w:t>on the future of Europe</w:t>
      </w:r>
      <w:r w:rsidR="00ED4643" w:rsidRPr="00E77A89">
        <w:rPr>
          <w:rStyle w:val="FootnoteReference"/>
          <w:rFonts w:ascii="Times New Roman" w:hAnsi="Times New Roman" w:cs="Times New Roman"/>
          <w:color w:val="000000"/>
          <w:sz w:val="24"/>
          <w:szCs w:val="24"/>
        </w:rPr>
        <w:footnoteReference w:id="7"/>
      </w:r>
      <w:r w:rsidR="008259B1" w:rsidRPr="00E77A89">
        <w:rPr>
          <w:rStyle w:val="A6"/>
          <w:rFonts w:ascii="Times New Roman" w:hAnsi="Times New Roman" w:cs="Times New Roman"/>
          <w:sz w:val="24"/>
          <w:szCs w:val="24"/>
        </w:rPr>
        <w:t xml:space="preserve"> </w:t>
      </w:r>
      <w:r w:rsidRPr="00E77A89">
        <w:rPr>
          <w:rStyle w:val="A6"/>
          <w:rFonts w:ascii="Times New Roman" w:hAnsi="Times New Roman" w:cs="Times New Roman"/>
          <w:sz w:val="24"/>
          <w:szCs w:val="24"/>
        </w:rPr>
        <w:t xml:space="preserve">and associated reflection papers called on the EU to continue to take action for tax justice and transparency, both in the EU and globally. Fair and modern tax policies and </w:t>
      </w:r>
      <w:r w:rsidRPr="00E77A89">
        <w:rPr>
          <w:rStyle w:val="A6"/>
          <w:rFonts w:ascii="Times New Roman" w:hAnsi="Times New Roman" w:cs="Times New Roman"/>
          <w:sz w:val="24"/>
          <w:szCs w:val="24"/>
          <w:lang w:eastAsia="en-GB"/>
        </w:rPr>
        <w:t>enhanced</w:t>
      </w:r>
      <w:r w:rsidRPr="00E77A89">
        <w:rPr>
          <w:rStyle w:val="A6"/>
          <w:rFonts w:ascii="Times New Roman" w:hAnsi="Times New Roman" w:cs="Times New Roman"/>
          <w:sz w:val="24"/>
          <w:szCs w:val="24"/>
        </w:rPr>
        <w:t xml:space="preserve"> operational cooperation can </w:t>
      </w:r>
      <w:r w:rsidR="0057353A" w:rsidRPr="00E77A89">
        <w:rPr>
          <w:rStyle w:val="A6"/>
          <w:rFonts w:ascii="Times New Roman" w:hAnsi="Times New Roman" w:cs="Times New Roman"/>
          <w:sz w:val="24"/>
          <w:szCs w:val="24"/>
        </w:rPr>
        <w:t xml:space="preserve">and should </w:t>
      </w:r>
      <w:r w:rsidRPr="00E77A89">
        <w:rPr>
          <w:rStyle w:val="A6"/>
          <w:rFonts w:ascii="Times New Roman" w:hAnsi="Times New Roman" w:cs="Times New Roman"/>
          <w:sz w:val="24"/>
          <w:szCs w:val="24"/>
        </w:rPr>
        <w:t xml:space="preserve">indeed play a decisive role in distributing the benefits of globalisation and economic growth fairly amongst the citizens and narrowing income inequalities, thereby strengthening social cohesion. </w:t>
      </w:r>
    </w:p>
    <w:p w14:paraId="14BE7A2E" w14:textId="08C2C0DF" w:rsidR="008302F7" w:rsidRPr="00E77A89" w:rsidRDefault="00471F3F" w:rsidP="008302F7">
      <w:pPr>
        <w:spacing w:line="240" w:lineRule="auto"/>
        <w:jc w:val="both"/>
        <w:rPr>
          <w:rStyle w:val="A6"/>
          <w:rFonts w:ascii="Times New Roman" w:hAnsi="Times New Roman" w:cs="Times New Roman"/>
          <w:sz w:val="24"/>
          <w:szCs w:val="24"/>
        </w:rPr>
      </w:pPr>
      <w:r w:rsidRPr="00E77A89">
        <w:rPr>
          <w:rStyle w:val="A6"/>
          <w:rFonts w:ascii="Times New Roman" w:hAnsi="Times New Roman" w:cs="Times New Roman"/>
          <w:sz w:val="24"/>
          <w:szCs w:val="24"/>
        </w:rPr>
        <w:t>With this in mind</w:t>
      </w:r>
      <w:r w:rsidR="008302F7" w:rsidRPr="00E77A89">
        <w:rPr>
          <w:rStyle w:val="A6"/>
          <w:rFonts w:ascii="Times New Roman" w:hAnsi="Times New Roman" w:cs="Times New Roman"/>
          <w:sz w:val="24"/>
          <w:szCs w:val="24"/>
        </w:rPr>
        <w:t xml:space="preserve">, it will remain equally important to provide stronger instruments to tackle </w:t>
      </w:r>
      <w:r w:rsidR="0057353A" w:rsidRPr="00E77A89">
        <w:rPr>
          <w:rStyle w:val="A6"/>
          <w:rFonts w:ascii="Times New Roman" w:hAnsi="Times New Roman" w:cs="Times New Roman"/>
          <w:sz w:val="24"/>
          <w:szCs w:val="24"/>
        </w:rPr>
        <w:t>tax fraud</w:t>
      </w:r>
      <w:r w:rsidR="00881E02" w:rsidRPr="00E77A89">
        <w:rPr>
          <w:rStyle w:val="A6"/>
          <w:rFonts w:ascii="Times New Roman" w:hAnsi="Times New Roman" w:cs="Times New Roman"/>
          <w:sz w:val="24"/>
          <w:szCs w:val="24"/>
        </w:rPr>
        <w:t xml:space="preserve">, tax </w:t>
      </w:r>
      <w:r w:rsidR="00F217EE" w:rsidRPr="00E77A89">
        <w:rPr>
          <w:rStyle w:val="A6"/>
          <w:rFonts w:ascii="Times New Roman" w:hAnsi="Times New Roman" w:cs="Times New Roman"/>
          <w:sz w:val="24"/>
          <w:szCs w:val="24"/>
        </w:rPr>
        <w:t>evasion</w:t>
      </w:r>
      <w:r w:rsidR="0057353A" w:rsidRPr="00E77A89">
        <w:rPr>
          <w:rStyle w:val="A6"/>
          <w:rFonts w:ascii="Times New Roman" w:hAnsi="Times New Roman" w:cs="Times New Roman"/>
          <w:sz w:val="24"/>
          <w:szCs w:val="24"/>
        </w:rPr>
        <w:t xml:space="preserve"> and </w:t>
      </w:r>
      <w:r w:rsidR="008302F7" w:rsidRPr="00E77A89">
        <w:rPr>
          <w:rStyle w:val="A6"/>
          <w:rFonts w:ascii="Times New Roman" w:hAnsi="Times New Roman" w:cs="Times New Roman"/>
          <w:sz w:val="24"/>
          <w:szCs w:val="24"/>
        </w:rPr>
        <w:t xml:space="preserve">tax avoidance as well as to deal with third countries that refuse to play fair. International rules </w:t>
      </w:r>
      <w:r w:rsidRPr="00E77A89">
        <w:rPr>
          <w:rStyle w:val="A6"/>
          <w:rFonts w:ascii="Times New Roman" w:hAnsi="Times New Roman" w:cs="Times New Roman"/>
          <w:sz w:val="24"/>
          <w:szCs w:val="24"/>
        </w:rPr>
        <w:t>will therefore</w:t>
      </w:r>
      <w:r w:rsidR="0057353A" w:rsidRPr="00E77A89">
        <w:rPr>
          <w:rStyle w:val="A6"/>
          <w:rFonts w:ascii="Times New Roman" w:hAnsi="Times New Roman" w:cs="Times New Roman"/>
          <w:sz w:val="24"/>
          <w:szCs w:val="24"/>
        </w:rPr>
        <w:t xml:space="preserve"> </w:t>
      </w:r>
      <w:r w:rsidR="008302F7" w:rsidRPr="00E77A89">
        <w:rPr>
          <w:rStyle w:val="A6"/>
          <w:rFonts w:ascii="Times New Roman" w:hAnsi="Times New Roman" w:cs="Times New Roman"/>
          <w:sz w:val="24"/>
          <w:szCs w:val="24"/>
        </w:rPr>
        <w:t>remain a specific area of focus and cooperation beyond the EU borders needs to be fully supported and simplified</w:t>
      </w:r>
      <w:r w:rsidRPr="00E77A89">
        <w:rPr>
          <w:rStyle w:val="A6"/>
          <w:rFonts w:ascii="Times New Roman" w:hAnsi="Times New Roman" w:cs="Times New Roman"/>
          <w:sz w:val="24"/>
          <w:szCs w:val="24"/>
        </w:rPr>
        <w:t xml:space="preserve"> by the EU</w:t>
      </w:r>
      <w:r w:rsidR="008302F7" w:rsidRPr="00E77A89">
        <w:rPr>
          <w:rStyle w:val="A6"/>
          <w:rFonts w:ascii="Times New Roman" w:hAnsi="Times New Roman" w:cs="Times New Roman"/>
          <w:sz w:val="24"/>
          <w:szCs w:val="24"/>
        </w:rPr>
        <w:t xml:space="preserve">. </w:t>
      </w:r>
    </w:p>
    <w:p w14:paraId="14BE7A2F" w14:textId="74B69174" w:rsidR="00871165" w:rsidRPr="00E77A89" w:rsidDel="0057353A" w:rsidRDefault="00871165" w:rsidP="00871165">
      <w:pPr>
        <w:spacing w:line="240" w:lineRule="auto"/>
        <w:jc w:val="both"/>
        <w:rPr>
          <w:rFonts w:ascii="Times New Roman" w:hAnsi="Times New Roman" w:cs="Times New Roman"/>
          <w:sz w:val="24"/>
          <w:szCs w:val="24"/>
        </w:rPr>
      </w:pPr>
      <w:r w:rsidRPr="00E77A89" w:rsidDel="0057353A">
        <w:rPr>
          <w:rFonts w:ascii="Times New Roman" w:hAnsi="Times New Roman" w:cs="Times New Roman"/>
          <w:sz w:val="24"/>
          <w:szCs w:val="24"/>
        </w:rPr>
        <w:t xml:space="preserve">The success of EU tax policy over the last decade is due to its integrated approach of legislation and implementation made possible by Fiscalis. </w:t>
      </w:r>
      <w:r w:rsidR="00471F3F" w:rsidRPr="00E77A89">
        <w:rPr>
          <w:rFonts w:ascii="Times New Roman" w:hAnsi="Times New Roman" w:cs="Times New Roman"/>
          <w:sz w:val="24"/>
          <w:szCs w:val="24"/>
        </w:rPr>
        <w:t xml:space="preserve">.This success formula is </w:t>
      </w:r>
      <w:r w:rsidR="009E3F28" w:rsidRPr="00E77A89">
        <w:rPr>
          <w:rFonts w:ascii="Times New Roman" w:hAnsi="Times New Roman" w:cs="Times New Roman"/>
          <w:sz w:val="24"/>
          <w:szCs w:val="24"/>
        </w:rPr>
        <w:t>also</w:t>
      </w:r>
      <w:r w:rsidR="00471F3F" w:rsidRPr="00E77A89">
        <w:rPr>
          <w:rFonts w:ascii="Times New Roman" w:hAnsi="Times New Roman" w:cs="Times New Roman"/>
          <w:sz w:val="24"/>
          <w:szCs w:val="24"/>
        </w:rPr>
        <w:t xml:space="preserve"> a source of inspiration for</w:t>
      </w:r>
      <w:r w:rsidRPr="00E77A89" w:rsidDel="0057353A">
        <w:rPr>
          <w:rFonts w:ascii="Times New Roman" w:hAnsi="Times New Roman" w:cs="Times New Roman"/>
          <w:sz w:val="24"/>
          <w:szCs w:val="24"/>
        </w:rPr>
        <w:t xml:space="preserve"> other fora such as IOTA or FTA (OECD Forum on Tax Administration) </w:t>
      </w:r>
      <w:r w:rsidR="00471F3F" w:rsidRPr="00E77A89">
        <w:rPr>
          <w:rFonts w:ascii="Times New Roman" w:hAnsi="Times New Roman" w:cs="Times New Roman"/>
          <w:sz w:val="24"/>
          <w:szCs w:val="24"/>
        </w:rPr>
        <w:t xml:space="preserve">which </w:t>
      </w:r>
      <w:r w:rsidR="00263D15" w:rsidRPr="00E77A89">
        <w:rPr>
          <w:rFonts w:ascii="Times New Roman" w:hAnsi="Times New Roman" w:cs="Times New Roman"/>
          <w:sz w:val="24"/>
          <w:szCs w:val="24"/>
        </w:rPr>
        <w:t>apply</w:t>
      </w:r>
      <w:r w:rsidR="00263D15" w:rsidRPr="00E77A89" w:rsidDel="0057353A">
        <w:rPr>
          <w:rFonts w:ascii="Times New Roman" w:hAnsi="Times New Roman" w:cs="Times New Roman"/>
          <w:sz w:val="24"/>
          <w:szCs w:val="24"/>
        </w:rPr>
        <w:t xml:space="preserve"> </w:t>
      </w:r>
      <w:r w:rsidRPr="00E77A89" w:rsidDel="0057353A">
        <w:rPr>
          <w:rFonts w:ascii="Times New Roman" w:hAnsi="Times New Roman" w:cs="Times New Roman"/>
          <w:sz w:val="24"/>
          <w:szCs w:val="24"/>
        </w:rPr>
        <w:t xml:space="preserve">the EU method and get their first positive results. These international organisations have perfectly understood that the current and </w:t>
      </w:r>
      <w:r w:rsidR="00263D15" w:rsidRPr="00E77A89">
        <w:rPr>
          <w:rFonts w:ascii="Times New Roman" w:hAnsi="Times New Roman" w:cs="Times New Roman"/>
          <w:sz w:val="24"/>
          <w:szCs w:val="24"/>
        </w:rPr>
        <w:t>future</w:t>
      </w:r>
      <w:r w:rsidR="00263D15" w:rsidRPr="00E77A89" w:rsidDel="0057353A">
        <w:rPr>
          <w:rFonts w:ascii="Times New Roman" w:hAnsi="Times New Roman" w:cs="Times New Roman"/>
          <w:sz w:val="24"/>
          <w:szCs w:val="24"/>
        </w:rPr>
        <w:t xml:space="preserve"> </w:t>
      </w:r>
      <w:r w:rsidRPr="00E77A89" w:rsidDel="0057353A">
        <w:rPr>
          <w:rFonts w:ascii="Times New Roman" w:hAnsi="Times New Roman" w:cs="Times New Roman"/>
          <w:sz w:val="24"/>
          <w:szCs w:val="24"/>
        </w:rPr>
        <w:t xml:space="preserve">challenges – which are linked to potential complete digitalisation and dematerialisation of operations and the need for agility and adaptability of tax administrations – lie with the implementation of rules, at a time where the conception of legislation in the tax arena is being stabilised. The Union should </w:t>
      </w:r>
      <w:r w:rsidR="00471F3F" w:rsidRPr="00E77A89">
        <w:rPr>
          <w:rFonts w:ascii="Times New Roman" w:hAnsi="Times New Roman" w:cs="Times New Roman"/>
          <w:sz w:val="24"/>
          <w:szCs w:val="24"/>
        </w:rPr>
        <w:t xml:space="preserve">therefore </w:t>
      </w:r>
      <w:r w:rsidR="009E3F28" w:rsidRPr="00E77A89">
        <w:rPr>
          <w:rFonts w:ascii="Times New Roman" w:hAnsi="Times New Roman" w:cs="Times New Roman"/>
          <w:sz w:val="24"/>
          <w:szCs w:val="24"/>
        </w:rPr>
        <w:t xml:space="preserve">maintain and even </w:t>
      </w:r>
      <w:r w:rsidR="005B4CA6" w:rsidRPr="00E77A89">
        <w:rPr>
          <w:rFonts w:ascii="Times New Roman" w:hAnsi="Times New Roman" w:cs="Times New Roman"/>
          <w:sz w:val="24"/>
          <w:szCs w:val="24"/>
        </w:rPr>
        <w:t xml:space="preserve">expand </w:t>
      </w:r>
      <w:r w:rsidRPr="00E77A89" w:rsidDel="0057353A">
        <w:rPr>
          <w:rFonts w:ascii="Times New Roman" w:hAnsi="Times New Roman" w:cs="Times New Roman"/>
          <w:sz w:val="24"/>
          <w:szCs w:val="24"/>
        </w:rPr>
        <w:t>its successful approach</w:t>
      </w:r>
      <w:r w:rsidR="005B4CA6" w:rsidRPr="00E77A89">
        <w:rPr>
          <w:rFonts w:ascii="Times New Roman" w:hAnsi="Times New Roman" w:cs="Times New Roman"/>
          <w:sz w:val="24"/>
          <w:szCs w:val="24"/>
        </w:rPr>
        <w:t xml:space="preserve"> but this</w:t>
      </w:r>
      <w:r w:rsidRPr="00E77A89" w:rsidDel="0057353A">
        <w:rPr>
          <w:rFonts w:ascii="Times New Roman" w:hAnsi="Times New Roman" w:cs="Times New Roman"/>
          <w:sz w:val="24"/>
          <w:szCs w:val="24"/>
        </w:rPr>
        <w:t xml:space="preserve"> </w:t>
      </w:r>
      <w:r w:rsidR="005B4CA6" w:rsidRPr="00E77A89">
        <w:rPr>
          <w:rFonts w:ascii="Times New Roman" w:hAnsi="Times New Roman" w:cs="Times New Roman"/>
          <w:sz w:val="24"/>
          <w:szCs w:val="24"/>
        </w:rPr>
        <w:t xml:space="preserve"> </w:t>
      </w:r>
      <w:r w:rsidR="00471F3F" w:rsidRPr="00E77A89">
        <w:rPr>
          <w:rFonts w:ascii="Times New Roman" w:hAnsi="Times New Roman" w:cs="Times New Roman"/>
          <w:sz w:val="24"/>
          <w:szCs w:val="24"/>
        </w:rPr>
        <w:t>can only be done if the necessary budgetary means are made available to do so.</w:t>
      </w:r>
    </w:p>
    <w:p w14:paraId="14BE7A30" w14:textId="69C22963" w:rsidR="00871165" w:rsidRPr="00E77A89" w:rsidDel="0057353A" w:rsidRDefault="00871165" w:rsidP="00871165">
      <w:pPr>
        <w:spacing w:line="240" w:lineRule="auto"/>
        <w:jc w:val="both"/>
        <w:rPr>
          <w:rFonts w:ascii="Times New Roman" w:hAnsi="Times New Roman" w:cs="Times New Roman"/>
          <w:sz w:val="24"/>
          <w:szCs w:val="24"/>
        </w:rPr>
      </w:pPr>
      <w:r w:rsidRPr="00E77A89" w:rsidDel="0057353A">
        <w:rPr>
          <w:rFonts w:ascii="Times New Roman" w:hAnsi="Times New Roman" w:cs="Times New Roman"/>
          <w:sz w:val="24"/>
          <w:szCs w:val="24"/>
        </w:rPr>
        <w:t xml:space="preserve">The Union should therefore continue to promote </w:t>
      </w:r>
      <w:r w:rsidR="00471F3F" w:rsidRPr="00E77A89">
        <w:rPr>
          <w:rFonts w:ascii="Times New Roman" w:hAnsi="Times New Roman" w:cs="Times New Roman"/>
          <w:sz w:val="24"/>
          <w:szCs w:val="24"/>
        </w:rPr>
        <w:t>this integrated and</w:t>
      </w:r>
      <w:r w:rsidRPr="00E77A89" w:rsidDel="0057353A">
        <w:rPr>
          <w:rFonts w:ascii="Times New Roman" w:hAnsi="Times New Roman" w:cs="Times New Roman"/>
          <w:sz w:val="24"/>
          <w:szCs w:val="24"/>
        </w:rPr>
        <w:t xml:space="preserve"> practical approach. As such, it could demonstrate to EU citizens and businesses that the EU brings added value for ensuring fair taxation by helping tax administrations to collect the taxes due. As demonstrated by the many recent new initiatives in taxation, it is of utmost importance to continue to actively support and strengthen the functioning of the taxation systems in the </w:t>
      </w:r>
      <w:r w:rsidR="00F8628D" w:rsidRPr="00E77A89">
        <w:rPr>
          <w:rFonts w:ascii="Times New Roman" w:hAnsi="Times New Roman" w:cs="Times New Roman"/>
          <w:sz w:val="24"/>
          <w:szCs w:val="24"/>
        </w:rPr>
        <w:t>single market</w:t>
      </w:r>
      <w:r w:rsidRPr="00E77A89" w:rsidDel="0057353A">
        <w:rPr>
          <w:rFonts w:ascii="Times New Roman" w:hAnsi="Times New Roman" w:cs="Times New Roman"/>
          <w:sz w:val="24"/>
          <w:szCs w:val="24"/>
        </w:rPr>
        <w:t xml:space="preserve">, while contributing to the gradual elimination of existing barriers and distortions within the </w:t>
      </w:r>
      <w:r w:rsidR="00F8628D" w:rsidRPr="00E77A89">
        <w:rPr>
          <w:rFonts w:ascii="Times New Roman" w:hAnsi="Times New Roman" w:cs="Times New Roman"/>
          <w:sz w:val="24"/>
          <w:szCs w:val="24"/>
        </w:rPr>
        <w:t>single market</w:t>
      </w:r>
      <w:r w:rsidRPr="00E77A89" w:rsidDel="0057353A">
        <w:rPr>
          <w:rFonts w:ascii="Times New Roman" w:hAnsi="Times New Roman" w:cs="Times New Roman"/>
          <w:sz w:val="24"/>
          <w:szCs w:val="24"/>
        </w:rPr>
        <w:t>.</w:t>
      </w:r>
    </w:p>
    <w:p w14:paraId="14BE7A31" w14:textId="77777777" w:rsidR="001D063C" w:rsidRPr="00E77A89" w:rsidRDefault="001D063C" w:rsidP="001D063C">
      <w:pPr>
        <w:pStyle w:val="Heading1"/>
        <w:rPr>
          <w:szCs w:val="24"/>
        </w:rPr>
      </w:pPr>
      <w:bookmarkStart w:id="3" w:name="_Toc515012591"/>
      <w:r w:rsidRPr="00E77A89">
        <w:rPr>
          <w:szCs w:val="24"/>
        </w:rPr>
        <w:t>EU added value</w:t>
      </w:r>
      <w:bookmarkEnd w:id="3"/>
    </w:p>
    <w:p w14:paraId="14BE7A32" w14:textId="58BA9B65" w:rsidR="00DA6CBE" w:rsidRPr="00E77A89" w:rsidRDefault="00DA6CBE" w:rsidP="001C4427">
      <w:pPr>
        <w:keepNext/>
        <w:keepLines/>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Looking back at EU interventions in the tax area over time, one can now see that the following landscape</w:t>
      </w:r>
      <w:r w:rsidR="00527CCF" w:rsidRPr="00E77A89">
        <w:rPr>
          <w:rFonts w:ascii="Times New Roman" w:hAnsi="Times New Roman" w:cs="Times New Roman"/>
          <w:sz w:val="24"/>
          <w:szCs w:val="24"/>
        </w:rPr>
        <w:t xml:space="preserve"> (see Annex 1)</w:t>
      </w:r>
      <w:r w:rsidR="00825203" w:rsidRPr="00E77A89">
        <w:rPr>
          <w:rFonts w:ascii="Times New Roman" w:hAnsi="Times New Roman" w:cs="Times New Roman"/>
          <w:sz w:val="24"/>
          <w:szCs w:val="24"/>
        </w:rPr>
        <w:t xml:space="preserve"> has </w:t>
      </w:r>
      <w:r w:rsidR="00A416A0" w:rsidRPr="00E77A89">
        <w:rPr>
          <w:rFonts w:ascii="Times New Roman" w:hAnsi="Times New Roman" w:cs="Times New Roman"/>
          <w:sz w:val="24"/>
          <w:szCs w:val="24"/>
        </w:rPr>
        <w:t>taken form</w:t>
      </w:r>
      <w:r w:rsidR="00825203" w:rsidRPr="00E77A89">
        <w:rPr>
          <w:rFonts w:ascii="Times New Roman" w:hAnsi="Times New Roman" w:cs="Times New Roman"/>
          <w:sz w:val="24"/>
          <w:szCs w:val="24"/>
        </w:rPr>
        <w:t>:</w:t>
      </w:r>
    </w:p>
    <w:p w14:paraId="14BE7A33" w14:textId="77777777" w:rsidR="00DA6CBE" w:rsidRPr="00E77A89" w:rsidRDefault="00DA6CBE" w:rsidP="00825203">
      <w:pPr>
        <w:pStyle w:val="ListParagraph"/>
        <w:numPr>
          <w:ilvl w:val="0"/>
          <w:numId w:val="26"/>
        </w:num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EU interventions resulting in </w:t>
      </w:r>
      <w:r w:rsidRPr="00E77A89">
        <w:rPr>
          <w:rFonts w:ascii="Times New Roman" w:hAnsi="Times New Roman" w:cs="Times New Roman"/>
          <w:b/>
          <w:sz w:val="24"/>
          <w:szCs w:val="24"/>
        </w:rPr>
        <w:t>harmonisation of tax law</w:t>
      </w:r>
      <w:r w:rsidRPr="00E77A89">
        <w:rPr>
          <w:rFonts w:ascii="Times New Roman" w:hAnsi="Times New Roman" w:cs="Times New Roman"/>
          <w:sz w:val="24"/>
          <w:szCs w:val="24"/>
        </w:rPr>
        <w:t xml:space="preserve"> based on Article 113 TFEU. Such legislation is due to the wording of the legal provision itself limited to the indirect taxation area and covers VAT, excise duties and energy taxation. ECJ jurisprudence of 2006 clarified that this legal basis refers both to material rules and procedural rules. An example of procedural rules is the regulation which set the rules for administrative cooperation for VAT. A more recent example of an EU intervention in this area is the FTT proposal (</w:t>
      </w:r>
      <w:r w:rsidRPr="00E77A89">
        <w:rPr>
          <w:rFonts w:ascii="Times New Roman" w:hAnsi="Times New Roman" w:cs="Times New Roman"/>
          <w:b/>
          <w:i/>
          <w:sz w:val="24"/>
          <w:szCs w:val="24"/>
        </w:rPr>
        <w:t>category 1</w:t>
      </w:r>
      <w:r w:rsidRPr="00E77A89">
        <w:rPr>
          <w:rFonts w:ascii="Times New Roman" w:hAnsi="Times New Roman" w:cs="Times New Roman"/>
          <w:sz w:val="24"/>
          <w:szCs w:val="24"/>
        </w:rPr>
        <w:t>).</w:t>
      </w:r>
    </w:p>
    <w:p w14:paraId="14BE7A34" w14:textId="3A90B55A" w:rsidR="009E3F28" w:rsidRPr="00E77A89" w:rsidRDefault="00DA6CBE" w:rsidP="00DA6CBE">
      <w:pPr>
        <w:pStyle w:val="ListParagraph"/>
        <w:numPr>
          <w:ilvl w:val="0"/>
          <w:numId w:val="26"/>
        </w:num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EU interventions resulting in – not harmonisation but – </w:t>
      </w:r>
      <w:r w:rsidRPr="00E77A89">
        <w:rPr>
          <w:rFonts w:ascii="Times New Roman" w:hAnsi="Times New Roman" w:cs="Times New Roman"/>
          <w:b/>
          <w:sz w:val="24"/>
          <w:szCs w:val="24"/>
        </w:rPr>
        <w:t>approximation of tax laws and administrative actions</w:t>
      </w:r>
      <w:r w:rsidRPr="00E77A89">
        <w:rPr>
          <w:rFonts w:ascii="Times New Roman" w:hAnsi="Times New Roman" w:cs="Times New Roman"/>
          <w:sz w:val="24"/>
          <w:szCs w:val="24"/>
        </w:rPr>
        <w:t xml:space="preserve"> based on Article 114 or 115 TFEU. As opposed to Article 113 TFEU, Articles 114 and 115 are non-tax specific provisions which allow adopting EU measures which are deemed necessary for establishing and ensuring the functioning of the </w:t>
      </w:r>
      <w:r w:rsidR="00F8628D" w:rsidRPr="00E77A89">
        <w:rPr>
          <w:rFonts w:ascii="Times New Roman" w:hAnsi="Times New Roman" w:cs="Times New Roman"/>
          <w:sz w:val="24"/>
          <w:szCs w:val="24"/>
        </w:rPr>
        <w:t>single market</w:t>
      </w:r>
      <w:r w:rsidRPr="00E77A89">
        <w:rPr>
          <w:rFonts w:ascii="Times New Roman" w:hAnsi="Times New Roman" w:cs="Times New Roman"/>
          <w:sz w:val="24"/>
          <w:szCs w:val="24"/>
        </w:rPr>
        <w:t>.</w:t>
      </w:r>
      <w:r w:rsidR="00F8628D" w:rsidRPr="00E77A89">
        <w:rPr>
          <w:rFonts w:ascii="Times New Roman" w:hAnsi="Times New Roman" w:cs="Times New Roman"/>
          <w:sz w:val="24"/>
          <w:szCs w:val="24"/>
        </w:rPr>
        <w:t xml:space="preserve"> </w:t>
      </w:r>
      <w:r w:rsidRPr="00E77A89">
        <w:rPr>
          <w:rFonts w:ascii="Times New Roman" w:hAnsi="Times New Roman" w:cs="Times New Roman"/>
          <w:sz w:val="24"/>
          <w:szCs w:val="24"/>
        </w:rPr>
        <w:t xml:space="preserve">The </w:t>
      </w:r>
      <w:r w:rsidRPr="00E77A89">
        <w:rPr>
          <w:rFonts w:ascii="Times New Roman" w:hAnsi="Times New Roman" w:cs="Times New Roman"/>
          <w:sz w:val="24"/>
          <w:szCs w:val="24"/>
          <w:u w:val="single"/>
        </w:rPr>
        <w:t>Fiscalis</w:t>
      </w:r>
      <w:r w:rsidRPr="00E77A89">
        <w:rPr>
          <w:rFonts w:ascii="Times New Roman" w:hAnsi="Times New Roman" w:cs="Times New Roman"/>
          <w:sz w:val="24"/>
          <w:szCs w:val="24"/>
        </w:rPr>
        <w:t xml:space="preserve"> programme was in the past exclusively based on Article 114 (and its predecessor Article 95 TEC) as a measure to support the </w:t>
      </w:r>
      <w:r w:rsidR="00F8628D" w:rsidRPr="00E77A89">
        <w:rPr>
          <w:rFonts w:ascii="Times New Roman" w:hAnsi="Times New Roman" w:cs="Times New Roman"/>
          <w:sz w:val="24"/>
          <w:szCs w:val="24"/>
        </w:rPr>
        <w:t>single market</w:t>
      </w:r>
      <w:r w:rsidRPr="00E77A89">
        <w:rPr>
          <w:rFonts w:ascii="Times New Roman" w:hAnsi="Times New Roman" w:cs="Times New Roman"/>
          <w:sz w:val="24"/>
          <w:szCs w:val="24"/>
        </w:rPr>
        <w:t>. In this sense, the creation and maintenance of the CCN</w:t>
      </w:r>
      <w:r w:rsidR="00A416A0" w:rsidRPr="00E77A89">
        <w:rPr>
          <w:rFonts w:ascii="Times New Roman" w:hAnsi="Times New Roman" w:cs="Times New Roman"/>
          <w:sz w:val="24"/>
          <w:szCs w:val="24"/>
        </w:rPr>
        <w:t>/</w:t>
      </w:r>
      <w:r w:rsidRPr="00E77A89">
        <w:rPr>
          <w:rFonts w:ascii="Times New Roman" w:hAnsi="Times New Roman" w:cs="Times New Roman"/>
          <w:sz w:val="24"/>
          <w:szCs w:val="24"/>
        </w:rPr>
        <w:t xml:space="preserve">CSI is an EU intervention which allows electronically </w:t>
      </w:r>
      <w:r w:rsidR="001D063C" w:rsidRPr="00E77A89">
        <w:rPr>
          <w:rFonts w:ascii="Times New Roman" w:hAnsi="Times New Roman" w:cs="Times New Roman"/>
          <w:sz w:val="24"/>
          <w:szCs w:val="24"/>
        </w:rPr>
        <w:t>interconnecting</w:t>
      </w:r>
      <w:r w:rsidRPr="00E77A89">
        <w:rPr>
          <w:rFonts w:ascii="Times New Roman" w:hAnsi="Times New Roman" w:cs="Times New Roman"/>
          <w:sz w:val="24"/>
          <w:szCs w:val="24"/>
        </w:rPr>
        <w:t xml:space="preserve"> all tax administrations which need to be able to exchange information amongst them for the purpose of a well-functioning </w:t>
      </w:r>
      <w:r w:rsidR="00F8628D" w:rsidRPr="00E77A89">
        <w:rPr>
          <w:rFonts w:ascii="Times New Roman" w:hAnsi="Times New Roman" w:cs="Times New Roman"/>
          <w:sz w:val="24"/>
          <w:szCs w:val="24"/>
        </w:rPr>
        <w:t>single market</w:t>
      </w:r>
      <w:r w:rsidRPr="00E77A89">
        <w:rPr>
          <w:rFonts w:ascii="Times New Roman" w:hAnsi="Times New Roman" w:cs="Times New Roman"/>
          <w:sz w:val="24"/>
          <w:szCs w:val="24"/>
        </w:rPr>
        <w:t xml:space="preserve"> (</w:t>
      </w:r>
      <w:r w:rsidRPr="00E77A89">
        <w:rPr>
          <w:rFonts w:ascii="Times New Roman" w:hAnsi="Times New Roman" w:cs="Times New Roman"/>
          <w:b/>
          <w:i/>
          <w:sz w:val="24"/>
          <w:szCs w:val="24"/>
        </w:rPr>
        <w:t>category 2</w:t>
      </w:r>
      <w:r w:rsidRPr="00E77A89">
        <w:rPr>
          <w:rFonts w:ascii="Times New Roman" w:hAnsi="Times New Roman" w:cs="Times New Roman"/>
          <w:sz w:val="24"/>
          <w:szCs w:val="24"/>
        </w:rPr>
        <w:t>).</w:t>
      </w:r>
    </w:p>
    <w:p w14:paraId="14BE7A35" w14:textId="1AF6F246" w:rsidR="00D330E9" w:rsidRPr="00E77A89" w:rsidRDefault="00DA6CBE" w:rsidP="00DA6CBE">
      <w:pPr>
        <w:pStyle w:val="ListParagraph"/>
        <w:numPr>
          <w:ilvl w:val="0"/>
          <w:numId w:val="26"/>
        </w:num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More recently – with the last generation of Fiscalis 2020 – an additional part has been added which is </w:t>
      </w:r>
      <w:r w:rsidRPr="00E77A89">
        <w:rPr>
          <w:rFonts w:ascii="Times New Roman" w:hAnsi="Times New Roman" w:cs="Times New Roman"/>
          <w:b/>
          <w:sz w:val="24"/>
          <w:szCs w:val="24"/>
        </w:rPr>
        <w:t>administrative cooperation</w:t>
      </w:r>
      <w:r w:rsidRPr="00E77A89">
        <w:rPr>
          <w:rFonts w:ascii="Times New Roman" w:hAnsi="Times New Roman" w:cs="Times New Roman"/>
          <w:sz w:val="24"/>
          <w:szCs w:val="24"/>
        </w:rPr>
        <w:t xml:space="preserve"> aiming at improving Member States' administrative capacity to implement Union law</w:t>
      </w:r>
      <w:r w:rsidR="009E3F28" w:rsidRPr="00E77A89">
        <w:rPr>
          <w:rFonts w:ascii="Times New Roman" w:hAnsi="Times New Roman" w:cs="Times New Roman"/>
          <w:sz w:val="24"/>
          <w:szCs w:val="24"/>
        </w:rPr>
        <w:t xml:space="preserve"> (</w:t>
      </w:r>
      <w:r w:rsidR="009E3F28" w:rsidRPr="00E77A89">
        <w:rPr>
          <w:rFonts w:ascii="Times New Roman" w:hAnsi="Times New Roman" w:cs="Times New Roman"/>
          <w:b/>
          <w:i/>
          <w:sz w:val="24"/>
          <w:szCs w:val="24"/>
        </w:rPr>
        <w:t>category 3</w:t>
      </w:r>
      <w:r w:rsidR="009E3F28" w:rsidRPr="00E77A89">
        <w:rPr>
          <w:rFonts w:ascii="Times New Roman" w:hAnsi="Times New Roman" w:cs="Times New Roman"/>
          <w:sz w:val="24"/>
          <w:szCs w:val="24"/>
        </w:rPr>
        <w:t>)</w:t>
      </w:r>
      <w:r w:rsidRPr="00E77A89">
        <w:rPr>
          <w:rFonts w:ascii="Times New Roman" w:hAnsi="Times New Roman" w:cs="Times New Roman"/>
          <w:sz w:val="24"/>
          <w:szCs w:val="24"/>
        </w:rPr>
        <w:t xml:space="preserve">. Administrative capacity building is the umbrella that encompasses processes and procedures, </w:t>
      </w:r>
      <w:r w:rsidR="004B67F5" w:rsidRPr="00E77A89">
        <w:rPr>
          <w:rFonts w:ascii="Times New Roman" w:hAnsi="Times New Roman" w:cs="Times New Roman"/>
          <w:sz w:val="24"/>
          <w:szCs w:val="24"/>
          <w:lang w:eastAsia="en-GB"/>
        </w:rPr>
        <w:t xml:space="preserve">electronic </w:t>
      </w:r>
      <w:r w:rsidRPr="00E77A89">
        <w:rPr>
          <w:rFonts w:ascii="Times New Roman" w:hAnsi="Times New Roman" w:cs="Times New Roman"/>
          <w:sz w:val="24"/>
          <w:szCs w:val="24"/>
        </w:rPr>
        <w:t>systems and human capacity. Indeed, Article 197 TFEU allows the EU to adopt regulations which shall establish measures to support Member States in their effort and respons</w:t>
      </w:r>
      <w:r w:rsidR="00D330E9" w:rsidRPr="00E77A89">
        <w:rPr>
          <w:rFonts w:ascii="Times New Roman" w:hAnsi="Times New Roman" w:cs="Times New Roman"/>
          <w:sz w:val="24"/>
          <w:szCs w:val="24"/>
        </w:rPr>
        <w:t>ibility to implement Union law.</w:t>
      </w:r>
    </w:p>
    <w:p w14:paraId="14BE7A36" w14:textId="5C89FF7B" w:rsidR="00DA6CBE" w:rsidRPr="00E77A89" w:rsidRDefault="00DA6CBE" w:rsidP="00D330E9">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Where Fiscalis based on Article 114</w:t>
      </w:r>
      <w:r w:rsidR="00A416A0" w:rsidRPr="00E77A89">
        <w:rPr>
          <w:rStyle w:val="FootnoteReference"/>
          <w:rFonts w:ascii="Times New Roman" w:hAnsi="Times New Roman" w:cs="Times New Roman"/>
          <w:sz w:val="24"/>
          <w:szCs w:val="24"/>
        </w:rPr>
        <w:footnoteReference w:id="8"/>
      </w:r>
      <w:r w:rsidRPr="00E77A89">
        <w:rPr>
          <w:rFonts w:ascii="Times New Roman" w:hAnsi="Times New Roman" w:cs="Times New Roman"/>
          <w:sz w:val="24"/>
          <w:szCs w:val="24"/>
        </w:rPr>
        <w:t xml:space="preserve"> provides for a (partially constraining) cooperation framework with measures necessary for the functioning of the </w:t>
      </w:r>
      <w:r w:rsidR="00F8628D" w:rsidRPr="00E77A89">
        <w:rPr>
          <w:rFonts w:ascii="Times New Roman" w:hAnsi="Times New Roman" w:cs="Times New Roman"/>
          <w:sz w:val="24"/>
          <w:szCs w:val="24"/>
        </w:rPr>
        <w:t>single market</w:t>
      </w:r>
      <w:r w:rsidRPr="00E77A89">
        <w:rPr>
          <w:rFonts w:ascii="Times New Roman" w:hAnsi="Times New Roman" w:cs="Times New Roman"/>
          <w:sz w:val="24"/>
          <w:szCs w:val="24"/>
        </w:rPr>
        <w:t xml:space="preserve"> (shared competence), Fiscalis under Article 197 TFEU provides for a voluntary cooperation framework that Member State</w:t>
      </w:r>
      <w:r w:rsidR="00D330E9" w:rsidRPr="00E77A89">
        <w:rPr>
          <w:rFonts w:ascii="Times New Roman" w:hAnsi="Times New Roman" w:cs="Times New Roman"/>
          <w:sz w:val="24"/>
          <w:szCs w:val="24"/>
        </w:rPr>
        <w:t>s</w:t>
      </w:r>
      <w:r w:rsidRPr="00E77A89">
        <w:rPr>
          <w:rFonts w:ascii="Times New Roman" w:hAnsi="Times New Roman" w:cs="Times New Roman"/>
          <w:sz w:val="24"/>
          <w:szCs w:val="24"/>
        </w:rPr>
        <w:t xml:space="preserve"> can </w:t>
      </w:r>
      <w:r w:rsidR="00D330E9" w:rsidRPr="00E77A89">
        <w:rPr>
          <w:rFonts w:ascii="Times New Roman" w:hAnsi="Times New Roman" w:cs="Times New Roman"/>
          <w:sz w:val="24"/>
          <w:szCs w:val="24"/>
        </w:rPr>
        <w:t xml:space="preserve">choose </w:t>
      </w:r>
      <w:r w:rsidRPr="00E77A89">
        <w:rPr>
          <w:rFonts w:ascii="Times New Roman" w:hAnsi="Times New Roman" w:cs="Times New Roman"/>
          <w:sz w:val="24"/>
          <w:szCs w:val="24"/>
        </w:rPr>
        <w:t xml:space="preserve">to make use (supporting competence). </w:t>
      </w:r>
    </w:p>
    <w:p w14:paraId="14BE7A37" w14:textId="0EB926E6" w:rsidR="00DA6CBE" w:rsidRPr="00E77A89" w:rsidRDefault="00DA6CBE" w:rsidP="00DA6CBE">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Fiscalis has always played an important role for supporting and facilitating the </w:t>
      </w:r>
      <w:r w:rsidRPr="00E77A89">
        <w:rPr>
          <w:rFonts w:ascii="Times New Roman" w:hAnsi="Times New Roman" w:cs="Times New Roman"/>
          <w:b/>
          <w:sz w:val="24"/>
          <w:szCs w:val="24"/>
        </w:rPr>
        <w:t>implementation of the EU interventions at the first level</w:t>
      </w:r>
      <w:r w:rsidRPr="00E77A89">
        <w:rPr>
          <w:rFonts w:ascii="Times New Roman" w:hAnsi="Times New Roman" w:cs="Times New Roman"/>
          <w:sz w:val="24"/>
          <w:szCs w:val="24"/>
        </w:rPr>
        <w:t xml:space="preserve">. Indeed, the implementation of the VAT directives and the directives for excise duties often required cooperation actions in terms of </w:t>
      </w:r>
      <w:r w:rsidR="004B67F5" w:rsidRPr="00E77A89">
        <w:rPr>
          <w:rFonts w:ascii="Times New Roman" w:hAnsi="Times New Roman" w:cs="Times New Roman"/>
          <w:sz w:val="24"/>
          <w:szCs w:val="24"/>
          <w:lang w:eastAsia="en-GB"/>
        </w:rPr>
        <w:t xml:space="preserve">electronic </w:t>
      </w:r>
      <w:r w:rsidRPr="00E77A89">
        <w:rPr>
          <w:rFonts w:ascii="Times New Roman" w:hAnsi="Times New Roman" w:cs="Times New Roman"/>
          <w:sz w:val="24"/>
          <w:szCs w:val="24"/>
        </w:rPr>
        <w:t>systems (and related support), common best practices and administrative procedures and a common interpretation of the EU measures set at the first level. What characterises these activities is that they accompany the im</w:t>
      </w:r>
      <w:r w:rsidR="00D330E9" w:rsidRPr="00E77A89">
        <w:rPr>
          <w:rFonts w:ascii="Times New Roman" w:hAnsi="Times New Roman" w:cs="Times New Roman"/>
          <w:sz w:val="24"/>
          <w:szCs w:val="24"/>
        </w:rPr>
        <w:t>plementation of category 1 and 2</w:t>
      </w:r>
      <w:r w:rsidRPr="00E77A89">
        <w:rPr>
          <w:rFonts w:ascii="Times New Roman" w:hAnsi="Times New Roman" w:cs="Times New Roman"/>
          <w:sz w:val="24"/>
          <w:szCs w:val="24"/>
        </w:rPr>
        <w:t xml:space="preserve"> EU measures which directly aim at harmonising or approximating tax law, be it material or procedural </w:t>
      </w:r>
      <w:r w:rsidR="00D330E9" w:rsidRPr="00E77A89">
        <w:rPr>
          <w:rFonts w:ascii="Times New Roman" w:hAnsi="Times New Roman" w:cs="Times New Roman"/>
          <w:sz w:val="24"/>
          <w:szCs w:val="24"/>
        </w:rPr>
        <w:t xml:space="preserve">tax </w:t>
      </w:r>
      <w:r w:rsidRPr="00E77A89">
        <w:rPr>
          <w:rFonts w:ascii="Times New Roman" w:hAnsi="Times New Roman" w:cs="Times New Roman"/>
          <w:sz w:val="24"/>
          <w:szCs w:val="24"/>
        </w:rPr>
        <w:t>rules.</w:t>
      </w:r>
    </w:p>
    <w:p w14:paraId="14BE7A38" w14:textId="4E5C78B5" w:rsidR="00FF09B1" w:rsidRPr="00E77A89" w:rsidRDefault="00FF09B1" w:rsidP="00DA6CBE">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As regards the </w:t>
      </w:r>
      <w:r w:rsidR="000759A5" w:rsidRPr="00E77A89">
        <w:rPr>
          <w:rFonts w:ascii="Times New Roman" w:hAnsi="Times New Roman" w:cs="Times New Roman"/>
          <w:sz w:val="24"/>
          <w:szCs w:val="24"/>
        </w:rPr>
        <w:t>lessons learned</w:t>
      </w:r>
      <w:r w:rsidRPr="00E77A89">
        <w:rPr>
          <w:rFonts w:ascii="Times New Roman" w:hAnsi="Times New Roman" w:cs="Times New Roman"/>
          <w:sz w:val="24"/>
          <w:szCs w:val="24"/>
        </w:rPr>
        <w:t xml:space="preserve">, the existence of the Fiscalis programme brings a </w:t>
      </w:r>
      <w:r w:rsidR="00DA6CBE" w:rsidRPr="00E77A89">
        <w:rPr>
          <w:rFonts w:ascii="Times New Roman" w:hAnsi="Times New Roman" w:cs="Times New Roman"/>
          <w:sz w:val="24"/>
          <w:szCs w:val="24"/>
        </w:rPr>
        <w:t xml:space="preserve">significant –added </w:t>
      </w:r>
      <w:r w:rsidRPr="00E77A89">
        <w:rPr>
          <w:rFonts w:ascii="Times New Roman" w:hAnsi="Times New Roman" w:cs="Times New Roman"/>
          <w:sz w:val="24"/>
          <w:szCs w:val="24"/>
        </w:rPr>
        <w:t xml:space="preserve">value by </w:t>
      </w:r>
      <w:r w:rsidR="0024538E" w:rsidRPr="00E77A89">
        <w:rPr>
          <w:rFonts w:ascii="Times New Roman" w:hAnsi="Times New Roman" w:cs="Times New Roman"/>
          <w:sz w:val="24"/>
          <w:szCs w:val="24"/>
        </w:rPr>
        <w:t xml:space="preserve">providing financial means to work out common and shared implementation mechanisms for EU tax legislation. Indeed, a significant part of the EU tax legislation requires </w:t>
      </w:r>
      <w:r w:rsidR="004B67F5" w:rsidRPr="00E77A89">
        <w:rPr>
          <w:rFonts w:ascii="Times New Roman" w:hAnsi="Times New Roman" w:cs="Times New Roman"/>
          <w:sz w:val="24"/>
          <w:szCs w:val="24"/>
          <w:lang w:eastAsia="en-GB"/>
        </w:rPr>
        <w:t xml:space="preserve">electronic </w:t>
      </w:r>
      <w:r w:rsidR="0024538E" w:rsidRPr="00E77A89">
        <w:rPr>
          <w:rFonts w:ascii="Times New Roman" w:hAnsi="Times New Roman" w:cs="Times New Roman"/>
          <w:sz w:val="24"/>
          <w:szCs w:val="24"/>
        </w:rPr>
        <w:t>systems to be put in place for allowing exchanging information in relation to tax payers (citizens or businesses) or cross-border transactions. This exchange of information amongst Member States takes place because Fiscalis allows financing</w:t>
      </w:r>
      <w:r w:rsidR="00290202" w:rsidRPr="00E77A89">
        <w:rPr>
          <w:rFonts w:ascii="Times New Roman" w:hAnsi="Times New Roman" w:cs="Times New Roman"/>
          <w:sz w:val="24"/>
          <w:szCs w:val="24"/>
        </w:rPr>
        <w:t xml:space="preserve"> </w:t>
      </w:r>
      <w:r w:rsidR="004B67F5" w:rsidRPr="00E77A89">
        <w:rPr>
          <w:rFonts w:ascii="Times New Roman" w:hAnsi="Times New Roman" w:cs="Times New Roman"/>
          <w:sz w:val="24"/>
          <w:szCs w:val="24"/>
          <w:lang w:eastAsia="en-GB"/>
        </w:rPr>
        <w:t xml:space="preserve">electronic </w:t>
      </w:r>
      <w:r w:rsidR="00290202" w:rsidRPr="00E77A89">
        <w:rPr>
          <w:rFonts w:ascii="Times New Roman" w:hAnsi="Times New Roman" w:cs="Times New Roman"/>
          <w:sz w:val="24"/>
          <w:szCs w:val="24"/>
        </w:rPr>
        <w:t xml:space="preserve">systems or at least their </w:t>
      </w:r>
      <w:r w:rsidR="00C07539" w:rsidRPr="00E77A89">
        <w:rPr>
          <w:rFonts w:ascii="Times New Roman" w:hAnsi="Times New Roman" w:cs="Times New Roman"/>
          <w:sz w:val="24"/>
          <w:szCs w:val="24"/>
        </w:rPr>
        <w:t xml:space="preserve">common </w:t>
      </w:r>
      <w:r w:rsidR="00290202" w:rsidRPr="00E77A89">
        <w:rPr>
          <w:rFonts w:ascii="Times New Roman" w:hAnsi="Times New Roman" w:cs="Times New Roman"/>
          <w:sz w:val="24"/>
          <w:szCs w:val="24"/>
        </w:rPr>
        <w:t>components</w:t>
      </w:r>
      <w:r w:rsidR="0024538E" w:rsidRPr="00E77A89">
        <w:rPr>
          <w:rFonts w:ascii="Times New Roman" w:hAnsi="Times New Roman" w:cs="Times New Roman"/>
          <w:sz w:val="24"/>
          <w:szCs w:val="24"/>
        </w:rPr>
        <w:t xml:space="preserve"> and agreeing at operational level on the business and technical requirements of these </w:t>
      </w:r>
      <w:r w:rsidR="004B67F5" w:rsidRPr="00E77A89">
        <w:rPr>
          <w:rFonts w:ascii="Times New Roman" w:hAnsi="Times New Roman" w:cs="Times New Roman"/>
          <w:sz w:val="24"/>
          <w:szCs w:val="24"/>
          <w:lang w:eastAsia="en-GB"/>
        </w:rPr>
        <w:t xml:space="preserve">electronic </w:t>
      </w:r>
      <w:r w:rsidR="0024538E" w:rsidRPr="00E77A89">
        <w:rPr>
          <w:rFonts w:ascii="Times New Roman" w:hAnsi="Times New Roman" w:cs="Times New Roman"/>
          <w:sz w:val="24"/>
          <w:szCs w:val="24"/>
        </w:rPr>
        <w:t>systems. Without Fiscalis n</w:t>
      </w:r>
      <w:r w:rsidR="00067B7B" w:rsidRPr="00E77A89">
        <w:rPr>
          <w:rFonts w:ascii="Times New Roman" w:hAnsi="Times New Roman" w:cs="Times New Roman"/>
          <w:sz w:val="24"/>
          <w:szCs w:val="24"/>
        </w:rPr>
        <w:t>o</w:t>
      </w:r>
      <w:r w:rsidR="0024538E" w:rsidRPr="00E77A89">
        <w:rPr>
          <w:rFonts w:ascii="Times New Roman" w:hAnsi="Times New Roman" w:cs="Times New Roman"/>
          <w:sz w:val="24"/>
          <w:szCs w:val="24"/>
        </w:rPr>
        <w:t xml:space="preserve"> common </w:t>
      </w:r>
      <w:r w:rsidR="004B67F5" w:rsidRPr="00E77A89">
        <w:rPr>
          <w:rFonts w:ascii="Times New Roman" w:hAnsi="Times New Roman" w:cs="Times New Roman"/>
          <w:sz w:val="24"/>
          <w:szCs w:val="24"/>
          <w:lang w:eastAsia="en-GB"/>
        </w:rPr>
        <w:t xml:space="preserve">electronic </w:t>
      </w:r>
      <w:r w:rsidR="0024538E" w:rsidRPr="00E77A89">
        <w:rPr>
          <w:rFonts w:ascii="Times New Roman" w:hAnsi="Times New Roman" w:cs="Times New Roman"/>
          <w:sz w:val="24"/>
          <w:szCs w:val="24"/>
        </w:rPr>
        <w:t>systems would be developed and many EU legislative acts would remain unimplemented or their implementation would suffer from important delays and technical obstacles</w:t>
      </w:r>
      <w:r w:rsidRPr="00E77A89">
        <w:rPr>
          <w:rFonts w:ascii="Times New Roman" w:hAnsi="Times New Roman" w:cs="Times New Roman"/>
          <w:sz w:val="24"/>
          <w:szCs w:val="24"/>
        </w:rPr>
        <w:t xml:space="preserve">. </w:t>
      </w:r>
    </w:p>
    <w:p w14:paraId="60505CD8" w14:textId="24CF4CE6" w:rsidR="00254B8F" w:rsidRPr="00E77A89" w:rsidRDefault="00254B8F" w:rsidP="00DA6CBE">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C</w:t>
      </w:r>
      <w:r w:rsidRPr="00E77A89" w:rsidDel="0057353A">
        <w:rPr>
          <w:rFonts w:ascii="Times New Roman" w:hAnsi="Times New Roman" w:cs="Times New Roman"/>
          <w:sz w:val="24"/>
          <w:szCs w:val="24"/>
        </w:rPr>
        <w:t>apacity building could be further developed with more focus on enhanced administrative cooperation whereby Member States work together by themselves – without necessarily the leadership and support of the Commission – to make changes happen in tax fields of direct interest to them.</w:t>
      </w:r>
    </w:p>
    <w:p w14:paraId="14BE7A39" w14:textId="4C8F91D1" w:rsidR="00AA7100" w:rsidRPr="00E77A89" w:rsidRDefault="00AA7100" w:rsidP="00AA7100">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The EU added value of Fiscalis has been confirmed by the preliminary results of the Mid Term evaluation of Fiscalis 2020 stating that the programme as a whole complements tax initiatives at national level. Indeed, European </w:t>
      </w:r>
      <w:r w:rsidR="004B67F5" w:rsidRPr="00E77A89">
        <w:rPr>
          <w:rFonts w:ascii="Times New Roman" w:hAnsi="Times New Roman" w:cs="Times New Roman"/>
          <w:sz w:val="24"/>
          <w:szCs w:val="24"/>
          <w:lang w:eastAsia="en-GB"/>
        </w:rPr>
        <w:t xml:space="preserve">electronic </w:t>
      </w:r>
      <w:r w:rsidRPr="00E77A89">
        <w:rPr>
          <w:rFonts w:ascii="Times New Roman" w:hAnsi="Times New Roman" w:cs="Times New Roman"/>
          <w:sz w:val="24"/>
          <w:szCs w:val="24"/>
        </w:rPr>
        <w:t xml:space="preserve">systems developed newly under Fiscalis 2020 </w:t>
      </w:r>
      <w:r w:rsidR="003A7C59" w:rsidRPr="00E77A89">
        <w:rPr>
          <w:rFonts w:ascii="Times New Roman" w:hAnsi="Times New Roman" w:cs="Times New Roman"/>
          <w:sz w:val="24"/>
          <w:szCs w:val="24"/>
        </w:rPr>
        <w:t>build upon</w:t>
      </w:r>
      <w:r w:rsidRPr="00E77A89">
        <w:rPr>
          <w:rFonts w:ascii="Times New Roman" w:hAnsi="Times New Roman" w:cs="Times New Roman"/>
          <w:sz w:val="24"/>
          <w:szCs w:val="24"/>
        </w:rPr>
        <w:t xml:space="preserve"> systems for information sharing already in place. This demonstrates that they </w:t>
      </w:r>
      <w:r w:rsidR="003A7C59" w:rsidRPr="00E77A89">
        <w:rPr>
          <w:rFonts w:ascii="Times New Roman" w:hAnsi="Times New Roman" w:cs="Times New Roman"/>
          <w:sz w:val="24"/>
          <w:szCs w:val="24"/>
        </w:rPr>
        <w:t>are absolute pre-requisite</w:t>
      </w:r>
      <w:r w:rsidRPr="00E77A89">
        <w:rPr>
          <w:rFonts w:ascii="Times New Roman" w:hAnsi="Times New Roman" w:cs="Times New Roman"/>
          <w:sz w:val="24"/>
          <w:szCs w:val="24"/>
        </w:rPr>
        <w:t xml:space="preserve"> where cooperation</w:t>
      </w:r>
      <w:r w:rsidR="003E059C" w:rsidRPr="00E77A89">
        <w:rPr>
          <w:rFonts w:ascii="Times New Roman" w:hAnsi="Times New Roman" w:cs="Times New Roman"/>
          <w:sz w:val="24"/>
          <w:szCs w:val="24"/>
        </w:rPr>
        <w:t xml:space="preserve"> and information sharing has and would otherwise not come about.</w:t>
      </w:r>
    </w:p>
    <w:p w14:paraId="14BE7A3A" w14:textId="77777777" w:rsidR="00FF09B1" w:rsidRPr="00E77A89" w:rsidRDefault="00290202" w:rsidP="00DA6CBE">
      <w:pPr>
        <w:spacing w:line="240" w:lineRule="auto"/>
        <w:jc w:val="both"/>
        <w:rPr>
          <w:rFonts w:ascii="Times New Roman" w:hAnsi="Times New Roman" w:cs="Times New Roman"/>
          <w:sz w:val="24"/>
          <w:szCs w:val="24"/>
          <w:highlight w:val="yellow"/>
        </w:rPr>
      </w:pPr>
      <w:r w:rsidRPr="00E77A89">
        <w:rPr>
          <w:rFonts w:ascii="Times New Roman" w:hAnsi="Times New Roman" w:cs="Times New Roman"/>
          <w:sz w:val="24"/>
          <w:szCs w:val="24"/>
        </w:rPr>
        <w:t>In a nutshell, t</w:t>
      </w:r>
      <w:r w:rsidR="00FF09B1" w:rsidRPr="00E77A89">
        <w:rPr>
          <w:rFonts w:ascii="Times New Roman" w:hAnsi="Times New Roman" w:cs="Times New Roman"/>
          <w:sz w:val="24"/>
          <w:szCs w:val="24"/>
        </w:rPr>
        <w:t xml:space="preserve">he programme delivers </w:t>
      </w:r>
      <w:r w:rsidRPr="00E77A89">
        <w:rPr>
          <w:rFonts w:ascii="Times New Roman" w:hAnsi="Times New Roman" w:cs="Times New Roman"/>
          <w:sz w:val="24"/>
          <w:szCs w:val="24"/>
        </w:rPr>
        <w:t>very tangible results:</w:t>
      </w:r>
    </w:p>
    <w:p w14:paraId="14BE7A3B" w14:textId="3AD9E581" w:rsidR="00FF09B1" w:rsidRPr="00E77A89" w:rsidRDefault="00FF09B1" w:rsidP="00DA6CBE">
      <w:pPr>
        <w:pStyle w:val="ListParagraph"/>
        <w:numPr>
          <w:ilvl w:val="0"/>
          <w:numId w:val="22"/>
        </w:numPr>
        <w:spacing w:line="240" w:lineRule="auto"/>
        <w:ind w:left="357" w:hanging="357"/>
        <w:contextualSpacing w:val="0"/>
        <w:jc w:val="both"/>
        <w:rPr>
          <w:rFonts w:ascii="Times New Roman" w:hAnsi="Times New Roman" w:cs="Times New Roman"/>
          <w:sz w:val="24"/>
          <w:szCs w:val="24"/>
        </w:rPr>
      </w:pPr>
      <w:r w:rsidRPr="00E77A89">
        <w:rPr>
          <w:rFonts w:ascii="Times New Roman" w:hAnsi="Times New Roman" w:cs="Times New Roman"/>
          <w:sz w:val="24"/>
          <w:szCs w:val="24"/>
          <w:u w:val="single"/>
        </w:rPr>
        <w:t>As regards activities which stem directly from Union law and aim at implementing in a harmonised way the EU acquis</w:t>
      </w:r>
      <w:r w:rsidRPr="00E77A89">
        <w:rPr>
          <w:rFonts w:ascii="Times New Roman" w:hAnsi="Times New Roman" w:cs="Times New Roman"/>
          <w:sz w:val="24"/>
          <w:szCs w:val="24"/>
        </w:rPr>
        <w:t>, with both (i) activities on the correct implementation of Union legislation (VAT directives</w:t>
      </w:r>
      <w:r w:rsidR="00C72846" w:rsidRPr="00E77A89">
        <w:rPr>
          <w:rFonts w:ascii="Times New Roman" w:hAnsi="Times New Roman" w:cs="Times New Roman"/>
          <w:sz w:val="24"/>
          <w:szCs w:val="24"/>
        </w:rPr>
        <w:t>, excise duties directives</w:t>
      </w:r>
      <w:r w:rsidRPr="00E77A89">
        <w:rPr>
          <w:rFonts w:ascii="Times New Roman" w:hAnsi="Times New Roman" w:cs="Times New Roman"/>
          <w:sz w:val="24"/>
          <w:szCs w:val="24"/>
        </w:rPr>
        <w:t xml:space="preserve">) and (ii) </w:t>
      </w:r>
      <w:r w:rsidR="004B67F5" w:rsidRPr="00E77A89">
        <w:rPr>
          <w:rFonts w:ascii="Times New Roman" w:hAnsi="Times New Roman" w:cs="Times New Roman"/>
          <w:sz w:val="24"/>
          <w:szCs w:val="24"/>
          <w:lang w:eastAsia="en-GB"/>
        </w:rPr>
        <w:t xml:space="preserve">electronic </w:t>
      </w:r>
      <w:r w:rsidRPr="00E77A89">
        <w:rPr>
          <w:rFonts w:ascii="Times New Roman" w:hAnsi="Times New Roman" w:cs="Times New Roman"/>
          <w:sz w:val="24"/>
          <w:szCs w:val="24"/>
        </w:rPr>
        <w:t xml:space="preserve">systems development further to legislation on administrative cooperation in taxation: </w:t>
      </w:r>
    </w:p>
    <w:p w14:paraId="14BE7A3C" w14:textId="544652E3" w:rsidR="00FF09B1" w:rsidRPr="00E77A89" w:rsidRDefault="00FF09B1" w:rsidP="00DA6CBE">
      <w:pPr>
        <w:pStyle w:val="ListParagraph"/>
        <w:numPr>
          <w:ilvl w:val="1"/>
          <w:numId w:val="22"/>
        </w:numPr>
        <w:spacing w:line="240" w:lineRule="auto"/>
        <w:contextualSpacing w:val="0"/>
        <w:jc w:val="both"/>
        <w:rPr>
          <w:rFonts w:ascii="Times New Roman" w:hAnsi="Times New Roman" w:cs="Times New Roman"/>
          <w:sz w:val="24"/>
          <w:szCs w:val="24"/>
        </w:rPr>
      </w:pPr>
      <w:r w:rsidRPr="00E77A89">
        <w:rPr>
          <w:rFonts w:ascii="Times New Roman" w:hAnsi="Times New Roman" w:cs="Times New Roman"/>
          <w:sz w:val="24"/>
          <w:szCs w:val="24"/>
        </w:rPr>
        <w:t xml:space="preserve">The number and variety of European </w:t>
      </w:r>
      <w:r w:rsidR="004B67F5" w:rsidRPr="00E77A89">
        <w:rPr>
          <w:rFonts w:ascii="Times New Roman" w:hAnsi="Times New Roman" w:cs="Times New Roman"/>
          <w:sz w:val="24"/>
          <w:szCs w:val="24"/>
          <w:lang w:eastAsia="en-GB"/>
        </w:rPr>
        <w:t xml:space="preserve">electronic </w:t>
      </w:r>
      <w:r w:rsidRPr="00E77A89">
        <w:rPr>
          <w:rFonts w:ascii="Times New Roman" w:hAnsi="Times New Roman" w:cs="Times New Roman"/>
          <w:sz w:val="24"/>
          <w:szCs w:val="24"/>
        </w:rPr>
        <w:t xml:space="preserve">systems, that has increased over time with e.g. the creation of a common database for tax rulings and is still increasing with the automatic exchange of financial account information </w:t>
      </w:r>
      <w:r w:rsidR="003E53AE" w:rsidRPr="00E77A89">
        <w:rPr>
          <w:rFonts w:ascii="Times New Roman" w:hAnsi="Times New Roman" w:cs="Times New Roman"/>
          <w:sz w:val="24"/>
          <w:szCs w:val="24"/>
        </w:rPr>
        <w:t>since</w:t>
      </w:r>
      <w:r w:rsidRPr="00E77A89">
        <w:rPr>
          <w:rFonts w:ascii="Times New Roman" w:hAnsi="Times New Roman" w:cs="Times New Roman"/>
          <w:sz w:val="24"/>
          <w:szCs w:val="24"/>
        </w:rPr>
        <w:t xml:space="preserve"> September 2017</w:t>
      </w:r>
      <w:r w:rsidR="000210DF" w:rsidRPr="00E77A89">
        <w:rPr>
          <w:rFonts w:ascii="Times New Roman" w:hAnsi="Times New Roman" w:cs="Times New Roman"/>
          <w:sz w:val="24"/>
          <w:szCs w:val="24"/>
        </w:rPr>
        <w:t xml:space="preserve"> or the TNA, </w:t>
      </w:r>
      <w:r w:rsidRPr="00E77A89">
        <w:rPr>
          <w:rFonts w:ascii="Times New Roman" w:hAnsi="Times New Roman" w:cs="Times New Roman"/>
          <w:sz w:val="24"/>
          <w:szCs w:val="24"/>
        </w:rPr>
        <w:t xml:space="preserve">; </w:t>
      </w:r>
    </w:p>
    <w:p w14:paraId="14BE7A3D" w14:textId="77777777" w:rsidR="00FF09B1" w:rsidRPr="00E77A89" w:rsidRDefault="00FF09B1" w:rsidP="00DA6CBE">
      <w:pPr>
        <w:pStyle w:val="ListParagraph"/>
        <w:numPr>
          <w:ilvl w:val="1"/>
          <w:numId w:val="22"/>
        </w:numPr>
        <w:spacing w:line="240" w:lineRule="auto"/>
        <w:contextualSpacing w:val="0"/>
        <w:jc w:val="both"/>
        <w:rPr>
          <w:rFonts w:ascii="Times New Roman" w:hAnsi="Times New Roman" w:cs="Times New Roman"/>
          <w:sz w:val="24"/>
          <w:szCs w:val="24"/>
        </w:rPr>
      </w:pPr>
      <w:r w:rsidRPr="00E77A89">
        <w:rPr>
          <w:rFonts w:ascii="Times New Roman" w:hAnsi="Times New Roman" w:cs="Times New Roman"/>
          <w:sz w:val="24"/>
          <w:szCs w:val="24"/>
        </w:rPr>
        <w:t xml:space="preserve">The operation and improvement of EMCS over time; </w:t>
      </w:r>
    </w:p>
    <w:p w14:paraId="14BE7A3E" w14:textId="77777777" w:rsidR="00FF09B1" w:rsidRPr="00E77A89" w:rsidRDefault="00FF09B1" w:rsidP="00DA6CBE">
      <w:pPr>
        <w:pStyle w:val="ListParagraph"/>
        <w:numPr>
          <w:ilvl w:val="1"/>
          <w:numId w:val="22"/>
        </w:numPr>
        <w:spacing w:line="240" w:lineRule="auto"/>
        <w:contextualSpacing w:val="0"/>
        <w:jc w:val="both"/>
        <w:rPr>
          <w:rFonts w:ascii="Times New Roman" w:hAnsi="Times New Roman" w:cs="Times New Roman"/>
          <w:sz w:val="24"/>
          <w:szCs w:val="24"/>
        </w:rPr>
      </w:pPr>
      <w:r w:rsidRPr="00E77A89">
        <w:rPr>
          <w:rFonts w:ascii="Times New Roman" w:hAnsi="Times New Roman" w:cs="Times New Roman"/>
          <w:sz w:val="24"/>
          <w:szCs w:val="24"/>
        </w:rPr>
        <w:t>All the support to effective administrative cooperation between Member States, thanks e.g. to the electronic forms and other computerised formats as IT tools or the country profiles</w:t>
      </w:r>
      <w:r w:rsidR="003E53AE" w:rsidRPr="00E77A89">
        <w:rPr>
          <w:rStyle w:val="FootnoteReference"/>
          <w:rFonts w:ascii="Times New Roman" w:hAnsi="Times New Roman" w:cs="Times New Roman"/>
          <w:sz w:val="24"/>
          <w:szCs w:val="24"/>
        </w:rPr>
        <w:footnoteReference w:id="9"/>
      </w:r>
      <w:r w:rsidRPr="00E77A89">
        <w:rPr>
          <w:rFonts w:ascii="Times New Roman" w:hAnsi="Times New Roman" w:cs="Times New Roman"/>
          <w:sz w:val="24"/>
          <w:szCs w:val="24"/>
        </w:rPr>
        <w:t xml:space="preserve"> developed by a project group on the practical aspects of administrative cooperation; </w:t>
      </w:r>
    </w:p>
    <w:p w14:paraId="14BE7A3F" w14:textId="77777777" w:rsidR="00FF09B1" w:rsidRPr="00E77A89" w:rsidRDefault="00FF09B1" w:rsidP="00DA6CBE">
      <w:pPr>
        <w:pStyle w:val="ListParagraph"/>
        <w:numPr>
          <w:ilvl w:val="1"/>
          <w:numId w:val="22"/>
        </w:numPr>
        <w:spacing w:line="240" w:lineRule="auto"/>
        <w:contextualSpacing w:val="0"/>
        <w:jc w:val="both"/>
        <w:rPr>
          <w:rFonts w:ascii="Times New Roman" w:hAnsi="Times New Roman" w:cs="Times New Roman"/>
          <w:sz w:val="24"/>
          <w:szCs w:val="24"/>
        </w:rPr>
      </w:pPr>
      <w:r w:rsidRPr="00E77A89">
        <w:rPr>
          <w:rFonts w:ascii="Times New Roman" w:hAnsi="Times New Roman" w:cs="Times New Roman"/>
          <w:sz w:val="24"/>
          <w:szCs w:val="24"/>
        </w:rPr>
        <w:t>The presence of one Member State in another Member State in administrative offices and the participation in administrative enquiries and – subject to an appropriate legal basis – even joint audits by tax officials</w:t>
      </w:r>
      <w:r w:rsidR="00290202" w:rsidRPr="00E77A89">
        <w:rPr>
          <w:rFonts w:ascii="Times New Roman" w:hAnsi="Times New Roman" w:cs="Times New Roman"/>
          <w:sz w:val="24"/>
          <w:szCs w:val="24"/>
        </w:rPr>
        <w:t>;</w:t>
      </w:r>
    </w:p>
    <w:p w14:paraId="14BE7A40" w14:textId="726075DE" w:rsidR="00290202" w:rsidRPr="00E77A89" w:rsidRDefault="00290202" w:rsidP="009358DF">
      <w:pPr>
        <w:pStyle w:val="ListParagraph"/>
        <w:numPr>
          <w:ilvl w:val="1"/>
          <w:numId w:val="22"/>
        </w:numPr>
        <w:spacing w:line="240" w:lineRule="auto"/>
        <w:contextualSpacing w:val="0"/>
        <w:jc w:val="both"/>
        <w:rPr>
          <w:rFonts w:ascii="Times New Roman" w:hAnsi="Times New Roman" w:cs="Times New Roman"/>
          <w:sz w:val="24"/>
          <w:szCs w:val="24"/>
        </w:rPr>
      </w:pPr>
      <w:r w:rsidRPr="00E77A89">
        <w:rPr>
          <w:rFonts w:ascii="Times New Roman" w:hAnsi="Times New Roman" w:cs="Times New Roman"/>
          <w:sz w:val="24"/>
          <w:szCs w:val="24"/>
        </w:rPr>
        <w:t>The development and operation of the MOSS and in the coming years the OSS</w:t>
      </w:r>
      <w:r w:rsidR="009358DF" w:rsidRPr="00E77A89">
        <w:rPr>
          <w:rFonts w:ascii="Times New Roman" w:hAnsi="Times New Roman" w:cs="Times New Roman"/>
          <w:sz w:val="24"/>
          <w:szCs w:val="24"/>
        </w:rPr>
        <w:t xml:space="preserve"> for VAT purposes</w:t>
      </w:r>
    </w:p>
    <w:p w14:paraId="14BE7A41" w14:textId="77777777" w:rsidR="00FF09B1" w:rsidRPr="00E77A89" w:rsidRDefault="00FF09B1" w:rsidP="00DA6CBE">
      <w:pPr>
        <w:pStyle w:val="ListParagraph"/>
        <w:numPr>
          <w:ilvl w:val="0"/>
          <w:numId w:val="22"/>
        </w:numPr>
        <w:spacing w:line="240" w:lineRule="auto"/>
        <w:ind w:left="357" w:hanging="357"/>
        <w:contextualSpacing w:val="0"/>
        <w:jc w:val="both"/>
        <w:rPr>
          <w:rFonts w:ascii="Times New Roman" w:hAnsi="Times New Roman" w:cs="Times New Roman"/>
          <w:sz w:val="24"/>
          <w:szCs w:val="24"/>
        </w:rPr>
      </w:pPr>
      <w:r w:rsidRPr="00E77A89">
        <w:rPr>
          <w:rFonts w:ascii="Times New Roman" w:hAnsi="Times New Roman" w:cs="Times New Roman"/>
          <w:sz w:val="24"/>
          <w:szCs w:val="24"/>
          <w:u w:val="single"/>
        </w:rPr>
        <w:t>As regards activities aimed at improving the administrative capacity of the participating countries</w:t>
      </w:r>
      <w:r w:rsidRPr="00E77A89">
        <w:rPr>
          <w:rFonts w:ascii="Times New Roman" w:hAnsi="Times New Roman" w:cs="Times New Roman"/>
          <w:sz w:val="24"/>
          <w:szCs w:val="24"/>
        </w:rPr>
        <w:t xml:space="preserve">, i.e. lifting up the quality of the individual administrations and their components up to a higher level, by (i) enhancing systems, tools, processes, procedures and techniques for administering taxes; (ii) improving the structure and policy of the administration so as to fulfil all its core duties; and (iii) developing the skills and knowledge of its human resources: </w:t>
      </w:r>
    </w:p>
    <w:p w14:paraId="14BE7A42" w14:textId="77777777" w:rsidR="00FF09B1" w:rsidRPr="00E77A89" w:rsidRDefault="00FF09B1" w:rsidP="00DA6CBE">
      <w:pPr>
        <w:pStyle w:val="ListParagraph"/>
        <w:numPr>
          <w:ilvl w:val="1"/>
          <w:numId w:val="22"/>
        </w:numPr>
        <w:spacing w:line="240" w:lineRule="auto"/>
        <w:contextualSpacing w:val="0"/>
        <w:jc w:val="both"/>
        <w:rPr>
          <w:rFonts w:ascii="Times New Roman" w:hAnsi="Times New Roman" w:cs="Times New Roman"/>
          <w:sz w:val="24"/>
          <w:szCs w:val="24"/>
        </w:rPr>
      </w:pPr>
      <w:r w:rsidRPr="00E77A89">
        <w:rPr>
          <w:rFonts w:ascii="Times New Roman" w:hAnsi="Times New Roman" w:cs="Times New Roman"/>
          <w:sz w:val="24"/>
          <w:szCs w:val="24"/>
        </w:rPr>
        <w:t xml:space="preserve">The </w:t>
      </w:r>
      <w:r w:rsidRPr="00E77A89">
        <w:rPr>
          <w:rFonts w:ascii="Times New Roman" w:hAnsi="Times New Roman" w:cs="Times New Roman"/>
          <w:sz w:val="24"/>
          <w:szCs w:val="24"/>
          <w:u w:val="single"/>
        </w:rPr>
        <w:t>workshops</w:t>
      </w:r>
      <w:r w:rsidRPr="00E77A89">
        <w:rPr>
          <w:rFonts w:ascii="Times New Roman" w:hAnsi="Times New Roman" w:cs="Times New Roman"/>
          <w:sz w:val="24"/>
          <w:szCs w:val="24"/>
        </w:rPr>
        <w:t xml:space="preserve"> such as e.g. the event being organised by </w:t>
      </w:r>
      <w:r w:rsidR="003E53AE" w:rsidRPr="00E77A89">
        <w:rPr>
          <w:rFonts w:ascii="Times New Roman" w:hAnsi="Times New Roman" w:cs="Times New Roman"/>
          <w:sz w:val="24"/>
          <w:szCs w:val="24"/>
        </w:rPr>
        <w:t xml:space="preserve">TAXUD legal units </w:t>
      </w:r>
      <w:r w:rsidRPr="00E77A89">
        <w:rPr>
          <w:rFonts w:ascii="Times New Roman" w:hAnsi="Times New Roman" w:cs="Times New Roman"/>
          <w:sz w:val="24"/>
          <w:szCs w:val="24"/>
        </w:rPr>
        <w:t xml:space="preserve">with national judges to explain to them and train them in relation to the key principles of EU tax legislation; </w:t>
      </w:r>
    </w:p>
    <w:p w14:paraId="14BE7A43" w14:textId="77777777" w:rsidR="00FF09B1" w:rsidRPr="00E77A89" w:rsidRDefault="00FF09B1" w:rsidP="00DA6CBE">
      <w:pPr>
        <w:pStyle w:val="ListParagraph"/>
        <w:numPr>
          <w:ilvl w:val="1"/>
          <w:numId w:val="22"/>
        </w:numPr>
        <w:spacing w:line="240" w:lineRule="auto"/>
        <w:contextualSpacing w:val="0"/>
        <w:jc w:val="both"/>
        <w:rPr>
          <w:rFonts w:ascii="Times New Roman" w:hAnsi="Times New Roman" w:cs="Times New Roman"/>
          <w:sz w:val="24"/>
          <w:szCs w:val="24"/>
        </w:rPr>
      </w:pPr>
      <w:r w:rsidRPr="00E77A89">
        <w:rPr>
          <w:rFonts w:ascii="Times New Roman" w:hAnsi="Times New Roman" w:cs="Times New Roman"/>
          <w:sz w:val="24"/>
          <w:szCs w:val="24"/>
        </w:rPr>
        <w:t xml:space="preserve">The </w:t>
      </w:r>
      <w:r w:rsidRPr="00E77A89">
        <w:rPr>
          <w:rFonts w:ascii="Times New Roman" w:hAnsi="Times New Roman" w:cs="Times New Roman"/>
          <w:sz w:val="24"/>
          <w:szCs w:val="24"/>
          <w:u w:val="single"/>
        </w:rPr>
        <w:t>project groups</w:t>
      </w:r>
      <w:r w:rsidR="00D330E9" w:rsidRPr="00E77A89">
        <w:rPr>
          <w:rFonts w:ascii="Times New Roman" w:hAnsi="Times New Roman" w:cs="Times New Roman"/>
          <w:sz w:val="24"/>
          <w:szCs w:val="24"/>
        </w:rPr>
        <w:t xml:space="preserve"> allowing e.g. exchanging experience and good practices in the area of e-audit and compliance risk management, </w:t>
      </w:r>
      <w:r w:rsidRPr="00E77A89">
        <w:rPr>
          <w:rFonts w:ascii="Times New Roman" w:hAnsi="Times New Roman" w:cs="Times New Roman"/>
          <w:sz w:val="24"/>
          <w:szCs w:val="24"/>
        </w:rPr>
        <w:t xml:space="preserve">discussing with Member States the removal of withholding tax barriers and the creation of a code of conduct in the context of the Capital Market Union; </w:t>
      </w:r>
    </w:p>
    <w:p w14:paraId="14BE7A44" w14:textId="3800D9E6" w:rsidR="00FF09B1" w:rsidRPr="00E77A89" w:rsidRDefault="00290202" w:rsidP="00254B8F">
      <w:pPr>
        <w:pStyle w:val="ListParagraph"/>
        <w:numPr>
          <w:ilvl w:val="1"/>
          <w:numId w:val="22"/>
        </w:numPr>
        <w:spacing w:line="240" w:lineRule="auto"/>
        <w:contextualSpacing w:val="0"/>
        <w:jc w:val="both"/>
        <w:rPr>
          <w:rFonts w:ascii="Times New Roman" w:hAnsi="Times New Roman" w:cs="Times New Roman"/>
          <w:sz w:val="24"/>
          <w:szCs w:val="24"/>
        </w:rPr>
      </w:pPr>
      <w:r w:rsidRPr="00E77A89">
        <w:rPr>
          <w:rFonts w:ascii="Times New Roman" w:hAnsi="Times New Roman" w:cs="Times New Roman"/>
          <w:sz w:val="24"/>
          <w:szCs w:val="24"/>
          <w:u w:val="single"/>
        </w:rPr>
        <w:t>Expert teams</w:t>
      </w:r>
      <w:r w:rsidRPr="00E77A89">
        <w:rPr>
          <w:rFonts w:ascii="Times New Roman" w:hAnsi="Times New Roman" w:cs="Times New Roman"/>
          <w:sz w:val="24"/>
          <w:szCs w:val="24"/>
        </w:rPr>
        <w:t xml:space="preserve"> -</w:t>
      </w:r>
      <w:r w:rsidR="00FF09B1" w:rsidRPr="00E77A89">
        <w:rPr>
          <w:rFonts w:ascii="Times New Roman" w:hAnsi="Times New Roman" w:cs="Times New Roman"/>
          <w:sz w:val="24"/>
          <w:szCs w:val="24"/>
        </w:rPr>
        <w:t xml:space="preserve"> </w:t>
      </w:r>
      <w:r w:rsidRPr="00E77A89">
        <w:rPr>
          <w:rFonts w:ascii="Times New Roman" w:hAnsi="Times New Roman" w:cs="Times New Roman"/>
          <w:sz w:val="24"/>
          <w:szCs w:val="24"/>
        </w:rPr>
        <w:t xml:space="preserve">introduced since </w:t>
      </w:r>
      <w:r w:rsidR="00FF09B1" w:rsidRPr="00E77A89">
        <w:rPr>
          <w:rFonts w:ascii="Times New Roman" w:hAnsi="Times New Roman" w:cs="Times New Roman"/>
          <w:sz w:val="24"/>
          <w:szCs w:val="24"/>
        </w:rPr>
        <w:t>Fiscalis 2020 programme</w:t>
      </w:r>
      <w:r w:rsidRPr="00E77A89">
        <w:rPr>
          <w:rFonts w:ascii="Times New Roman" w:hAnsi="Times New Roman" w:cs="Times New Roman"/>
          <w:sz w:val="24"/>
          <w:szCs w:val="24"/>
        </w:rPr>
        <w:t xml:space="preserve"> –</w:t>
      </w:r>
      <w:r w:rsidR="00FF09B1" w:rsidRPr="00E77A89">
        <w:rPr>
          <w:rFonts w:ascii="Times New Roman" w:hAnsi="Times New Roman" w:cs="Times New Roman"/>
          <w:sz w:val="24"/>
          <w:szCs w:val="24"/>
        </w:rPr>
        <w:t xml:space="preserve"> </w:t>
      </w:r>
      <w:r w:rsidRPr="00E77A89">
        <w:rPr>
          <w:rFonts w:ascii="Times New Roman" w:hAnsi="Times New Roman" w:cs="Times New Roman"/>
          <w:sz w:val="24"/>
          <w:szCs w:val="24"/>
        </w:rPr>
        <w:t>which allow for</w:t>
      </w:r>
      <w:r w:rsidR="00FF09B1" w:rsidRPr="00E77A89">
        <w:rPr>
          <w:rFonts w:ascii="Times New Roman" w:hAnsi="Times New Roman" w:cs="Times New Roman"/>
          <w:sz w:val="24"/>
          <w:szCs w:val="24"/>
        </w:rPr>
        <w:t xml:space="preserve"> enhanced operational cooperation between Member States and under the coordination of one of them; as an example in direct taxation, 6 Member States </w:t>
      </w:r>
      <w:r w:rsidR="003E53AE" w:rsidRPr="00E77A89">
        <w:rPr>
          <w:rFonts w:ascii="Times New Roman" w:hAnsi="Times New Roman" w:cs="Times New Roman"/>
          <w:sz w:val="24"/>
          <w:szCs w:val="24"/>
        </w:rPr>
        <w:t xml:space="preserve">worked </w:t>
      </w:r>
      <w:r w:rsidR="00FF09B1" w:rsidRPr="00E77A89">
        <w:rPr>
          <w:rFonts w:ascii="Times New Roman" w:hAnsi="Times New Roman" w:cs="Times New Roman"/>
          <w:sz w:val="24"/>
          <w:szCs w:val="24"/>
        </w:rPr>
        <w:t>together in the DAC2 IT collaboration expert team in order to establish joint specifications of the national IT components necessary to support the automatic exchange of financial account information; recent feedback from the participating countries indicates that, despite some practical difficulties mainly due to the first-time use of this new instrument, the experience is a clear success and the return on investment</w:t>
      </w:r>
      <w:r w:rsidRPr="00E77A89">
        <w:rPr>
          <w:rFonts w:ascii="Times New Roman" w:hAnsi="Times New Roman" w:cs="Times New Roman"/>
          <w:sz w:val="24"/>
          <w:szCs w:val="24"/>
        </w:rPr>
        <w:t xml:space="preserve"> </w:t>
      </w:r>
      <w:r w:rsidR="009358DF" w:rsidRPr="00E77A89">
        <w:rPr>
          <w:rFonts w:ascii="Times New Roman" w:hAnsi="Times New Roman" w:cs="Times New Roman"/>
          <w:sz w:val="24"/>
          <w:szCs w:val="24"/>
        </w:rPr>
        <w:t xml:space="preserve">is </w:t>
      </w:r>
      <w:r w:rsidRPr="00E77A89">
        <w:rPr>
          <w:rFonts w:ascii="Times New Roman" w:hAnsi="Times New Roman" w:cs="Times New Roman"/>
          <w:sz w:val="24"/>
          <w:szCs w:val="24"/>
        </w:rPr>
        <w:t>promising</w:t>
      </w:r>
      <w:r w:rsidR="00D330E9" w:rsidRPr="00E77A89">
        <w:rPr>
          <w:rFonts w:ascii="Times New Roman" w:hAnsi="Times New Roman" w:cs="Times New Roman"/>
          <w:sz w:val="24"/>
          <w:szCs w:val="24"/>
        </w:rPr>
        <w:t>;</w:t>
      </w:r>
      <w:r w:rsidR="00254B8F" w:rsidRPr="00E77A89">
        <w:rPr>
          <w:rFonts w:ascii="Times New Roman" w:hAnsi="Times New Roman" w:cs="Times New Roman"/>
          <w:sz w:val="24"/>
          <w:szCs w:val="24"/>
        </w:rPr>
        <w:t xml:space="preserve"> there is accordingly room for learning from these first experiences and in the light thereof to promote the instrument use it more widely and extensively.</w:t>
      </w:r>
      <w:r w:rsidR="00B52A16" w:rsidRPr="00E77A89">
        <w:rPr>
          <w:rFonts w:ascii="Times New Roman" w:hAnsi="Times New Roman" w:cs="Times New Roman"/>
          <w:sz w:val="24"/>
          <w:szCs w:val="24"/>
        </w:rPr>
        <w:t xml:space="preserve"> </w:t>
      </w:r>
    </w:p>
    <w:p w14:paraId="14BE7A45" w14:textId="77777777" w:rsidR="00FF09B1" w:rsidRPr="00E77A89" w:rsidRDefault="00FF09B1" w:rsidP="00DA6CBE">
      <w:pPr>
        <w:pStyle w:val="ListParagraph"/>
        <w:numPr>
          <w:ilvl w:val="1"/>
          <w:numId w:val="22"/>
        </w:numPr>
        <w:spacing w:line="240" w:lineRule="auto"/>
        <w:contextualSpacing w:val="0"/>
        <w:jc w:val="both"/>
        <w:rPr>
          <w:rFonts w:ascii="Times New Roman" w:hAnsi="Times New Roman" w:cs="Times New Roman"/>
          <w:sz w:val="24"/>
          <w:szCs w:val="24"/>
        </w:rPr>
      </w:pPr>
      <w:r w:rsidRPr="00E77A89">
        <w:rPr>
          <w:rFonts w:ascii="Times New Roman" w:hAnsi="Times New Roman" w:cs="Times New Roman"/>
          <w:sz w:val="24"/>
          <w:szCs w:val="24"/>
        </w:rPr>
        <w:t xml:space="preserve">The numerous </w:t>
      </w:r>
      <w:r w:rsidRPr="00E77A89">
        <w:rPr>
          <w:rFonts w:ascii="Times New Roman" w:hAnsi="Times New Roman" w:cs="Times New Roman"/>
          <w:sz w:val="24"/>
          <w:szCs w:val="24"/>
          <w:u w:val="single"/>
        </w:rPr>
        <w:t>working visits</w:t>
      </w:r>
      <w:r w:rsidRPr="00E77A89">
        <w:rPr>
          <w:rFonts w:ascii="Times New Roman" w:hAnsi="Times New Roman" w:cs="Times New Roman"/>
          <w:sz w:val="24"/>
          <w:szCs w:val="24"/>
        </w:rPr>
        <w:t>, which allow discussing specific topics and which in view of the benefits reaped is more and more used by tax administrations with 4</w:t>
      </w:r>
      <w:r w:rsidR="0051673C" w:rsidRPr="00E77A89">
        <w:rPr>
          <w:rFonts w:ascii="Times New Roman" w:hAnsi="Times New Roman" w:cs="Times New Roman"/>
          <w:sz w:val="24"/>
          <w:szCs w:val="24"/>
        </w:rPr>
        <w:t>1</w:t>
      </w:r>
      <w:r w:rsidRPr="00E77A89">
        <w:rPr>
          <w:rFonts w:ascii="Times New Roman" w:hAnsi="Times New Roman" w:cs="Times New Roman"/>
          <w:sz w:val="24"/>
          <w:szCs w:val="24"/>
        </w:rPr>
        <w:t xml:space="preserve"> visits in 2014 and then </w:t>
      </w:r>
      <w:r w:rsidR="0051673C" w:rsidRPr="00E77A89">
        <w:rPr>
          <w:rFonts w:ascii="Times New Roman" w:hAnsi="Times New Roman" w:cs="Times New Roman"/>
          <w:sz w:val="24"/>
          <w:szCs w:val="24"/>
        </w:rPr>
        <w:t>198</w:t>
      </w:r>
      <w:r w:rsidRPr="00E77A89">
        <w:rPr>
          <w:rFonts w:ascii="Times New Roman" w:hAnsi="Times New Roman" w:cs="Times New Roman"/>
          <w:sz w:val="24"/>
          <w:szCs w:val="24"/>
        </w:rPr>
        <w:t xml:space="preserve"> in 2015, 17</w:t>
      </w:r>
      <w:r w:rsidR="0051673C" w:rsidRPr="00E77A89">
        <w:rPr>
          <w:rFonts w:ascii="Times New Roman" w:hAnsi="Times New Roman" w:cs="Times New Roman"/>
          <w:sz w:val="24"/>
          <w:szCs w:val="24"/>
        </w:rPr>
        <w:t>1</w:t>
      </w:r>
      <w:r w:rsidRPr="00E77A89">
        <w:rPr>
          <w:rFonts w:ascii="Times New Roman" w:hAnsi="Times New Roman" w:cs="Times New Roman"/>
          <w:sz w:val="24"/>
          <w:szCs w:val="24"/>
        </w:rPr>
        <w:t xml:space="preserve"> in 2016 and </w:t>
      </w:r>
      <w:r w:rsidR="004D6820" w:rsidRPr="00E77A89">
        <w:rPr>
          <w:rFonts w:ascii="Times New Roman" w:hAnsi="Times New Roman" w:cs="Times New Roman"/>
          <w:sz w:val="24"/>
          <w:szCs w:val="24"/>
        </w:rPr>
        <w:t>127</w:t>
      </w:r>
      <w:r w:rsidR="003E53AE" w:rsidRPr="00E77A89">
        <w:rPr>
          <w:rFonts w:ascii="Times New Roman" w:hAnsi="Times New Roman" w:cs="Times New Roman"/>
          <w:sz w:val="24"/>
          <w:szCs w:val="24"/>
        </w:rPr>
        <w:t xml:space="preserve"> in </w:t>
      </w:r>
      <w:r w:rsidRPr="00E77A89">
        <w:rPr>
          <w:rFonts w:ascii="Times New Roman" w:hAnsi="Times New Roman" w:cs="Times New Roman"/>
          <w:sz w:val="24"/>
          <w:szCs w:val="24"/>
        </w:rPr>
        <w:t>2017;</w:t>
      </w:r>
      <w:r w:rsidR="00D330E9" w:rsidRPr="00E77A89">
        <w:rPr>
          <w:rFonts w:ascii="Times New Roman" w:hAnsi="Times New Roman" w:cs="Times New Roman"/>
          <w:sz w:val="24"/>
          <w:szCs w:val="24"/>
        </w:rPr>
        <w:t xml:space="preserve"> tax administrations select mostly themes in relation to fight against fraud, avoidance and aggressive tax planning (e.g. on transfer pricing issues) for their working visits.</w:t>
      </w:r>
    </w:p>
    <w:p w14:paraId="14BE7A48" w14:textId="6553535C" w:rsidR="007D532D" w:rsidRPr="00E77A89" w:rsidRDefault="00FF09B1" w:rsidP="001F48EC">
      <w:pPr>
        <w:pStyle w:val="ListParagraph"/>
        <w:numPr>
          <w:ilvl w:val="1"/>
          <w:numId w:val="22"/>
        </w:numPr>
        <w:spacing w:line="240" w:lineRule="auto"/>
        <w:contextualSpacing w:val="0"/>
        <w:jc w:val="both"/>
        <w:rPr>
          <w:rFonts w:ascii="Times New Roman" w:hAnsi="Times New Roman" w:cs="Times New Roman"/>
          <w:sz w:val="24"/>
          <w:szCs w:val="24"/>
        </w:rPr>
      </w:pPr>
      <w:r w:rsidRPr="00E77A89">
        <w:rPr>
          <w:rFonts w:ascii="Times New Roman" w:hAnsi="Times New Roman" w:cs="Times New Roman"/>
          <w:sz w:val="24"/>
          <w:szCs w:val="24"/>
          <w:u w:val="single"/>
        </w:rPr>
        <w:t>Technical assistance</w:t>
      </w:r>
      <w:r w:rsidRPr="00E77A89">
        <w:rPr>
          <w:rFonts w:ascii="Times New Roman" w:hAnsi="Times New Roman" w:cs="Times New Roman"/>
          <w:sz w:val="24"/>
          <w:szCs w:val="24"/>
        </w:rPr>
        <w:t>, which developed significantly since the financial crisis and whereby the programme lends support</w:t>
      </w:r>
      <w:r w:rsidR="00D330E9" w:rsidRPr="00E77A89">
        <w:rPr>
          <w:rFonts w:ascii="Times New Roman" w:hAnsi="Times New Roman" w:cs="Times New Roman"/>
          <w:sz w:val="24"/>
          <w:szCs w:val="24"/>
        </w:rPr>
        <w:t xml:space="preserve"> – jointly with SRSP</w:t>
      </w:r>
      <w:r w:rsidR="00127014" w:rsidRPr="00E77A89">
        <w:rPr>
          <w:rStyle w:val="FootnoteReference"/>
          <w:rFonts w:ascii="Times New Roman" w:hAnsi="Times New Roman" w:cs="Times New Roman"/>
          <w:sz w:val="24"/>
          <w:szCs w:val="24"/>
        </w:rPr>
        <w:footnoteReference w:id="10"/>
      </w:r>
      <w:r w:rsidR="00D330E9" w:rsidRPr="00E77A89">
        <w:rPr>
          <w:rFonts w:ascii="Times New Roman" w:hAnsi="Times New Roman" w:cs="Times New Roman"/>
          <w:sz w:val="24"/>
          <w:szCs w:val="24"/>
        </w:rPr>
        <w:t xml:space="preserve"> - </w:t>
      </w:r>
      <w:r w:rsidRPr="00E77A89">
        <w:rPr>
          <w:rFonts w:ascii="Times New Roman" w:hAnsi="Times New Roman" w:cs="Times New Roman"/>
          <w:sz w:val="24"/>
          <w:szCs w:val="24"/>
        </w:rPr>
        <w:t xml:space="preserve">not only to those specific Member States benefitting from assistance but also more generally to all countries to whom Country Specific Recommendations on the need to strengthen tax collection have been addressed in the context of the European Semester exercise. </w:t>
      </w:r>
    </w:p>
    <w:p w14:paraId="14BE7A49" w14:textId="77777777" w:rsidR="00970D64" w:rsidRPr="00E77A89" w:rsidRDefault="00C82480" w:rsidP="001F48EC">
      <w:pPr>
        <w:pStyle w:val="Heading1"/>
        <w:rPr>
          <w:szCs w:val="24"/>
        </w:rPr>
      </w:pPr>
      <w:bookmarkStart w:id="4" w:name="_Toc515012592"/>
      <w:r w:rsidRPr="00E77A89">
        <w:rPr>
          <w:szCs w:val="24"/>
        </w:rPr>
        <w:t xml:space="preserve">THE </w:t>
      </w:r>
      <w:r w:rsidR="00970D64" w:rsidRPr="00E77A89">
        <w:rPr>
          <w:szCs w:val="24"/>
        </w:rPr>
        <w:t>OBJECTIVES</w:t>
      </w:r>
      <w:bookmarkEnd w:id="4"/>
      <w:r w:rsidR="00970D64" w:rsidRPr="00E77A89">
        <w:rPr>
          <w:szCs w:val="24"/>
        </w:rPr>
        <w:t xml:space="preserve"> </w:t>
      </w:r>
    </w:p>
    <w:p w14:paraId="31AABE7F" w14:textId="4417057F" w:rsidR="00F8628D" w:rsidRPr="00E77A89" w:rsidRDefault="00753E3C" w:rsidP="00EC792F">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The programme's </w:t>
      </w:r>
      <w:r w:rsidRPr="00E77A89">
        <w:rPr>
          <w:rFonts w:ascii="Times New Roman" w:hAnsi="Times New Roman" w:cs="Times New Roman"/>
          <w:b/>
          <w:sz w:val="24"/>
          <w:szCs w:val="24"/>
        </w:rPr>
        <w:t>general objective</w:t>
      </w:r>
      <w:r w:rsidR="005B4CA6" w:rsidRPr="00E77A89">
        <w:rPr>
          <w:rFonts w:ascii="Times New Roman" w:hAnsi="Times New Roman" w:cs="Times New Roman"/>
          <w:b/>
          <w:sz w:val="24"/>
          <w:szCs w:val="24"/>
        </w:rPr>
        <w:t xml:space="preserve"> is</w:t>
      </w:r>
      <w:r w:rsidR="00410366" w:rsidRPr="00E77A89">
        <w:rPr>
          <w:rFonts w:ascii="Times New Roman" w:hAnsi="Times New Roman" w:cs="Times New Roman"/>
          <w:sz w:val="24"/>
          <w:szCs w:val="24"/>
        </w:rPr>
        <w:t xml:space="preserve"> to support the single market, foster Union competitiveness and protect the financial </w:t>
      </w:r>
      <w:r w:rsidR="006B19A7" w:rsidRPr="00E77A89">
        <w:rPr>
          <w:rFonts w:ascii="Times New Roman" w:hAnsi="Times New Roman" w:cs="Times New Roman"/>
          <w:sz w:val="24"/>
          <w:szCs w:val="24"/>
        </w:rPr>
        <w:t xml:space="preserve">and economic </w:t>
      </w:r>
      <w:r w:rsidR="00410366" w:rsidRPr="00E77A89">
        <w:rPr>
          <w:rFonts w:ascii="Times New Roman" w:hAnsi="Times New Roman" w:cs="Times New Roman"/>
          <w:sz w:val="24"/>
          <w:szCs w:val="24"/>
        </w:rPr>
        <w:t>interests of the Union and its Member States</w:t>
      </w:r>
      <w:r w:rsidR="00020DDE" w:rsidRPr="00E77A89">
        <w:rPr>
          <w:rFonts w:ascii="Times New Roman" w:hAnsi="Times New Roman" w:cs="Times New Roman"/>
          <w:sz w:val="24"/>
          <w:szCs w:val="24"/>
        </w:rPr>
        <w:t xml:space="preserve">. </w:t>
      </w:r>
    </w:p>
    <w:p w14:paraId="5AC724F3" w14:textId="1C4E0149" w:rsidR="00F77082" w:rsidRPr="00E77A89" w:rsidRDefault="00F77082" w:rsidP="00753E3C">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The Programme has the </w:t>
      </w:r>
      <w:r w:rsidRPr="00E77A89">
        <w:rPr>
          <w:rFonts w:ascii="Times New Roman" w:hAnsi="Times New Roman" w:cs="Times New Roman"/>
          <w:b/>
          <w:sz w:val="24"/>
          <w:szCs w:val="24"/>
          <w:lang w:eastAsia="en-GB"/>
        </w:rPr>
        <w:t>specific objective</w:t>
      </w:r>
      <w:r w:rsidR="00410366" w:rsidRPr="00E77A89">
        <w:rPr>
          <w:rFonts w:ascii="Times New Roman" w:hAnsi="Times New Roman" w:cs="Times New Roman"/>
          <w:sz w:val="24"/>
          <w:szCs w:val="24"/>
          <w:lang w:eastAsia="en-GB"/>
        </w:rPr>
        <w:t xml:space="preserve"> </w:t>
      </w:r>
      <w:r w:rsidR="00410366" w:rsidRPr="00E77A89">
        <w:rPr>
          <w:rFonts w:ascii="Times New Roman" w:hAnsi="Times New Roman" w:cs="Times New Roman"/>
          <w:sz w:val="24"/>
          <w:szCs w:val="24"/>
        </w:rPr>
        <w:t>to support tax policy, tax cooperation and administrative capacity building, including human competency and the development</w:t>
      </w:r>
      <w:r w:rsidR="004B67F5" w:rsidRPr="00E77A89">
        <w:rPr>
          <w:rFonts w:ascii="Times New Roman" w:hAnsi="Times New Roman" w:cs="Times New Roman"/>
          <w:sz w:val="24"/>
          <w:szCs w:val="24"/>
        </w:rPr>
        <w:t xml:space="preserve"> and </w:t>
      </w:r>
      <w:r w:rsidR="00410366" w:rsidRPr="00E77A89">
        <w:rPr>
          <w:rFonts w:ascii="Times New Roman" w:hAnsi="Times New Roman" w:cs="Times New Roman"/>
          <w:sz w:val="24"/>
          <w:szCs w:val="24"/>
        </w:rPr>
        <w:t xml:space="preserve">operation of the European </w:t>
      </w:r>
      <w:r w:rsidR="004B67F5" w:rsidRPr="00E77A89">
        <w:rPr>
          <w:rFonts w:ascii="Times New Roman" w:hAnsi="Times New Roman" w:cs="Times New Roman"/>
          <w:sz w:val="24"/>
          <w:szCs w:val="24"/>
        </w:rPr>
        <w:t>electronic systems</w:t>
      </w:r>
      <w:r w:rsidRPr="00E77A89">
        <w:rPr>
          <w:rFonts w:ascii="Times New Roman" w:hAnsi="Times New Roman" w:cs="Times New Roman"/>
          <w:sz w:val="24"/>
          <w:szCs w:val="24"/>
          <w:lang w:eastAsia="en-GB"/>
        </w:rPr>
        <w:t xml:space="preserve">. </w:t>
      </w:r>
    </w:p>
    <w:p w14:paraId="14BE7A54" w14:textId="15EDB1B5" w:rsidR="00753E3C" w:rsidRPr="00E77A89" w:rsidRDefault="00753E3C" w:rsidP="00753E3C">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lang w:eastAsia="en-GB"/>
        </w:rPr>
        <w:t>Given the particular challenges and objectives of Fiscalis, the specific objectives of the new programme will be mainly addressed at the level of the programme structure and priorities. Traditional delivery mechanisms will remain in place as direct management through mainly grants and procurement proved to be effective. The identity of beneficiaries – tax administrations – prevent using certain instruments such as equity or quasi-equity investments, loans or guarantees, or other risk-sharing instruments.</w:t>
      </w:r>
    </w:p>
    <w:p w14:paraId="14BE7A55" w14:textId="26B64745" w:rsidR="00244E6A" w:rsidRPr="00E77A89" w:rsidRDefault="005B4CA6" w:rsidP="00D63000">
      <w:pPr>
        <w:pStyle w:val="Heading1"/>
        <w:rPr>
          <w:szCs w:val="24"/>
        </w:rPr>
      </w:pPr>
      <w:bookmarkStart w:id="5" w:name="_Toc515012593"/>
      <w:r w:rsidRPr="00E77A89">
        <w:rPr>
          <w:szCs w:val="24"/>
        </w:rPr>
        <w:t xml:space="preserve">Preferred </w:t>
      </w:r>
      <w:r w:rsidR="00550A06" w:rsidRPr="00E77A89">
        <w:rPr>
          <w:szCs w:val="24"/>
        </w:rPr>
        <w:t>Policy option</w:t>
      </w:r>
      <w:r w:rsidR="000D33B5" w:rsidRPr="00E77A89">
        <w:rPr>
          <w:szCs w:val="24"/>
        </w:rPr>
        <w:t>s</w:t>
      </w:r>
      <w:bookmarkEnd w:id="5"/>
    </w:p>
    <w:p w14:paraId="14BE7A56" w14:textId="77777777" w:rsidR="00ED0C4B" w:rsidRPr="00E77A89" w:rsidRDefault="00ED0C4B" w:rsidP="00ED0C4B">
      <w:pPr>
        <w:pStyle w:val="Heading2"/>
        <w:rPr>
          <w:rStyle w:val="A6"/>
          <w:rFonts w:cs="Times New Roman"/>
          <w:sz w:val="24"/>
          <w:szCs w:val="24"/>
        </w:rPr>
      </w:pPr>
      <w:bookmarkStart w:id="6" w:name="_Toc515012594"/>
      <w:r w:rsidRPr="00E77A89">
        <w:rPr>
          <w:rStyle w:val="A6"/>
          <w:rFonts w:cs="Times New Roman"/>
          <w:sz w:val="24"/>
          <w:szCs w:val="24"/>
        </w:rPr>
        <w:t>Preferred option description</w:t>
      </w:r>
      <w:bookmarkEnd w:id="6"/>
    </w:p>
    <w:p w14:paraId="14BE7A57" w14:textId="6757E326" w:rsidR="00CA6E6B" w:rsidRPr="00E77A89" w:rsidRDefault="00CA6E6B" w:rsidP="00CA6E6B">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The</w:t>
      </w:r>
      <w:r w:rsidRPr="00E77A89">
        <w:rPr>
          <w:rFonts w:ascii="Times New Roman" w:hAnsi="Times New Roman" w:cs="Times New Roman"/>
          <w:b/>
          <w:sz w:val="24"/>
          <w:szCs w:val="24"/>
          <w:lang w:eastAsia="en-GB"/>
        </w:rPr>
        <w:t xml:space="preserve"> </w:t>
      </w:r>
      <w:r w:rsidRPr="00E77A89">
        <w:rPr>
          <w:rFonts w:ascii="Times New Roman" w:hAnsi="Times New Roman" w:cs="Times New Roman"/>
          <w:sz w:val="24"/>
          <w:szCs w:val="24"/>
          <w:lang w:eastAsia="en-GB"/>
        </w:rPr>
        <w:t xml:space="preserve">current Fiscalis 2020 programme offers a flexible </w:t>
      </w:r>
      <w:r w:rsidRPr="00E77A89">
        <w:rPr>
          <w:rFonts w:ascii="Times New Roman" w:hAnsi="Times New Roman" w:cs="Times New Roman"/>
          <w:sz w:val="24"/>
          <w:szCs w:val="24"/>
        </w:rPr>
        <w:t>and</w:t>
      </w:r>
      <w:r w:rsidRPr="00E77A89">
        <w:rPr>
          <w:rFonts w:ascii="Times New Roman" w:hAnsi="Times New Roman" w:cs="Times New Roman"/>
          <w:sz w:val="24"/>
          <w:szCs w:val="24"/>
          <w:lang w:eastAsia="en-GB"/>
        </w:rPr>
        <w:t xml:space="preserve"> simple framework for enabling cooperation and integration with a </w:t>
      </w:r>
      <w:r w:rsidR="000D33B5" w:rsidRPr="00E77A89">
        <w:rPr>
          <w:rFonts w:ascii="Times New Roman" w:hAnsi="Times New Roman" w:cs="Times New Roman"/>
          <w:sz w:val="24"/>
          <w:szCs w:val="24"/>
          <w:lang w:eastAsia="en-GB"/>
        </w:rPr>
        <w:t xml:space="preserve">demonstrated </w:t>
      </w:r>
      <w:r w:rsidRPr="00E77A89">
        <w:rPr>
          <w:rFonts w:ascii="Times New Roman" w:hAnsi="Times New Roman" w:cs="Times New Roman"/>
          <w:sz w:val="24"/>
          <w:szCs w:val="24"/>
          <w:lang w:eastAsia="en-GB"/>
        </w:rPr>
        <w:t xml:space="preserve">EU added value and impact despite its limited size (0,02% of total EU budget over period 2014-2020). It provides the operational, organisational, methodological and budgetary </w:t>
      </w:r>
      <w:r w:rsidRPr="00E77A89">
        <w:rPr>
          <w:rStyle w:val="A6"/>
          <w:rFonts w:ascii="Times New Roman" w:hAnsi="Times New Roman" w:cs="Times New Roman"/>
          <w:sz w:val="24"/>
          <w:szCs w:val="24"/>
        </w:rPr>
        <w:t>framework</w:t>
      </w:r>
      <w:r w:rsidRPr="00E77A89">
        <w:rPr>
          <w:rFonts w:ascii="Times New Roman" w:hAnsi="Times New Roman" w:cs="Times New Roman"/>
          <w:sz w:val="24"/>
          <w:szCs w:val="24"/>
          <w:lang w:eastAsia="en-GB"/>
        </w:rPr>
        <w:t xml:space="preserve"> to implement the EU tax policy objectives and activities through:</w:t>
      </w:r>
    </w:p>
    <w:tbl>
      <w:tblPr>
        <w:tblStyle w:val="TableGrid"/>
        <w:tblW w:w="0" w:type="auto"/>
        <w:tblLook w:val="04A0" w:firstRow="1" w:lastRow="0" w:firstColumn="1" w:lastColumn="0" w:noHBand="0" w:noVBand="1"/>
      </w:tblPr>
      <w:tblGrid>
        <w:gridCol w:w="7054"/>
        <w:gridCol w:w="1780"/>
      </w:tblGrid>
      <w:tr w:rsidR="00CA6E6B" w:rsidRPr="00E77A89" w14:paraId="14BE7A5A" w14:textId="77777777" w:rsidTr="009F5006">
        <w:tc>
          <w:tcPr>
            <w:tcW w:w="7054" w:type="dxa"/>
            <w:vAlign w:val="center"/>
          </w:tcPr>
          <w:p w14:paraId="14BE7A58" w14:textId="77777777" w:rsidR="00CA6E6B" w:rsidRPr="00E77A89" w:rsidRDefault="00CA6E6B" w:rsidP="009F5006">
            <w:pPr>
              <w:jc w:val="center"/>
              <w:rPr>
                <w:sz w:val="24"/>
                <w:szCs w:val="24"/>
              </w:rPr>
            </w:pPr>
            <w:r w:rsidRPr="00E77A89">
              <w:rPr>
                <w:sz w:val="24"/>
                <w:szCs w:val="24"/>
              </w:rPr>
              <w:br w:type="page"/>
              <w:t>Actions</w:t>
            </w:r>
          </w:p>
        </w:tc>
        <w:tc>
          <w:tcPr>
            <w:tcW w:w="1780" w:type="dxa"/>
            <w:vAlign w:val="center"/>
          </w:tcPr>
          <w:p w14:paraId="14BE7A59" w14:textId="77777777" w:rsidR="00CA6E6B" w:rsidRPr="00E77A89" w:rsidRDefault="00CA6E6B" w:rsidP="009F5006">
            <w:pPr>
              <w:jc w:val="center"/>
              <w:rPr>
                <w:sz w:val="24"/>
                <w:szCs w:val="24"/>
              </w:rPr>
            </w:pPr>
            <w:r w:rsidRPr="00E77A89">
              <w:rPr>
                <w:sz w:val="24"/>
                <w:szCs w:val="24"/>
              </w:rPr>
              <w:t xml:space="preserve">Annual average amounts of the F2020 budget </w:t>
            </w:r>
            <w:r w:rsidRPr="00E77A89">
              <w:rPr>
                <w:sz w:val="24"/>
                <w:szCs w:val="24"/>
              </w:rPr>
              <w:br/>
              <w:t>in nominal terms</w:t>
            </w:r>
          </w:p>
        </w:tc>
      </w:tr>
      <w:tr w:rsidR="00CA6E6B" w:rsidRPr="00E77A89" w14:paraId="14BE7A5D" w14:textId="77777777" w:rsidTr="009F5006">
        <w:tc>
          <w:tcPr>
            <w:tcW w:w="7054" w:type="dxa"/>
            <w:vAlign w:val="center"/>
          </w:tcPr>
          <w:p w14:paraId="14BE7A5B" w14:textId="56129B88" w:rsidR="00CA6E6B" w:rsidRPr="00E77A89" w:rsidRDefault="00CA6E6B" w:rsidP="009F5006">
            <w:pPr>
              <w:rPr>
                <w:sz w:val="24"/>
                <w:szCs w:val="24"/>
              </w:rPr>
            </w:pPr>
            <w:r w:rsidRPr="00E77A89">
              <w:rPr>
                <w:i/>
                <w:sz w:val="24"/>
                <w:szCs w:val="24"/>
              </w:rPr>
              <w:t>IT capacity building</w:t>
            </w:r>
            <w:r w:rsidRPr="00E77A89">
              <w:rPr>
                <w:sz w:val="24"/>
                <w:szCs w:val="24"/>
              </w:rPr>
              <w:t xml:space="preserve">, which consists in developing, maintaining and operating European </w:t>
            </w:r>
            <w:r w:rsidR="004B67F5" w:rsidRPr="00E77A89">
              <w:rPr>
                <w:sz w:val="24"/>
                <w:szCs w:val="24"/>
              </w:rPr>
              <w:t xml:space="preserve">electronic systems </w:t>
            </w:r>
            <w:r w:rsidRPr="00E77A89">
              <w:rPr>
                <w:sz w:val="24"/>
                <w:szCs w:val="24"/>
              </w:rPr>
              <w:t>relating to the exchange of tax information;</w:t>
            </w:r>
          </w:p>
        </w:tc>
        <w:tc>
          <w:tcPr>
            <w:tcW w:w="1780" w:type="dxa"/>
            <w:vAlign w:val="center"/>
          </w:tcPr>
          <w:p w14:paraId="14BE7A5C" w14:textId="77777777" w:rsidR="00CA6E6B" w:rsidRPr="00E77A89" w:rsidRDefault="00CA6E6B" w:rsidP="009F5006">
            <w:pPr>
              <w:jc w:val="center"/>
              <w:rPr>
                <w:sz w:val="24"/>
                <w:szCs w:val="24"/>
              </w:rPr>
            </w:pPr>
            <w:r w:rsidRPr="00E77A89">
              <w:rPr>
                <w:sz w:val="24"/>
                <w:szCs w:val="24"/>
              </w:rPr>
              <w:t>22,4 €m</w:t>
            </w:r>
          </w:p>
        </w:tc>
      </w:tr>
      <w:tr w:rsidR="00CA6E6B" w:rsidRPr="00E77A89" w14:paraId="14BE7A60" w14:textId="77777777" w:rsidTr="009F5006">
        <w:tc>
          <w:tcPr>
            <w:tcW w:w="7054" w:type="dxa"/>
            <w:vAlign w:val="center"/>
          </w:tcPr>
          <w:p w14:paraId="14BE7A5E" w14:textId="77777777" w:rsidR="00CA6E6B" w:rsidRPr="00E77A89" w:rsidRDefault="00CA6E6B" w:rsidP="009F5006">
            <w:pPr>
              <w:rPr>
                <w:sz w:val="24"/>
                <w:szCs w:val="24"/>
              </w:rPr>
            </w:pPr>
            <w:r w:rsidRPr="00E77A89">
              <w:rPr>
                <w:i/>
                <w:sz w:val="24"/>
                <w:szCs w:val="24"/>
              </w:rPr>
              <w:t>Joint actions</w:t>
            </w:r>
            <w:r w:rsidRPr="00E77A89">
              <w:rPr>
                <w:sz w:val="24"/>
                <w:szCs w:val="24"/>
              </w:rPr>
              <w:t>, which consist in cooperation mechanisms such as expert teams, allowing for enhanced operational cooperation, and enable officials to carry out joint operational activities under their core responsibilities, share experience and join efforts to deliver on tax policy</w:t>
            </w:r>
          </w:p>
        </w:tc>
        <w:tc>
          <w:tcPr>
            <w:tcW w:w="1780" w:type="dxa"/>
            <w:vAlign w:val="center"/>
          </w:tcPr>
          <w:p w14:paraId="14BE7A5F" w14:textId="77777777" w:rsidR="00CA6E6B" w:rsidRPr="00E77A89" w:rsidRDefault="00CA6E6B" w:rsidP="009F5006">
            <w:pPr>
              <w:jc w:val="center"/>
              <w:rPr>
                <w:sz w:val="24"/>
                <w:szCs w:val="24"/>
              </w:rPr>
            </w:pPr>
            <w:r w:rsidRPr="00E77A89">
              <w:rPr>
                <w:sz w:val="24"/>
                <w:szCs w:val="24"/>
              </w:rPr>
              <w:t>8,1 €m</w:t>
            </w:r>
          </w:p>
        </w:tc>
      </w:tr>
      <w:tr w:rsidR="00CA6E6B" w:rsidRPr="00E77A89" w14:paraId="14BE7A63" w14:textId="77777777" w:rsidTr="009F5006">
        <w:tc>
          <w:tcPr>
            <w:tcW w:w="7054" w:type="dxa"/>
            <w:vAlign w:val="center"/>
          </w:tcPr>
          <w:p w14:paraId="14BE7A61" w14:textId="77777777" w:rsidR="00CA6E6B" w:rsidRPr="00E77A89" w:rsidRDefault="00CA6E6B" w:rsidP="009F5006">
            <w:pPr>
              <w:rPr>
                <w:sz w:val="24"/>
                <w:szCs w:val="24"/>
              </w:rPr>
            </w:pPr>
            <w:r w:rsidRPr="00E77A89">
              <w:rPr>
                <w:i/>
                <w:sz w:val="24"/>
                <w:szCs w:val="24"/>
              </w:rPr>
              <w:t>Human competency building (incl. support activities)</w:t>
            </w:r>
            <w:r w:rsidRPr="00E77A89">
              <w:rPr>
                <w:sz w:val="24"/>
                <w:szCs w:val="24"/>
              </w:rPr>
              <w:t>, which consists in developing a human competence framework and training content made available through e-learning modules or otherwise, all supporting the professional skills of tax officials</w:t>
            </w:r>
          </w:p>
        </w:tc>
        <w:tc>
          <w:tcPr>
            <w:tcW w:w="1780" w:type="dxa"/>
            <w:vAlign w:val="center"/>
          </w:tcPr>
          <w:p w14:paraId="14BE7A62" w14:textId="77777777" w:rsidR="00CA6E6B" w:rsidRPr="00E77A89" w:rsidRDefault="00CA6E6B" w:rsidP="009F5006">
            <w:pPr>
              <w:jc w:val="center"/>
              <w:rPr>
                <w:sz w:val="24"/>
                <w:szCs w:val="24"/>
              </w:rPr>
            </w:pPr>
            <w:r w:rsidRPr="00E77A89">
              <w:rPr>
                <w:sz w:val="24"/>
                <w:szCs w:val="24"/>
              </w:rPr>
              <w:t>1,4 €m</w:t>
            </w:r>
          </w:p>
        </w:tc>
      </w:tr>
      <w:tr w:rsidR="00CA6E6B" w:rsidRPr="00E77A89" w14:paraId="14BE7A66" w14:textId="77777777" w:rsidTr="009F5006">
        <w:tc>
          <w:tcPr>
            <w:tcW w:w="7054" w:type="dxa"/>
            <w:vAlign w:val="center"/>
          </w:tcPr>
          <w:p w14:paraId="14BE7A64" w14:textId="77777777" w:rsidR="00CA6E6B" w:rsidRPr="00E77A89" w:rsidRDefault="00CA6E6B" w:rsidP="009F5006">
            <w:pPr>
              <w:rPr>
                <w:b/>
                <w:sz w:val="24"/>
                <w:szCs w:val="24"/>
              </w:rPr>
            </w:pPr>
            <w:r w:rsidRPr="00E77A89">
              <w:rPr>
                <w:b/>
                <w:sz w:val="24"/>
                <w:szCs w:val="24"/>
              </w:rPr>
              <w:t>Total</w:t>
            </w:r>
          </w:p>
        </w:tc>
        <w:tc>
          <w:tcPr>
            <w:tcW w:w="1780" w:type="dxa"/>
            <w:vAlign w:val="center"/>
          </w:tcPr>
          <w:p w14:paraId="14BE7A65" w14:textId="77777777" w:rsidR="00CA6E6B" w:rsidRPr="00E77A89" w:rsidRDefault="00CA6E6B" w:rsidP="009F5006">
            <w:pPr>
              <w:jc w:val="center"/>
              <w:rPr>
                <w:b/>
                <w:sz w:val="24"/>
                <w:szCs w:val="24"/>
              </w:rPr>
            </w:pPr>
            <w:r w:rsidRPr="00E77A89">
              <w:rPr>
                <w:b/>
                <w:sz w:val="24"/>
                <w:szCs w:val="24"/>
              </w:rPr>
              <w:t>31,9 €m</w:t>
            </w:r>
          </w:p>
        </w:tc>
      </w:tr>
    </w:tbl>
    <w:p w14:paraId="14BE7A67" w14:textId="77777777" w:rsidR="00550A06" w:rsidRPr="00E77A89" w:rsidRDefault="00550A06" w:rsidP="008A1FDD">
      <w:pPr>
        <w:spacing w:after="0" w:line="240" w:lineRule="auto"/>
        <w:jc w:val="both"/>
        <w:rPr>
          <w:rFonts w:ascii="Times New Roman" w:hAnsi="Times New Roman" w:cs="Times New Roman"/>
          <w:sz w:val="24"/>
          <w:szCs w:val="24"/>
          <w:lang w:eastAsia="en-GB"/>
        </w:rPr>
      </w:pPr>
    </w:p>
    <w:p w14:paraId="14BE7A68" w14:textId="2C81816F" w:rsidR="008A1FDD" w:rsidRPr="00E77A89" w:rsidRDefault="008A1FDD" w:rsidP="008A1FDD">
      <w:pPr>
        <w:spacing w:after="0"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As no action seems fit for delivering alone on the </w:t>
      </w:r>
      <w:r w:rsidR="00F352DB" w:rsidRPr="00E77A89">
        <w:rPr>
          <w:rFonts w:ascii="Times New Roman" w:hAnsi="Times New Roman" w:cs="Times New Roman"/>
          <w:sz w:val="24"/>
          <w:szCs w:val="24"/>
          <w:lang w:eastAsia="en-GB"/>
        </w:rPr>
        <w:t xml:space="preserve">general and specific </w:t>
      </w:r>
      <w:r w:rsidRPr="00E77A89">
        <w:rPr>
          <w:rFonts w:ascii="Times New Roman" w:hAnsi="Times New Roman" w:cs="Times New Roman"/>
          <w:sz w:val="24"/>
          <w:szCs w:val="24"/>
          <w:lang w:eastAsia="en-GB"/>
        </w:rPr>
        <w:t>objective</w:t>
      </w:r>
      <w:r w:rsidR="00F352DB" w:rsidRPr="00E77A89">
        <w:rPr>
          <w:rFonts w:ascii="Times New Roman" w:hAnsi="Times New Roman" w:cs="Times New Roman"/>
          <w:sz w:val="24"/>
          <w:szCs w:val="24"/>
          <w:lang w:eastAsia="en-GB"/>
        </w:rPr>
        <w:t>s</w:t>
      </w:r>
      <w:r w:rsidRPr="00E77A89">
        <w:rPr>
          <w:rFonts w:ascii="Times New Roman" w:hAnsi="Times New Roman" w:cs="Times New Roman"/>
          <w:sz w:val="24"/>
          <w:szCs w:val="24"/>
          <w:lang w:eastAsia="en-GB"/>
        </w:rPr>
        <w:t xml:space="preserve"> as a whole, a </w:t>
      </w:r>
      <w:r w:rsidRPr="00E77A89">
        <w:rPr>
          <w:rFonts w:ascii="Times New Roman" w:hAnsi="Times New Roman" w:cs="Times New Roman"/>
          <w:b/>
          <w:sz w:val="24"/>
          <w:szCs w:val="24"/>
          <w:lang w:eastAsia="en-GB"/>
        </w:rPr>
        <w:t xml:space="preserve">combination of actions </w:t>
      </w:r>
      <w:r w:rsidRPr="00E77A89">
        <w:rPr>
          <w:rFonts w:ascii="Times New Roman" w:hAnsi="Times New Roman" w:cs="Times New Roman"/>
          <w:sz w:val="24"/>
          <w:szCs w:val="24"/>
          <w:lang w:eastAsia="en-GB"/>
        </w:rPr>
        <w:t>will be required</w:t>
      </w:r>
      <w:r w:rsidR="00325E9A" w:rsidRPr="00E77A89">
        <w:rPr>
          <w:rFonts w:ascii="Times New Roman" w:hAnsi="Times New Roman" w:cs="Times New Roman"/>
          <w:sz w:val="24"/>
          <w:szCs w:val="24"/>
          <w:lang w:eastAsia="en-GB"/>
        </w:rPr>
        <w:t>.</w:t>
      </w:r>
      <w:r w:rsidR="005540CA" w:rsidRPr="00E77A89">
        <w:rPr>
          <w:rFonts w:ascii="Times New Roman" w:hAnsi="Times New Roman" w:cs="Times New Roman"/>
          <w:sz w:val="24"/>
          <w:szCs w:val="24"/>
          <w:lang w:eastAsia="en-GB"/>
        </w:rPr>
        <w:t xml:space="preserve"> </w:t>
      </w:r>
      <w:r w:rsidRPr="00E77A89">
        <w:rPr>
          <w:rFonts w:ascii="Times New Roman" w:hAnsi="Times New Roman" w:cs="Times New Roman"/>
          <w:sz w:val="24"/>
          <w:szCs w:val="24"/>
          <w:lang w:eastAsia="en-GB"/>
        </w:rPr>
        <w:t xml:space="preserve">The evaluation and monitoring activities of the programmes and the external study and related stakeholder’s consultations allowed identifying in total a set of </w:t>
      </w:r>
      <w:r w:rsidR="00A96D79" w:rsidRPr="00E77A89">
        <w:rPr>
          <w:rFonts w:ascii="Times New Roman" w:hAnsi="Times New Roman" w:cs="Times New Roman"/>
          <w:sz w:val="24"/>
          <w:szCs w:val="24"/>
          <w:lang w:eastAsia="en-GB"/>
        </w:rPr>
        <w:t>5</w:t>
      </w:r>
      <w:r w:rsidRPr="00E77A89">
        <w:rPr>
          <w:rFonts w:ascii="Times New Roman" w:hAnsi="Times New Roman" w:cs="Times New Roman"/>
          <w:sz w:val="24"/>
          <w:szCs w:val="24"/>
          <w:lang w:eastAsia="en-GB"/>
        </w:rPr>
        <w:t xml:space="preserve"> complementary actions</w:t>
      </w:r>
      <w:r w:rsidRPr="00E77A89">
        <w:rPr>
          <w:rStyle w:val="FootnoteReference"/>
          <w:rFonts w:ascii="Times New Roman" w:hAnsi="Times New Roman" w:cs="Times New Roman"/>
          <w:sz w:val="24"/>
          <w:szCs w:val="24"/>
          <w:lang w:eastAsia="en-GB"/>
        </w:rPr>
        <w:footnoteReference w:id="11"/>
      </w:r>
      <w:r w:rsidRPr="00E77A89">
        <w:rPr>
          <w:rFonts w:ascii="Times New Roman" w:hAnsi="Times New Roman" w:cs="Times New Roman"/>
          <w:sz w:val="24"/>
          <w:szCs w:val="24"/>
          <w:lang w:eastAsia="en-GB"/>
        </w:rPr>
        <w:t xml:space="preserve">, i.e. </w:t>
      </w:r>
      <w:r w:rsidR="00CA6E6B" w:rsidRPr="00E77A89">
        <w:rPr>
          <w:rFonts w:ascii="Times New Roman" w:hAnsi="Times New Roman" w:cs="Times New Roman"/>
          <w:sz w:val="24"/>
          <w:szCs w:val="24"/>
          <w:lang w:eastAsia="en-GB"/>
        </w:rPr>
        <w:t>two</w:t>
      </w:r>
      <w:r w:rsidRPr="00E77A89">
        <w:rPr>
          <w:rFonts w:ascii="Times New Roman" w:hAnsi="Times New Roman" w:cs="Times New Roman"/>
          <w:sz w:val="24"/>
          <w:szCs w:val="24"/>
          <w:lang w:eastAsia="en-GB"/>
        </w:rPr>
        <w:t xml:space="preserve"> more possible action</w:t>
      </w:r>
      <w:r w:rsidR="00CA6E6B" w:rsidRPr="00E77A89">
        <w:rPr>
          <w:rFonts w:ascii="Times New Roman" w:hAnsi="Times New Roman" w:cs="Times New Roman"/>
          <w:sz w:val="24"/>
          <w:szCs w:val="24"/>
          <w:lang w:eastAsia="en-GB"/>
        </w:rPr>
        <w:t>s</w:t>
      </w:r>
      <w:r w:rsidRPr="00E77A89">
        <w:rPr>
          <w:rFonts w:ascii="Times New Roman" w:hAnsi="Times New Roman" w:cs="Times New Roman"/>
          <w:sz w:val="24"/>
          <w:szCs w:val="24"/>
          <w:lang w:eastAsia="en-GB"/>
        </w:rPr>
        <w:t xml:space="preserve"> than under the current programme: </w:t>
      </w:r>
    </w:p>
    <w:p w14:paraId="14BE7A69" w14:textId="77777777" w:rsidR="008A1FDD" w:rsidRPr="00E77A89" w:rsidRDefault="008A1FDD" w:rsidP="008A1FDD">
      <w:pPr>
        <w:pStyle w:val="ListParagraph"/>
        <w:numPr>
          <w:ilvl w:val="0"/>
          <w:numId w:val="15"/>
        </w:numPr>
        <w:spacing w:after="0"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IT capacity building; </w:t>
      </w:r>
    </w:p>
    <w:p w14:paraId="14BE7A6A" w14:textId="77777777" w:rsidR="008A1FDD" w:rsidRPr="00E77A89" w:rsidRDefault="008A1FDD" w:rsidP="008A1FDD">
      <w:pPr>
        <w:pStyle w:val="ListParagraph"/>
        <w:numPr>
          <w:ilvl w:val="0"/>
          <w:numId w:val="15"/>
        </w:numPr>
        <w:spacing w:after="0"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Joint actions; </w:t>
      </w:r>
    </w:p>
    <w:p w14:paraId="14BE7A6B" w14:textId="77777777" w:rsidR="008A1FDD" w:rsidRPr="00E77A89" w:rsidRDefault="008A1FDD" w:rsidP="008A1FDD">
      <w:pPr>
        <w:pStyle w:val="ListParagraph"/>
        <w:numPr>
          <w:ilvl w:val="0"/>
          <w:numId w:val="15"/>
        </w:numPr>
        <w:spacing w:after="0"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Human capacity building; </w:t>
      </w:r>
    </w:p>
    <w:p w14:paraId="14BE7A6C" w14:textId="46465C7F" w:rsidR="00A96D79" w:rsidRPr="00E77A89" w:rsidRDefault="00345E01" w:rsidP="008A1FDD">
      <w:pPr>
        <w:pStyle w:val="ListParagraph"/>
        <w:numPr>
          <w:ilvl w:val="0"/>
          <w:numId w:val="15"/>
        </w:numPr>
        <w:spacing w:after="0"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rPr>
        <w:t>Support to i</w:t>
      </w:r>
      <w:r w:rsidR="00740584" w:rsidRPr="00E77A89">
        <w:rPr>
          <w:rFonts w:ascii="Times New Roman" w:hAnsi="Times New Roman" w:cs="Times New Roman"/>
          <w:sz w:val="24"/>
          <w:szCs w:val="24"/>
        </w:rPr>
        <w:t>nternational cooperation</w:t>
      </w:r>
      <w:r w:rsidR="005F478A" w:rsidRPr="00E77A89">
        <w:rPr>
          <w:rFonts w:ascii="Times New Roman" w:hAnsi="Times New Roman" w:cs="Times New Roman"/>
          <w:sz w:val="24"/>
          <w:szCs w:val="24"/>
        </w:rPr>
        <w:t xml:space="preserve"> (</w:t>
      </w:r>
      <w:r w:rsidR="005F478A" w:rsidRPr="00E77A89">
        <w:rPr>
          <w:rFonts w:ascii="Times New Roman" w:hAnsi="Times New Roman" w:cs="Times New Roman"/>
          <w:sz w:val="24"/>
          <w:szCs w:val="24"/>
          <w:u w:val="single"/>
        </w:rPr>
        <w:t>new</w:t>
      </w:r>
      <w:r w:rsidR="005F478A" w:rsidRPr="00E77A89">
        <w:rPr>
          <w:rFonts w:ascii="Times New Roman" w:hAnsi="Times New Roman" w:cs="Times New Roman"/>
          <w:sz w:val="24"/>
          <w:szCs w:val="24"/>
        </w:rPr>
        <w:t>)</w:t>
      </w:r>
      <w:r w:rsidR="00875ED5" w:rsidRPr="00E77A89">
        <w:rPr>
          <w:rFonts w:ascii="Times New Roman" w:hAnsi="Times New Roman" w:cs="Times New Roman"/>
          <w:sz w:val="24"/>
          <w:szCs w:val="24"/>
        </w:rPr>
        <w:t xml:space="preserve"> in order to </w:t>
      </w:r>
      <w:r w:rsidR="00831300" w:rsidRPr="00E77A89">
        <w:rPr>
          <w:rFonts w:ascii="Times New Roman" w:hAnsi="Times New Roman" w:cs="Times New Roman"/>
          <w:sz w:val="24"/>
          <w:szCs w:val="24"/>
        </w:rPr>
        <w:t>allow</w:t>
      </w:r>
      <w:r w:rsidR="00875ED5" w:rsidRPr="00E77A89">
        <w:rPr>
          <w:rFonts w:ascii="Times New Roman" w:hAnsi="Times New Roman" w:cs="Times New Roman"/>
          <w:sz w:val="24"/>
          <w:szCs w:val="24"/>
        </w:rPr>
        <w:t xml:space="preserve"> the EU step</w:t>
      </w:r>
      <w:r w:rsidR="00553A6B" w:rsidRPr="00E77A89">
        <w:rPr>
          <w:rFonts w:ascii="Times New Roman" w:hAnsi="Times New Roman" w:cs="Times New Roman"/>
          <w:sz w:val="24"/>
          <w:szCs w:val="24"/>
        </w:rPr>
        <w:t>ping</w:t>
      </w:r>
      <w:r w:rsidR="00875ED5" w:rsidRPr="00E77A89">
        <w:rPr>
          <w:rFonts w:ascii="Times New Roman" w:hAnsi="Times New Roman" w:cs="Times New Roman"/>
          <w:sz w:val="24"/>
          <w:szCs w:val="24"/>
        </w:rPr>
        <w:t xml:space="preserve"> into activities at international level (</w:t>
      </w:r>
      <w:r w:rsidR="005B4CA6" w:rsidRPr="00E77A89">
        <w:rPr>
          <w:rFonts w:ascii="Times New Roman" w:hAnsi="Times New Roman" w:cs="Times New Roman"/>
          <w:sz w:val="24"/>
          <w:szCs w:val="24"/>
        </w:rPr>
        <w:t xml:space="preserve">see above under </w:t>
      </w:r>
      <w:r w:rsidR="006B19A7" w:rsidRPr="00E77A89">
        <w:rPr>
          <w:rFonts w:ascii="Times New Roman" w:hAnsi="Times New Roman" w:cs="Times New Roman"/>
          <w:sz w:val="24"/>
          <w:szCs w:val="24"/>
        </w:rPr>
        <w:t>“</w:t>
      </w:r>
      <w:r w:rsidR="00875ED5" w:rsidRPr="00E77A89">
        <w:rPr>
          <w:rFonts w:ascii="Times New Roman" w:hAnsi="Times New Roman" w:cs="Times New Roman"/>
          <w:sz w:val="24"/>
          <w:szCs w:val="24"/>
        </w:rPr>
        <w:t>Recent trends</w:t>
      </w:r>
      <w:r w:rsidR="006B19A7" w:rsidRPr="00E77A89">
        <w:rPr>
          <w:rFonts w:ascii="Times New Roman" w:hAnsi="Times New Roman" w:cs="Times New Roman"/>
          <w:sz w:val="24"/>
          <w:szCs w:val="24"/>
        </w:rPr>
        <w:t>”</w:t>
      </w:r>
      <w:r w:rsidR="00553A6B" w:rsidRPr="00E77A89">
        <w:rPr>
          <w:rFonts w:ascii="Times New Roman" w:hAnsi="Times New Roman" w:cs="Times New Roman"/>
          <w:sz w:val="24"/>
          <w:szCs w:val="24"/>
        </w:rPr>
        <w:t>)</w:t>
      </w:r>
    </w:p>
    <w:p w14:paraId="14BE7A6D" w14:textId="373AD1F7" w:rsidR="008A1FDD" w:rsidRPr="00E77A89" w:rsidRDefault="008A1FDD" w:rsidP="008A1FDD">
      <w:pPr>
        <w:pStyle w:val="ListParagraph"/>
        <w:numPr>
          <w:ilvl w:val="0"/>
          <w:numId w:val="15"/>
        </w:numPr>
        <w:spacing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Support </w:t>
      </w:r>
      <w:r w:rsidR="00553A6B" w:rsidRPr="00E77A89">
        <w:rPr>
          <w:rFonts w:ascii="Times New Roman" w:hAnsi="Times New Roman" w:cs="Times New Roman"/>
          <w:sz w:val="24"/>
          <w:szCs w:val="24"/>
          <w:lang w:eastAsia="en-GB"/>
        </w:rPr>
        <w:t xml:space="preserve">to </w:t>
      </w:r>
      <w:r w:rsidR="00345E01" w:rsidRPr="00E77A89">
        <w:rPr>
          <w:rFonts w:ascii="Times New Roman" w:hAnsi="Times New Roman" w:cs="Times New Roman"/>
          <w:sz w:val="24"/>
          <w:szCs w:val="24"/>
          <w:lang w:eastAsia="en-GB"/>
        </w:rPr>
        <w:t xml:space="preserve">voluntary structural cooperation or </w:t>
      </w:r>
      <w:r w:rsidRPr="00E77A89">
        <w:rPr>
          <w:rFonts w:ascii="Times New Roman" w:hAnsi="Times New Roman" w:cs="Times New Roman"/>
          <w:sz w:val="24"/>
          <w:szCs w:val="24"/>
          <w:lang w:eastAsia="en-GB"/>
        </w:rPr>
        <w:t>centralisation (</w:t>
      </w:r>
      <w:r w:rsidRPr="00E77A89">
        <w:rPr>
          <w:rFonts w:ascii="Times New Roman" w:hAnsi="Times New Roman" w:cs="Times New Roman"/>
          <w:sz w:val="24"/>
          <w:szCs w:val="24"/>
          <w:u w:val="single"/>
          <w:lang w:eastAsia="en-GB"/>
        </w:rPr>
        <w:t>new</w:t>
      </w:r>
      <w:r w:rsidRPr="00E77A89">
        <w:rPr>
          <w:rFonts w:ascii="Times New Roman" w:hAnsi="Times New Roman" w:cs="Times New Roman"/>
          <w:sz w:val="24"/>
          <w:szCs w:val="24"/>
          <w:lang w:eastAsia="en-GB"/>
        </w:rPr>
        <w:t>)</w:t>
      </w:r>
      <w:r w:rsidR="00875ED5" w:rsidRPr="00E77A89">
        <w:rPr>
          <w:rFonts w:ascii="Times New Roman" w:hAnsi="Times New Roman" w:cs="Times New Roman"/>
          <w:sz w:val="24"/>
          <w:szCs w:val="24"/>
          <w:lang w:eastAsia="en-GB"/>
        </w:rPr>
        <w:t xml:space="preserve"> in order to </w:t>
      </w:r>
      <w:r w:rsidR="00D65F5B" w:rsidRPr="00E77A89">
        <w:rPr>
          <w:rFonts w:ascii="Times New Roman" w:hAnsi="Times New Roman" w:cs="Times New Roman"/>
          <w:sz w:val="24"/>
          <w:szCs w:val="24"/>
          <w:lang w:eastAsia="en-GB"/>
        </w:rPr>
        <w:t>centralise activities between Member States willing to do so</w:t>
      </w:r>
      <w:r w:rsidR="00875ED5" w:rsidRPr="00E77A89">
        <w:rPr>
          <w:rFonts w:ascii="Times New Roman" w:hAnsi="Times New Roman" w:cs="Times New Roman"/>
          <w:sz w:val="24"/>
          <w:szCs w:val="24"/>
          <w:lang w:eastAsia="en-GB"/>
        </w:rPr>
        <w:t xml:space="preserve">, paving the way </w:t>
      </w:r>
      <w:r w:rsidR="00553A6B" w:rsidRPr="00E77A89">
        <w:rPr>
          <w:rFonts w:ascii="Times New Roman" w:hAnsi="Times New Roman" w:cs="Times New Roman"/>
          <w:sz w:val="24"/>
          <w:szCs w:val="24"/>
          <w:lang w:eastAsia="en-GB"/>
        </w:rPr>
        <w:t>to</w:t>
      </w:r>
      <w:r w:rsidR="00875ED5" w:rsidRPr="00E77A89">
        <w:rPr>
          <w:rFonts w:ascii="Times New Roman" w:hAnsi="Times New Roman" w:cs="Times New Roman"/>
          <w:sz w:val="24"/>
          <w:szCs w:val="24"/>
          <w:lang w:eastAsia="en-GB"/>
        </w:rPr>
        <w:t xml:space="preserve"> possible </w:t>
      </w:r>
      <w:r w:rsidR="00D65F5B" w:rsidRPr="00E77A89">
        <w:rPr>
          <w:rFonts w:ascii="Times New Roman" w:hAnsi="Times New Roman" w:cs="Times New Roman"/>
          <w:sz w:val="24"/>
          <w:szCs w:val="24"/>
          <w:lang w:eastAsia="en-GB"/>
        </w:rPr>
        <w:t xml:space="preserve">fully </w:t>
      </w:r>
      <w:r w:rsidR="00875ED5" w:rsidRPr="00E77A89">
        <w:rPr>
          <w:rFonts w:ascii="Times New Roman" w:hAnsi="Times New Roman" w:cs="Times New Roman"/>
          <w:sz w:val="24"/>
          <w:szCs w:val="24"/>
          <w:lang w:eastAsia="en-GB"/>
        </w:rPr>
        <w:t>centralised activities</w:t>
      </w:r>
      <w:r w:rsidRPr="00E77A89">
        <w:rPr>
          <w:rFonts w:ascii="Times New Roman" w:hAnsi="Times New Roman" w:cs="Times New Roman"/>
          <w:sz w:val="24"/>
          <w:szCs w:val="24"/>
          <w:lang w:eastAsia="en-GB"/>
        </w:rPr>
        <w:t xml:space="preserve">. </w:t>
      </w:r>
    </w:p>
    <w:p w14:paraId="14BE7A6E" w14:textId="14574C1B" w:rsidR="008A1FDD" w:rsidRPr="00E77A89" w:rsidRDefault="008A1FDD" w:rsidP="00F83731">
      <w:pPr>
        <w:keepNext/>
        <w:keepLines/>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Depending on the level of ambition in terms of support and contribution of the future programme to </w:t>
      </w:r>
      <w:r w:rsidR="003A7D12" w:rsidRPr="00E77A89">
        <w:rPr>
          <w:rFonts w:ascii="Times New Roman" w:hAnsi="Times New Roman" w:cs="Times New Roman"/>
          <w:sz w:val="24"/>
          <w:szCs w:val="24"/>
          <w:lang w:eastAsia="en-GB"/>
        </w:rPr>
        <w:t>tax</w:t>
      </w:r>
      <w:r w:rsidRPr="00E77A89">
        <w:rPr>
          <w:rFonts w:ascii="Times New Roman" w:hAnsi="Times New Roman" w:cs="Times New Roman"/>
          <w:sz w:val="24"/>
          <w:szCs w:val="24"/>
          <w:lang w:eastAsia="en-GB"/>
        </w:rPr>
        <w:t xml:space="preserve"> policy, each of the </w:t>
      </w:r>
      <w:r w:rsidR="005B4CA6" w:rsidRPr="00E77A89">
        <w:rPr>
          <w:rFonts w:ascii="Times New Roman" w:hAnsi="Times New Roman" w:cs="Times New Roman"/>
          <w:sz w:val="24"/>
          <w:szCs w:val="24"/>
          <w:lang w:eastAsia="en-GB"/>
        </w:rPr>
        <w:t xml:space="preserve">four </w:t>
      </w:r>
      <w:r w:rsidRPr="00E77A89">
        <w:rPr>
          <w:rFonts w:ascii="Times New Roman" w:hAnsi="Times New Roman" w:cs="Times New Roman"/>
          <w:sz w:val="24"/>
          <w:szCs w:val="24"/>
          <w:lang w:eastAsia="en-GB"/>
        </w:rPr>
        <w:t xml:space="preserve">remaining actions may either be </w:t>
      </w:r>
      <w:r w:rsidRPr="00E77A89">
        <w:rPr>
          <w:rFonts w:ascii="Times New Roman" w:hAnsi="Times New Roman" w:cs="Times New Roman"/>
          <w:b/>
          <w:sz w:val="24"/>
          <w:szCs w:val="24"/>
          <w:lang w:eastAsia="en-GB"/>
        </w:rPr>
        <w:t>stopped</w:t>
      </w:r>
      <w:r w:rsidRPr="00E77A89">
        <w:rPr>
          <w:rFonts w:ascii="Times New Roman" w:hAnsi="Times New Roman" w:cs="Times New Roman"/>
          <w:sz w:val="24"/>
          <w:szCs w:val="24"/>
          <w:lang w:eastAsia="en-GB"/>
        </w:rPr>
        <w:t xml:space="preserve"> or cover a </w:t>
      </w:r>
      <w:r w:rsidRPr="00E77A89">
        <w:rPr>
          <w:rFonts w:ascii="Times New Roman" w:hAnsi="Times New Roman" w:cs="Times New Roman"/>
          <w:b/>
          <w:sz w:val="24"/>
          <w:szCs w:val="24"/>
          <w:lang w:eastAsia="en-GB"/>
        </w:rPr>
        <w:t>reduced or extended scope</w:t>
      </w:r>
      <w:r w:rsidRPr="00E77A89">
        <w:rPr>
          <w:rFonts w:ascii="Times New Roman" w:hAnsi="Times New Roman" w:cs="Times New Roman"/>
          <w:sz w:val="24"/>
          <w:szCs w:val="24"/>
          <w:lang w:eastAsia="en-GB"/>
        </w:rPr>
        <w:t xml:space="preserve">, as shown in the figure below: </w:t>
      </w:r>
    </w:p>
    <w:tbl>
      <w:tblPr>
        <w:tblStyle w:val="TableGrid"/>
        <w:tblW w:w="0" w:type="auto"/>
        <w:tblLook w:val="04A0" w:firstRow="1" w:lastRow="0" w:firstColumn="1" w:lastColumn="0" w:noHBand="0" w:noVBand="1"/>
      </w:tblPr>
      <w:tblGrid>
        <w:gridCol w:w="1809"/>
        <w:gridCol w:w="1276"/>
        <w:gridCol w:w="1916"/>
        <w:gridCol w:w="958"/>
        <w:gridCol w:w="958"/>
        <w:gridCol w:w="1917"/>
      </w:tblGrid>
      <w:tr w:rsidR="008A1FDD" w:rsidRPr="00DA1062" w14:paraId="14BE7A71" w14:textId="77777777" w:rsidTr="008A1FDD">
        <w:trPr>
          <w:trHeight w:val="737"/>
        </w:trPr>
        <w:tc>
          <w:tcPr>
            <w:tcW w:w="1809" w:type="dxa"/>
            <w:shd w:val="clear" w:color="auto" w:fill="A6A6A6" w:themeFill="background1" w:themeFillShade="A6"/>
            <w:vAlign w:val="center"/>
          </w:tcPr>
          <w:p w14:paraId="14BE7A6F" w14:textId="77777777" w:rsidR="008A1FDD" w:rsidRPr="00DA1062" w:rsidRDefault="008A1FDD" w:rsidP="00F83731">
            <w:pPr>
              <w:keepNext/>
              <w:keepLines/>
              <w:jc w:val="center"/>
              <w:rPr>
                <w:rFonts w:asciiTheme="minorHAnsi" w:hAnsiTheme="minorHAnsi" w:cstheme="minorHAnsi"/>
                <w:b/>
              </w:rPr>
            </w:pPr>
            <w:r w:rsidRPr="00DA1062">
              <w:rPr>
                <w:rFonts w:asciiTheme="minorHAnsi" w:hAnsiTheme="minorHAnsi" w:cstheme="minorHAnsi"/>
                <w:b/>
              </w:rPr>
              <w:t>ACTIONS</w:t>
            </w:r>
          </w:p>
        </w:tc>
        <w:tc>
          <w:tcPr>
            <w:tcW w:w="7025" w:type="dxa"/>
            <w:gridSpan w:val="5"/>
            <w:shd w:val="clear" w:color="auto" w:fill="A6A6A6" w:themeFill="background1" w:themeFillShade="A6"/>
            <w:vAlign w:val="center"/>
          </w:tcPr>
          <w:p w14:paraId="14BE7A70" w14:textId="77777777" w:rsidR="008A1FDD" w:rsidRPr="00DA1062" w:rsidRDefault="008A1FDD" w:rsidP="00F83731">
            <w:pPr>
              <w:keepNext/>
              <w:keepLines/>
              <w:jc w:val="center"/>
              <w:rPr>
                <w:rFonts w:cstheme="minorHAnsi"/>
                <w:b/>
              </w:rPr>
            </w:pPr>
            <w:r w:rsidRPr="00DA1062">
              <w:rPr>
                <w:rFonts w:asciiTheme="minorHAnsi" w:hAnsiTheme="minorHAnsi" w:cstheme="minorHAnsi"/>
                <w:b/>
              </w:rPr>
              <w:t>SCOPE</w:t>
            </w:r>
          </w:p>
        </w:tc>
      </w:tr>
      <w:tr w:rsidR="00C71EFA" w:rsidRPr="00DA1062" w14:paraId="14BE7A77" w14:textId="77777777" w:rsidTr="001F48EC">
        <w:trPr>
          <w:trHeight w:val="737"/>
        </w:trPr>
        <w:tc>
          <w:tcPr>
            <w:tcW w:w="1809" w:type="dxa"/>
            <w:shd w:val="clear" w:color="auto" w:fill="D9D9D9" w:themeFill="background1" w:themeFillShade="D9"/>
            <w:vAlign w:val="center"/>
          </w:tcPr>
          <w:p w14:paraId="14BE7A72" w14:textId="77777777" w:rsidR="00C71EFA" w:rsidRPr="00DA1062" w:rsidRDefault="00C71EFA" w:rsidP="00F83731">
            <w:pPr>
              <w:keepNext/>
              <w:keepLines/>
              <w:jc w:val="center"/>
              <w:rPr>
                <w:rFonts w:asciiTheme="minorHAnsi" w:hAnsiTheme="minorHAnsi" w:cstheme="minorHAnsi"/>
                <w:b/>
              </w:rPr>
            </w:pPr>
            <w:r w:rsidRPr="00DA1062">
              <w:rPr>
                <w:rFonts w:asciiTheme="minorHAnsi" w:hAnsiTheme="minorHAnsi" w:cstheme="minorHAnsi"/>
                <w:b/>
              </w:rPr>
              <w:t>IT capacity building</w:t>
            </w:r>
          </w:p>
        </w:tc>
        <w:tc>
          <w:tcPr>
            <w:tcW w:w="1276" w:type="dxa"/>
            <w:vAlign w:val="center"/>
          </w:tcPr>
          <w:p w14:paraId="14BE7A73" w14:textId="77777777" w:rsidR="00C71EFA" w:rsidRPr="00DA1062" w:rsidRDefault="00C71EFA" w:rsidP="00F83731">
            <w:pPr>
              <w:keepNext/>
              <w:keepLines/>
              <w:jc w:val="center"/>
              <w:rPr>
                <w:rFonts w:asciiTheme="minorHAnsi" w:hAnsiTheme="minorHAnsi" w:cstheme="minorHAnsi"/>
              </w:rPr>
            </w:pPr>
            <w:r w:rsidRPr="00DA1062">
              <w:rPr>
                <w:rFonts w:asciiTheme="minorHAnsi" w:hAnsiTheme="minorHAnsi" w:cstheme="minorHAnsi"/>
              </w:rPr>
              <w:t>0-None</w:t>
            </w:r>
          </w:p>
        </w:tc>
        <w:tc>
          <w:tcPr>
            <w:tcW w:w="1916" w:type="dxa"/>
            <w:shd w:val="clear" w:color="auto" w:fill="92D050"/>
            <w:vAlign w:val="center"/>
          </w:tcPr>
          <w:p w14:paraId="14BE7A74" w14:textId="77777777" w:rsidR="00C71EFA" w:rsidRPr="00DA1062" w:rsidRDefault="00C71EFA" w:rsidP="00F83731">
            <w:pPr>
              <w:keepNext/>
              <w:keepLines/>
              <w:jc w:val="center"/>
              <w:rPr>
                <w:rFonts w:asciiTheme="minorHAnsi" w:hAnsiTheme="minorHAnsi" w:cstheme="minorHAnsi"/>
              </w:rPr>
            </w:pPr>
            <w:r w:rsidRPr="00DA1062">
              <w:rPr>
                <w:rFonts w:asciiTheme="minorHAnsi" w:hAnsiTheme="minorHAnsi" w:cstheme="minorHAnsi"/>
              </w:rPr>
              <w:t>1-Legacy 2020</w:t>
            </w:r>
          </w:p>
        </w:tc>
        <w:tc>
          <w:tcPr>
            <w:tcW w:w="1916" w:type="dxa"/>
            <w:gridSpan w:val="2"/>
            <w:shd w:val="clear" w:color="auto" w:fill="92D050"/>
            <w:vAlign w:val="center"/>
          </w:tcPr>
          <w:p w14:paraId="14BE7A75" w14:textId="77777777" w:rsidR="00C71EFA" w:rsidRPr="00DA1062" w:rsidRDefault="00C71EFA" w:rsidP="00F83731">
            <w:pPr>
              <w:keepNext/>
              <w:keepLines/>
              <w:jc w:val="center"/>
              <w:rPr>
                <w:rFonts w:asciiTheme="minorHAnsi" w:hAnsiTheme="minorHAnsi" w:cstheme="minorHAnsi"/>
              </w:rPr>
            </w:pPr>
            <w:r>
              <w:rPr>
                <w:rFonts w:asciiTheme="minorHAnsi" w:hAnsiTheme="minorHAnsi" w:cstheme="minorHAnsi"/>
              </w:rPr>
              <w:t>2</w:t>
            </w:r>
            <w:r w:rsidRPr="00DA1062">
              <w:rPr>
                <w:rFonts w:asciiTheme="minorHAnsi" w:hAnsiTheme="minorHAnsi" w:cstheme="minorHAnsi"/>
              </w:rPr>
              <w:t>-Future projects</w:t>
            </w:r>
          </w:p>
        </w:tc>
        <w:tc>
          <w:tcPr>
            <w:tcW w:w="1917" w:type="dxa"/>
            <w:vAlign w:val="center"/>
          </w:tcPr>
          <w:p w14:paraId="14BE7A76" w14:textId="77777777" w:rsidR="00C71EFA" w:rsidRPr="00DA1062" w:rsidRDefault="00C71EFA" w:rsidP="00F83731">
            <w:pPr>
              <w:keepNext/>
              <w:keepLines/>
              <w:jc w:val="center"/>
              <w:rPr>
                <w:rFonts w:cstheme="minorHAnsi"/>
              </w:rPr>
            </w:pPr>
            <w:r>
              <w:rPr>
                <w:rFonts w:asciiTheme="minorHAnsi" w:hAnsiTheme="minorHAnsi" w:cstheme="minorHAnsi"/>
              </w:rPr>
              <w:t>3</w:t>
            </w:r>
            <w:r w:rsidRPr="00DA1062">
              <w:rPr>
                <w:rFonts w:asciiTheme="minorHAnsi" w:hAnsiTheme="minorHAnsi" w:cstheme="minorHAnsi"/>
              </w:rPr>
              <w:t>-Innovation</w:t>
            </w:r>
          </w:p>
        </w:tc>
      </w:tr>
      <w:tr w:rsidR="008A1FDD" w:rsidRPr="00DA1062" w14:paraId="14BE7A7D" w14:textId="77777777" w:rsidTr="006C1A74">
        <w:trPr>
          <w:trHeight w:val="737"/>
        </w:trPr>
        <w:tc>
          <w:tcPr>
            <w:tcW w:w="1809" w:type="dxa"/>
            <w:shd w:val="clear" w:color="auto" w:fill="D9D9D9" w:themeFill="background1" w:themeFillShade="D9"/>
            <w:vAlign w:val="center"/>
          </w:tcPr>
          <w:p w14:paraId="14BE7A78" w14:textId="77777777" w:rsidR="008A1FDD" w:rsidRPr="00DA1062" w:rsidRDefault="008A1FDD" w:rsidP="00F83731">
            <w:pPr>
              <w:keepNext/>
              <w:keepLines/>
              <w:jc w:val="center"/>
              <w:rPr>
                <w:rFonts w:asciiTheme="minorHAnsi" w:hAnsiTheme="minorHAnsi" w:cstheme="minorHAnsi"/>
              </w:rPr>
            </w:pPr>
            <w:r w:rsidRPr="00DA1062">
              <w:rPr>
                <w:rFonts w:asciiTheme="minorHAnsi" w:hAnsiTheme="minorHAnsi" w:cstheme="minorHAnsi"/>
                <w:b/>
              </w:rPr>
              <w:t>Joint actions</w:t>
            </w:r>
          </w:p>
        </w:tc>
        <w:tc>
          <w:tcPr>
            <w:tcW w:w="1276" w:type="dxa"/>
            <w:vAlign w:val="center"/>
          </w:tcPr>
          <w:p w14:paraId="14BE7A79" w14:textId="77777777" w:rsidR="008A1FDD" w:rsidRPr="00DA1062" w:rsidRDefault="008A1FDD" w:rsidP="00F83731">
            <w:pPr>
              <w:keepNext/>
              <w:keepLines/>
              <w:jc w:val="center"/>
              <w:rPr>
                <w:rFonts w:asciiTheme="minorHAnsi" w:hAnsiTheme="minorHAnsi" w:cstheme="minorHAnsi"/>
              </w:rPr>
            </w:pPr>
            <w:r w:rsidRPr="00DA1062">
              <w:rPr>
                <w:rFonts w:asciiTheme="minorHAnsi" w:hAnsiTheme="minorHAnsi" w:cstheme="minorHAnsi"/>
              </w:rPr>
              <w:t>0-None</w:t>
            </w:r>
          </w:p>
        </w:tc>
        <w:tc>
          <w:tcPr>
            <w:tcW w:w="1916" w:type="dxa"/>
            <w:vAlign w:val="center"/>
          </w:tcPr>
          <w:p w14:paraId="14BE7A7A" w14:textId="77777777" w:rsidR="008A1FDD" w:rsidRPr="00DA1062" w:rsidRDefault="008A1FDD" w:rsidP="00F83731">
            <w:pPr>
              <w:keepNext/>
              <w:keepLines/>
              <w:jc w:val="center"/>
              <w:rPr>
                <w:rFonts w:asciiTheme="minorHAnsi" w:hAnsiTheme="minorHAnsi" w:cstheme="minorHAnsi"/>
              </w:rPr>
            </w:pPr>
            <w:r w:rsidRPr="00DA1062">
              <w:rPr>
                <w:rFonts w:asciiTheme="minorHAnsi" w:hAnsiTheme="minorHAnsi" w:cstheme="minorHAnsi"/>
              </w:rPr>
              <w:t>1-</w:t>
            </w:r>
            <w:r>
              <w:rPr>
                <w:rFonts w:asciiTheme="minorHAnsi" w:hAnsiTheme="minorHAnsi" w:cstheme="minorHAnsi"/>
              </w:rPr>
              <w:t>Limited</w:t>
            </w:r>
            <w:r w:rsidRPr="00DA1062">
              <w:rPr>
                <w:rFonts w:asciiTheme="minorHAnsi" w:hAnsiTheme="minorHAnsi" w:cstheme="minorHAnsi"/>
              </w:rPr>
              <w:t xml:space="preserve"> basic </w:t>
            </w:r>
            <w:r>
              <w:rPr>
                <w:rFonts w:asciiTheme="minorHAnsi" w:hAnsiTheme="minorHAnsi" w:cstheme="minorHAnsi"/>
              </w:rPr>
              <w:br/>
              <w:t xml:space="preserve">joint </w:t>
            </w:r>
            <w:r w:rsidRPr="00DA1062">
              <w:rPr>
                <w:rFonts w:asciiTheme="minorHAnsi" w:hAnsiTheme="minorHAnsi" w:cstheme="minorHAnsi"/>
              </w:rPr>
              <w:t>actions</w:t>
            </w:r>
          </w:p>
        </w:tc>
        <w:tc>
          <w:tcPr>
            <w:tcW w:w="1916" w:type="dxa"/>
            <w:gridSpan w:val="2"/>
            <w:shd w:val="clear" w:color="auto" w:fill="92D050"/>
            <w:vAlign w:val="center"/>
          </w:tcPr>
          <w:p w14:paraId="14BE7A7B" w14:textId="77777777" w:rsidR="008A1FDD" w:rsidRPr="00DA1062" w:rsidRDefault="008A1FDD" w:rsidP="00F83731">
            <w:pPr>
              <w:keepNext/>
              <w:keepLines/>
              <w:jc w:val="center"/>
              <w:rPr>
                <w:rFonts w:asciiTheme="minorHAnsi" w:hAnsiTheme="minorHAnsi" w:cstheme="minorHAnsi"/>
              </w:rPr>
            </w:pPr>
            <w:r w:rsidRPr="00DA1062">
              <w:rPr>
                <w:rFonts w:asciiTheme="minorHAnsi" w:hAnsiTheme="minorHAnsi" w:cstheme="minorHAnsi"/>
              </w:rPr>
              <w:t>2-All basic</w:t>
            </w:r>
            <w:r>
              <w:rPr>
                <w:rFonts w:asciiTheme="minorHAnsi" w:hAnsiTheme="minorHAnsi" w:cstheme="minorHAnsi"/>
              </w:rPr>
              <w:t xml:space="preserve"> </w:t>
            </w:r>
            <w:r>
              <w:rPr>
                <w:rFonts w:asciiTheme="minorHAnsi" w:hAnsiTheme="minorHAnsi" w:cstheme="minorHAnsi"/>
              </w:rPr>
              <w:br/>
              <w:t>joint</w:t>
            </w:r>
            <w:r w:rsidRPr="00DA1062">
              <w:rPr>
                <w:rFonts w:asciiTheme="minorHAnsi" w:hAnsiTheme="minorHAnsi" w:cstheme="minorHAnsi"/>
              </w:rPr>
              <w:t xml:space="preserve"> actions</w:t>
            </w:r>
          </w:p>
        </w:tc>
        <w:tc>
          <w:tcPr>
            <w:tcW w:w="1917" w:type="dxa"/>
            <w:shd w:val="clear" w:color="auto" w:fill="92D050"/>
            <w:vAlign w:val="center"/>
          </w:tcPr>
          <w:p w14:paraId="14BE7A7C" w14:textId="77777777" w:rsidR="008A1FDD" w:rsidRPr="00DA1062" w:rsidRDefault="008A1FDD" w:rsidP="00F83731">
            <w:pPr>
              <w:keepNext/>
              <w:keepLines/>
              <w:jc w:val="center"/>
              <w:rPr>
                <w:rFonts w:cstheme="minorHAnsi"/>
              </w:rPr>
            </w:pPr>
            <w:r w:rsidRPr="00DA1062">
              <w:rPr>
                <w:rFonts w:asciiTheme="minorHAnsi" w:hAnsiTheme="minorHAnsi" w:cstheme="minorHAnsi"/>
              </w:rPr>
              <w:t>3-Enhanced operational cooperation</w:t>
            </w:r>
          </w:p>
        </w:tc>
      </w:tr>
      <w:tr w:rsidR="008A1FDD" w:rsidRPr="00DA1062" w14:paraId="14BE7A83" w14:textId="77777777" w:rsidTr="008A1FDD">
        <w:trPr>
          <w:trHeight w:val="737"/>
        </w:trPr>
        <w:tc>
          <w:tcPr>
            <w:tcW w:w="1809" w:type="dxa"/>
            <w:shd w:val="clear" w:color="auto" w:fill="D9D9D9" w:themeFill="background1" w:themeFillShade="D9"/>
            <w:vAlign w:val="center"/>
          </w:tcPr>
          <w:p w14:paraId="14BE7A7E" w14:textId="77777777" w:rsidR="008A1FDD" w:rsidRPr="00DA1062" w:rsidRDefault="008A1FDD" w:rsidP="00F83731">
            <w:pPr>
              <w:keepNext/>
              <w:keepLines/>
              <w:jc w:val="center"/>
              <w:rPr>
                <w:rFonts w:asciiTheme="minorHAnsi" w:hAnsiTheme="minorHAnsi" w:cstheme="minorHAnsi"/>
              </w:rPr>
            </w:pPr>
            <w:r w:rsidRPr="00DA1062">
              <w:rPr>
                <w:rFonts w:asciiTheme="minorHAnsi" w:hAnsiTheme="minorHAnsi" w:cstheme="minorHAnsi"/>
                <w:b/>
              </w:rPr>
              <w:t xml:space="preserve">Human capacity building </w:t>
            </w:r>
            <w:r w:rsidRPr="00DA1062">
              <w:rPr>
                <w:rFonts w:asciiTheme="minorHAnsi" w:hAnsiTheme="minorHAnsi" w:cstheme="minorHAnsi"/>
                <w:b/>
              </w:rPr>
              <w:br/>
            </w:r>
            <w:r w:rsidRPr="00DA1062">
              <w:rPr>
                <w:rFonts w:asciiTheme="minorHAnsi" w:hAnsiTheme="minorHAnsi" w:cstheme="minorHAnsi"/>
              </w:rPr>
              <w:t>(incl. support)</w:t>
            </w:r>
          </w:p>
        </w:tc>
        <w:tc>
          <w:tcPr>
            <w:tcW w:w="1276" w:type="dxa"/>
            <w:vAlign w:val="center"/>
          </w:tcPr>
          <w:p w14:paraId="14BE7A7F" w14:textId="77777777" w:rsidR="008A1FDD" w:rsidRPr="00DA1062" w:rsidRDefault="008A1FDD" w:rsidP="00F83731">
            <w:pPr>
              <w:keepNext/>
              <w:keepLines/>
              <w:jc w:val="center"/>
              <w:rPr>
                <w:rFonts w:asciiTheme="minorHAnsi" w:hAnsiTheme="minorHAnsi" w:cstheme="minorHAnsi"/>
              </w:rPr>
            </w:pPr>
            <w:r w:rsidRPr="00DA1062">
              <w:rPr>
                <w:rFonts w:asciiTheme="minorHAnsi" w:hAnsiTheme="minorHAnsi" w:cstheme="minorHAnsi"/>
              </w:rPr>
              <w:t>0-None</w:t>
            </w:r>
          </w:p>
        </w:tc>
        <w:tc>
          <w:tcPr>
            <w:tcW w:w="1916" w:type="dxa"/>
            <w:vAlign w:val="center"/>
          </w:tcPr>
          <w:p w14:paraId="14BE7A80" w14:textId="77777777" w:rsidR="008A1FDD" w:rsidRPr="00DA1062" w:rsidRDefault="008A1FDD" w:rsidP="00F83731">
            <w:pPr>
              <w:keepNext/>
              <w:keepLines/>
              <w:jc w:val="center"/>
              <w:rPr>
                <w:rFonts w:asciiTheme="minorHAnsi" w:hAnsiTheme="minorHAnsi" w:cstheme="minorHAnsi"/>
              </w:rPr>
            </w:pPr>
            <w:r w:rsidRPr="00DA1062">
              <w:rPr>
                <w:rFonts w:asciiTheme="minorHAnsi" w:hAnsiTheme="minorHAnsi" w:cstheme="minorHAnsi"/>
              </w:rPr>
              <w:t>1-Focused training</w:t>
            </w:r>
          </w:p>
        </w:tc>
        <w:tc>
          <w:tcPr>
            <w:tcW w:w="1916" w:type="dxa"/>
            <w:gridSpan w:val="2"/>
            <w:shd w:val="clear" w:color="auto" w:fill="92D050"/>
            <w:vAlign w:val="center"/>
          </w:tcPr>
          <w:p w14:paraId="14BE7A81" w14:textId="77777777" w:rsidR="008A1FDD" w:rsidRPr="00DA1062" w:rsidRDefault="008A1FDD" w:rsidP="00F83731">
            <w:pPr>
              <w:keepNext/>
              <w:keepLines/>
              <w:jc w:val="center"/>
              <w:rPr>
                <w:rFonts w:asciiTheme="minorHAnsi" w:hAnsiTheme="minorHAnsi" w:cstheme="minorHAnsi"/>
              </w:rPr>
            </w:pPr>
            <w:r w:rsidRPr="00DA1062">
              <w:rPr>
                <w:rFonts w:asciiTheme="minorHAnsi" w:hAnsiTheme="minorHAnsi" w:cstheme="minorHAnsi"/>
              </w:rPr>
              <w:t>2-All basic human capacity actions</w:t>
            </w:r>
          </w:p>
        </w:tc>
        <w:tc>
          <w:tcPr>
            <w:tcW w:w="1917" w:type="dxa"/>
            <w:shd w:val="clear" w:color="auto" w:fill="auto"/>
            <w:vAlign w:val="center"/>
          </w:tcPr>
          <w:p w14:paraId="14BE7A82" w14:textId="77777777" w:rsidR="008A1FDD" w:rsidRPr="00DA1062" w:rsidRDefault="008A1FDD" w:rsidP="00F83731">
            <w:pPr>
              <w:keepNext/>
              <w:keepLines/>
              <w:jc w:val="center"/>
              <w:rPr>
                <w:rFonts w:asciiTheme="minorHAnsi" w:hAnsiTheme="minorHAnsi" w:cstheme="minorHAnsi"/>
              </w:rPr>
            </w:pPr>
            <w:r w:rsidRPr="00DA1062">
              <w:rPr>
                <w:rFonts w:asciiTheme="minorHAnsi" w:hAnsiTheme="minorHAnsi" w:cstheme="minorHAnsi"/>
              </w:rPr>
              <w:t>3-Enhanced human capacity building</w:t>
            </w:r>
          </w:p>
        </w:tc>
      </w:tr>
      <w:tr w:rsidR="005F478A" w:rsidRPr="00DA1062" w14:paraId="14BE7A88" w14:textId="77777777" w:rsidTr="005F478A">
        <w:trPr>
          <w:trHeight w:val="369"/>
        </w:trPr>
        <w:tc>
          <w:tcPr>
            <w:tcW w:w="1809" w:type="dxa"/>
            <w:vMerge w:val="restart"/>
            <w:shd w:val="clear" w:color="auto" w:fill="D9D9D9" w:themeFill="background1" w:themeFillShade="D9"/>
            <w:vAlign w:val="center"/>
          </w:tcPr>
          <w:p w14:paraId="14BE7A84" w14:textId="6695BB0F" w:rsidR="005F478A" w:rsidRPr="001663C0" w:rsidRDefault="000D33B5" w:rsidP="00F83731">
            <w:pPr>
              <w:keepNext/>
              <w:keepLines/>
              <w:jc w:val="center"/>
              <w:rPr>
                <w:rFonts w:cstheme="minorHAnsi"/>
                <w:b/>
                <w:lang w:val="fr-BE"/>
              </w:rPr>
            </w:pPr>
            <w:r>
              <w:rPr>
                <w:rFonts w:asciiTheme="minorHAnsi" w:hAnsiTheme="minorHAnsi" w:cstheme="minorHAnsi"/>
                <w:b/>
                <w:lang w:val="fr-BE"/>
              </w:rPr>
              <w:t>International cooperation</w:t>
            </w:r>
          </w:p>
        </w:tc>
        <w:tc>
          <w:tcPr>
            <w:tcW w:w="1276" w:type="dxa"/>
            <w:vMerge w:val="restart"/>
            <w:shd w:val="clear" w:color="auto" w:fill="auto"/>
            <w:vAlign w:val="center"/>
          </w:tcPr>
          <w:p w14:paraId="14BE7A85" w14:textId="77777777" w:rsidR="005F478A" w:rsidRPr="00DA1062" w:rsidRDefault="005F478A" w:rsidP="00F83731">
            <w:pPr>
              <w:keepNext/>
              <w:keepLines/>
              <w:jc w:val="center"/>
              <w:rPr>
                <w:rFonts w:cstheme="minorHAnsi"/>
              </w:rPr>
            </w:pPr>
            <w:r w:rsidRPr="00DA1062">
              <w:rPr>
                <w:rFonts w:asciiTheme="minorHAnsi" w:hAnsiTheme="minorHAnsi" w:cstheme="minorHAnsi"/>
              </w:rPr>
              <w:t>0-None</w:t>
            </w:r>
          </w:p>
        </w:tc>
        <w:tc>
          <w:tcPr>
            <w:tcW w:w="2874" w:type="dxa"/>
            <w:gridSpan w:val="2"/>
            <w:shd w:val="clear" w:color="auto" w:fill="92D050"/>
            <w:vAlign w:val="center"/>
          </w:tcPr>
          <w:p w14:paraId="14BE7A86" w14:textId="77777777" w:rsidR="005F478A" w:rsidRPr="005F478A" w:rsidRDefault="005F478A" w:rsidP="00F83731">
            <w:pPr>
              <w:keepNext/>
              <w:keepLines/>
              <w:jc w:val="center"/>
              <w:rPr>
                <w:rFonts w:asciiTheme="minorHAnsi" w:hAnsiTheme="minorHAnsi" w:cstheme="minorHAnsi"/>
              </w:rPr>
            </w:pPr>
            <w:r w:rsidRPr="005F478A">
              <w:rPr>
                <w:rFonts w:asciiTheme="minorHAnsi" w:hAnsiTheme="minorHAnsi" w:cstheme="minorHAnsi"/>
              </w:rPr>
              <w:t>1</w:t>
            </w:r>
            <w:r>
              <w:rPr>
                <w:rFonts w:asciiTheme="minorHAnsi" w:hAnsiTheme="minorHAnsi" w:cstheme="minorHAnsi"/>
              </w:rPr>
              <w:t>a</w:t>
            </w:r>
            <w:r w:rsidRPr="005F478A">
              <w:rPr>
                <w:rFonts w:asciiTheme="minorHAnsi" w:hAnsiTheme="minorHAnsi" w:cstheme="minorHAnsi"/>
              </w:rPr>
              <w:t>-Joint events</w:t>
            </w:r>
          </w:p>
        </w:tc>
        <w:tc>
          <w:tcPr>
            <w:tcW w:w="2875" w:type="dxa"/>
            <w:gridSpan w:val="2"/>
            <w:shd w:val="clear" w:color="auto" w:fill="auto"/>
            <w:vAlign w:val="center"/>
          </w:tcPr>
          <w:p w14:paraId="14BE7A87" w14:textId="77777777" w:rsidR="005F478A" w:rsidRPr="005F478A" w:rsidRDefault="005F478A" w:rsidP="00F83731">
            <w:pPr>
              <w:keepNext/>
              <w:keepLines/>
              <w:jc w:val="center"/>
              <w:rPr>
                <w:rFonts w:asciiTheme="minorHAnsi" w:hAnsiTheme="minorHAnsi" w:cstheme="minorHAnsi"/>
              </w:rPr>
            </w:pPr>
            <w:r w:rsidRPr="005F478A">
              <w:rPr>
                <w:rFonts w:asciiTheme="minorHAnsi" w:hAnsiTheme="minorHAnsi" w:cstheme="minorHAnsi"/>
              </w:rPr>
              <w:t>2</w:t>
            </w:r>
            <w:r>
              <w:rPr>
                <w:rFonts w:asciiTheme="minorHAnsi" w:hAnsiTheme="minorHAnsi" w:cstheme="minorHAnsi"/>
              </w:rPr>
              <w:t>a</w:t>
            </w:r>
            <w:r w:rsidRPr="005F478A">
              <w:rPr>
                <w:rFonts w:asciiTheme="minorHAnsi" w:hAnsiTheme="minorHAnsi" w:cstheme="minorHAnsi"/>
              </w:rPr>
              <w:t>-Joint actions</w:t>
            </w:r>
          </w:p>
        </w:tc>
      </w:tr>
      <w:tr w:rsidR="005F478A" w:rsidRPr="00DA1062" w14:paraId="14BE7A8E" w14:textId="77777777" w:rsidTr="005F478A">
        <w:trPr>
          <w:trHeight w:val="369"/>
        </w:trPr>
        <w:tc>
          <w:tcPr>
            <w:tcW w:w="1809" w:type="dxa"/>
            <w:vMerge/>
            <w:shd w:val="clear" w:color="auto" w:fill="D9D9D9" w:themeFill="background1" w:themeFillShade="D9"/>
            <w:vAlign w:val="center"/>
          </w:tcPr>
          <w:p w14:paraId="14BE7A89" w14:textId="77777777" w:rsidR="005F478A" w:rsidRPr="00DA1062" w:rsidRDefault="005F478A" w:rsidP="00F83731">
            <w:pPr>
              <w:keepNext/>
              <w:keepLines/>
              <w:jc w:val="center"/>
              <w:rPr>
                <w:rFonts w:cstheme="minorHAnsi"/>
                <w:b/>
              </w:rPr>
            </w:pPr>
          </w:p>
        </w:tc>
        <w:tc>
          <w:tcPr>
            <w:tcW w:w="1276" w:type="dxa"/>
            <w:vMerge/>
            <w:shd w:val="clear" w:color="auto" w:fill="auto"/>
            <w:vAlign w:val="center"/>
          </w:tcPr>
          <w:p w14:paraId="14BE7A8A" w14:textId="77777777" w:rsidR="005F478A" w:rsidRPr="00DA1062" w:rsidRDefault="005F478A" w:rsidP="00F83731">
            <w:pPr>
              <w:keepNext/>
              <w:keepLines/>
              <w:jc w:val="center"/>
              <w:rPr>
                <w:rFonts w:cstheme="minorHAnsi"/>
              </w:rPr>
            </w:pPr>
          </w:p>
        </w:tc>
        <w:tc>
          <w:tcPr>
            <w:tcW w:w="1916" w:type="dxa"/>
            <w:shd w:val="clear" w:color="auto" w:fill="92D050"/>
            <w:vAlign w:val="center"/>
          </w:tcPr>
          <w:p w14:paraId="14BE7A8B" w14:textId="77777777" w:rsidR="005F478A" w:rsidRPr="005F478A" w:rsidRDefault="005F478A" w:rsidP="00F83731">
            <w:pPr>
              <w:keepNext/>
              <w:keepLines/>
              <w:jc w:val="center"/>
              <w:rPr>
                <w:rFonts w:asciiTheme="minorHAnsi" w:hAnsiTheme="minorHAnsi" w:cstheme="minorHAnsi"/>
              </w:rPr>
            </w:pPr>
            <w:r>
              <w:rPr>
                <w:rFonts w:asciiTheme="minorHAnsi" w:hAnsiTheme="minorHAnsi" w:cstheme="minorHAnsi"/>
              </w:rPr>
              <w:t xml:space="preserve">1b-Shared IT </w:t>
            </w:r>
            <w:r w:rsidRPr="005F478A">
              <w:rPr>
                <w:rFonts w:asciiTheme="minorHAnsi" w:hAnsiTheme="minorHAnsi" w:cstheme="minorHAnsi"/>
              </w:rPr>
              <w:t>specifications</w:t>
            </w:r>
            <w:r>
              <w:rPr>
                <w:rFonts w:asciiTheme="minorHAnsi" w:hAnsiTheme="minorHAnsi" w:cstheme="minorHAnsi"/>
              </w:rPr>
              <w:t xml:space="preserve"> </w:t>
            </w:r>
          </w:p>
        </w:tc>
        <w:tc>
          <w:tcPr>
            <w:tcW w:w="1916" w:type="dxa"/>
            <w:gridSpan w:val="2"/>
            <w:shd w:val="clear" w:color="auto" w:fill="auto"/>
            <w:vAlign w:val="center"/>
          </w:tcPr>
          <w:p w14:paraId="14BE7A8C" w14:textId="77777777" w:rsidR="005F478A" w:rsidRPr="005F478A" w:rsidRDefault="005F478A" w:rsidP="00F83731">
            <w:pPr>
              <w:keepNext/>
              <w:keepLines/>
              <w:jc w:val="center"/>
              <w:rPr>
                <w:rFonts w:asciiTheme="minorHAnsi" w:hAnsiTheme="minorHAnsi" w:cstheme="minorHAnsi"/>
              </w:rPr>
            </w:pPr>
            <w:r>
              <w:rPr>
                <w:rFonts w:asciiTheme="minorHAnsi" w:hAnsiTheme="minorHAnsi" w:cstheme="minorHAnsi"/>
              </w:rPr>
              <w:t>2b-</w:t>
            </w:r>
            <w:r w:rsidRPr="005F478A">
              <w:rPr>
                <w:rFonts w:asciiTheme="minorHAnsi" w:hAnsiTheme="minorHAnsi" w:cstheme="minorHAnsi"/>
              </w:rPr>
              <w:t xml:space="preserve"> </w:t>
            </w:r>
            <w:r>
              <w:rPr>
                <w:rFonts w:asciiTheme="minorHAnsi" w:hAnsiTheme="minorHAnsi" w:cstheme="minorHAnsi"/>
              </w:rPr>
              <w:t>Shared s</w:t>
            </w:r>
            <w:r w:rsidRPr="005F478A">
              <w:rPr>
                <w:rFonts w:asciiTheme="minorHAnsi" w:hAnsiTheme="minorHAnsi" w:cstheme="minorHAnsi"/>
              </w:rPr>
              <w:t>pecific software modules</w:t>
            </w:r>
          </w:p>
        </w:tc>
        <w:tc>
          <w:tcPr>
            <w:tcW w:w="1917" w:type="dxa"/>
            <w:shd w:val="clear" w:color="auto" w:fill="auto"/>
            <w:vAlign w:val="center"/>
          </w:tcPr>
          <w:p w14:paraId="14BE7A8D" w14:textId="77777777" w:rsidR="005F478A" w:rsidRPr="005F478A" w:rsidRDefault="005F478A" w:rsidP="00F83731">
            <w:pPr>
              <w:keepNext/>
              <w:keepLines/>
              <w:jc w:val="center"/>
              <w:rPr>
                <w:rFonts w:asciiTheme="minorHAnsi" w:hAnsiTheme="minorHAnsi" w:cstheme="minorHAnsi"/>
              </w:rPr>
            </w:pPr>
            <w:r>
              <w:rPr>
                <w:rFonts w:asciiTheme="minorHAnsi" w:hAnsiTheme="minorHAnsi" w:cstheme="minorHAnsi"/>
              </w:rPr>
              <w:t>3b-</w:t>
            </w:r>
            <w:r w:rsidRPr="005F478A">
              <w:rPr>
                <w:rFonts w:asciiTheme="minorHAnsi" w:hAnsiTheme="minorHAnsi" w:cstheme="minorHAnsi"/>
              </w:rPr>
              <w:t xml:space="preserve"> </w:t>
            </w:r>
            <w:r>
              <w:rPr>
                <w:rFonts w:asciiTheme="minorHAnsi" w:hAnsiTheme="minorHAnsi" w:cstheme="minorHAnsi"/>
              </w:rPr>
              <w:t>Shared fully functional application</w:t>
            </w:r>
          </w:p>
        </w:tc>
      </w:tr>
      <w:tr w:rsidR="008A1FDD" w:rsidRPr="00DA1062" w14:paraId="14BE7A93" w14:textId="77777777" w:rsidTr="008A1FDD">
        <w:trPr>
          <w:trHeight w:val="737"/>
        </w:trPr>
        <w:tc>
          <w:tcPr>
            <w:tcW w:w="1809" w:type="dxa"/>
            <w:shd w:val="clear" w:color="auto" w:fill="D9D9D9" w:themeFill="background1" w:themeFillShade="D9"/>
            <w:vAlign w:val="center"/>
          </w:tcPr>
          <w:p w14:paraId="14BE7A8F" w14:textId="77777777" w:rsidR="008A1FDD" w:rsidRPr="00DA1062" w:rsidRDefault="008A1FDD" w:rsidP="00F83731">
            <w:pPr>
              <w:keepNext/>
              <w:keepLines/>
              <w:jc w:val="center"/>
              <w:rPr>
                <w:rFonts w:asciiTheme="minorHAnsi" w:hAnsiTheme="minorHAnsi" w:cstheme="minorHAnsi"/>
              </w:rPr>
            </w:pPr>
            <w:r w:rsidRPr="00DA1062">
              <w:rPr>
                <w:rFonts w:asciiTheme="minorHAnsi" w:hAnsiTheme="minorHAnsi" w:cstheme="minorHAnsi"/>
                <w:b/>
              </w:rPr>
              <w:t>Centralisation</w:t>
            </w:r>
          </w:p>
        </w:tc>
        <w:tc>
          <w:tcPr>
            <w:tcW w:w="1276" w:type="dxa"/>
            <w:shd w:val="clear" w:color="auto" w:fill="92D050"/>
            <w:vAlign w:val="center"/>
          </w:tcPr>
          <w:p w14:paraId="14BE7A90" w14:textId="77777777" w:rsidR="008A1FDD" w:rsidRPr="00DA1062" w:rsidRDefault="008A1FDD" w:rsidP="00F83731">
            <w:pPr>
              <w:keepNext/>
              <w:keepLines/>
              <w:jc w:val="center"/>
              <w:rPr>
                <w:rFonts w:asciiTheme="minorHAnsi" w:hAnsiTheme="minorHAnsi" w:cstheme="minorHAnsi"/>
              </w:rPr>
            </w:pPr>
            <w:r w:rsidRPr="00DA1062">
              <w:rPr>
                <w:rFonts w:asciiTheme="minorHAnsi" w:hAnsiTheme="minorHAnsi" w:cstheme="minorHAnsi"/>
              </w:rPr>
              <w:t>0-None</w:t>
            </w:r>
          </w:p>
        </w:tc>
        <w:tc>
          <w:tcPr>
            <w:tcW w:w="2874" w:type="dxa"/>
            <w:gridSpan w:val="2"/>
            <w:vAlign w:val="center"/>
          </w:tcPr>
          <w:p w14:paraId="14BE7A91" w14:textId="77777777" w:rsidR="008A1FDD" w:rsidRPr="00DA1062" w:rsidRDefault="008A1FDD" w:rsidP="00F83731">
            <w:pPr>
              <w:keepNext/>
              <w:keepLines/>
              <w:jc w:val="center"/>
              <w:rPr>
                <w:rFonts w:asciiTheme="minorHAnsi" w:hAnsiTheme="minorHAnsi" w:cstheme="minorHAnsi"/>
              </w:rPr>
            </w:pPr>
            <w:r w:rsidRPr="00DA1062">
              <w:rPr>
                <w:rFonts w:asciiTheme="minorHAnsi" w:hAnsiTheme="minorHAnsi" w:cstheme="minorHAnsi"/>
              </w:rPr>
              <w:t>1-Voluntary structural cooperation</w:t>
            </w:r>
          </w:p>
        </w:tc>
        <w:tc>
          <w:tcPr>
            <w:tcW w:w="2875" w:type="dxa"/>
            <w:gridSpan w:val="2"/>
            <w:vAlign w:val="center"/>
          </w:tcPr>
          <w:p w14:paraId="14BE7A92" w14:textId="77777777" w:rsidR="008A1FDD" w:rsidRPr="00DA1062" w:rsidRDefault="008A1FDD" w:rsidP="00F83731">
            <w:pPr>
              <w:keepNext/>
              <w:keepLines/>
              <w:jc w:val="center"/>
              <w:rPr>
                <w:rFonts w:asciiTheme="minorHAnsi" w:hAnsiTheme="minorHAnsi" w:cstheme="minorHAnsi"/>
              </w:rPr>
            </w:pPr>
            <w:r w:rsidRPr="00DA1062">
              <w:rPr>
                <w:rFonts w:asciiTheme="minorHAnsi" w:hAnsiTheme="minorHAnsi" w:cstheme="minorHAnsi"/>
              </w:rPr>
              <w:t>2-Centralisation</w:t>
            </w:r>
          </w:p>
        </w:tc>
      </w:tr>
    </w:tbl>
    <w:p w14:paraId="14BE7A94" w14:textId="0D9800E6" w:rsidR="008A1FDD" w:rsidRDefault="008A1FDD" w:rsidP="008A1FDD">
      <w:pPr>
        <w:spacing w:before="200" w:line="240" w:lineRule="auto"/>
        <w:jc w:val="both"/>
        <w:rPr>
          <w:lang w:eastAsia="en-GB"/>
        </w:rPr>
      </w:pPr>
      <w:r>
        <w:rPr>
          <w:lang w:eastAsia="en-GB"/>
        </w:rPr>
        <w:t xml:space="preserve">The </w:t>
      </w:r>
      <w:r w:rsidRPr="00F516AB">
        <w:rPr>
          <w:lang w:eastAsia="en-GB"/>
        </w:rPr>
        <w:t xml:space="preserve">scope of </w:t>
      </w:r>
      <w:r>
        <w:rPr>
          <w:lang w:eastAsia="en-GB"/>
        </w:rPr>
        <w:t>each action</w:t>
      </w:r>
      <w:r w:rsidRPr="00F516AB">
        <w:rPr>
          <w:lang w:eastAsia="en-GB"/>
        </w:rPr>
        <w:t xml:space="preserve"> </w:t>
      </w:r>
      <w:r>
        <w:rPr>
          <w:lang w:eastAsia="en-GB"/>
        </w:rPr>
        <w:t>under</w:t>
      </w:r>
      <w:r w:rsidR="00B52A16">
        <w:rPr>
          <w:lang w:eastAsia="en-GB"/>
        </w:rPr>
        <w:t xml:space="preserve"> </w:t>
      </w:r>
      <w:r>
        <w:rPr>
          <w:lang w:eastAsia="en-GB"/>
        </w:rPr>
        <w:t xml:space="preserve">the </w:t>
      </w:r>
      <w:r w:rsidRPr="00F516AB">
        <w:rPr>
          <w:lang w:eastAsia="en-GB"/>
        </w:rPr>
        <w:t xml:space="preserve">on-going </w:t>
      </w:r>
      <w:r w:rsidR="003A7D12">
        <w:rPr>
          <w:lang w:eastAsia="en-GB"/>
        </w:rPr>
        <w:t>Fiscalis</w:t>
      </w:r>
      <w:r w:rsidRPr="00F516AB">
        <w:rPr>
          <w:lang w:eastAsia="en-GB"/>
        </w:rPr>
        <w:t xml:space="preserve"> 2020 programme </w:t>
      </w:r>
      <w:r>
        <w:rPr>
          <w:lang w:eastAsia="en-GB"/>
        </w:rPr>
        <w:t xml:space="preserve">is highlighted </w:t>
      </w:r>
      <w:r w:rsidRPr="00F516AB">
        <w:rPr>
          <w:lang w:eastAsia="en-GB"/>
        </w:rPr>
        <w:t>in green</w:t>
      </w:r>
      <w:r>
        <w:rPr>
          <w:lang w:eastAsia="en-GB"/>
        </w:rPr>
        <w:t xml:space="preserve">. </w:t>
      </w:r>
    </w:p>
    <w:tbl>
      <w:tblPr>
        <w:tblStyle w:val="TableGrid"/>
        <w:tblW w:w="0" w:type="auto"/>
        <w:tblLook w:val="04A0" w:firstRow="1" w:lastRow="0" w:firstColumn="1" w:lastColumn="0" w:noHBand="0" w:noVBand="1"/>
      </w:tblPr>
      <w:tblGrid>
        <w:gridCol w:w="1809"/>
        <w:gridCol w:w="1276"/>
        <w:gridCol w:w="1916"/>
        <w:gridCol w:w="958"/>
        <w:gridCol w:w="958"/>
        <w:gridCol w:w="1917"/>
      </w:tblGrid>
      <w:tr w:rsidR="00D65F5B" w:rsidRPr="00DA1062" w14:paraId="3D9893D8" w14:textId="77777777" w:rsidTr="00FF632A">
        <w:trPr>
          <w:trHeight w:val="737"/>
        </w:trPr>
        <w:tc>
          <w:tcPr>
            <w:tcW w:w="1809" w:type="dxa"/>
            <w:shd w:val="clear" w:color="auto" w:fill="A6A6A6" w:themeFill="background1" w:themeFillShade="A6"/>
            <w:vAlign w:val="center"/>
          </w:tcPr>
          <w:p w14:paraId="1B6E4F2C" w14:textId="77777777" w:rsidR="00D65F5B" w:rsidRPr="00DA1062" w:rsidRDefault="00D65F5B" w:rsidP="00FF632A">
            <w:pPr>
              <w:keepNext/>
              <w:keepLines/>
              <w:jc w:val="center"/>
              <w:rPr>
                <w:rFonts w:asciiTheme="minorHAnsi" w:hAnsiTheme="minorHAnsi" w:cstheme="minorHAnsi"/>
                <w:b/>
              </w:rPr>
            </w:pPr>
            <w:r w:rsidRPr="00DA1062">
              <w:rPr>
                <w:rFonts w:asciiTheme="minorHAnsi" w:hAnsiTheme="minorHAnsi" w:cstheme="minorHAnsi"/>
                <w:b/>
              </w:rPr>
              <w:t>ACTIONS</w:t>
            </w:r>
          </w:p>
        </w:tc>
        <w:tc>
          <w:tcPr>
            <w:tcW w:w="7025" w:type="dxa"/>
            <w:gridSpan w:val="5"/>
            <w:shd w:val="clear" w:color="auto" w:fill="A6A6A6" w:themeFill="background1" w:themeFillShade="A6"/>
            <w:vAlign w:val="center"/>
          </w:tcPr>
          <w:p w14:paraId="71E01BD4" w14:textId="77777777" w:rsidR="00D65F5B" w:rsidRPr="00DA1062" w:rsidRDefault="00D65F5B" w:rsidP="00FF632A">
            <w:pPr>
              <w:keepNext/>
              <w:keepLines/>
              <w:jc w:val="center"/>
              <w:rPr>
                <w:rFonts w:cstheme="minorHAnsi"/>
                <w:b/>
              </w:rPr>
            </w:pPr>
            <w:r w:rsidRPr="00DA1062">
              <w:rPr>
                <w:rFonts w:asciiTheme="minorHAnsi" w:hAnsiTheme="minorHAnsi" w:cstheme="minorHAnsi"/>
                <w:b/>
              </w:rPr>
              <w:t>SCOPE</w:t>
            </w:r>
          </w:p>
        </w:tc>
      </w:tr>
      <w:tr w:rsidR="00D65F5B" w:rsidRPr="00DA1062" w14:paraId="61D740F1" w14:textId="77777777" w:rsidTr="001F48EC">
        <w:trPr>
          <w:trHeight w:val="737"/>
        </w:trPr>
        <w:tc>
          <w:tcPr>
            <w:tcW w:w="1809" w:type="dxa"/>
            <w:shd w:val="clear" w:color="auto" w:fill="D9D9D9" w:themeFill="background1" w:themeFillShade="D9"/>
            <w:vAlign w:val="center"/>
          </w:tcPr>
          <w:p w14:paraId="216C9AAA" w14:textId="77777777" w:rsidR="00D65F5B" w:rsidRPr="00DA1062" w:rsidRDefault="00D65F5B" w:rsidP="00FF632A">
            <w:pPr>
              <w:keepNext/>
              <w:keepLines/>
              <w:jc w:val="center"/>
              <w:rPr>
                <w:rFonts w:asciiTheme="minorHAnsi" w:hAnsiTheme="minorHAnsi" w:cstheme="minorHAnsi"/>
                <w:b/>
              </w:rPr>
            </w:pPr>
            <w:r w:rsidRPr="00DA1062">
              <w:rPr>
                <w:rFonts w:asciiTheme="minorHAnsi" w:hAnsiTheme="minorHAnsi" w:cstheme="minorHAnsi"/>
                <w:b/>
              </w:rPr>
              <w:t>IT capacity building</w:t>
            </w:r>
          </w:p>
        </w:tc>
        <w:tc>
          <w:tcPr>
            <w:tcW w:w="1276" w:type="dxa"/>
            <w:vAlign w:val="center"/>
          </w:tcPr>
          <w:p w14:paraId="5E763363" w14:textId="77777777" w:rsidR="00D65F5B" w:rsidRPr="00DA1062" w:rsidRDefault="00D65F5B" w:rsidP="00FF632A">
            <w:pPr>
              <w:keepNext/>
              <w:keepLines/>
              <w:jc w:val="center"/>
              <w:rPr>
                <w:rFonts w:asciiTheme="minorHAnsi" w:hAnsiTheme="minorHAnsi" w:cstheme="minorHAnsi"/>
              </w:rPr>
            </w:pPr>
            <w:r w:rsidRPr="00DA1062">
              <w:rPr>
                <w:rFonts w:asciiTheme="minorHAnsi" w:hAnsiTheme="minorHAnsi" w:cstheme="minorHAnsi"/>
              </w:rPr>
              <w:t>0-None</w:t>
            </w:r>
          </w:p>
        </w:tc>
        <w:tc>
          <w:tcPr>
            <w:tcW w:w="1916" w:type="dxa"/>
            <w:shd w:val="clear" w:color="auto" w:fill="F79646" w:themeFill="accent6"/>
            <w:vAlign w:val="center"/>
          </w:tcPr>
          <w:p w14:paraId="779E4FAD" w14:textId="77777777" w:rsidR="00D65F5B" w:rsidRPr="00DA1062" w:rsidRDefault="00D65F5B" w:rsidP="00FF632A">
            <w:pPr>
              <w:keepNext/>
              <w:keepLines/>
              <w:jc w:val="center"/>
              <w:rPr>
                <w:rFonts w:asciiTheme="minorHAnsi" w:hAnsiTheme="minorHAnsi" w:cstheme="minorHAnsi"/>
              </w:rPr>
            </w:pPr>
            <w:r w:rsidRPr="00DA1062">
              <w:rPr>
                <w:rFonts w:asciiTheme="minorHAnsi" w:hAnsiTheme="minorHAnsi" w:cstheme="minorHAnsi"/>
              </w:rPr>
              <w:t>1-Legacy 2020</w:t>
            </w:r>
          </w:p>
        </w:tc>
        <w:tc>
          <w:tcPr>
            <w:tcW w:w="1916" w:type="dxa"/>
            <w:gridSpan w:val="2"/>
            <w:shd w:val="clear" w:color="auto" w:fill="F79646" w:themeFill="accent6"/>
            <w:vAlign w:val="center"/>
          </w:tcPr>
          <w:p w14:paraId="0F63A393" w14:textId="77777777" w:rsidR="00D65F5B" w:rsidRPr="00DA1062" w:rsidRDefault="00D65F5B" w:rsidP="00FF632A">
            <w:pPr>
              <w:keepNext/>
              <w:keepLines/>
              <w:jc w:val="center"/>
              <w:rPr>
                <w:rFonts w:asciiTheme="minorHAnsi" w:hAnsiTheme="minorHAnsi" w:cstheme="minorHAnsi"/>
              </w:rPr>
            </w:pPr>
            <w:r>
              <w:rPr>
                <w:rFonts w:asciiTheme="minorHAnsi" w:hAnsiTheme="minorHAnsi" w:cstheme="minorHAnsi"/>
              </w:rPr>
              <w:t>2</w:t>
            </w:r>
            <w:r w:rsidRPr="00DA1062">
              <w:rPr>
                <w:rFonts w:asciiTheme="minorHAnsi" w:hAnsiTheme="minorHAnsi" w:cstheme="minorHAnsi"/>
              </w:rPr>
              <w:t>-Future projects</w:t>
            </w:r>
          </w:p>
        </w:tc>
        <w:tc>
          <w:tcPr>
            <w:tcW w:w="1917" w:type="dxa"/>
            <w:shd w:val="clear" w:color="auto" w:fill="F79646" w:themeFill="accent6"/>
            <w:vAlign w:val="center"/>
          </w:tcPr>
          <w:p w14:paraId="7C86FE50" w14:textId="77777777" w:rsidR="00D65F5B" w:rsidRPr="00DA1062" w:rsidRDefault="00D65F5B" w:rsidP="00FF632A">
            <w:pPr>
              <w:keepNext/>
              <w:keepLines/>
              <w:jc w:val="center"/>
              <w:rPr>
                <w:rFonts w:cstheme="minorHAnsi"/>
              </w:rPr>
            </w:pPr>
            <w:r>
              <w:rPr>
                <w:rFonts w:asciiTheme="minorHAnsi" w:hAnsiTheme="minorHAnsi" w:cstheme="minorHAnsi"/>
              </w:rPr>
              <w:t>3</w:t>
            </w:r>
            <w:r w:rsidRPr="00DA1062">
              <w:rPr>
                <w:rFonts w:asciiTheme="minorHAnsi" w:hAnsiTheme="minorHAnsi" w:cstheme="minorHAnsi"/>
              </w:rPr>
              <w:t>-Innovation</w:t>
            </w:r>
          </w:p>
        </w:tc>
      </w:tr>
      <w:tr w:rsidR="00D65F5B" w:rsidRPr="00DA1062" w14:paraId="5B509519" w14:textId="77777777" w:rsidTr="00D65F5B">
        <w:trPr>
          <w:trHeight w:val="737"/>
        </w:trPr>
        <w:tc>
          <w:tcPr>
            <w:tcW w:w="1809" w:type="dxa"/>
            <w:shd w:val="clear" w:color="auto" w:fill="D9D9D9" w:themeFill="background1" w:themeFillShade="D9"/>
            <w:vAlign w:val="center"/>
          </w:tcPr>
          <w:p w14:paraId="19E33D63" w14:textId="77777777" w:rsidR="00D65F5B" w:rsidRPr="00DA1062" w:rsidRDefault="00D65F5B" w:rsidP="00FF632A">
            <w:pPr>
              <w:keepNext/>
              <w:keepLines/>
              <w:jc w:val="center"/>
              <w:rPr>
                <w:rFonts w:asciiTheme="minorHAnsi" w:hAnsiTheme="minorHAnsi" w:cstheme="minorHAnsi"/>
              </w:rPr>
            </w:pPr>
            <w:r w:rsidRPr="00DA1062">
              <w:rPr>
                <w:rFonts w:asciiTheme="minorHAnsi" w:hAnsiTheme="minorHAnsi" w:cstheme="minorHAnsi"/>
                <w:b/>
              </w:rPr>
              <w:t>Joint actions</w:t>
            </w:r>
          </w:p>
        </w:tc>
        <w:tc>
          <w:tcPr>
            <w:tcW w:w="1276" w:type="dxa"/>
            <w:vAlign w:val="center"/>
          </w:tcPr>
          <w:p w14:paraId="3DB6BEA8" w14:textId="77777777" w:rsidR="00D65F5B" w:rsidRPr="00DA1062" w:rsidRDefault="00D65F5B" w:rsidP="00FF632A">
            <w:pPr>
              <w:keepNext/>
              <w:keepLines/>
              <w:jc w:val="center"/>
              <w:rPr>
                <w:rFonts w:asciiTheme="minorHAnsi" w:hAnsiTheme="minorHAnsi" w:cstheme="minorHAnsi"/>
              </w:rPr>
            </w:pPr>
            <w:r w:rsidRPr="00DA1062">
              <w:rPr>
                <w:rFonts w:asciiTheme="minorHAnsi" w:hAnsiTheme="minorHAnsi" w:cstheme="minorHAnsi"/>
              </w:rPr>
              <w:t>0-None</w:t>
            </w:r>
          </w:p>
        </w:tc>
        <w:tc>
          <w:tcPr>
            <w:tcW w:w="1916" w:type="dxa"/>
            <w:vAlign w:val="center"/>
          </w:tcPr>
          <w:p w14:paraId="26BCF5A5" w14:textId="77777777" w:rsidR="00D65F5B" w:rsidRPr="00DA1062" w:rsidRDefault="00D65F5B" w:rsidP="00FF632A">
            <w:pPr>
              <w:keepNext/>
              <w:keepLines/>
              <w:jc w:val="center"/>
              <w:rPr>
                <w:rFonts w:asciiTheme="minorHAnsi" w:hAnsiTheme="minorHAnsi" w:cstheme="minorHAnsi"/>
              </w:rPr>
            </w:pPr>
            <w:r w:rsidRPr="00DA1062">
              <w:rPr>
                <w:rFonts w:asciiTheme="minorHAnsi" w:hAnsiTheme="minorHAnsi" w:cstheme="minorHAnsi"/>
              </w:rPr>
              <w:t>1-</w:t>
            </w:r>
            <w:r>
              <w:rPr>
                <w:rFonts w:asciiTheme="minorHAnsi" w:hAnsiTheme="minorHAnsi" w:cstheme="minorHAnsi"/>
              </w:rPr>
              <w:t>Limited</w:t>
            </w:r>
            <w:r w:rsidRPr="00DA1062">
              <w:rPr>
                <w:rFonts w:asciiTheme="minorHAnsi" w:hAnsiTheme="minorHAnsi" w:cstheme="minorHAnsi"/>
              </w:rPr>
              <w:t xml:space="preserve"> basic </w:t>
            </w:r>
            <w:r>
              <w:rPr>
                <w:rFonts w:asciiTheme="minorHAnsi" w:hAnsiTheme="minorHAnsi" w:cstheme="minorHAnsi"/>
              </w:rPr>
              <w:br/>
              <w:t xml:space="preserve">joint </w:t>
            </w:r>
            <w:r w:rsidRPr="00DA1062">
              <w:rPr>
                <w:rFonts w:asciiTheme="minorHAnsi" w:hAnsiTheme="minorHAnsi" w:cstheme="minorHAnsi"/>
              </w:rPr>
              <w:t>actions</w:t>
            </w:r>
          </w:p>
        </w:tc>
        <w:tc>
          <w:tcPr>
            <w:tcW w:w="1916" w:type="dxa"/>
            <w:gridSpan w:val="2"/>
            <w:shd w:val="clear" w:color="auto" w:fill="F79646" w:themeFill="accent6"/>
            <w:vAlign w:val="center"/>
          </w:tcPr>
          <w:p w14:paraId="3A2880C6" w14:textId="77777777" w:rsidR="00D65F5B" w:rsidRPr="00DA1062" w:rsidRDefault="00D65F5B" w:rsidP="00FF632A">
            <w:pPr>
              <w:keepNext/>
              <w:keepLines/>
              <w:jc w:val="center"/>
              <w:rPr>
                <w:rFonts w:asciiTheme="minorHAnsi" w:hAnsiTheme="minorHAnsi" w:cstheme="minorHAnsi"/>
              </w:rPr>
            </w:pPr>
            <w:r w:rsidRPr="00DA1062">
              <w:rPr>
                <w:rFonts w:asciiTheme="minorHAnsi" w:hAnsiTheme="minorHAnsi" w:cstheme="minorHAnsi"/>
              </w:rPr>
              <w:t>2-All basic</w:t>
            </w:r>
            <w:r>
              <w:rPr>
                <w:rFonts w:asciiTheme="minorHAnsi" w:hAnsiTheme="minorHAnsi" w:cstheme="minorHAnsi"/>
              </w:rPr>
              <w:t xml:space="preserve"> </w:t>
            </w:r>
            <w:r>
              <w:rPr>
                <w:rFonts w:asciiTheme="minorHAnsi" w:hAnsiTheme="minorHAnsi" w:cstheme="minorHAnsi"/>
              </w:rPr>
              <w:br/>
              <w:t>joint</w:t>
            </w:r>
            <w:r w:rsidRPr="00DA1062">
              <w:rPr>
                <w:rFonts w:asciiTheme="minorHAnsi" w:hAnsiTheme="minorHAnsi" w:cstheme="minorHAnsi"/>
              </w:rPr>
              <w:t xml:space="preserve"> actions</w:t>
            </w:r>
          </w:p>
        </w:tc>
        <w:tc>
          <w:tcPr>
            <w:tcW w:w="1917" w:type="dxa"/>
            <w:shd w:val="clear" w:color="auto" w:fill="F79646" w:themeFill="accent6"/>
            <w:vAlign w:val="center"/>
          </w:tcPr>
          <w:p w14:paraId="3EE110DC" w14:textId="77777777" w:rsidR="00D65F5B" w:rsidRPr="00DA1062" w:rsidRDefault="00D65F5B" w:rsidP="00FF632A">
            <w:pPr>
              <w:keepNext/>
              <w:keepLines/>
              <w:jc w:val="center"/>
              <w:rPr>
                <w:rFonts w:cstheme="minorHAnsi"/>
              </w:rPr>
            </w:pPr>
            <w:r w:rsidRPr="00DA1062">
              <w:rPr>
                <w:rFonts w:asciiTheme="minorHAnsi" w:hAnsiTheme="minorHAnsi" w:cstheme="minorHAnsi"/>
              </w:rPr>
              <w:t>3-Enhanced operational cooperation</w:t>
            </w:r>
          </w:p>
        </w:tc>
      </w:tr>
      <w:tr w:rsidR="00D65F5B" w:rsidRPr="00DA1062" w14:paraId="47BD6A2F" w14:textId="77777777" w:rsidTr="00D65F5B">
        <w:trPr>
          <w:trHeight w:val="737"/>
        </w:trPr>
        <w:tc>
          <w:tcPr>
            <w:tcW w:w="1809" w:type="dxa"/>
            <w:shd w:val="clear" w:color="auto" w:fill="D9D9D9" w:themeFill="background1" w:themeFillShade="D9"/>
            <w:vAlign w:val="center"/>
          </w:tcPr>
          <w:p w14:paraId="3D74BD5E" w14:textId="77777777" w:rsidR="00D65F5B" w:rsidRPr="00DA1062" w:rsidRDefault="00D65F5B" w:rsidP="00FF632A">
            <w:pPr>
              <w:keepNext/>
              <w:keepLines/>
              <w:jc w:val="center"/>
              <w:rPr>
                <w:rFonts w:asciiTheme="minorHAnsi" w:hAnsiTheme="minorHAnsi" w:cstheme="minorHAnsi"/>
              </w:rPr>
            </w:pPr>
            <w:r w:rsidRPr="00DA1062">
              <w:rPr>
                <w:rFonts w:asciiTheme="minorHAnsi" w:hAnsiTheme="minorHAnsi" w:cstheme="minorHAnsi"/>
                <w:b/>
              </w:rPr>
              <w:t xml:space="preserve">Human capacity building </w:t>
            </w:r>
            <w:r w:rsidRPr="00DA1062">
              <w:rPr>
                <w:rFonts w:asciiTheme="minorHAnsi" w:hAnsiTheme="minorHAnsi" w:cstheme="minorHAnsi"/>
                <w:b/>
              </w:rPr>
              <w:br/>
            </w:r>
            <w:r w:rsidRPr="00DA1062">
              <w:rPr>
                <w:rFonts w:asciiTheme="minorHAnsi" w:hAnsiTheme="minorHAnsi" w:cstheme="minorHAnsi"/>
              </w:rPr>
              <w:t>(incl. support)</w:t>
            </w:r>
          </w:p>
        </w:tc>
        <w:tc>
          <w:tcPr>
            <w:tcW w:w="1276" w:type="dxa"/>
            <w:vAlign w:val="center"/>
          </w:tcPr>
          <w:p w14:paraId="42919E75" w14:textId="77777777" w:rsidR="00D65F5B" w:rsidRPr="00DA1062" w:rsidRDefault="00D65F5B" w:rsidP="00FF632A">
            <w:pPr>
              <w:keepNext/>
              <w:keepLines/>
              <w:jc w:val="center"/>
              <w:rPr>
                <w:rFonts w:asciiTheme="minorHAnsi" w:hAnsiTheme="minorHAnsi" w:cstheme="minorHAnsi"/>
              </w:rPr>
            </w:pPr>
            <w:r w:rsidRPr="00DA1062">
              <w:rPr>
                <w:rFonts w:asciiTheme="minorHAnsi" w:hAnsiTheme="minorHAnsi" w:cstheme="minorHAnsi"/>
              </w:rPr>
              <w:t>0-None</w:t>
            </w:r>
          </w:p>
        </w:tc>
        <w:tc>
          <w:tcPr>
            <w:tcW w:w="1916" w:type="dxa"/>
            <w:vAlign w:val="center"/>
          </w:tcPr>
          <w:p w14:paraId="6778CA24" w14:textId="77777777" w:rsidR="00D65F5B" w:rsidRPr="00DA1062" w:rsidRDefault="00D65F5B" w:rsidP="00FF632A">
            <w:pPr>
              <w:keepNext/>
              <w:keepLines/>
              <w:jc w:val="center"/>
              <w:rPr>
                <w:rFonts w:asciiTheme="minorHAnsi" w:hAnsiTheme="minorHAnsi" w:cstheme="minorHAnsi"/>
              </w:rPr>
            </w:pPr>
            <w:r w:rsidRPr="00DA1062">
              <w:rPr>
                <w:rFonts w:asciiTheme="minorHAnsi" w:hAnsiTheme="minorHAnsi" w:cstheme="minorHAnsi"/>
              </w:rPr>
              <w:t>1-Focused training</w:t>
            </w:r>
          </w:p>
        </w:tc>
        <w:tc>
          <w:tcPr>
            <w:tcW w:w="1916" w:type="dxa"/>
            <w:gridSpan w:val="2"/>
            <w:shd w:val="clear" w:color="auto" w:fill="F79646" w:themeFill="accent6"/>
            <w:vAlign w:val="center"/>
          </w:tcPr>
          <w:p w14:paraId="1FEFA68A" w14:textId="77777777" w:rsidR="00D65F5B" w:rsidRPr="00DA1062" w:rsidRDefault="00D65F5B" w:rsidP="00FF632A">
            <w:pPr>
              <w:keepNext/>
              <w:keepLines/>
              <w:jc w:val="center"/>
              <w:rPr>
                <w:rFonts w:asciiTheme="minorHAnsi" w:hAnsiTheme="minorHAnsi" w:cstheme="minorHAnsi"/>
              </w:rPr>
            </w:pPr>
            <w:r w:rsidRPr="00DA1062">
              <w:rPr>
                <w:rFonts w:asciiTheme="minorHAnsi" w:hAnsiTheme="minorHAnsi" w:cstheme="minorHAnsi"/>
              </w:rPr>
              <w:t>2-</w:t>
            </w:r>
            <w:r w:rsidRPr="00D65F5B">
              <w:rPr>
                <w:rFonts w:asciiTheme="minorHAnsi" w:hAnsiTheme="minorHAnsi" w:cstheme="minorHAnsi"/>
                <w:shd w:val="clear" w:color="auto" w:fill="F79646" w:themeFill="accent6"/>
              </w:rPr>
              <w:t>All basic human capacity actions</w:t>
            </w:r>
          </w:p>
        </w:tc>
        <w:tc>
          <w:tcPr>
            <w:tcW w:w="1917" w:type="dxa"/>
            <w:shd w:val="clear" w:color="auto" w:fill="auto"/>
            <w:vAlign w:val="center"/>
          </w:tcPr>
          <w:p w14:paraId="47D4BF58" w14:textId="77777777" w:rsidR="00D65F5B" w:rsidRPr="00DA1062" w:rsidRDefault="00D65F5B" w:rsidP="00FF632A">
            <w:pPr>
              <w:keepNext/>
              <w:keepLines/>
              <w:jc w:val="center"/>
              <w:rPr>
                <w:rFonts w:asciiTheme="minorHAnsi" w:hAnsiTheme="minorHAnsi" w:cstheme="minorHAnsi"/>
              </w:rPr>
            </w:pPr>
            <w:r w:rsidRPr="00DA1062">
              <w:rPr>
                <w:rFonts w:asciiTheme="minorHAnsi" w:hAnsiTheme="minorHAnsi" w:cstheme="minorHAnsi"/>
              </w:rPr>
              <w:t>3-Enhanced human capacity building</w:t>
            </w:r>
          </w:p>
        </w:tc>
      </w:tr>
      <w:tr w:rsidR="00D65F5B" w:rsidRPr="00DA1062" w14:paraId="01588EEC" w14:textId="77777777" w:rsidTr="00D65F5B">
        <w:trPr>
          <w:trHeight w:val="369"/>
        </w:trPr>
        <w:tc>
          <w:tcPr>
            <w:tcW w:w="1809" w:type="dxa"/>
            <w:vMerge w:val="restart"/>
            <w:shd w:val="clear" w:color="auto" w:fill="D9D9D9" w:themeFill="background1" w:themeFillShade="D9"/>
            <w:vAlign w:val="center"/>
          </w:tcPr>
          <w:p w14:paraId="489F7766" w14:textId="19360F7C" w:rsidR="00D65F5B" w:rsidRPr="001663C0" w:rsidRDefault="00D65F5B" w:rsidP="00FF632A">
            <w:pPr>
              <w:keepNext/>
              <w:keepLines/>
              <w:jc w:val="center"/>
              <w:rPr>
                <w:rFonts w:cstheme="minorHAnsi"/>
                <w:b/>
                <w:lang w:val="fr-BE"/>
              </w:rPr>
            </w:pPr>
            <w:r>
              <w:rPr>
                <w:rFonts w:asciiTheme="minorHAnsi" w:hAnsiTheme="minorHAnsi" w:cstheme="minorHAnsi"/>
                <w:b/>
                <w:lang w:val="fr-BE"/>
              </w:rPr>
              <w:t>International cooperation</w:t>
            </w:r>
          </w:p>
        </w:tc>
        <w:tc>
          <w:tcPr>
            <w:tcW w:w="1276" w:type="dxa"/>
            <w:vMerge w:val="restart"/>
            <w:shd w:val="clear" w:color="auto" w:fill="auto"/>
            <w:vAlign w:val="center"/>
          </w:tcPr>
          <w:p w14:paraId="28B4543B" w14:textId="77777777" w:rsidR="00D65F5B" w:rsidRPr="00DA1062" w:rsidRDefault="00D65F5B" w:rsidP="00FF632A">
            <w:pPr>
              <w:keepNext/>
              <w:keepLines/>
              <w:jc w:val="center"/>
              <w:rPr>
                <w:rFonts w:cstheme="minorHAnsi"/>
              </w:rPr>
            </w:pPr>
            <w:r w:rsidRPr="00DA1062">
              <w:rPr>
                <w:rFonts w:asciiTheme="minorHAnsi" w:hAnsiTheme="minorHAnsi" w:cstheme="minorHAnsi"/>
              </w:rPr>
              <w:t>0-None</w:t>
            </w:r>
          </w:p>
        </w:tc>
        <w:tc>
          <w:tcPr>
            <w:tcW w:w="2874" w:type="dxa"/>
            <w:gridSpan w:val="2"/>
            <w:shd w:val="clear" w:color="auto" w:fill="F79646" w:themeFill="accent6"/>
            <w:vAlign w:val="center"/>
          </w:tcPr>
          <w:p w14:paraId="29101C8C" w14:textId="77777777" w:rsidR="00D65F5B" w:rsidRPr="005F478A" w:rsidRDefault="00D65F5B" w:rsidP="00FF632A">
            <w:pPr>
              <w:keepNext/>
              <w:keepLines/>
              <w:jc w:val="center"/>
              <w:rPr>
                <w:rFonts w:asciiTheme="minorHAnsi" w:hAnsiTheme="minorHAnsi" w:cstheme="minorHAnsi"/>
              </w:rPr>
            </w:pPr>
            <w:r w:rsidRPr="005F478A">
              <w:rPr>
                <w:rFonts w:asciiTheme="minorHAnsi" w:hAnsiTheme="minorHAnsi" w:cstheme="minorHAnsi"/>
              </w:rPr>
              <w:t>1</w:t>
            </w:r>
            <w:r>
              <w:rPr>
                <w:rFonts w:asciiTheme="minorHAnsi" w:hAnsiTheme="minorHAnsi" w:cstheme="minorHAnsi"/>
              </w:rPr>
              <w:t>a</w:t>
            </w:r>
            <w:r w:rsidRPr="005F478A">
              <w:rPr>
                <w:rFonts w:asciiTheme="minorHAnsi" w:hAnsiTheme="minorHAnsi" w:cstheme="minorHAnsi"/>
              </w:rPr>
              <w:t>-Joint events</w:t>
            </w:r>
          </w:p>
        </w:tc>
        <w:tc>
          <w:tcPr>
            <w:tcW w:w="2875" w:type="dxa"/>
            <w:gridSpan w:val="2"/>
            <w:shd w:val="clear" w:color="auto" w:fill="F79646" w:themeFill="accent6"/>
            <w:vAlign w:val="center"/>
          </w:tcPr>
          <w:p w14:paraId="6A23FAC7" w14:textId="77777777" w:rsidR="00D65F5B" w:rsidRPr="005F478A" w:rsidRDefault="00D65F5B" w:rsidP="00FF632A">
            <w:pPr>
              <w:keepNext/>
              <w:keepLines/>
              <w:jc w:val="center"/>
              <w:rPr>
                <w:rFonts w:asciiTheme="minorHAnsi" w:hAnsiTheme="minorHAnsi" w:cstheme="minorHAnsi"/>
              </w:rPr>
            </w:pPr>
            <w:r w:rsidRPr="005F478A">
              <w:rPr>
                <w:rFonts w:asciiTheme="minorHAnsi" w:hAnsiTheme="minorHAnsi" w:cstheme="minorHAnsi"/>
              </w:rPr>
              <w:t>2</w:t>
            </w:r>
            <w:r>
              <w:rPr>
                <w:rFonts w:asciiTheme="minorHAnsi" w:hAnsiTheme="minorHAnsi" w:cstheme="minorHAnsi"/>
              </w:rPr>
              <w:t>a</w:t>
            </w:r>
            <w:r w:rsidRPr="005F478A">
              <w:rPr>
                <w:rFonts w:asciiTheme="minorHAnsi" w:hAnsiTheme="minorHAnsi" w:cstheme="minorHAnsi"/>
              </w:rPr>
              <w:t>-Joint actions</w:t>
            </w:r>
          </w:p>
        </w:tc>
      </w:tr>
      <w:tr w:rsidR="00D65F5B" w:rsidRPr="00DA1062" w14:paraId="6CAA54F2" w14:textId="77777777" w:rsidTr="00D65F5B">
        <w:trPr>
          <w:trHeight w:val="369"/>
        </w:trPr>
        <w:tc>
          <w:tcPr>
            <w:tcW w:w="1809" w:type="dxa"/>
            <w:vMerge/>
            <w:shd w:val="clear" w:color="auto" w:fill="D9D9D9" w:themeFill="background1" w:themeFillShade="D9"/>
            <w:vAlign w:val="center"/>
          </w:tcPr>
          <w:p w14:paraId="3D6F930E" w14:textId="77777777" w:rsidR="00D65F5B" w:rsidRPr="00DA1062" w:rsidRDefault="00D65F5B" w:rsidP="00FF632A">
            <w:pPr>
              <w:keepNext/>
              <w:keepLines/>
              <w:jc w:val="center"/>
              <w:rPr>
                <w:rFonts w:cstheme="minorHAnsi"/>
                <w:b/>
              </w:rPr>
            </w:pPr>
          </w:p>
        </w:tc>
        <w:tc>
          <w:tcPr>
            <w:tcW w:w="1276" w:type="dxa"/>
            <w:vMerge/>
            <w:shd w:val="clear" w:color="auto" w:fill="auto"/>
            <w:vAlign w:val="center"/>
          </w:tcPr>
          <w:p w14:paraId="7C695713" w14:textId="77777777" w:rsidR="00D65F5B" w:rsidRPr="00DA1062" w:rsidRDefault="00D65F5B" w:rsidP="00FF632A">
            <w:pPr>
              <w:keepNext/>
              <w:keepLines/>
              <w:jc w:val="center"/>
              <w:rPr>
                <w:rFonts w:cstheme="minorHAnsi"/>
              </w:rPr>
            </w:pPr>
          </w:p>
        </w:tc>
        <w:tc>
          <w:tcPr>
            <w:tcW w:w="1916" w:type="dxa"/>
            <w:shd w:val="clear" w:color="auto" w:fill="F79646" w:themeFill="accent6"/>
            <w:vAlign w:val="center"/>
          </w:tcPr>
          <w:p w14:paraId="703E7B25" w14:textId="77777777" w:rsidR="00D65F5B" w:rsidRPr="005F478A" w:rsidRDefault="00D65F5B" w:rsidP="00FF632A">
            <w:pPr>
              <w:keepNext/>
              <w:keepLines/>
              <w:jc w:val="center"/>
              <w:rPr>
                <w:rFonts w:asciiTheme="minorHAnsi" w:hAnsiTheme="minorHAnsi" w:cstheme="minorHAnsi"/>
              </w:rPr>
            </w:pPr>
            <w:r>
              <w:rPr>
                <w:rFonts w:asciiTheme="minorHAnsi" w:hAnsiTheme="minorHAnsi" w:cstheme="minorHAnsi"/>
              </w:rPr>
              <w:t xml:space="preserve">1b-Shared IT </w:t>
            </w:r>
            <w:r w:rsidRPr="005F478A">
              <w:rPr>
                <w:rFonts w:asciiTheme="minorHAnsi" w:hAnsiTheme="minorHAnsi" w:cstheme="minorHAnsi"/>
              </w:rPr>
              <w:t>specifications</w:t>
            </w:r>
            <w:r>
              <w:rPr>
                <w:rFonts w:asciiTheme="minorHAnsi" w:hAnsiTheme="minorHAnsi" w:cstheme="minorHAnsi"/>
              </w:rPr>
              <w:t xml:space="preserve"> </w:t>
            </w:r>
          </w:p>
        </w:tc>
        <w:tc>
          <w:tcPr>
            <w:tcW w:w="1916" w:type="dxa"/>
            <w:gridSpan w:val="2"/>
            <w:shd w:val="clear" w:color="auto" w:fill="F79646" w:themeFill="accent6"/>
            <w:vAlign w:val="center"/>
          </w:tcPr>
          <w:p w14:paraId="28073567" w14:textId="77777777" w:rsidR="00D65F5B" w:rsidRPr="005F478A" w:rsidRDefault="00D65F5B" w:rsidP="00FF632A">
            <w:pPr>
              <w:keepNext/>
              <w:keepLines/>
              <w:jc w:val="center"/>
              <w:rPr>
                <w:rFonts w:asciiTheme="minorHAnsi" w:hAnsiTheme="minorHAnsi" w:cstheme="minorHAnsi"/>
              </w:rPr>
            </w:pPr>
            <w:r>
              <w:rPr>
                <w:rFonts w:asciiTheme="minorHAnsi" w:hAnsiTheme="minorHAnsi" w:cstheme="minorHAnsi"/>
              </w:rPr>
              <w:t>2b-</w:t>
            </w:r>
            <w:r w:rsidRPr="005F478A">
              <w:rPr>
                <w:rFonts w:asciiTheme="minorHAnsi" w:hAnsiTheme="minorHAnsi" w:cstheme="minorHAnsi"/>
              </w:rPr>
              <w:t xml:space="preserve"> </w:t>
            </w:r>
            <w:r>
              <w:rPr>
                <w:rFonts w:asciiTheme="minorHAnsi" w:hAnsiTheme="minorHAnsi" w:cstheme="minorHAnsi"/>
              </w:rPr>
              <w:t>Shared s</w:t>
            </w:r>
            <w:r w:rsidRPr="005F478A">
              <w:rPr>
                <w:rFonts w:asciiTheme="minorHAnsi" w:hAnsiTheme="minorHAnsi" w:cstheme="minorHAnsi"/>
              </w:rPr>
              <w:t>pecific software modules</w:t>
            </w:r>
          </w:p>
        </w:tc>
        <w:tc>
          <w:tcPr>
            <w:tcW w:w="1917" w:type="dxa"/>
            <w:shd w:val="clear" w:color="auto" w:fill="auto"/>
            <w:vAlign w:val="center"/>
          </w:tcPr>
          <w:p w14:paraId="379866BE" w14:textId="77777777" w:rsidR="00D65F5B" w:rsidRPr="005F478A" w:rsidRDefault="00D65F5B" w:rsidP="00FF632A">
            <w:pPr>
              <w:keepNext/>
              <w:keepLines/>
              <w:jc w:val="center"/>
              <w:rPr>
                <w:rFonts w:asciiTheme="minorHAnsi" w:hAnsiTheme="minorHAnsi" w:cstheme="minorHAnsi"/>
              </w:rPr>
            </w:pPr>
            <w:r>
              <w:rPr>
                <w:rFonts w:asciiTheme="minorHAnsi" w:hAnsiTheme="minorHAnsi" w:cstheme="minorHAnsi"/>
              </w:rPr>
              <w:t>3b-</w:t>
            </w:r>
            <w:r w:rsidRPr="005F478A">
              <w:rPr>
                <w:rFonts w:asciiTheme="minorHAnsi" w:hAnsiTheme="minorHAnsi" w:cstheme="minorHAnsi"/>
              </w:rPr>
              <w:t xml:space="preserve"> </w:t>
            </w:r>
            <w:r>
              <w:rPr>
                <w:rFonts w:asciiTheme="minorHAnsi" w:hAnsiTheme="minorHAnsi" w:cstheme="minorHAnsi"/>
              </w:rPr>
              <w:t>Shared fully functional application</w:t>
            </w:r>
          </w:p>
        </w:tc>
      </w:tr>
      <w:tr w:rsidR="00D65F5B" w:rsidRPr="00DA1062" w14:paraId="1538AFAF" w14:textId="77777777" w:rsidTr="00D65F5B">
        <w:trPr>
          <w:trHeight w:val="737"/>
        </w:trPr>
        <w:tc>
          <w:tcPr>
            <w:tcW w:w="1809" w:type="dxa"/>
            <w:shd w:val="clear" w:color="auto" w:fill="D9D9D9" w:themeFill="background1" w:themeFillShade="D9"/>
            <w:vAlign w:val="center"/>
          </w:tcPr>
          <w:p w14:paraId="5D89C485" w14:textId="77777777" w:rsidR="00D65F5B" w:rsidRPr="00DA1062" w:rsidRDefault="00D65F5B" w:rsidP="00FF632A">
            <w:pPr>
              <w:keepNext/>
              <w:keepLines/>
              <w:jc w:val="center"/>
              <w:rPr>
                <w:rFonts w:asciiTheme="minorHAnsi" w:hAnsiTheme="minorHAnsi" w:cstheme="minorHAnsi"/>
              </w:rPr>
            </w:pPr>
            <w:r w:rsidRPr="00DA1062">
              <w:rPr>
                <w:rFonts w:asciiTheme="minorHAnsi" w:hAnsiTheme="minorHAnsi" w:cstheme="minorHAnsi"/>
                <w:b/>
              </w:rPr>
              <w:t>Centralisation</w:t>
            </w:r>
          </w:p>
        </w:tc>
        <w:tc>
          <w:tcPr>
            <w:tcW w:w="1276" w:type="dxa"/>
            <w:shd w:val="clear" w:color="auto" w:fill="F79646" w:themeFill="accent6"/>
            <w:vAlign w:val="center"/>
          </w:tcPr>
          <w:p w14:paraId="0944FEDB" w14:textId="77777777" w:rsidR="00D65F5B" w:rsidRPr="00DA1062" w:rsidRDefault="00D65F5B" w:rsidP="00FF632A">
            <w:pPr>
              <w:keepNext/>
              <w:keepLines/>
              <w:jc w:val="center"/>
              <w:rPr>
                <w:rFonts w:asciiTheme="minorHAnsi" w:hAnsiTheme="minorHAnsi" w:cstheme="minorHAnsi"/>
              </w:rPr>
            </w:pPr>
            <w:r w:rsidRPr="00DA1062">
              <w:rPr>
                <w:rFonts w:asciiTheme="minorHAnsi" w:hAnsiTheme="minorHAnsi" w:cstheme="minorHAnsi"/>
              </w:rPr>
              <w:t>0-None</w:t>
            </w:r>
          </w:p>
        </w:tc>
        <w:tc>
          <w:tcPr>
            <w:tcW w:w="2874" w:type="dxa"/>
            <w:gridSpan w:val="2"/>
            <w:vAlign w:val="center"/>
          </w:tcPr>
          <w:p w14:paraId="36F1D78C" w14:textId="77777777" w:rsidR="00D65F5B" w:rsidRPr="00DA1062" w:rsidRDefault="00D65F5B" w:rsidP="00FF632A">
            <w:pPr>
              <w:keepNext/>
              <w:keepLines/>
              <w:jc w:val="center"/>
              <w:rPr>
                <w:rFonts w:asciiTheme="minorHAnsi" w:hAnsiTheme="minorHAnsi" w:cstheme="minorHAnsi"/>
              </w:rPr>
            </w:pPr>
            <w:r w:rsidRPr="00DA1062">
              <w:rPr>
                <w:rFonts w:asciiTheme="minorHAnsi" w:hAnsiTheme="minorHAnsi" w:cstheme="minorHAnsi"/>
              </w:rPr>
              <w:t>1-Voluntary structural cooperation</w:t>
            </w:r>
          </w:p>
        </w:tc>
        <w:tc>
          <w:tcPr>
            <w:tcW w:w="2875" w:type="dxa"/>
            <w:gridSpan w:val="2"/>
            <w:vAlign w:val="center"/>
          </w:tcPr>
          <w:p w14:paraId="76E6F457" w14:textId="77777777" w:rsidR="00D65F5B" w:rsidRPr="00DA1062" w:rsidRDefault="00D65F5B" w:rsidP="00FF632A">
            <w:pPr>
              <w:keepNext/>
              <w:keepLines/>
              <w:jc w:val="center"/>
              <w:rPr>
                <w:rFonts w:asciiTheme="minorHAnsi" w:hAnsiTheme="minorHAnsi" w:cstheme="minorHAnsi"/>
              </w:rPr>
            </w:pPr>
            <w:r w:rsidRPr="00DA1062">
              <w:rPr>
                <w:rFonts w:asciiTheme="minorHAnsi" w:hAnsiTheme="minorHAnsi" w:cstheme="minorHAnsi"/>
              </w:rPr>
              <w:t>2-Centralisation</w:t>
            </w:r>
          </w:p>
        </w:tc>
      </w:tr>
    </w:tbl>
    <w:p w14:paraId="09079CDA" w14:textId="77777777" w:rsidR="007E4356" w:rsidRDefault="007E4356" w:rsidP="008A1FDD">
      <w:pPr>
        <w:spacing w:line="240" w:lineRule="auto"/>
        <w:jc w:val="both"/>
        <w:rPr>
          <w:lang w:eastAsia="en-GB"/>
        </w:rPr>
      </w:pPr>
    </w:p>
    <w:p w14:paraId="680F6911" w14:textId="1B673C6B" w:rsidR="007E4356" w:rsidRPr="00E77A89" w:rsidRDefault="007E4356" w:rsidP="008A1FDD">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The scope of each action under</w:t>
      </w:r>
      <w:r w:rsidR="005B4CA6" w:rsidRPr="00E77A89">
        <w:rPr>
          <w:rFonts w:ascii="Times New Roman" w:hAnsi="Times New Roman" w:cs="Times New Roman"/>
          <w:sz w:val="24"/>
          <w:szCs w:val="24"/>
          <w:lang w:eastAsia="en-GB"/>
        </w:rPr>
        <w:t xml:space="preserve"> the preferred option for</w:t>
      </w:r>
      <w:r w:rsidRPr="00E77A89">
        <w:rPr>
          <w:rFonts w:ascii="Times New Roman" w:hAnsi="Times New Roman" w:cs="Times New Roman"/>
          <w:sz w:val="24"/>
          <w:szCs w:val="24"/>
          <w:lang w:eastAsia="en-GB"/>
        </w:rPr>
        <w:t xml:space="preserve"> the future Fiscalis programme is highlighted in orange. </w:t>
      </w:r>
    </w:p>
    <w:p w14:paraId="14BE7A95" w14:textId="0D579C8A" w:rsidR="008A1FDD" w:rsidRPr="00E77A89" w:rsidRDefault="008A1FDD" w:rsidP="008A1FDD">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Building on these various actions and their possible scope, a </w:t>
      </w:r>
      <w:r w:rsidRPr="00E77A89">
        <w:rPr>
          <w:rFonts w:ascii="Times New Roman" w:hAnsi="Times New Roman" w:cs="Times New Roman"/>
          <w:b/>
          <w:sz w:val="24"/>
          <w:szCs w:val="24"/>
          <w:lang w:eastAsia="en-GB"/>
        </w:rPr>
        <w:t>large number of modulations</w:t>
      </w:r>
      <w:r w:rsidRPr="00E77A89">
        <w:rPr>
          <w:rFonts w:ascii="Times New Roman" w:hAnsi="Times New Roman" w:cs="Times New Roman"/>
          <w:sz w:val="24"/>
          <w:szCs w:val="24"/>
          <w:lang w:eastAsia="en-GB"/>
        </w:rPr>
        <w:t xml:space="preserve"> is possible. </w:t>
      </w:r>
      <w:r w:rsidRPr="00E77A89">
        <w:rPr>
          <w:rFonts w:ascii="Times New Roman" w:hAnsi="Times New Roman" w:cs="Times New Roman"/>
          <w:sz w:val="24"/>
          <w:szCs w:val="24"/>
        </w:rPr>
        <w:t xml:space="preserve">In line with the feedback gathered </w:t>
      </w:r>
      <w:r w:rsidR="001C4E59" w:rsidRPr="00E77A89">
        <w:rPr>
          <w:rFonts w:ascii="Times New Roman" w:hAnsi="Times New Roman" w:cs="Times New Roman"/>
          <w:sz w:val="24"/>
          <w:szCs w:val="24"/>
        </w:rPr>
        <w:t xml:space="preserve">the Member States' </w:t>
      </w:r>
      <w:r w:rsidRPr="00E77A89">
        <w:rPr>
          <w:rFonts w:ascii="Times New Roman" w:hAnsi="Times New Roman" w:cs="Times New Roman"/>
          <w:sz w:val="24"/>
          <w:szCs w:val="24"/>
        </w:rPr>
        <w:t xml:space="preserve">consultations and </w:t>
      </w:r>
      <w:r w:rsidRPr="00E77A89">
        <w:rPr>
          <w:rFonts w:ascii="Times New Roman" w:hAnsi="Times New Roman" w:cs="Times New Roman"/>
          <w:sz w:val="24"/>
          <w:szCs w:val="24"/>
          <w:lang w:eastAsia="en-GB"/>
        </w:rPr>
        <w:t>as shown on the figure on next page</w:t>
      </w:r>
      <w:r w:rsidRPr="00E77A89">
        <w:rPr>
          <w:rFonts w:ascii="Times New Roman" w:hAnsi="Times New Roman" w:cs="Times New Roman"/>
          <w:sz w:val="24"/>
          <w:szCs w:val="24"/>
        </w:rPr>
        <w:t xml:space="preserve">, </w:t>
      </w:r>
      <w:r w:rsidRPr="00E77A89">
        <w:rPr>
          <w:rFonts w:ascii="Times New Roman" w:hAnsi="Times New Roman" w:cs="Times New Roman"/>
          <w:sz w:val="24"/>
          <w:szCs w:val="24"/>
          <w:lang w:eastAsia="en-GB"/>
        </w:rPr>
        <w:t xml:space="preserve">this </w:t>
      </w:r>
      <w:r w:rsidR="00020DDE" w:rsidRPr="00E77A89">
        <w:rPr>
          <w:rFonts w:ascii="Times New Roman" w:hAnsi="Times New Roman" w:cs="Times New Roman"/>
          <w:sz w:val="24"/>
          <w:szCs w:val="24"/>
          <w:lang w:eastAsia="en-GB"/>
        </w:rPr>
        <w:t>ex-ante evaluation proposes the following policy option</w:t>
      </w:r>
      <w:r w:rsidRPr="00E77A89">
        <w:rPr>
          <w:rFonts w:ascii="Times New Roman" w:hAnsi="Times New Roman" w:cs="Times New Roman"/>
          <w:sz w:val="24"/>
          <w:szCs w:val="24"/>
          <w:lang w:eastAsia="en-GB"/>
        </w:rPr>
        <w:t>.</w:t>
      </w:r>
    </w:p>
    <w:p w14:paraId="14BE7A97" w14:textId="77777777" w:rsidR="008A1FDD" w:rsidRPr="00E77A89" w:rsidRDefault="008A1FDD" w:rsidP="008A1FDD">
      <w:pPr>
        <w:spacing w:line="240" w:lineRule="auto"/>
        <w:jc w:val="both"/>
        <w:rPr>
          <w:rFonts w:ascii="Times New Roman" w:hAnsi="Times New Roman" w:cs="Times New Roman"/>
          <w:sz w:val="24"/>
          <w:szCs w:val="24"/>
        </w:rPr>
        <w:sectPr w:rsidR="008A1FDD" w:rsidRPr="00E77A89" w:rsidSect="00244E6A">
          <w:headerReference w:type="even" r:id="rId27"/>
          <w:headerReference w:type="default" r:id="rId28"/>
          <w:footerReference w:type="even" r:id="rId29"/>
          <w:footerReference w:type="default" r:id="rId30"/>
          <w:headerReference w:type="first" r:id="rId31"/>
          <w:footerReference w:type="first" r:id="rId32"/>
          <w:pgSz w:w="11906" w:h="16838"/>
          <w:pgMar w:top="1020" w:right="1701" w:bottom="1020" w:left="1587" w:header="601" w:footer="1077" w:gutter="0"/>
          <w:cols w:space="720"/>
          <w:titlePg/>
        </w:sectPr>
      </w:pPr>
    </w:p>
    <w:tbl>
      <w:tblPr>
        <w:tblStyle w:val="TableGrid"/>
        <w:tblW w:w="0" w:type="auto"/>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15014"/>
      </w:tblGrid>
      <w:tr w:rsidR="008A1FDD" w14:paraId="14BE7A9B" w14:textId="77777777" w:rsidTr="008A1FDD">
        <w:tc>
          <w:tcPr>
            <w:tcW w:w="15014" w:type="dxa"/>
          </w:tcPr>
          <w:p w14:paraId="14BE7A98" w14:textId="62858593" w:rsidR="008A1FDD" w:rsidRPr="0087765F" w:rsidRDefault="008A1FDD" w:rsidP="008A1FDD">
            <w:pPr>
              <w:spacing w:before="200"/>
              <w:jc w:val="center"/>
              <w:rPr>
                <w:rFonts w:asciiTheme="minorHAnsi" w:hAnsiTheme="minorHAnsi" w:cstheme="minorHAnsi"/>
                <w:b/>
                <w:color w:val="0070C0"/>
                <w:sz w:val="32"/>
                <w:szCs w:val="32"/>
                <w:u w:val="single"/>
              </w:rPr>
            </w:pPr>
            <w:r w:rsidRPr="0087765F">
              <w:rPr>
                <w:rFonts w:asciiTheme="minorHAnsi" w:hAnsiTheme="minorHAnsi" w:cstheme="minorHAnsi"/>
                <w:b/>
                <w:color w:val="0070C0"/>
                <w:sz w:val="32"/>
                <w:szCs w:val="32"/>
                <w:u w:val="single"/>
              </w:rPr>
              <w:t xml:space="preserve">KEY </w:t>
            </w:r>
            <w:r>
              <w:rPr>
                <w:rFonts w:asciiTheme="minorHAnsi" w:hAnsiTheme="minorHAnsi" w:cstheme="minorHAnsi"/>
                <w:b/>
                <w:color w:val="0070C0"/>
                <w:sz w:val="32"/>
                <w:szCs w:val="32"/>
                <w:u w:val="single"/>
              </w:rPr>
              <w:t>FEATURES</w:t>
            </w:r>
            <w:r w:rsidRPr="0087765F">
              <w:rPr>
                <w:rFonts w:asciiTheme="minorHAnsi" w:hAnsiTheme="minorHAnsi" w:cstheme="minorHAnsi"/>
                <w:b/>
                <w:color w:val="0070C0"/>
                <w:sz w:val="32"/>
                <w:szCs w:val="32"/>
                <w:u w:val="single"/>
              </w:rPr>
              <w:t xml:space="preserve"> OF CURRENT </w:t>
            </w:r>
            <w:r>
              <w:rPr>
                <w:rFonts w:asciiTheme="minorHAnsi" w:hAnsiTheme="minorHAnsi" w:cstheme="minorHAnsi"/>
                <w:b/>
                <w:color w:val="0070C0"/>
                <w:sz w:val="32"/>
                <w:szCs w:val="32"/>
                <w:u w:val="single"/>
              </w:rPr>
              <w:t xml:space="preserve">FISCALIS 2020 </w:t>
            </w:r>
            <w:r w:rsidRPr="0087765F">
              <w:rPr>
                <w:rFonts w:asciiTheme="minorHAnsi" w:hAnsiTheme="minorHAnsi" w:cstheme="minorHAnsi"/>
                <w:b/>
                <w:color w:val="0070C0"/>
                <w:sz w:val="32"/>
                <w:szCs w:val="32"/>
                <w:u w:val="single"/>
              </w:rPr>
              <w:t>PROGRAMME AND</w:t>
            </w:r>
            <w:r w:rsidR="005B4CA6">
              <w:rPr>
                <w:rFonts w:asciiTheme="minorHAnsi" w:hAnsiTheme="minorHAnsi" w:cstheme="minorHAnsi"/>
                <w:b/>
                <w:color w:val="0070C0"/>
                <w:sz w:val="32"/>
                <w:szCs w:val="32"/>
                <w:u w:val="single"/>
              </w:rPr>
              <w:t xml:space="preserve"> PREFERRED</w:t>
            </w:r>
            <w:r w:rsidRPr="0087765F">
              <w:rPr>
                <w:rFonts w:asciiTheme="minorHAnsi" w:hAnsiTheme="minorHAnsi" w:cstheme="minorHAnsi"/>
                <w:b/>
                <w:color w:val="0070C0"/>
                <w:sz w:val="32"/>
                <w:szCs w:val="32"/>
                <w:u w:val="single"/>
              </w:rPr>
              <w:t xml:space="preserve"> OPTION </w:t>
            </w:r>
            <w:r>
              <w:rPr>
                <w:rFonts w:asciiTheme="minorHAnsi" w:hAnsiTheme="minorHAnsi" w:cstheme="minorHAnsi"/>
                <w:b/>
                <w:color w:val="0070C0"/>
                <w:sz w:val="32"/>
                <w:szCs w:val="32"/>
                <w:u w:val="single"/>
              </w:rPr>
              <w:t>FOR</w:t>
            </w:r>
            <w:r w:rsidRPr="0087765F">
              <w:rPr>
                <w:rFonts w:asciiTheme="minorHAnsi" w:hAnsiTheme="minorHAnsi" w:cstheme="minorHAnsi"/>
                <w:b/>
                <w:color w:val="0070C0"/>
                <w:sz w:val="32"/>
                <w:szCs w:val="32"/>
                <w:u w:val="single"/>
              </w:rPr>
              <w:t xml:space="preserve"> FUTURE PROGRAMME</w:t>
            </w:r>
          </w:p>
          <w:p w14:paraId="14BE7A99" w14:textId="77777777" w:rsidR="008A1FDD" w:rsidRDefault="008A1FDD" w:rsidP="008A1FDD">
            <w:pPr>
              <w:spacing w:before="200"/>
              <w:jc w:val="center"/>
            </w:pPr>
            <w:r w:rsidRPr="008D3811">
              <w:rPr>
                <w:noProof/>
              </w:rPr>
              <w:drawing>
                <wp:inline distT="0" distB="0" distL="0" distR="0" wp14:anchorId="14BE7B31" wp14:editId="51497EF8">
                  <wp:extent cx="6705600" cy="3762375"/>
                  <wp:effectExtent l="0" t="19050" r="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14BE7A9A" w14:textId="376234CA" w:rsidR="008A1FDD" w:rsidRPr="0087765F" w:rsidRDefault="008A1FDD" w:rsidP="006B19A7">
            <w:pPr>
              <w:spacing w:before="120" w:after="120"/>
              <w:jc w:val="center"/>
              <w:rPr>
                <w:rFonts w:asciiTheme="minorHAnsi" w:hAnsiTheme="minorHAnsi" w:cstheme="minorHAnsi"/>
                <w:i/>
                <w:color w:val="0070C0"/>
                <w:sz w:val="22"/>
                <w:szCs w:val="22"/>
              </w:rPr>
            </w:pPr>
            <w:r w:rsidRPr="0087765F">
              <w:rPr>
                <w:rFonts w:asciiTheme="minorHAnsi" w:hAnsiTheme="minorHAnsi" w:cstheme="minorHAnsi"/>
                <w:i/>
                <w:color w:val="0070C0"/>
                <w:sz w:val="22"/>
                <w:szCs w:val="22"/>
                <w:u w:val="single"/>
              </w:rPr>
              <w:t>Legend</w:t>
            </w:r>
            <w:r w:rsidRPr="0087765F">
              <w:rPr>
                <w:rFonts w:asciiTheme="minorHAnsi" w:hAnsiTheme="minorHAnsi" w:cstheme="minorHAnsi"/>
                <w:i/>
                <w:color w:val="0070C0"/>
                <w:sz w:val="22"/>
                <w:szCs w:val="22"/>
              </w:rPr>
              <w:t xml:space="preserve">: 0: </w:t>
            </w:r>
            <w:r w:rsidR="00C71EFA">
              <w:rPr>
                <w:rFonts w:asciiTheme="minorHAnsi" w:hAnsiTheme="minorHAnsi" w:cstheme="minorHAnsi"/>
                <w:i/>
                <w:color w:val="0070C0"/>
                <w:sz w:val="22"/>
                <w:szCs w:val="22"/>
              </w:rPr>
              <w:t>not possible</w:t>
            </w:r>
            <w:r w:rsidRPr="0087765F">
              <w:rPr>
                <w:rFonts w:asciiTheme="minorHAnsi" w:hAnsiTheme="minorHAnsi" w:cstheme="minorHAnsi"/>
                <w:i/>
                <w:color w:val="0070C0"/>
                <w:sz w:val="22"/>
                <w:szCs w:val="22"/>
              </w:rPr>
              <w:t xml:space="preserve"> / +: to a</w:t>
            </w:r>
            <w:r>
              <w:rPr>
                <w:rFonts w:asciiTheme="minorHAnsi" w:hAnsiTheme="minorHAnsi" w:cstheme="minorHAnsi"/>
                <w:i/>
                <w:color w:val="0070C0"/>
                <w:sz w:val="22"/>
                <w:szCs w:val="22"/>
              </w:rPr>
              <w:t xml:space="preserve"> very</w:t>
            </w:r>
            <w:r w:rsidRPr="0087765F">
              <w:rPr>
                <w:rFonts w:asciiTheme="minorHAnsi" w:hAnsiTheme="minorHAnsi" w:cstheme="minorHAnsi"/>
                <w:i/>
                <w:color w:val="0070C0"/>
                <w:sz w:val="22"/>
                <w:szCs w:val="22"/>
              </w:rPr>
              <w:t xml:space="preserve"> limited extent / ++: to some extent / +++: to a </w:t>
            </w:r>
            <w:r w:rsidR="006B19A7">
              <w:rPr>
                <w:rFonts w:asciiTheme="minorHAnsi" w:hAnsiTheme="minorHAnsi" w:cstheme="minorHAnsi"/>
                <w:i/>
                <w:color w:val="0070C0"/>
                <w:sz w:val="22"/>
                <w:szCs w:val="22"/>
              </w:rPr>
              <w:t>good</w:t>
            </w:r>
            <w:r w:rsidR="006B19A7" w:rsidRPr="0087765F">
              <w:rPr>
                <w:rFonts w:asciiTheme="minorHAnsi" w:hAnsiTheme="minorHAnsi" w:cstheme="minorHAnsi"/>
                <w:i/>
                <w:color w:val="0070C0"/>
                <w:sz w:val="22"/>
                <w:szCs w:val="22"/>
              </w:rPr>
              <w:t xml:space="preserve"> </w:t>
            </w:r>
            <w:r w:rsidRPr="0087765F">
              <w:rPr>
                <w:rFonts w:asciiTheme="minorHAnsi" w:hAnsiTheme="minorHAnsi" w:cstheme="minorHAnsi"/>
                <w:i/>
                <w:color w:val="0070C0"/>
                <w:sz w:val="22"/>
                <w:szCs w:val="22"/>
              </w:rPr>
              <w:t>extent</w:t>
            </w:r>
          </w:p>
        </w:tc>
      </w:tr>
    </w:tbl>
    <w:p w14:paraId="14BE7A9C" w14:textId="77777777" w:rsidR="008A1FDD" w:rsidRPr="005F4390" w:rsidRDefault="008A1FDD" w:rsidP="008A1FDD">
      <w:pPr>
        <w:spacing w:before="200" w:line="240" w:lineRule="auto"/>
        <w:jc w:val="both"/>
        <w:rPr>
          <w:sz w:val="2"/>
          <w:szCs w:val="2"/>
          <w:lang w:eastAsia="en-GB"/>
        </w:rPr>
      </w:pPr>
    </w:p>
    <w:p w14:paraId="14BE7A9D" w14:textId="77777777" w:rsidR="008A1FDD" w:rsidRPr="008A1FDD" w:rsidRDefault="008A1FDD" w:rsidP="008A1FDD">
      <w:pPr>
        <w:spacing w:line="240" w:lineRule="auto"/>
        <w:jc w:val="both"/>
        <w:rPr>
          <w:sz w:val="2"/>
          <w:szCs w:val="2"/>
        </w:rPr>
      </w:pPr>
    </w:p>
    <w:p w14:paraId="14BE7A9E" w14:textId="77777777" w:rsidR="008A1FDD" w:rsidRPr="008A1FDD" w:rsidRDefault="008A1FDD" w:rsidP="008A1FDD">
      <w:pPr>
        <w:spacing w:line="240" w:lineRule="auto"/>
        <w:jc w:val="both"/>
        <w:rPr>
          <w:sz w:val="2"/>
          <w:szCs w:val="2"/>
        </w:rPr>
        <w:sectPr w:rsidR="008A1FDD" w:rsidRPr="008A1FDD" w:rsidSect="008A1FDD">
          <w:headerReference w:type="even" r:id="rId38"/>
          <w:headerReference w:type="default" r:id="rId39"/>
          <w:footerReference w:type="even" r:id="rId40"/>
          <w:footerReference w:type="default" r:id="rId41"/>
          <w:headerReference w:type="first" r:id="rId42"/>
          <w:footerReference w:type="first" r:id="rId43"/>
          <w:pgSz w:w="16838" w:h="11906" w:orient="landscape"/>
          <w:pgMar w:top="1587" w:right="1020" w:bottom="1701" w:left="1020" w:header="601" w:footer="1077" w:gutter="0"/>
          <w:cols w:space="720"/>
          <w:titlePg/>
          <w:docGrid w:linePitch="299"/>
        </w:sectPr>
      </w:pPr>
    </w:p>
    <w:p w14:paraId="14BE7A9F" w14:textId="77777777" w:rsidR="00CA4B34" w:rsidRPr="00E77A89" w:rsidRDefault="00CA4B34" w:rsidP="00CA4B34">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The Union needs to </w:t>
      </w:r>
      <w:r w:rsidRPr="00E77A89">
        <w:rPr>
          <w:rFonts w:ascii="Times New Roman" w:hAnsi="Times New Roman" w:cs="Times New Roman"/>
          <w:b/>
          <w:sz w:val="24"/>
          <w:szCs w:val="24"/>
        </w:rPr>
        <w:t>seize the political momentum</w:t>
      </w:r>
      <w:r w:rsidRPr="00E77A89">
        <w:rPr>
          <w:rFonts w:ascii="Times New Roman" w:hAnsi="Times New Roman" w:cs="Times New Roman"/>
          <w:sz w:val="24"/>
          <w:szCs w:val="24"/>
        </w:rPr>
        <w:t xml:space="preserve"> where tax issues are high on the political agenda to consider offering more services to Member States in this challenging period for tax administrations, in particular more operational cooperation. In areas such as the taxation of the digital economy, e-commerce, use of new technologies, administrative cooperation, fight against VAT fraud, measuring VAT gap or tax recovery, the EU has an opportunity to shape the agenda. This scenario therefore aims at providing the programme with the financial and cooperation means to cope with these new challenges and thereby </w:t>
      </w:r>
      <w:r w:rsidRPr="00E77A89">
        <w:rPr>
          <w:rFonts w:ascii="Times New Roman" w:hAnsi="Times New Roman" w:cs="Times New Roman"/>
          <w:sz w:val="24"/>
          <w:szCs w:val="24"/>
          <w:lang w:eastAsia="ko-KR"/>
        </w:rPr>
        <w:t>bring strong EU added value for a limited budget in supporting Member States in building administrative capacity and managing their tax systems</w:t>
      </w:r>
      <w:r w:rsidRPr="00E77A89">
        <w:rPr>
          <w:rFonts w:ascii="Times New Roman" w:hAnsi="Times New Roman" w:cs="Times New Roman"/>
          <w:sz w:val="24"/>
          <w:szCs w:val="24"/>
        </w:rPr>
        <w:t xml:space="preserve">. </w:t>
      </w:r>
    </w:p>
    <w:p w14:paraId="14BE7AA0" w14:textId="6EC13A4E" w:rsidR="00873C92" w:rsidRPr="00E77A89" w:rsidRDefault="00873C92" w:rsidP="00873C92">
      <w:pPr>
        <w:spacing w:line="240" w:lineRule="auto"/>
        <w:jc w:val="both"/>
        <w:rPr>
          <w:rStyle w:val="A6"/>
          <w:rFonts w:ascii="Times New Roman" w:hAnsi="Times New Roman" w:cs="Times New Roman"/>
          <w:sz w:val="24"/>
          <w:szCs w:val="24"/>
        </w:rPr>
      </w:pPr>
      <w:r w:rsidRPr="00E77A89">
        <w:rPr>
          <w:rFonts w:ascii="Times New Roman" w:hAnsi="Times New Roman" w:cs="Times New Roman"/>
          <w:sz w:val="24"/>
          <w:szCs w:val="24"/>
          <w:lang w:eastAsia="en-GB"/>
        </w:rPr>
        <w:t xml:space="preserve">This scenario </w:t>
      </w:r>
      <w:r w:rsidRPr="00E77A89" w:rsidDel="00DC0BFD">
        <w:rPr>
          <w:rFonts w:ascii="Times New Roman" w:hAnsi="Times New Roman" w:cs="Times New Roman"/>
          <w:sz w:val="24"/>
          <w:szCs w:val="24"/>
          <w:lang w:eastAsia="en-GB"/>
        </w:rPr>
        <w:t>proposes to</w:t>
      </w:r>
      <w:r w:rsidRPr="00E77A89">
        <w:rPr>
          <w:rFonts w:ascii="Times New Roman" w:hAnsi="Times New Roman" w:cs="Times New Roman"/>
          <w:sz w:val="24"/>
          <w:szCs w:val="24"/>
          <w:lang w:eastAsia="en-GB"/>
        </w:rPr>
        <w:t xml:space="preserve"> </w:t>
      </w:r>
      <w:r w:rsidRPr="00E77A89" w:rsidDel="00DC0BFD">
        <w:rPr>
          <w:rFonts w:ascii="Times New Roman" w:hAnsi="Times New Roman" w:cs="Times New Roman"/>
          <w:b/>
          <w:sz w:val="24"/>
          <w:szCs w:val="24"/>
          <w:lang w:eastAsia="en-GB"/>
        </w:rPr>
        <w:t>effectively</w:t>
      </w:r>
      <w:r w:rsidRPr="00E77A89" w:rsidDel="00DC0BFD">
        <w:rPr>
          <w:rFonts w:ascii="Times New Roman" w:hAnsi="Times New Roman" w:cs="Times New Roman"/>
          <w:sz w:val="24"/>
          <w:szCs w:val="24"/>
          <w:lang w:eastAsia="en-GB"/>
        </w:rPr>
        <w:t xml:space="preserve"> </w:t>
      </w:r>
      <w:r w:rsidRPr="00E77A89">
        <w:rPr>
          <w:rFonts w:ascii="Times New Roman" w:hAnsi="Times New Roman" w:cs="Times New Roman"/>
          <w:b/>
          <w:sz w:val="24"/>
          <w:szCs w:val="24"/>
          <w:lang w:eastAsia="en-GB"/>
        </w:rPr>
        <w:t>address the present and incoming challenges</w:t>
      </w:r>
      <w:r w:rsidRPr="00E77A89">
        <w:rPr>
          <w:rFonts w:ascii="Times New Roman" w:hAnsi="Times New Roman" w:cs="Times New Roman"/>
          <w:sz w:val="24"/>
          <w:szCs w:val="24"/>
          <w:lang w:eastAsia="en-GB"/>
        </w:rPr>
        <w:t xml:space="preserve"> in the taxation field and to deliver on </w:t>
      </w:r>
      <w:r w:rsidRPr="00E77A89" w:rsidDel="00DC0BFD">
        <w:rPr>
          <w:rFonts w:ascii="Times New Roman" w:hAnsi="Times New Roman" w:cs="Times New Roman"/>
          <w:sz w:val="24"/>
          <w:szCs w:val="24"/>
          <w:lang w:eastAsia="en-GB"/>
        </w:rPr>
        <w:t xml:space="preserve">and implement </w:t>
      </w:r>
      <w:r w:rsidRPr="00E77A89">
        <w:rPr>
          <w:rFonts w:ascii="Times New Roman" w:hAnsi="Times New Roman" w:cs="Times New Roman"/>
          <w:sz w:val="24"/>
          <w:szCs w:val="24"/>
          <w:lang w:eastAsia="en-GB"/>
        </w:rPr>
        <w:t>the ambitious tax policy. It would allow providing common solutions – identified in new EU regulatory interventions – and more effective tools to the identified common problems. In particular, the policy initiatives against tax fraud and tax evasion, the introduction of major tax reforms such as the VAT definitive regime or the C</w:t>
      </w:r>
      <w:r w:rsidR="005B4CA6" w:rsidRPr="00E77A89">
        <w:rPr>
          <w:rFonts w:ascii="Times New Roman" w:hAnsi="Times New Roman" w:cs="Times New Roman"/>
          <w:sz w:val="24"/>
          <w:szCs w:val="24"/>
          <w:lang w:eastAsia="en-GB"/>
        </w:rPr>
        <w:t xml:space="preserve">ommon </w:t>
      </w:r>
      <w:r w:rsidRPr="00E77A89">
        <w:rPr>
          <w:rFonts w:ascii="Times New Roman" w:hAnsi="Times New Roman" w:cs="Times New Roman"/>
          <w:sz w:val="24"/>
          <w:szCs w:val="24"/>
          <w:lang w:eastAsia="en-GB"/>
        </w:rPr>
        <w:t>C</w:t>
      </w:r>
      <w:r w:rsidR="005B4CA6" w:rsidRPr="00E77A89">
        <w:rPr>
          <w:rFonts w:ascii="Times New Roman" w:hAnsi="Times New Roman" w:cs="Times New Roman"/>
          <w:sz w:val="24"/>
          <w:szCs w:val="24"/>
          <w:lang w:eastAsia="en-GB"/>
        </w:rPr>
        <w:t xml:space="preserve">onsolidated </w:t>
      </w:r>
      <w:r w:rsidRPr="00E77A89">
        <w:rPr>
          <w:rFonts w:ascii="Times New Roman" w:hAnsi="Times New Roman" w:cs="Times New Roman"/>
          <w:sz w:val="24"/>
          <w:szCs w:val="24"/>
          <w:lang w:eastAsia="en-GB"/>
        </w:rPr>
        <w:t>C</w:t>
      </w:r>
      <w:r w:rsidR="005B4CA6" w:rsidRPr="00E77A89">
        <w:rPr>
          <w:rFonts w:ascii="Times New Roman" w:hAnsi="Times New Roman" w:cs="Times New Roman"/>
          <w:sz w:val="24"/>
          <w:szCs w:val="24"/>
          <w:lang w:eastAsia="en-GB"/>
        </w:rPr>
        <w:t xml:space="preserve">orporate </w:t>
      </w:r>
      <w:r w:rsidRPr="00E77A89">
        <w:rPr>
          <w:rFonts w:ascii="Times New Roman" w:hAnsi="Times New Roman" w:cs="Times New Roman"/>
          <w:sz w:val="24"/>
          <w:szCs w:val="24"/>
          <w:lang w:eastAsia="en-GB"/>
        </w:rPr>
        <w:t>T</w:t>
      </w:r>
      <w:r w:rsidR="005B4CA6" w:rsidRPr="00E77A89">
        <w:rPr>
          <w:rFonts w:ascii="Times New Roman" w:hAnsi="Times New Roman" w:cs="Times New Roman"/>
          <w:sz w:val="24"/>
          <w:szCs w:val="24"/>
          <w:lang w:eastAsia="en-GB"/>
        </w:rPr>
        <w:t xml:space="preserve">ax </w:t>
      </w:r>
      <w:r w:rsidRPr="00E77A89">
        <w:rPr>
          <w:rFonts w:ascii="Times New Roman" w:hAnsi="Times New Roman" w:cs="Times New Roman"/>
          <w:sz w:val="24"/>
          <w:szCs w:val="24"/>
          <w:lang w:eastAsia="en-GB"/>
        </w:rPr>
        <w:t>B</w:t>
      </w:r>
      <w:r w:rsidR="005B4CA6" w:rsidRPr="00E77A89">
        <w:rPr>
          <w:rFonts w:ascii="Times New Roman" w:hAnsi="Times New Roman" w:cs="Times New Roman"/>
          <w:sz w:val="24"/>
          <w:szCs w:val="24"/>
          <w:lang w:eastAsia="en-GB"/>
        </w:rPr>
        <w:t>ase</w:t>
      </w:r>
      <w:r w:rsidRPr="00E77A89">
        <w:rPr>
          <w:rFonts w:ascii="Times New Roman" w:hAnsi="Times New Roman" w:cs="Times New Roman"/>
          <w:sz w:val="24"/>
          <w:szCs w:val="24"/>
          <w:lang w:eastAsia="en-GB"/>
        </w:rPr>
        <w:t xml:space="preserve"> and the progress in the area of excise duties, energy taxation and other future EU initiatives would depend on Fiscalis for their implementation. In addition, the bottom-up approach whereby national tax administrations themselves actively identify areas of enhanced operational cooperation could equally be continued leading to further "de facto" European integration. The programme would be an enabler for modern and efficient national tax administrations which interact and perform in a digital environment and deal with emerging challenges and trends.</w:t>
      </w:r>
    </w:p>
    <w:p w14:paraId="14BE7AA1" w14:textId="77777777" w:rsidR="00873C92" w:rsidRPr="00E77A89" w:rsidRDefault="000C3B87" w:rsidP="00AE2482">
      <w:pPr>
        <w:spacing w:after="0"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Concretely, this option would propose a comprehensive framework to </w:t>
      </w:r>
      <w:r w:rsidRPr="00E77A89">
        <w:rPr>
          <w:rFonts w:ascii="Times New Roman" w:hAnsi="Times New Roman" w:cs="Times New Roman"/>
          <w:b/>
          <w:sz w:val="24"/>
          <w:szCs w:val="24"/>
          <w:lang w:eastAsia="en-GB"/>
        </w:rPr>
        <w:t>address coherently the challenges</w:t>
      </w:r>
      <w:r w:rsidRPr="00E77A89">
        <w:rPr>
          <w:rFonts w:ascii="Times New Roman" w:hAnsi="Times New Roman" w:cs="Times New Roman"/>
          <w:sz w:val="24"/>
          <w:szCs w:val="24"/>
          <w:lang w:eastAsia="en-GB"/>
        </w:rPr>
        <w:t xml:space="preserve"> identified above</w:t>
      </w:r>
      <w:r w:rsidR="00873C92" w:rsidRPr="00E77A89">
        <w:rPr>
          <w:rFonts w:ascii="Times New Roman" w:hAnsi="Times New Roman" w:cs="Times New Roman"/>
          <w:sz w:val="24"/>
          <w:szCs w:val="24"/>
          <w:lang w:eastAsia="en-GB"/>
        </w:rPr>
        <w:t xml:space="preserve">: </w:t>
      </w:r>
    </w:p>
    <w:p w14:paraId="14BE7AA2" w14:textId="4D9001CC" w:rsidR="00873C92" w:rsidRPr="00E77A89" w:rsidRDefault="00AE2482" w:rsidP="00AE2482">
      <w:pPr>
        <w:pStyle w:val="ListParagraph"/>
        <w:numPr>
          <w:ilvl w:val="0"/>
          <w:numId w:val="15"/>
        </w:numPr>
        <w:spacing w:after="0"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On top of the continuity of </w:t>
      </w:r>
      <w:r w:rsidR="00873C92" w:rsidRPr="00E77A89">
        <w:rPr>
          <w:rFonts w:ascii="Times New Roman" w:hAnsi="Times New Roman" w:cs="Times New Roman"/>
          <w:sz w:val="24"/>
          <w:szCs w:val="24"/>
          <w:lang w:eastAsia="en-GB"/>
        </w:rPr>
        <w:t xml:space="preserve">existing </w:t>
      </w:r>
      <w:r w:rsidR="004B67F5" w:rsidRPr="00E77A89">
        <w:rPr>
          <w:rFonts w:ascii="Times New Roman" w:hAnsi="Times New Roman" w:cs="Times New Roman"/>
          <w:sz w:val="24"/>
          <w:szCs w:val="24"/>
          <w:lang w:eastAsia="en-GB"/>
        </w:rPr>
        <w:t xml:space="preserve">electronic </w:t>
      </w:r>
      <w:r w:rsidR="00873C92" w:rsidRPr="00E77A89">
        <w:rPr>
          <w:rFonts w:ascii="Times New Roman" w:hAnsi="Times New Roman" w:cs="Times New Roman"/>
          <w:sz w:val="24"/>
          <w:szCs w:val="24"/>
          <w:lang w:eastAsia="en-GB"/>
        </w:rPr>
        <w:t>systems as of 2020 ("legacy 2020")</w:t>
      </w:r>
      <w:r w:rsidRPr="00E77A89">
        <w:rPr>
          <w:rFonts w:ascii="Times New Roman" w:hAnsi="Times New Roman" w:cs="Times New Roman"/>
          <w:sz w:val="24"/>
          <w:szCs w:val="24"/>
          <w:lang w:eastAsia="en-GB"/>
        </w:rPr>
        <w:t xml:space="preserve">, IT capacity building would ensure that </w:t>
      </w:r>
      <w:r w:rsidR="00873C92" w:rsidRPr="00E77A89">
        <w:rPr>
          <w:rFonts w:ascii="Times New Roman" w:hAnsi="Times New Roman" w:cs="Times New Roman"/>
          <w:sz w:val="24"/>
          <w:szCs w:val="24"/>
          <w:lang w:eastAsia="en-GB"/>
        </w:rPr>
        <w:t>new IT projects can be on-boa</w:t>
      </w:r>
      <w:r w:rsidRPr="00E77A89">
        <w:rPr>
          <w:rFonts w:ascii="Times New Roman" w:hAnsi="Times New Roman" w:cs="Times New Roman"/>
          <w:sz w:val="24"/>
          <w:szCs w:val="24"/>
          <w:lang w:eastAsia="en-GB"/>
        </w:rPr>
        <w:t>rded as it has happened so far</w:t>
      </w:r>
      <w:r w:rsidR="00CA4B34" w:rsidRPr="00E77A89">
        <w:rPr>
          <w:rFonts w:ascii="Times New Roman" w:hAnsi="Times New Roman" w:cs="Times New Roman"/>
          <w:sz w:val="24"/>
          <w:szCs w:val="24"/>
          <w:lang w:eastAsia="en-GB"/>
        </w:rPr>
        <w:t>;</w:t>
      </w:r>
      <w:r w:rsidRPr="00E77A89">
        <w:rPr>
          <w:rFonts w:ascii="Times New Roman" w:hAnsi="Times New Roman" w:cs="Times New Roman"/>
          <w:sz w:val="24"/>
          <w:szCs w:val="24"/>
          <w:lang w:eastAsia="en-GB"/>
        </w:rPr>
        <w:t xml:space="preserve"> </w:t>
      </w:r>
      <w:r w:rsidR="00CA4B34" w:rsidRPr="00E77A89">
        <w:rPr>
          <w:rFonts w:ascii="Times New Roman" w:hAnsi="Times New Roman" w:cs="Times New Roman"/>
          <w:sz w:val="24"/>
          <w:szCs w:val="24"/>
          <w:lang w:eastAsia="en-GB"/>
        </w:rPr>
        <w:t xml:space="preserve">in addition, </w:t>
      </w:r>
      <w:r w:rsidRPr="00E77A89">
        <w:rPr>
          <w:rFonts w:ascii="Times New Roman" w:hAnsi="Times New Roman" w:cs="Times New Roman"/>
          <w:sz w:val="24"/>
          <w:szCs w:val="24"/>
          <w:lang w:eastAsia="en-GB"/>
        </w:rPr>
        <w:t xml:space="preserve">innovation </w:t>
      </w:r>
      <w:r w:rsidR="00CA4B34" w:rsidRPr="00E77A89">
        <w:rPr>
          <w:rFonts w:ascii="Times New Roman" w:hAnsi="Times New Roman" w:cs="Times New Roman"/>
          <w:sz w:val="24"/>
          <w:szCs w:val="24"/>
          <w:lang w:eastAsia="en-GB"/>
        </w:rPr>
        <w:t xml:space="preserve">would be made </w:t>
      </w:r>
      <w:r w:rsidRPr="00E77A89">
        <w:rPr>
          <w:rFonts w:ascii="Times New Roman" w:hAnsi="Times New Roman" w:cs="Times New Roman"/>
          <w:sz w:val="24"/>
          <w:szCs w:val="24"/>
          <w:lang w:eastAsia="en-GB"/>
        </w:rPr>
        <w:t xml:space="preserve">possible, i.e. some budget is also available for working on </w:t>
      </w:r>
      <w:r w:rsidR="00873C92" w:rsidRPr="00E77A89">
        <w:rPr>
          <w:rFonts w:ascii="Times New Roman" w:hAnsi="Times New Roman" w:cs="Times New Roman"/>
          <w:sz w:val="24"/>
          <w:szCs w:val="24"/>
          <w:lang w:eastAsia="en-GB"/>
        </w:rPr>
        <w:t xml:space="preserve">new technologies and trends (e.g. e-commerce, </w:t>
      </w:r>
      <w:r w:rsidR="00F352DB" w:rsidRPr="00E77A89">
        <w:rPr>
          <w:rFonts w:ascii="Times New Roman" w:hAnsi="Times New Roman" w:cs="Times New Roman"/>
          <w:sz w:val="24"/>
          <w:szCs w:val="24"/>
          <w:lang w:eastAsia="en-GB"/>
        </w:rPr>
        <w:t xml:space="preserve">big </w:t>
      </w:r>
      <w:r w:rsidR="00873C92" w:rsidRPr="00E77A89">
        <w:rPr>
          <w:rFonts w:ascii="Times New Roman" w:hAnsi="Times New Roman" w:cs="Times New Roman"/>
          <w:sz w:val="24"/>
          <w:szCs w:val="24"/>
          <w:lang w:eastAsia="en-GB"/>
        </w:rPr>
        <w:t xml:space="preserve">data, data analytics, blockchain…), cyber-attacks and other unforeseen events. </w:t>
      </w:r>
    </w:p>
    <w:p w14:paraId="14BE7AA3" w14:textId="28A1D5D6" w:rsidR="00873C92" w:rsidRPr="00E77A89" w:rsidRDefault="00873C92" w:rsidP="00AE2482">
      <w:pPr>
        <w:pStyle w:val="ListParagraph"/>
        <w:numPr>
          <w:ilvl w:val="0"/>
          <w:numId w:val="15"/>
        </w:numPr>
        <w:spacing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Cooperation</w:t>
      </w:r>
      <w:r w:rsidRPr="00E77A89">
        <w:rPr>
          <w:rFonts w:ascii="Times New Roman" w:hAnsi="Times New Roman" w:cs="Times New Roman"/>
          <w:b/>
          <w:sz w:val="24"/>
          <w:szCs w:val="24"/>
          <w:lang w:eastAsia="en-GB"/>
        </w:rPr>
        <w:t xml:space="preserve"> </w:t>
      </w:r>
      <w:r w:rsidRPr="00E77A89">
        <w:rPr>
          <w:rFonts w:ascii="Times New Roman" w:hAnsi="Times New Roman" w:cs="Times New Roman"/>
          <w:sz w:val="24"/>
          <w:szCs w:val="24"/>
          <w:lang w:eastAsia="en-GB"/>
        </w:rPr>
        <w:t>would be increased</w:t>
      </w:r>
      <w:r w:rsidR="00020DDE" w:rsidRPr="00E77A89">
        <w:rPr>
          <w:rFonts w:ascii="Times New Roman" w:hAnsi="Times New Roman" w:cs="Times New Roman"/>
          <w:sz w:val="24"/>
          <w:szCs w:val="24"/>
          <w:lang w:eastAsia="en-GB"/>
        </w:rPr>
        <w:t xml:space="preserve"> and intensified</w:t>
      </w:r>
      <w:r w:rsidRPr="00E77A89">
        <w:rPr>
          <w:rFonts w:ascii="Times New Roman" w:hAnsi="Times New Roman" w:cs="Times New Roman"/>
          <w:sz w:val="24"/>
          <w:szCs w:val="24"/>
          <w:lang w:eastAsia="en-GB"/>
        </w:rPr>
        <w:t xml:space="preserve"> </w:t>
      </w:r>
      <w:r w:rsidR="00CA4B34" w:rsidRPr="00E77A89">
        <w:rPr>
          <w:rFonts w:ascii="Times New Roman" w:hAnsi="Times New Roman" w:cs="Times New Roman"/>
          <w:sz w:val="24"/>
          <w:szCs w:val="24"/>
          <w:lang w:eastAsia="en-GB"/>
        </w:rPr>
        <w:t xml:space="preserve">– although only limited additional financial means would be required – in </w:t>
      </w:r>
      <w:r w:rsidRPr="00E77A89">
        <w:rPr>
          <w:rFonts w:ascii="Times New Roman" w:hAnsi="Times New Roman" w:cs="Times New Roman"/>
          <w:sz w:val="24"/>
          <w:szCs w:val="24"/>
          <w:lang w:eastAsia="en-GB"/>
        </w:rPr>
        <w:t xml:space="preserve">order to help simplify rules, </w:t>
      </w:r>
      <w:r w:rsidR="00020DDE" w:rsidRPr="00E77A89">
        <w:rPr>
          <w:rFonts w:ascii="Times New Roman" w:hAnsi="Times New Roman" w:cs="Times New Roman"/>
          <w:sz w:val="24"/>
          <w:szCs w:val="24"/>
          <w:lang w:eastAsia="en-GB"/>
        </w:rPr>
        <w:t>improv</w:t>
      </w:r>
      <w:r w:rsidRPr="00E77A89">
        <w:rPr>
          <w:rFonts w:ascii="Times New Roman" w:hAnsi="Times New Roman" w:cs="Times New Roman"/>
          <w:sz w:val="24"/>
          <w:szCs w:val="24"/>
          <w:lang w:eastAsia="en-GB"/>
        </w:rPr>
        <w:t xml:space="preserve">e compliance, </w:t>
      </w:r>
      <w:r w:rsidR="00ED0C4B" w:rsidRPr="00E77A89">
        <w:rPr>
          <w:rFonts w:ascii="Times New Roman" w:hAnsi="Times New Roman" w:cs="Times New Roman"/>
          <w:sz w:val="24"/>
          <w:szCs w:val="24"/>
          <w:lang w:eastAsia="en-GB"/>
        </w:rPr>
        <w:t>prevent</w:t>
      </w:r>
      <w:r w:rsidR="00B52A16" w:rsidRPr="00E77A89">
        <w:rPr>
          <w:rFonts w:ascii="Times New Roman" w:hAnsi="Times New Roman" w:cs="Times New Roman"/>
          <w:sz w:val="24"/>
          <w:szCs w:val="24"/>
          <w:lang w:eastAsia="en-GB"/>
        </w:rPr>
        <w:t xml:space="preserve"> </w:t>
      </w:r>
      <w:r w:rsidR="00ED0C4B" w:rsidRPr="00E77A89">
        <w:rPr>
          <w:rFonts w:ascii="Times New Roman" w:hAnsi="Times New Roman" w:cs="Times New Roman"/>
          <w:sz w:val="24"/>
          <w:szCs w:val="24"/>
          <w:lang w:eastAsia="en-GB"/>
        </w:rPr>
        <w:t xml:space="preserve">where possible and </w:t>
      </w:r>
      <w:r w:rsidRPr="00E77A89">
        <w:rPr>
          <w:rFonts w:ascii="Times New Roman" w:hAnsi="Times New Roman" w:cs="Times New Roman"/>
          <w:sz w:val="24"/>
          <w:szCs w:val="24"/>
          <w:lang w:eastAsia="en-GB"/>
        </w:rPr>
        <w:t xml:space="preserve">fight fraud and increase transparency </w:t>
      </w:r>
      <w:r w:rsidR="00AE2482" w:rsidRPr="00E77A89">
        <w:rPr>
          <w:rFonts w:ascii="Times New Roman" w:hAnsi="Times New Roman" w:cs="Times New Roman"/>
          <w:sz w:val="24"/>
          <w:szCs w:val="24"/>
          <w:lang w:eastAsia="en-GB"/>
        </w:rPr>
        <w:t>as well as</w:t>
      </w:r>
      <w:r w:rsidRPr="00E77A89">
        <w:rPr>
          <w:rFonts w:ascii="Times New Roman" w:hAnsi="Times New Roman" w:cs="Times New Roman"/>
          <w:sz w:val="24"/>
          <w:szCs w:val="24"/>
          <w:lang w:eastAsia="en-GB"/>
        </w:rPr>
        <w:t xml:space="preserve"> to accompany the enhanced exchange of information brought about by new IT developments. Such increased cooperation would materialize </w:t>
      </w:r>
      <w:r w:rsidR="00AE2482" w:rsidRPr="00E77A89">
        <w:rPr>
          <w:rFonts w:ascii="Times New Roman" w:hAnsi="Times New Roman" w:cs="Times New Roman"/>
          <w:sz w:val="24"/>
          <w:szCs w:val="24"/>
          <w:lang w:eastAsia="en-GB"/>
        </w:rPr>
        <w:t xml:space="preserve">not only </w:t>
      </w:r>
      <w:r w:rsidRPr="00E77A89" w:rsidDel="00AD4B2F">
        <w:rPr>
          <w:rFonts w:ascii="Times New Roman" w:hAnsi="Times New Roman" w:cs="Times New Roman"/>
          <w:sz w:val="24"/>
          <w:szCs w:val="24"/>
          <w:lang w:eastAsia="en-GB"/>
        </w:rPr>
        <w:t>through</w:t>
      </w:r>
      <w:r w:rsidR="00AE2482" w:rsidRPr="00E77A89">
        <w:rPr>
          <w:rFonts w:ascii="Times New Roman" w:hAnsi="Times New Roman" w:cs="Times New Roman"/>
          <w:sz w:val="24"/>
          <w:szCs w:val="24"/>
          <w:lang w:eastAsia="en-GB"/>
        </w:rPr>
        <w:t xml:space="preserve"> </w:t>
      </w:r>
      <w:r w:rsidR="000C3B87" w:rsidRPr="00E77A89">
        <w:rPr>
          <w:rFonts w:ascii="Times New Roman" w:hAnsi="Times New Roman" w:cs="Times New Roman"/>
          <w:sz w:val="24"/>
          <w:szCs w:val="24"/>
          <w:lang w:eastAsia="en-GB"/>
        </w:rPr>
        <w:t xml:space="preserve">the traditional </w:t>
      </w:r>
      <w:r w:rsidR="00AE2482" w:rsidRPr="00E77A89">
        <w:rPr>
          <w:rFonts w:ascii="Times New Roman" w:hAnsi="Times New Roman" w:cs="Times New Roman"/>
          <w:sz w:val="24"/>
          <w:szCs w:val="24"/>
          <w:lang w:eastAsia="en-GB"/>
        </w:rPr>
        <w:t>j</w:t>
      </w:r>
      <w:r w:rsidRPr="00E77A89">
        <w:rPr>
          <w:rFonts w:ascii="Times New Roman" w:hAnsi="Times New Roman" w:cs="Times New Roman"/>
          <w:sz w:val="24"/>
          <w:szCs w:val="24"/>
          <w:lang w:eastAsia="en-GB"/>
        </w:rPr>
        <w:t xml:space="preserve">oint actions </w:t>
      </w:r>
      <w:r w:rsidR="00AE2482" w:rsidRPr="00E77A89">
        <w:rPr>
          <w:rFonts w:ascii="Times New Roman" w:hAnsi="Times New Roman" w:cs="Times New Roman"/>
          <w:sz w:val="24"/>
          <w:szCs w:val="24"/>
          <w:lang w:eastAsia="en-GB"/>
        </w:rPr>
        <w:t xml:space="preserve">and capacity building </w:t>
      </w:r>
      <w:r w:rsidR="000C3B87" w:rsidRPr="00E77A89">
        <w:rPr>
          <w:rFonts w:ascii="Times New Roman" w:hAnsi="Times New Roman" w:cs="Times New Roman"/>
          <w:sz w:val="24"/>
          <w:szCs w:val="24"/>
          <w:lang w:eastAsia="en-GB"/>
        </w:rPr>
        <w:t xml:space="preserve">activities </w:t>
      </w:r>
      <w:r w:rsidR="00AE2482" w:rsidRPr="00E77A89">
        <w:rPr>
          <w:rFonts w:ascii="Times New Roman" w:hAnsi="Times New Roman" w:cs="Times New Roman"/>
          <w:sz w:val="24"/>
          <w:szCs w:val="24"/>
          <w:lang w:eastAsia="en-GB"/>
        </w:rPr>
        <w:t xml:space="preserve">but also through enhanced operational cooperation. </w:t>
      </w:r>
    </w:p>
    <w:p w14:paraId="14BE7AA4" w14:textId="63954DB4" w:rsidR="00FC49A9" w:rsidRPr="00E77A89" w:rsidRDefault="00873C92" w:rsidP="00090807">
      <w:pPr>
        <w:spacing w:line="240" w:lineRule="auto"/>
        <w:jc w:val="both"/>
        <w:rPr>
          <w:rFonts w:ascii="Times New Roman" w:hAnsi="Times New Roman" w:cs="Times New Roman"/>
          <w:sz w:val="24"/>
          <w:szCs w:val="24"/>
        </w:rPr>
      </w:pPr>
      <w:r w:rsidRPr="00E77A89" w:rsidDel="005676C5">
        <w:rPr>
          <w:rFonts w:ascii="Times New Roman" w:hAnsi="Times New Roman" w:cs="Times New Roman"/>
          <w:sz w:val="24"/>
          <w:szCs w:val="24"/>
        </w:rPr>
        <w:t xml:space="preserve">Over the recent years, a cascade </w:t>
      </w:r>
      <w:r w:rsidRPr="00E77A89">
        <w:rPr>
          <w:rFonts w:ascii="Times New Roman" w:hAnsi="Times New Roman" w:cs="Times New Roman"/>
          <w:sz w:val="24"/>
          <w:szCs w:val="24"/>
        </w:rPr>
        <w:t>of new EU directives and regulations</w:t>
      </w:r>
      <w:r w:rsidRPr="00E77A89">
        <w:rPr>
          <w:rFonts w:ascii="Times New Roman" w:hAnsi="Times New Roman" w:cs="Times New Roman"/>
          <w:b/>
          <w:sz w:val="24"/>
          <w:szCs w:val="24"/>
        </w:rPr>
        <w:t xml:space="preserve"> </w:t>
      </w:r>
      <w:r w:rsidRPr="00E77A89">
        <w:rPr>
          <w:rFonts w:ascii="Times New Roman" w:hAnsi="Times New Roman" w:cs="Times New Roman"/>
          <w:sz w:val="24"/>
          <w:szCs w:val="24"/>
        </w:rPr>
        <w:t xml:space="preserve">has been adopted. As they require accompanying IT solutions – many of which have not yet been put in place –, the budget </w:t>
      </w:r>
      <w:r w:rsidR="000C3B87" w:rsidRPr="00E77A89">
        <w:rPr>
          <w:rFonts w:ascii="Times New Roman" w:hAnsi="Times New Roman" w:cs="Times New Roman"/>
          <w:sz w:val="24"/>
          <w:szCs w:val="24"/>
        </w:rPr>
        <w:t>is</w:t>
      </w:r>
      <w:r w:rsidRPr="00E77A89">
        <w:rPr>
          <w:rFonts w:ascii="Times New Roman" w:hAnsi="Times New Roman" w:cs="Times New Roman"/>
          <w:sz w:val="24"/>
          <w:szCs w:val="24"/>
        </w:rPr>
        <w:t xml:space="preserve"> increasingly devoted to </w:t>
      </w:r>
      <w:r w:rsidRPr="00E77A89">
        <w:rPr>
          <w:rFonts w:ascii="Times New Roman" w:hAnsi="Times New Roman" w:cs="Times New Roman"/>
          <w:b/>
          <w:sz w:val="24"/>
          <w:szCs w:val="24"/>
        </w:rPr>
        <w:t xml:space="preserve">operating and maintaining </w:t>
      </w:r>
      <w:r w:rsidR="004B67F5" w:rsidRPr="00E77A89">
        <w:rPr>
          <w:rFonts w:ascii="Times New Roman" w:hAnsi="Times New Roman" w:cs="Times New Roman"/>
          <w:b/>
          <w:sz w:val="24"/>
          <w:szCs w:val="24"/>
          <w:lang w:eastAsia="en-GB"/>
        </w:rPr>
        <w:t>electronic</w:t>
      </w:r>
      <w:r w:rsidR="004B67F5" w:rsidRPr="00E77A89">
        <w:rPr>
          <w:rFonts w:ascii="Times New Roman" w:hAnsi="Times New Roman" w:cs="Times New Roman"/>
          <w:sz w:val="24"/>
          <w:szCs w:val="24"/>
          <w:lang w:eastAsia="en-GB"/>
        </w:rPr>
        <w:t xml:space="preserve"> </w:t>
      </w:r>
      <w:r w:rsidRPr="00E77A89">
        <w:rPr>
          <w:rFonts w:ascii="Times New Roman" w:hAnsi="Times New Roman" w:cs="Times New Roman"/>
          <w:b/>
          <w:sz w:val="24"/>
          <w:szCs w:val="24"/>
        </w:rPr>
        <w:t>systems</w:t>
      </w:r>
      <w:r w:rsidRPr="00E77A89">
        <w:rPr>
          <w:rFonts w:ascii="Times New Roman" w:hAnsi="Times New Roman" w:cs="Times New Roman"/>
          <w:sz w:val="24"/>
          <w:szCs w:val="24"/>
        </w:rPr>
        <w:t>. This trend is expected to continue and even accelerate given the pace of technological development and emerging needs that can be better c</w:t>
      </w:r>
      <w:r w:rsidR="000C3B87" w:rsidRPr="00E77A89">
        <w:rPr>
          <w:rFonts w:ascii="Times New Roman" w:hAnsi="Times New Roman" w:cs="Times New Roman"/>
          <w:sz w:val="24"/>
          <w:szCs w:val="24"/>
        </w:rPr>
        <w:t xml:space="preserve">overed with strong IT tools. </w:t>
      </w:r>
    </w:p>
    <w:p w14:paraId="3672162B" w14:textId="6F40D51C" w:rsidR="005C6870" w:rsidRPr="00E77A89" w:rsidRDefault="000C3B87" w:rsidP="005C6870">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A </w:t>
      </w:r>
      <w:r w:rsidR="00090807" w:rsidRPr="00E77A89">
        <w:rPr>
          <w:rFonts w:ascii="Times New Roman" w:hAnsi="Times New Roman" w:cs="Times New Roman"/>
          <w:sz w:val="24"/>
          <w:szCs w:val="24"/>
        </w:rPr>
        <w:t xml:space="preserve">budget for </w:t>
      </w:r>
      <w:r w:rsidR="00090807" w:rsidRPr="00E77A89">
        <w:rPr>
          <w:rFonts w:ascii="Times New Roman" w:hAnsi="Times New Roman" w:cs="Times New Roman"/>
          <w:b/>
          <w:sz w:val="24"/>
          <w:szCs w:val="24"/>
        </w:rPr>
        <w:t>new</w:t>
      </w:r>
      <w:r w:rsidR="00873C92" w:rsidRPr="00E77A89">
        <w:rPr>
          <w:rFonts w:ascii="Times New Roman" w:hAnsi="Times New Roman" w:cs="Times New Roman"/>
          <w:b/>
          <w:sz w:val="24"/>
          <w:szCs w:val="24"/>
        </w:rPr>
        <w:t xml:space="preserve"> IT expenditure</w:t>
      </w:r>
      <w:r w:rsidR="00873C92" w:rsidRPr="00E77A89">
        <w:rPr>
          <w:rFonts w:ascii="Times New Roman" w:hAnsi="Times New Roman" w:cs="Times New Roman"/>
          <w:sz w:val="24"/>
          <w:szCs w:val="24"/>
        </w:rPr>
        <w:t xml:space="preserve"> </w:t>
      </w:r>
      <w:r w:rsidRPr="00E77A89">
        <w:rPr>
          <w:rFonts w:ascii="Times New Roman" w:hAnsi="Times New Roman" w:cs="Times New Roman"/>
          <w:sz w:val="24"/>
          <w:szCs w:val="24"/>
        </w:rPr>
        <w:t xml:space="preserve">would be welcome </w:t>
      </w:r>
      <w:r w:rsidR="00873C92" w:rsidRPr="00E77A89">
        <w:rPr>
          <w:rFonts w:ascii="Times New Roman" w:hAnsi="Times New Roman" w:cs="Times New Roman"/>
          <w:sz w:val="24"/>
          <w:szCs w:val="24"/>
        </w:rPr>
        <w:t xml:space="preserve">to </w:t>
      </w:r>
      <w:r w:rsidRPr="00E77A89">
        <w:rPr>
          <w:rFonts w:ascii="Times New Roman" w:hAnsi="Times New Roman" w:cs="Times New Roman"/>
          <w:sz w:val="24"/>
          <w:szCs w:val="24"/>
        </w:rPr>
        <w:t xml:space="preserve">allow </w:t>
      </w:r>
      <w:r w:rsidR="00873C92" w:rsidRPr="00E77A89">
        <w:rPr>
          <w:rFonts w:ascii="Times New Roman" w:hAnsi="Times New Roman" w:cs="Times New Roman"/>
          <w:sz w:val="24"/>
          <w:szCs w:val="24"/>
        </w:rPr>
        <w:t>develop</w:t>
      </w:r>
      <w:r w:rsidRPr="00E77A89">
        <w:rPr>
          <w:rFonts w:ascii="Times New Roman" w:hAnsi="Times New Roman" w:cs="Times New Roman"/>
          <w:sz w:val="24"/>
          <w:szCs w:val="24"/>
        </w:rPr>
        <w:t>ing</w:t>
      </w:r>
      <w:r w:rsidR="00873C92" w:rsidRPr="00E77A89">
        <w:rPr>
          <w:rFonts w:ascii="Times New Roman" w:hAnsi="Times New Roman" w:cs="Times New Roman"/>
          <w:sz w:val="24"/>
          <w:szCs w:val="24"/>
        </w:rPr>
        <w:t xml:space="preserve"> new </w:t>
      </w:r>
      <w:r w:rsidR="004E69DA" w:rsidRPr="00E77A89">
        <w:rPr>
          <w:rFonts w:ascii="Times New Roman" w:hAnsi="Times New Roman" w:cs="Times New Roman"/>
          <w:sz w:val="24"/>
          <w:szCs w:val="24"/>
          <w:lang w:eastAsia="en-GB"/>
        </w:rPr>
        <w:t xml:space="preserve">electronic </w:t>
      </w:r>
      <w:r w:rsidR="00873C92" w:rsidRPr="00E77A89">
        <w:rPr>
          <w:rFonts w:ascii="Times New Roman" w:hAnsi="Times New Roman" w:cs="Times New Roman"/>
          <w:sz w:val="24"/>
          <w:szCs w:val="24"/>
        </w:rPr>
        <w:t>systems and financ</w:t>
      </w:r>
      <w:r w:rsidRPr="00E77A89">
        <w:rPr>
          <w:rFonts w:ascii="Times New Roman" w:hAnsi="Times New Roman" w:cs="Times New Roman"/>
          <w:sz w:val="24"/>
          <w:szCs w:val="24"/>
        </w:rPr>
        <w:t>ing</w:t>
      </w:r>
      <w:r w:rsidR="00873C92" w:rsidRPr="00E77A89">
        <w:rPr>
          <w:rFonts w:ascii="Times New Roman" w:hAnsi="Times New Roman" w:cs="Times New Roman"/>
          <w:sz w:val="24"/>
          <w:szCs w:val="24"/>
        </w:rPr>
        <w:t xml:space="preserve"> their operation as required by the </w:t>
      </w:r>
      <w:r w:rsidRPr="00E77A89">
        <w:rPr>
          <w:rFonts w:ascii="Times New Roman" w:hAnsi="Times New Roman" w:cs="Times New Roman"/>
          <w:sz w:val="24"/>
          <w:szCs w:val="24"/>
        </w:rPr>
        <w:t xml:space="preserve">future </w:t>
      </w:r>
      <w:r w:rsidR="00873C92" w:rsidRPr="00E77A89">
        <w:rPr>
          <w:rFonts w:ascii="Times New Roman" w:hAnsi="Times New Roman" w:cs="Times New Roman"/>
          <w:sz w:val="24"/>
          <w:szCs w:val="24"/>
        </w:rPr>
        <w:t xml:space="preserve">legislation. </w:t>
      </w:r>
      <w:r w:rsidR="00090807" w:rsidRPr="00E77A89">
        <w:rPr>
          <w:rFonts w:ascii="Times New Roman" w:hAnsi="Times New Roman" w:cs="Times New Roman"/>
          <w:sz w:val="24"/>
          <w:szCs w:val="24"/>
        </w:rPr>
        <w:t xml:space="preserve">Experience shows </w:t>
      </w:r>
      <w:r w:rsidR="00ED5F92" w:rsidRPr="00E77A89">
        <w:rPr>
          <w:rFonts w:ascii="Times New Roman" w:hAnsi="Times New Roman" w:cs="Times New Roman"/>
          <w:sz w:val="24"/>
          <w:szCs w:val="24"/>
        </w:rPr>
        <w:t xml:space="preserve">indeed </w:t>
      </w:r>
      <w:r w:rsidR="00090807" w:rsidRPr="00E77A89">
        <w:rPr>
          <w:rFonts w:ascii="Times New Roman" w:hAnsi="Times New Roman" w:cs="Times New Roman"/>
          <w:sz w:val="24"/>
          <w:szCs w:val="24"/>
        </w:rPr>
        <w:t xml:space="preserve">that tax policy </w:t>
      </w:r>
      <w:r w:rsidR="00FC49A9" w:rsidRPr="00E77A89">
        <w:rPr>
          <w:rFonts w:ascii="Times New Roman" w:hAnsi="Times New Roman" w:cs="Times New Roman"/>
          <w:sz w:val="24"/>
          <w:szCs w:val="24"/>
        </w:rPr>
        <w:t>is no</w:t>
      </w:r>
      <w:r w:rsidR="00ED0C4B" w:rsidRPr="00E77A89">
        <w:rPr>
          <w:rFonts w:ascii="Times New Roman" w:hAnsi="Times New Roman" w:cs="Times New Roman"/>
          <w:sz w:val="24"/>
          <w:szCs w:val="24"/>
        </w:rPr>
        <w:t>t</w:t>
      </w:r>
      <w:r w:rsidR="00FC49A9" w:rsidRPr="00E77A89">
        <w:rPr>
          <w:rFonts w:ascii="Times New Roman" w:hAnsi="Times New Roman" w:cs="Times New Roman"/>
          <w:sz w:val="24"/>
          <w:szCs w:val="24"/>
        </w:rPr>
        <w:t xml:space="preserve"> static but </w:t>
      </w:r>
      <w:r w:rsidR="00090807" w:rsidRPr="00E77A89">
        <w:rPr>
          <w:rFonts w:ascii="Times New Roman" w:hAnsi="Times New Roman" w:cs="Times New Roman"/>
          <w:sz w:val="24"/>
          <w:szCs w:val="24"/>
        </w:rPr>
        <w:t xml:space="preserve">has to react </w:t>
      </w:r>
      <w:r w:rsidR="00FC49A9" w:rsidRPr="00E77A89">
        <w:rPr>
          <w:rFonts w:ascii="Times New Roman" w:hAnsi="Times New Roman" w:cs="Times New Roman"/>
          <w:sz w:val="24"/>
          <w:szCs w:val="24"/>
        </w:rPr>
        <w:t xml:space="preserve">dynamically </w:t>
      </w:r>
      <w:r w:rsidR="00090807" w:rsidRPr="00E77A89">
        <w:rPr>
          <w:rFonts w:ascii="Times New Roman" w:hAnsi="Times New Roman" w:cs="Times New Roman"/>
          <w:sz w:val="24"/>
          <w:szCs w:val="24"/>
        </w:rPr>
        <w:t xml:space="preserve">to real economy developments that are not easy to identify in advance (e.g. </w:t>
      </w:r>
      <w:r w:rsidR="005C6870" w:rsidRPr="00E77A89">
        <w:rPr>
          <w:rFonts w:ascii="Times New Roman" w:hAnsi="Times New Roman" w:cs="Times New Roman"/>
          <w:sz w:val="24"/>
          <w:szCs w:val="24"/>
        </w:rPr>
        <w:t xml:space="preserve">the digital </w:t>
      </w:r>
      <w:r w:rsidR="00090807" w:rsidRPr="00E77A89">
        <w:rPr>
          <w:rFonts w:ascii="Times New Roman" w:hAnsi="Times New Roman" w:cs="Times New Roman"/>
          <w:sz w:val="24"/>
          <w:szCs w:val="24"/>
        </w:rPr>
        <w:t xml:space="preserve">economy, transparency rules). It is therefore predictable that there will be a need to deliver in programmatic terms to the challenges as they happen, although it is difficult to identify currently the mix of activities </w:t>
      </w:r>
      <w:r w:rsidR="00ED5F92" w:rsidRPr="00E77A89">
        <w:rPr>
          <w:rFonts w:ascii="Times New Roman" w:hAnsi="Times New Roman" w:cs="Times New Roman"/>
          <w:sz w:val="24"/>
          <w:szCs w:val="24"/>
        </w:rPr>
        <w:t xml:space="preserve">and systems to develop </w:t>
      </w:r>
      <w:r w:rsidR="00090807" w:rsidRPr="00E77A89">
        <w:rPr>
          <w:rFonts w:ascii="Times New Roman" w:hAnsi="Times New Roman" w:cs="Times New Roman"/>
          <w:sz w:val="24"/>
          <w:szCs w:val="24"/>
        </w:rPr>
        <w:t>and we have to rely on the recent past experience.</w:t>
      </w:r>
      <w:r w:rsidR="00ED0C4B" w:rsidRPr="00E77A89">
        <w:rPr>
          <w:rFonts w:ascii="Times New Roman" w:hAnsi="Times New Roman" w:cs="Times New Roman"/>
          <w:sz w:val="24"/>
          <w:szCs w:val="24"/>
        </w:rPr>
        <w:t xml:space="preserve"> </w:t>
      </w:r>
      <w:r w:rsidR="005C6870" w:rsidRPr="00E77A89">
        <w:rPr>
          <w:rFonts w:ascii="Times New Roman" w:hAnsi="Times New Roman" w:cs="Times New Roman"/>
          <w:sz w:val="24"/>
          <w:szCs w:val="24"/>
        </w:rPr>
        <w:t>In this view, TAXUD has already initiated a new legislative initiative related to the collection of payment data from the payment service providers and its exchange between the tax administrations. This initiative will imply new common standards for the collection of data on the one hand, and the development of new IT solution for the exchange of data (being a central repository or a distributed application) on the other hand.</w:t>
      </w:r>
    </w:p>
    <w:p w14:paraId="14BE7AA6" w14:textId="1FCC1D2D" w:rsidR="000C3B87" w:rsidRPr="00E77A89" w:rsidRDefault="000C3B87" w:rsidP="000C3B87">
      <w:pPr>
        <w:spacing w:line="240" w:lineRule="auto"/>
        <w:jc w:val="both"/>
        <w:rPr>
          <w:rStyle w:val="A6"/>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This scenario </w:t>
      </w:r>
      <w:r w:rsidR="00FC49A9" w:rsidRPr="00E77A89">
        <w:rPr>
          <w:rFonts w:ascii="Times New Roman" w:hAnsi="Times New Roman" w:cs="Times New Roman"/>
          <w:sz w:val="24"/>
          <w:szCs w:val="24"/>
          <w:lang w:eastAsia="en-GB"/>
        </w:rPr>
        <w:t>should also allow</w:t>
      </w:r>
      <w:r w:rsidRPr="00E77A89">
        <w:rPr>
          <w:rFonts w:ascii="Times New Roman" w:hAnsi="Times New Roman" w:cs="Times New Roman"/>
          <w:sz w:val="24"/>
          <w:szCs w:val="24"/>
          <w:lang w:eastAsia="en-GB"/>
        </w:rPr>
        <w:t xml:space="preserve"> taking into account </w:t>
      </w:r>
      <w:r w:rsidRPr="00E77A89">
        <w:rPr>
          <w:rFonts w:ascii="Times New Roman" w:hAnsi="Times New Roman" w:cs="Times New Roman"/>
          <w:b/>
          <w:sz w:val="24"/>
          <w:szCs w:val="24"/>
        </w:rPr>
        <w:t>innovation</w:t>
      </w:r>
      <w:r w:rsidRPr="00E77A89">
        <w:rPr>
          <w:rFonts w:ascii="Times New Roman" w:hAnsi="Times New Roman" w:cs="Times New Roman"/>
          <w:sz w:val="24"/>
          <w:szCs w:val="24"/>
        </w:rPr>
        <w:t xml:space="preserve"> (e.g. digitalisation, new business models, adoption of new, disrupting IT capabilities such as blockchain and data analytics, that are being currently examined, capable to increase effectiveness and efficiency of the existing and future European </w:t>
      </w:r>
      <w:r w:rsidR="004E69DA" w:rsidRPr="00E77A89">
        <w:rPr>
          <w:rFonts w:ascii="Times New Roman" w:hAnsi="Times New Roman" w:cs="Times New Roman"/>
          <w:sz w:val="24"/>
          <w:szCs w:val="24"/>
          <w:lang w:eastAsia="en-GB"/>
        </w:rPr>
        <w:t xml:space="preserve">electronic </w:t>
      </w:r>
      <w:r w:rsidRPr="00E77A89">
        <w:rPr>
          <w:rFonts w:ascii="Times New Roman" w:hAnsi="Times New Roman" w:cs="Times New Roman"/>
          <w:sz w:val="24"/>
          <w:szCs w:val="24"/>
        </w:rPr>
        <w:t xml:space="preserve">systems) and factor in news risks (e.g. cyber-attacks); it would also allow covering the costly evolution towards more interoperability with customs and other law-enforcement authorities and thus contribute to </w:t>
      </w:r>
      <w:r w:rsidRPr="00E77A89">
        <w:rPr>
          <w:rFonts w:ascii="Times New Roman" w:hAnsi="Times New Roman" w:cs="Times New Roman"/>
          <w:sz w:val="24"/>
          <w:szCs w:val="24"/>
          <w:lang w:eastAsia="en-GB"/>
        </w:rPr>
        <w:t>the realisation of the Digital Single market.</w:t>
      </w:r>
    </w:p>
    <w:p w14:paraId="14BE7AA7" w14:textId="77777777" w:rsidR="00ED5F92" w:rsidRPr="00E77A89" w:rsidRDefault="00ED5F92" w:rsidP="00ED5F92">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lang w:eastAsia="en-GB"/>
        </w:rPr>
        <w:t>Additional major challenges will affect taxation in a near future</w:t>
      </w:r>
      <w:r w:rsidR="00FC49A9" w:rsidRPr="00E77A89">
        <w:rPr>
          <w:rFonts w:ascii="Times New Roman" w:hAnsi="Times New Roman" w:cs="Times New Roman"/>
          <w:sz w:val="24"/>
          <w:szCs w:val="24"/>
          <w:lang w:eastAsia="en-GB"/>
        </w:rPr>
        <w:t xml:space="preserve"> and it does not only concern IT</w:t>
      </w:r>
      <w:r w:rsidRPr="00E77A89">
        <w:rPr>
          <w:rFonts w:ascii="Times New Roman" w:hAnsi="Times New Roman" w:cs="Times New Roman"/>
          <w:sz w:val="24"/>
          <w:szCs w:val="24"/>
          <w:lang w:eastAsia="en-GB"/>
        </w:rPr>
        <w:t>. For example, the VAT system needs to be entirely revamped in order to be able to deal with the emerging sharing economy models or the increasing e-commerce issues. This requires</w:t>
      </w:r>
      <w:r w:rsidR="00667AA8" w:rsidRPr="00E77A89">
        <w:rPr>
          <w:rFonts w:ascii="Times New Roman" w:hAnsi="Times New Roman" w:cs="Times New Roman"/>
          <w:sz w:val="24"/>
          <w:szCs w:val="24"/>
          <w:lang w:eastAsia="en-GB"/>
        </w:rPr>
        <w:t xml:space="preserve"> a</w:t>
      </w:r>
      <w:r w:rsidRPr="00E77A89">
        <w:rPr>
          <w:rFonts w:ascii="Times New Roman" w:hAnsi="Times New Roman" w:cs="Times New Roman"/>
          <w:sz w:val="24"/>
          <w:szCs w:val="24"/>
          <w:lang w:eastAsia="en-GB"/>
        </w:rPr>
        <w:t xml:space="preserve"> </w:t>
      </w:r>
      <w:r w:rsidRPr="00E77A89">
        <w:rPr>
          <w:rFonts w:ascii="Times New Roman" w:hAnsi="Times New Roman" w:cs="Times New Roman"/>
          <w:b/>
          <w:sz w:val="24"/>
          <w:szCs w:val="24"/>
          <w:lang w:eastAsia="en-GB"/>
        </w:rPr>
        <w:t>strong and efficient cooperation</w:t>
      </w:r>
      <w:r w:rsidRPr="00E77A89">
        <w:rPr>
          <w:rFonts w:ascii="Times New Roman" w:hAnsi="Times New Roman" w:cs="Times New Roman"/>
          <w:sz w:val="24"/>
          <w:szCs w:val="24"/>
          <w:lang w:eastAsia="en-GB"/>
        </w:rPr>
        <w:t xml:space="preserve"> </w:t>
      </w:r>
      <w:r w:rsidR="00667AA8" w:rsidRPr="00E77A89">
        <w:rPr>
          <w:rFonts w:ascii="Times New Roman" w:hAnsi="Times New Roman" w:cs="Times New Roman"/>
          <w:sz w:val="24"/>
          <w:szCs w:val="24"/>
          <w:lang w:eastAsia="en-GB"/>
        </w:rPr>
        <w:t xml:space="preserve">– through traditional joint actions such as workshops, project groups or working visits – between </w:t>
      </w:r>
      <w:r w:rsidRPr="00E77A89">
        <w:rPr>
          <w:rFonts w:ascii="Times New Roman" w:hAnsi="Times New Roman" w:cs="Times New Roman"/>
          <w:sz w:val="24"/>
          <w:szCs w:val="24"/>
          <w:lang w:eastAsia="en-GB"/>
        </w:rPr>
        <w:t>agile, flexible, efficient and responsive tax administrations in order to protect not only national, but also the European budget</w:t>
      </w:r>
      <w:r w:rsidR="00FC49A9" w:rsidRPr="00E77A89">
        <w:rPr>
          <w:rFonts w:ascii="Times New Roman" w:hAnsi="Times New Roman" w:cs="Times New Roman"/>
          <w:sz w:val="24"/>
          <w:szCs w:val="24"/>
          <w:lang w:eastAsia="en-GB"/>
        </w:rPr>
        <w:t>.</w:t>
      </w:r>
      <w:r w:rsidRPr="00E77A89">
        <w:rPr>
          <w:rFonts w:ascii="Times New Roman" w:hAnsi="Times New Roman" w:cs="Times New Roman"/>
          <w:sz w:val="24"/>
          <w:szCs w:val="24"/>
          <w:lang w:eastAsia="en-GB"/>
        </w:rPr>
        <w:t xml:space="preserve"> </w:t>
      </w:r>
    </w:p>
    <w:p w14:paraId="14BE7AA8" w14:textId="632FB324" w:rsidR="00873C92" w:rsidRPr="00E77A89" w:rsidRDefault="00FC49A9" w:rsidP="00873C92">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As identified through the stakeholder’s consultations, i</w:t>
      </w:r>
      <w:r w:rsidR="00667AA8" w:rsidRPr="00E77A89">
        <w:rPr>
          <w:rFonts w:ascii="Times New Roman" w:hAnsi="Times New Roman" w:cs="Times New Roman"/>
          <w:sz w:val="24"/>
          <w:szCs w:val="24"/>
          <w:lang w:eastAsia="en-GB"/>
        </w:rPr>
        <w:t>t would however be opportune</w:t>
      </w:r>
      <w:r w:rsidR="00873C92" w:rsidRPr="00E77A89">
        <w:rPr>
          <w:rFonts w:ascii="Times New Roman" w:hAnsi="Times New Roman" w:cs="Times New Roman"/>
          <w:sz w:val="24"/>
          <w:szCs w:val="24"/>
          <w:lang w:eastAsia="en-GB"/>
        </w:rPr>
        <w:t xml:space="preserve"> to </w:t>
      </w:r>
      <w:r w:rsidRPr="00E77A89">
        <w:rPr>
          <w:rFonts w:ascii="Times New Roman" w:hAnsi="Times New Roman" w:cs="Times New Roman"/>
          <w:sz w:val="24"/>
          <w:szCs w:val="24"/>
          <w:lang w:eastAsia="en-GB"/>
        </w:rPr>
        <w:t xml:space="preserve">go beyond these traditional tools and </w:t>
      </w:r>
      <w:r w:rsidR="00873C92" w:rsidRPr="00E77A89">
        <w:rPr>
          <w:rFonts w:ascii="Times New Roman" w:hAnsi="Times New Roman" w:cs="Times New Roman"/>
          <w:sz w:val="24"/>
          <w:szCs w:val="24"/>
          <w:lang w:eastAsia="en-GB"/>
        </w:rPr>
        <w:t xml:space="preserve">develop further </w:t>
      </w:r>
      <w:r w:rsidR="00873C92" w:rsidRPr="00E77A89">
        <w:rPr>
          <w:rFonts w:ascii="Times New Roman" w:hAnsi="Times New Roman" w:cs="Times New Roman"/>
          <w:b/>
          <w:sz w:val="24"/>
          <w:szCs w:val="24"/>
          <w:lang w:eastAsia="en-GB"/>
        </w:rPr>
        <w:t>enhanced operational cooperation</w:t>
      </w:r>
      <w:r w:rsidR="005C6870" w:rsidRPr="00E77A89">
        <w:rPr>
          <w:rFonts w:ascii="Times New Roman" w:hAnsi="Times New Roman" w:cs="Times New Roman"/>
          <w:b/>
          <w:sz w:val="24"/>
          <w:szCs w:val="24"/>
          <w:lang w:eastAsia="en-GB"/>
        </w:rPr>
        <w:t xml:space="preserve"> </w:t>
      </w:r>
      <w:r w:rsidR="005C6870" w:rsidRPr="00E77A89">
        <w:rPr>
          <w:rFonts w:ascii="Times New Roman" w:hAnsi="Times New Roman" w:cs="Times New Roman"/>
          <w:sz w:val="24"/>
          <w:szCs w:val="24"/>
          <w:lang w:eastAsia="en-GB"/>
        </w:rPr>
        <w:t>under project-based undertakings</w:t>
      </w:r>
      <w:r w:rsidR="00873C92" w:rsidRPr="00E77A89">
        <w:rPr>
          <w:rFonts w:ascii="Times New Roman" w:hAnsi="Times New Roman" w:cs="Times New Roman"/>
          <w:sz w:val="24"/>
          <w:szCs w:val="24"/>
          <w:lang w:eastAsia="en-GB"/>
        </w:rPr>
        <w:t xml:space="preserve">, i.e. closer forms of cooperation that empower tax administrations to work more in clusters on a thematic or geographic basis and, thereby, make changes happen faster while at the same time rationalising efforts, creating operational integration and facilitating interaction by establishing closer working relationships, systematic sharing of expertise and experiences. The progressive but constant shift over the recent years towards such enhanced cooperation would deserve more means to reach its full potential. Such enhanced cooperation will bring benefits both on the business side (e.g. organisation of large scale joint audits to tackle complex cross-border topics such as issues with transfer pricing) and the IT side (e.g. joint drafting of specifications of national components allowing ultimately more approximation in the tax practices). </w:t>
      </w:r>
    </w:p>
    <w:p w14:paraId="14BE7AA9" w14:textId="77777777" w:rsidR="00343555" w:rsidRPr="00E77A89" w:rsidRDefault="00343555" w:rsidP="000C3B87">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Finally and in view of the </w:t>
      </w:r>
      <w:r w:rsidR="00ED0C4B" w:rsidRPr="00E77A89">
        <w:rPr>
          <w:rFonts w:ascii="Times New Roman" w:hAnsi="Times New Roman" w:cs="Times New Roman"/>
          <w:sz w:val="24"/>
          <w:szCs w:val="24"/>
          <w:lang w:eastAsia="en-GB"/>
        </w:rPr>
        <w:t>tax scene being</w:t>
      </w:r>
      <w:r w:rsidR="0038643B" w:rsidRPr="00E77A89">
        <w:rPr>
          <w:rFonts w:ascii="Times New Roman" w:hAnsi="Times New Roman" w:cs="Times New Roman"/>
          <w:sz w:val="24"/>
          <w:szCs w:val="24"/>
          <w:lang w:eastAsia="en-GB"/>
        </w:rPr>
        <w:t xml:space="preserve"> more and more driven by the </w:t>
      </w:r>
      <w:r w:rsidRPr="00E77A89">
        <w:rPr>
          <w:rFonts w:ascii="Times New Roman" w:hAnsi="Times New Roman" w:cs="Times New Roman"/>
          <w:sz w:val="24"/>
          <w:szCs w:val="24"/>
          <w:lang w:eastAsia="en-GB"/>
        </w:rPr>
        <w:t xml:space="preserve">international </w:t>
      </w:r>
      <w:r w:rsidR="00ED0C4B" w:rsidRPr="00E77A89">
        <w:rPr>
          <w:rFonts w:ascii="Times New Roman" w:hAnsi="Times New Roman" w:cs="Times New Roman"/>
          <w:sz w:val="24"/>
          <w:szCs w:val="24"/>
          <w:lang w:eastAsia="en-GB"/>
        </w:rPr>
        <w:t>context, the programme sh</w:t>
      </w:r>
      <w:r w:rsidR="0038643B" w:rsidRPr="00E77A89">
        <w:rPr>
          <w:rFonts w:ascii="Times New Roman" w:hAnsi="Times New Roman" w:cs="Times New Roman"/>
          <w:sz w:val="24"/>
          <w:szCs w:val="24"/>
          <w:lang w:eastAsia="en-GB"/>
        </w:rPr>
        <w:t xml:space="preserve">ould be more open to </w:t>
      </w:r>
      <w:r w:rsidR="0038643B" w:rsidRPr="00E77A89">
        <w:rPr>
          <w:rFonts w:ascii="Times New Roman" w:hAnsi="Times New Roman" w:cs="Times New Roman"/>
          <w:b/>
          <w:sz w:val="24"/>
          <w:szCs w:val="24"/>
          <w:lang w:eastAsia="en-GB"/>
        </w:rPr>
        <w:t>cooperation with international organisations</w:t>
      </w:r>
      <w:r w:rsidR="0038643B" w:rsidRPr="00E77A89">
        <w:rPr>
          <w:rFonts w:ascii="Times New Roman" w:hAnsi="Times New Roman" w:cs="Times New Roman"/>
          <w:sz w:val="24"/>
          <w:szCs w:val="24"/>
          <w:lang w:eastAsia="en-GB"/>
        </w:rPr>
        <w:t xml:space="preserve">, in particular the OECD and related bodies such as the Global Forum for Tax Administrations or the Forum for Tax Administration. </w:t>
      </w:r>
      <w:r w:rsidR="00D16FC0" w:rsidRPr="00E77A89">
        <w:rPr>
          <w:rFonts w:ascii="Times New Roman" w:hAnsi="Times New Roman" w:cs="Times New Roman"/>
          <w:sz w:val="24"/>
          <w:szCs w:val="24"/>
          <w:lang w:eastAsia="en-GB"/>
        </w:rPr>
        <w:t>Recognising, where appropriate in view of policy objectives, these international organisations as partners for the execution of the Fiscalis programme and f</w:t>
      </w:r>
      <w:r w:rsidR="0038643B" w:rsidRPr="00E77A89">
        <w:rPr>
          <w:rFonts w:ascii="Times New Roman" w:hAnsi="Times New Roman" w:cs="Times New Roman"/>
          <w:sz w:val="24"/>
          <w:szCs w:val="24"/>
          <w:lang w:eastAsia="en-GB"/>
        </w:rPr>
        <w:t xml:space="preserve">avouring the joint organisation of events and actions and deepened cooperation on legislative and operational activities </w:t>
      </w:r>
      <w:r w:rsidR="00D16FC0" w:rsidRPr="00E77A89">
        <w:rPr>
          <w:rFonts w:ascii="Times New Roman" w:hAnsi="Times New Roman" w:cs="Times New Roman"/>
          <w:sz w:val="24"/>
          <w:szCs w:val="24"/>
          <w:lang w:eastAsia="en-GB"/>
        </w:rPr>
        <w:t xml:space="preserve">in these cases would allow significant progress for a better achievement of EU tax policy. </w:t>
      </w:r>
      <w:r w:rsidR="0038643B" w:rsidRPr="00E77A89">
        <w:rPr>
          <w:rFonts w:ascii="Times New Roman" w:hAnsi="Times New Roman" w:cs="Times New Roman"/>
          <w:sz w:val="24"/>
          <w:szCs w:val="24"/>
          <w:lang w:eastAsia="en-GB"/>
        </w:rPr>
        <w:t xml:space="preserve">As regards IT, whereas the development of joint fully functional applications could be </w:t>
      </w:r>
      <w:r w:rsidR="000507C1" w:rsidRPr="00E77A89">
        <w:rPr>
          <w:rFonts w:ascii="Times New Roman" w:hAnsi="Times New Roman" w:cs="Times New Roman"/>
          <w:sz w:val="24"/>
          <w:szCs w:val="24"/>
          <w:lang w:eastAsia="en-GB"/>
        </w:rPr>
        <w:t>foreseen in specific cases</w:t>
      </w:r>
      <w:r w:rsidR="0038643B" w:rsidRPr="00E77A89">
        <w:rPr>
          <w:rFonts w:ascii="Times New Roman" w:hAnsi="Times New Roman" w:cs="Times New Roman"/>
          <w:sz w:val="24"/>
          <w:szCs w:val="24"/>
          <w:lang w:eastAsia="en-GB"/>
        </w:rPr>
        <w:t xml:space="preserve">, focusing on joint specifications and </w:t>
      </w:r>
      <w:r w:rsidR="000507C1" w:rsidRPr="00E77A89">
        <w:rPr>
          <w:rFonts w:ascii="Times New Roman" w:hAnsi="Times New Roman" w:cs="Times New Roman"/>
          <w:sz w:val="24"/>
          <w:szCs w:val="24"/>
          <w:lang w:eastAsia="en-GB"/>
        </w:rPr>
        <w:t>collaborative development</w:t>
      </w:r>
      <w:r w:rsidR="0038643B" w:rsidRPr="00E77A89">
        <w:rPr>
          <w:rFonts w:ascii="Times New Roman" w:hAnsi="Times New Roman" w:cs="Times New Roman"/>
          <w:sz w:val="24"/>
          <w:szCs w:val="24"/>
          <w:lang w:eastAsia="en-GB"/>
        </w:rPr>
        <w:t xml:space="preserve"> </w:t>
      </w:r>
      <w:r w:rsidR="000507C1" w:rsidRPr="00E77A89">
        <w:rPr>
          <w:rFonts w:ascii="Times New Roman" w:hAnsi="Times New Roman" w:cs="Times New Roman"/>
          <w:sz w:val="24"/>
          <w:szCs w:val="24"/>
          <w:lang w:eastAsia="en-GB"/>
        </w:rPr>
        <w:t>of specific modules</w:t>
      </w:r>
      <w:r w:rsidR="00CB1A61" w:rsidRPr="00E77A89">
        <w:rPr>
          <w:rStyle w:val="FootnoteReference"/>
          <w:rFonts w:ascii="Times New Roman" w:hAnsi="Times New Roman" w:cs="Times New Roman"/>
          <w:sz w:val="24"/>
          <w:szCs w:val="24"/>
          <w:lang w:eastAsia="en-GB"/>
        </w:rPr>
        <w:footnoteReference w:id="12"/>
      </w:r>
      <w:r w:rsidR="000507C1" w:rsidRPr="00E77A89">
        <w:rPr>
          <w:rFonts w:ascii="Times New Roman" w:hAnsi="Times New Roman" w:cs="Times New Roman"/>
          <w:sz w:val="24"/>
          <w:szCs w:val="24"/>
          <w:lang w:eastAsia="en-GB"/>
        </w:rPr>
        <w:t xml:space="preserve"> </w:t>
      </w:r>
      <w:r w:rsidR="0038643B" w:rsidRPr="00E77A89">
        <w:rPr>
          <w:rFonts w:ascii="Times New Roman" w:hAnsi="Times New Roman" w:cs="Times New Roman"/>
          <w:sz w:val="24"/>
          <w:szCs w:val="24"/>
          <w:lang w:eastAsia="en-GB"/>
        </w:rPr>
        <w:t xml:space="preserve">in view of the respective strengths would already bring significant added value </w:t>
      </w:r>
      <w:r w:rsidR="000507C1" w:rsidRPr="00E77A89">
        <w:rPr>
          <w:rFonts w:ascii="Times New Roman" w:hAnsi="Times New Roman" w:cs="Times New Roman"/>
          <w:sz w:val="24"/>
          <w:szCs w:val="24"/>
          <w:lang w:eastAsia="en-GB"/>
        </w:rPr>
        <w:t xml:space="preserve">while </w:t>
      </w:r>
      <w:r w:rsidR="0038643B" w:rsidRPr="00E77A89">
        <w:rPr>
          <w:rFonts w:ascii="Times New Roman" w:hAnsi="Times New Roman" w:cs="Times New Roman"/>
          <w:sz w:val="24"/>
          <w:szCs w:val="24"/>
          <w:lang w:eastAsia="en-GB"/>
        </w:rPr>
        <w:t xml:space="preserve">implying </w:t>
      </w:r>
      <w:r w:rsidR="000507C1" w:rsidRPr="00E77A89">
        <w:rPr>
          <w:rFonts w:ascii="Times New Roman" w:hAnsi="Times New Roman" w:cs="Times New Roman"/>
          <w:sz w:val="24"/>
          <w:szCs w:val="24"/>
          <w:lang w:eastAsia="en-GB"/>
        </w:rPr>
        <w:t xml:space="preserve">no </w:t>
      </w:r>
      <w:r w:rsidR="0038643B" w:rsidRPr="00E77A89">
        <w:rPr>
          <w:rFonts w:ascii="Times New Roman" w:hAnsi="Times New Roman" w:cs="Times New Roman"/>
          <w:sz w:val="24"/>
          <w:szCs w:val="24"/>
          <w:lang w:eastAsia="en-GB"/>
        </w:rPr>
        <w:t>s</w:t>
      </w:r>
      <w:r w:rsidR="000507C1" w:rsidRPr="00E77A89">
        <w:rPr>
          <w:rFonts w:ascii="Times New Roman" w:hAnsi="Times New Roman" w:cs="Times New Roman"/>
          <w:sz w:val="24"/>
          <w:szCs w:val="24"/>
          <w:lang w:eastAsia="en-GB"/>
        </w:rPr>
        <w:t>ignificant financial investment by any of the parties</w:t>
      </w:r>
      <w:r w:rsidR="0038643B" w:rsidRPr="00E77A89">
        <w:rPr>
          <w:rFonts w:ascii="Times New Roman" w:hAnsi="Times New Roman" w:cs="Times New Roman"/>
          <w:sz w:val="24"/>
          <w:szCs w:val="24"/>
          <w:lang w:eastAsia="en-GB"/>
        </w:rPr>
        <w:t xml:space="preserve">. </w:t>
      </w:r>
    </w:p>
    <w:p w14:paraId="14BE7AAA" w14:textId="77777777" w:rsidR="00B05E26" w:rsidRPr="00E77A89" w:rsidRDefault="00343555" w:rsidP="00B05E2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lang w:eastAsia="en-GB"/>
        </w:rPr>
      </w:pPr>
      <w:r w:rsidRPr="00E77A89">
        <w:rPr>
          <w:rFonts w:ascii="Times New Roman" w:hAnsi="Times New Roman" w:cs="Times New Roman"/>
          <w:b/>
          <w:sz w:val="24"/>
          <w:szCs w:val="24"/>
          <w:lang w:eastAsia="en-GB"/>
        </w:rPr>
        <w:t xml:space="preserve">With only a small increase in the resources allocated to Fiscalis under the next MFF, the EU can maintain </w:t>
      </w:r>
      <w:r w:rsidR="00ED0C4B" w:rsidRPr="00E77A89">
        <w:rPr>
          <w:rFonts w:ascii="Times New Roman" w:hAnsi="Times New Roman" w:cs="Times New Roman"/>
          <w:b/>
          <w:sz w:val="24"/>
          <w:szCs w:val="24"/>
          <w:lang w:eastAsia="en-GB"/>
        </w:rPr>
        <w:t xml:space="preserve">its current role and </w:t>
      </w:r>
      <w:r w:rsidRPr="00E77A89">
        <w:rPr>
          <w:rFonts w:ascii="Times New Roman" w:hAnsi="Times New Roman" w:cs="Times New Roman"/>
          <w:b/>
          <w:sz w:val="24"/>
          <w:szCs w:val="24"/>
          <w:lang w:eastAsia="en-GB"/>
        </w:rPr>
        <w:t xml:space="preserve">capacity </w:t>
      </w:r>
      <w:r w:rsidR="00ED0C4B" w:rsidRPr="00E77A89">
        <w:rPr>
          <w:rFonts w:ascii="Times New Roman" w:hAnsi="Times New Roman" w:cs="Times New Roman"/>
          <w:b/>
          <w:sz w:val="24"/>
          <w:szCs w:val="24"/>
          <w:lang w:eastAsia="en-GB"/>
        </w:rPr>
        <w:t xml:space="preserve">of steering the tax agenda by combining tax regulatory interventions with integrated implementation approaches with </w:t>
      </w:r>
      <w:r w:rsidRPr="00E77A89">
        <w:rPr>
          <w:rFonts w:ascii="Times New Roman" w:hAnsi="Times New Roman" w:cs="Times New Roman"/>
          <w:b/>
          <w:sz w:val="24"/>
          <w:szCs w:val="24"/>
          <w:lang w:eastAsia="en-GB"/>
        </w:rPr>
        <w:t>specific and meaningful EU actions in the tax field</w:t>
      </w:r>
      <w:r w:rsidR="00B05E26" w:rsidRPr="00E77A89">
        <w:rPr>
          <w:rFonts w:ascii="Times New Roman" w:hAnsi="Times New Roman" w:cs="Times New Roman"/>
          <w:b/>
          <w:sz w:val="24"/>
          <w:szCs w:val="24"/>
          <w:lang w:eastAsia="en-GB"/>
        </w:rPr>
        <w:t>.</w:t>
      </w:r>
      <w:r w:rsidRPr="00E77A89">
        <w:rPr>
          <w:rFonts w:ascii="Times New Roman" w:hAnsi="Times New Roman" w:cs="Times New Roman"/>
          <w:b/>
          <w:sz w:val="24"/>
          <w:szCs w:val="24"/>
          <w:lang w:eastAsia="en-GB"/>
        </w:rPr>
        <w:t xml:space="preserve"> All the substantial enhancements suggested under this scenario would allow reinforcing exponentially the effects of the well-established joint actions and IT </w:t>
      </w:r>
      <w:r w:rsidR="002E5D0A" w:rsidRPr="00E77A89">
        <w:rPr>
          <w:rFonts w:ascii="Times New Roman" w:hAnsi="Times New Roman" w:cs="Times New Roman"/>
          <w:b/>
          <w:sz w:val="24"/>
          <w:szCs w:val="24"/>
          <w:lang w:eastAsia="en-GB"/>
        </w:rPr>
        <w:t>/ human capacity building initiatives</w:t>
      </w:r>
      <w:r w:rsidRPr="00E77A89">
        <w:rPr>
          <w:rFonts w:ascii="Times New Roman" w:hAnsi="Times New Roman" w:cs="Times New Roman"/>
          <w:b/>
          <w:sz w:val="24"/>
          <w:szCs w:val="24"/>
          <w:lang w:eastAsia="en-GB"/>
        </w:rPr>
        <w:t xml:space="preserve"> and thereby reaping significantly more benefits from Fiscalis.</w:t>
      </w:r>
    </w:p>
    <w:p w14:paraId="14BE7AAB" w14:textId="77777777" w:rsidR="00904135" w:rsidRPr="00E77A89" w:rsidRDefault="00904135" w:rsidP="00904135">
      <w:pPr>
        <w:pStyle w:val="Heading2"/>
        <w:rPr>
          <w:rStyle w:val="A6"/>
          <w:rFonts w:cs="Times New Roman"/>
          <w:sz w:val="24"/>
          <w:szCs w:val="24"/>
        </w:rPr>
      </w:pPr>
      <w:bookmarkStart w:id="7" w:name="_Toc515012595"/>
      <w:r w:rsidRPr="00E77A89">
        <w:rPr>
          <w:rStyle w:val="A6"/>
          <w:rFonts w:cs="Times New Roman"/>
          <w:sz w:val="24"/>
          <w:szCs w:val="24"/>
        </w:rPr>
        <w:t>Subsidiarity, proportionality and intended legal basis</w:t>
      </w:r>
      <w:bookmarkEnd w:id="7"/>
    </w:p>
    <w:p w14:paraId="14BE7AAD" w14:textId="090F1791" w:rsidR="00904135" w:rsidRPr="00E77A89" w:rsidRDefault="00904135" w:rsidP="002E5D0A">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The EU tax objectives of fighting against </w:t>
      </w:r>
      <w:r w:rsidR="005B4CA6" w:rsidRPr="00E77A89">
        <w:rPr>
          <w:rFonts w:ascii="Times New Roman" w:hAnsi="Times New Roman" w:cs="Times New Roman"/>
          <w:sz w:val="24"/>
          <w:szCs w:val="24"/>
          <w:lang w:eastAsia="en-GB"/>
        </w:rPr>
        <w:t xml:space="preserve">tax </w:t>
      </w:r>
      <w:r w:rsidRPr="00E77A89">
        <w:rPr>
          <w:rFonts w:ascii="Times New Roman" w:hAnsi="Times New Roman" w:cs="Times New Roman"/>
          <w:sz w:val="24"/>
          <w:szCs w:val="24"/>
          <w:lang w:eastAsia="en-GB"/>
        </w:rPr>
        <w:t xml:space="preserve">fraud, </w:t>
      </w:r>
      <w:r w:rsidR="005B4CA6" w:rsidRPr="00E77A89">
        <w:rPr>
          <w:rFonts w:ascii="Times New Roman" w:hAnsi="Times New Roman" w:cs="Times New Roman"/>
          <w:sz w:val="24"/>
          <w:szCs w:val="24"/>
          <w:lang w:eastAsia="en-GB"/>
        </w:rPr>
        <w:t xml:space="preserve">tax </w:t>
      </w:r>
      <w:r w:rsidRPr="00E77A89">
        <w:rPr>
          <w:rFonts w:ascii="Times New Roman" w:hAnsi="Times New Roman" w:cs="Times New Roman"/>
          <w:sz w:val="24"/>
          <w:szCs w:val="24"/>
          <w:lang w:eastAsia="en-GB"/>
        </w:rPr>
        <w:t>evasion and</w:t>
      </w:r>
      <w:r w:rsidR="005B4CA6" w:rsidRPr="00E77A89">
        <w:rPr>
          <w:rFonts w:ascii="Times New Roman" w:hAnsi="Times New Roman" w:cs="Times New Roman"/>
          <w:sz w:val="24"/>
          <w:szCs w:val="24"/>
          <w:lang w:eastAsia="en-GB"/>
        </w:rPr>
        <w:t xml:space="preserve"> tax avoidance</w:t>
      </w:r>
      <w:r w:rsidRPr="00E77A89">
        <w:rPr>
          <w:rFonts w:ascii="Times New Roman" w:hAnsi="Times New Roman" w:cs="Times New Roman"/>
          <w:sz w:val="24"/>
          <w:szCs w:val="24"/>
          <w:lang w:eastAsia="en-GB"/>
        </w:rPr>
        <w:t xml:space="preserve"> as well as supporting the functioning of the </w:t>
      </w:r>
      <w:r w:rsidR="00F8628D" w:rsidRPr="00E77A89">
        <w:rPr>
          <w:rFonts w:ascii="Times New Roman" w:hAnsi="Times New Roman" w:cs="Times New Roman"/>
          <w:sz w:val="24"/>
          <w:szCs w:val="24"/>
          <w:lang w:eastAsia="en-GB"/>
        </w:rPr>
        <w:t>single market</w:t>
      </w:r>
      <w:r w:rsidRPr="00E77A89">
        <w:rPr>
          <w:rFonts w:ascii="Times New Roman" w:hAnsi="Times New Roman" w:cs="Times New Roman"/>
          <w:sz w:val="24"/>
          <w:szCs w:val="24"/>
          <w:lang w:eastAsia="en-GB"/>
        </w:rPr>
        <w:t xml:space="preserve"> and competitiveness cannot be achieved by the EU or Member States alone. Common rules and European cooperation are needed to enable the European Commission and participating countries to jointly work out common solutions and best practices at operational level to deliver on these objectives and face all related challenges. </w:t>
      </w:r>
    </w:p>
    <w:p w14:paraId="14BE7AAE" w14:textId="068A1EE8" w:rsidR="00AF5354" w:rsidRPr="00E77A89" w:rsidRDefault="00904135" w:rsidP="00AF5354">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Such a high degree of cooperation and coordination can only be achieved with a centralised approach, ideally at Union level. Fiscalis activities are more cost-effective than if each participating country were to set up individual cooperation frameworks on a bilateral or multilateral basis and develop national IT solutions for transnational problems.</w:t>
      </w:r>
      <w:r w:rsidR="00AF5354" w:rsidRPr="00E77A89">
        <w:rPr>
          <w:rFonts w:ascii="Times New Roman" w:hAnsi="Times New Roman" w:cs="Times New Roman"/>
          <w:sz w:val="24"/>
          <w:szCs w:val="24"/>
          <w:lang w:eastAsia="en-GB"/>
        </w:rPr>
        <w:t xml:space="preserve"> The Fiscalis activities and mechanisms of cooperation moreover allow deepening significantly the trust amongst national tax administrations that is necessary for a smooth cooperation and co-functioning of EU tax systems in the </w:t>
      </w:r>
      <w:r w:rsidR="00F8628D" w:rsidRPr="00E77A89">
        <w:rPr>
          <w:rFonts w:ascii="Times New Roman" w:hAnsi="Times New Roman" w:cs="Times New Roman"/>
          <w:sz w:val="24"/>
          <w:szCs w:val="24"/>
          <w:lang w:eastAsia="en-GB"/>
        </w:rPr>
        <w:t>single market</w:t>
      </w:r>
      <w:r w:rsidR="00AF5354" w:rsidRPr="00E77A89">
        <w:rPr>
          <w:rFonts w:ascii="Times New Roman" w:hAnsi="Times New Roman" w:cs="Times New Roman"/>
          <w:sz w:val="24"/>
          <w:szCs w:val="24"/>
          <w:lang w:eastAsia="en-GB"/>
        </w:rPr>
        <w:t xml:space="preserve">. </w:t>
      </w:r>
    </w:p>
    <w:p w14:paraId="14BE7AAF" w14:textId="3C289645" w:rsidR="00AF5354" w:rsidRPr="00E77A89" w:rsidRDefault="00AF5354" w:rsidP="00AF5354">
      <w:pPr>
        <w:spacing w:line="240" w:lineRule="auto"/>
        <w:jc w:val="both"/>
        <w:rPr>
          <w:rFonts w:ascii="Times New Roman" w:hAnsi="Times New Roman" w:cs="Times New Roman"/>
          <w:sz w:val="24"/>
          <w:szCs w:val="24"/>
          <w:lang w:eastAsia="en-GB"/>
        </w:rPr>
      </w:pPr>
      <w:r w:rsidRPr="00E77A89" w:rsidDel="00E4171C">
        <w:rPr>
          <w:rFonts w:ascii="Times New Roman" w:hAnsi="Times New Roman" w:cs="Times New Roman"/>
          <w:sz w:val="24"/>
          <w:szCs w:val="24"/>
          <w:lang w:eastAsia="en-GB"/>
        </w:rPr>
        <w:t xml:space="preserve">Against this background, </w:t>
      </w:r>
      <w:r w:rsidRPr="00E77A89" w:rsidDel="00283614">
        <w:rPr>
          <w:rFonts w:ascii="Times New Roman" w:hAnsi="Times New Roman" w:cs="Times New Roman"/>
          <w:sz w:val="24"/>
          <w:szCs w:val="24"/>
          <w:lang w:eastAsia="en-GB"/>
        </w:rPr>
        <w:t>t</w:t>
      </w:r>
      <w:r w:rsidRPr="00E77A89">
        <w:rPr>
          <w:rFonts w:ascii="Times New Roman" w:hAnsi="Times New Roman" w:cs="Times New Roman"/>
          <w:sz w:val="24"/>
          <w:szCs w:val="24"/>
          <w:lang w:eastAsia="en-GB"/>
        </w:rPr>
        <w:t>he Fiscalis programme will</w:t>
      </w:r>
      <w:r w:rsidRPr="00E77A89" w:rsidDel="00E4171C">
        <w:rPr>
          <w:rFonts w:ascii="Times New Roman" w:hAnsi="Times New Roman" w:cs="Times New Roman"/>
          <w:sz w:val="24"/>
          <w:szCs w:val="24"/>
          <w:lang w:eastAsia="en-GB"/>
        </w:rPr>
        <w:t xml:space="preserve"> </w:t>
      </w:r>
      <w:r w:rsidRPr="00E77A89">
        <w:rPr>
          <w:rFonts w:ascii="Times New Roman" w:hAnsi="Times New Roman" w:cs="Times New Roman"/>
          <w:sz w:val="24"/>
          <w:szCs w:val="24"/>
          <w:lang w:eastAsia="en-GB"/>
        </w:rPr>
        <w:t xml:space="preserve">concentrate the EU intervention on setting up efficient mechanisms (and the indispensable IT tools) for administrative cooperation, </w:t>
      </w:r>
      <w:r w:rsidRPr="00E77A89" w:rsidDel="00E4171C">
        <w:rPr>
          <w:rFonts w:ascii="Times New Roman" w:hAnsi="Times New Roman" w:cs="Times New Roman"/>
          <w:sz w:val="24"/>
          <w:szCs w:val="24"/>
          <w:lang w:eastAsia="en-GB"/>
        </w:rPr>
        <w:t>aiming at</w:t>
      </w:r>
      <w:r w:rsidRPr="00E77A89">
        <w:rPr>
          <w:rFonts w:ascii="Times New Roman" w:hAnsi="Times New Roman" w:cs="Times New Roman"/>
          <w:sz w:val="24"/>
          <w:szCs w:val="24"/>
          <w:lang w:eastAsia="en-GB"/>
        </w:rPr>
        <w:t xml:space="preserve"> provid</w:t>
      </w:r>
      <w:r w:rsidRPr="00E77A89" w:rsidDel="00E4171C">
        <w:rPr>
          <w:rFonts w:ascii="Times New Roman" w:hAnsi="Times New Roman" w:cs="Times New Roman"/>
          <w:sz w:val="24"/>
          <w:szCs w:val="24"/>
          <w:lang w:eastAsia="en-GB"/>
        </w:rPr>
        <w:t>ing</w:t>
      </w:r>
      <w:r w:rsidRPr="00E77A89">
        <w:rPr>
          <w:rFonts w:ascii="Times New Roman" w:hAnsi="Times New Roman" w:cs="Times New Roman"/>
          <w:sz w:val="24"/>
          <w:szCs w:val="24"/>
          <w:lang w:eastAsia="en-GB"/>
        </w:rPr>
        <w:t xml:space="preserve"> more effective means to national tax administrations in their fight against tax fraud while indirectly facilitating taxpayer’s tax compliance.</w:t>
      </w:r>
    </w:p>
    <w:p w14:paraId="7C19BC64" w14:textId="0869A9BD" w:rsidR="005B4CA6" w:rsidRPr="00E77A89" w:rsidRDefault="005B4CA6" w:rsidP="00AF5354">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Articles 114 and 197 TFEU provide the legal basis for EU intervention as regards respectively the establishment and functioning of the single market and the improvement of the administrative capacity of participating countries to implement Union law.</w:t>
      </w:r>
    </w:p>
    <w:p w14:paraId="14BE7AB0" w14:textId="77777777" w:rsidR="00244E6A" w:rsidRPr="00E77A89" w:rsidRDefault="00FA7100" w:rsidP="00244E6A">
      <w:pPr>
        <w:pStyle w:val="Heading1"/>
        <w:rPr>
          <w:szCs w:val="24"/>
        </w:rPr>
      </w:pPr>
      <w:bookmarkStart w:id="8" w:name="_Toc515012596"/>
      <w:r w:rsidRPr="00E77A89">
        <w:rPr>
          <w:szCs w:val="24"/>
        </w:rPr>
        <w:t>Delivery mechanisms</w:t>
      </w:r>
      <w:bookmarkEnd w:id="8"/>
      <w:r w:rsidRPr="00E77A89">
        <w:rPr>
          <w:szCs w:val="24"/>
        </w:rPr>
        <w:t xml:space="preserve"> </w:t>
      </w:r>
    </w:p>
    <w:p w14:paraId="14BE7AB1" w14:textId="77777777" w:rsidR="001A6BB1" w:rsidRPr="00E77A89" w:rsidRDefault="001A6BB1" w:rsidP="001A6BB1">
      <w:pPr>
        <w:pStyle w:val="Heading2"/>
        <w:rPr>
          <w:szCs w:val="24"/>
          <w:lang w:eastAsia="en-GB"/>
        </w:rPr>
      </w:pPr>
      <w:bookmarkStart w:id="9" w:name="_Toc515012597"/>
      <w:r w:rsidRPr="00E77A89">
        <w:rPr>
          <w:szCs w:val="24"/>
          <w:lang w:eastAsia="en-GB"/>
        </w:rPr>
        <w:t>Overall delivery mechanisms</w:t>
      </w:r>
      <w:bookmarkEnd w:id="9"/>
    </w:p>
    <w:p w14:paraId="14BE7AB2" w14:textId="77777777" w:rsidR="001A6BB1" w:rsidRPr="00E77A89" w:rsidRDefault="001A6BB1" w:rsidP="001A6BB1">
      <w:pPr>
        <w:keepNext/>
        <w:keepLines/>
        <w:spacing w:line="240" w:lineRule="auto"/>
        <w:jc w:val="both"/>
        <w:rPr>
          <w:rFonts w:ascii="Times New Roman" w:hAnsi="Times New Roman" w:cs="Times New Roman"/>
          <w:sz w:val="24"/>
          <w:szCs w:val="24"/>
          <w:u w:val="single"/>
          <w:lang w:eastAsia="en-GB"/>
        </w:rPr>
      </w:pPr>
      <w:r w:rsidRPr="00E77A89">
        <w:rPr>
          <w:rFonts w:ascii="Times New Roman" w:hAnsi="Times New Roman" w:cs="Times New Roman"/>
          <w:sz w:val="24"/>
          <w:szCs w:val="24"/>
          <w:u w:val="single"/>
          <w:lang w:eastAsia="en-GB"/>
        </w:rPr>
        <w:t xml:space="preserve">Management mode </w:t>
      </w:r>
    </w:p>
    <w:p w14:paraId="14BE7AB3" w14:textId="77777777" w:rsidR="00FC1132" w:rsidRPr="00E77A89" w:rsidRDefault="001A6BB1" w:rsidP="00FC1132">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The programme is implemented through </w:t>
      </w:r>
      <w:r w:rsidRPr="00E77A89">
        <w:rPr>
          <w:rFonts w:ascii="Times New Roman" w:hAnsi="Times New Roman" w:cs="Times New Roman"/>
          <w:b/>
          <w:sz w:val="24"/>
          <w:szCs w:val="24"/>
          <w:lang w:eastAsia="en-GB"/>
        </w:rPr>
        <w:t>direct management</w:t>
      </w:r>
      <w:r w:rsidRPr="00E77A89">
        <w:rPr>
          <w:rFonts w:ascii="Times New Roman" w:hAnsi="Times New Roman" w:cs="Times New Roman"/>
          <w:sz w:val="24"/>
          <w:szCs w:val="24"/>
          <w:lang w:eastAsia="en-GB"/>
        </w:rPr>
        <w:t xml:space="preserve">. </w:t>
      </w:r>
      <w:r w:rsidR="00FC1132" w:rsidRPr="00E77A89">
        <w:rPr>
          <w:rFonts w:ascii="Times New Roman" w:hAnsi="Times New Roman" w:cs="Times New Roman"/>
          <w:sz w:val="24"/>
          <w:szCs w:val="24"/>
          <w:lang w:eastAsia="en-GB"/>
        </w:rPr>
        <w:t xml:space="preserve">Concretely, the Commission services have to review and accept every single action in view of: the objectives and conditions embedded in the regulation; the adopted annual work programme; and the eligibility criteria contained in the financing decision/grant agreements. </w:t>
      </w:r>
    </w:p>
    <w:p w14:paraId="14BE7AB4" w14:textId="77777777" w:rsidR="001A6BB1" w:rsidRPr="00E77A89" w:rsidRDefault="001A6BB1" w:rsidP="001A6BB1">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It is proposed to keep this management mode as, given the nature of the programme’s activities, its focus on </w:t>
      </w:r>
      <w:r w:rsidR="003A7D12" w:rsidRPr="00E77A89">
        <w:rPr>
          <w:rFonts w:ascii="Times New Roman" w:hAnsi="Times New Roman" w:cs="Times New Roman"/>
          <w:sz w:val="24"/>
          <w:szCs w:val="24"/>
          <w:lang w:eastAsia="en-GB"/>
        </w:rPr>
        <w:t>tax</w:t>
      </w:r>
      <w:r w:rsidRPr="00E77A89">
        <w:rPr>
          <w:rFonts w:ascii="Times New Roman" w:hAnsi="Times New Roman" w:cs="Times New Roman"/>
          <w:sz w:val="24"/>
          <w:szCs w:val="24"/>
          <w:lang w:eastAsia="en-GB"/>
        </w:rPr>
        <w:t xml:space="preserve"> administrations as beneficiaries and the</w:t>
      </w:r>
      <w:r w:rsidR="00FC1132" w:rsidRPr="00E77A89">
        <w:rPr>
          <w:rFonts w:ascii="Times New Roman" w:hAnsi="Times New Roman" w:cs="Times New Roman"/>
          <w:sz w:val="24"/>
          <w:szCs w:val="24"/>
          <w:lang w:eastAsia="en-GB"/>
        </w:rPr>
        <w:t xml:space="preserve"> national sovereignty of Member States as regards taxation</w:t>
      </w:r>
      <w:r w:rsidRPr="00E77A89">
        <w:rPr>
          <w:rFonts w:ascii="Times New Roman" w:hAnsi="Times New Roman" w:cs="Times New Roman"/>
          <w:sz w:val="24"/>
          <w:szCs w:val="24"/>
          <w:lang w:eastAsia="en-GB"/>
        </w:rPr>
        <w:t xml:space="preserve">, it provides for the most efficient allocation of financial resources and greatest impact possible. Indeed, it offers both flexibility and steering power to the Commission for allocating yearly through its financing decision the appropriate funds according to priorities agreed with Member States through comitology, including emerging needs. </w:t>
      </w:r>
    </w:p>
    <w:p w14:paraId="14BE7AB5" w14:textId="77777777" w:rsidR="001A6BB1" w:rsidRPr="00E77A89" w:rsidRDefault="001A6BB1" w:rsidP="001A6BB1">
      <w:pPr>
        <w:keepNext/>
        <w:keepLines/>
        <w:spacing w:line="240" w:lineRule="auto"/>
        <w:jc w:val="both"/>
        <w:rPr>
          <w:rFonts w:ascii="Times New Roman" w:hAnsi="Times New Roman" w:cs="Times New Roman"/>
          <w:sz w:val="24"/>
          <w:szCs w:val="24"/>
          <w:u w:val="single"/>
          <w:lang w:eastAsia="en-GB"/>
        </w:rPr>
      </w:pPr>
      <w:r w:rsidRPr="00E77A89">
        <w:rPr>
          <w:rFonts w:ascii="Times New Roman" w:hAnsi="Times New Roman" w:cs="Times New Roman"/>
          <w:sz w:val="24"/>
          <w:szCs w:val="24"/>
          <w:u w:val="single"/>
          <w:lang w:eastAsia="en-GB"/>
        </w:rPr>
        <w:t>Types of intervention</w:t>
      </w:r>
    </w:p>
    <w:p w14:paraId="14BE7AB6" w14:textId="77777777" w:rsidR="001A6BB1" w:rsidRPr="00E77A89" w:rsidRDefault="001A6BB1" w:rsidP="001A6BB1">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About </w:t>
      </w:r>
      <w:r w:rsidR="00C94A68" w:rsidRPr="00E77A89">
        <w:rPr>
          <w:rFonts w:ascii="Times New Roman" w:hAnsi="Times New Roman" w:cs="Times New Roman"/>
          <w:sz w:val="24"/>
          <w:szCs w:val="24"/>
          <w:lang w:eastAsia="en-GB"/>
        </w:rPr>
        <w:t>8</w:t>
      </w:r>
      <w:r w:rsidRPr="00E77A89">
        <w:rPr>
          <w:rFonts w:ascii="Times New Roman" w:hAnsi="Times New Roman" w:cs="Times New Roman"/>
          <w:sz w:val="24"/>
          <w:szCs w:val="24"/>
          <w:lang w:eastAsia="en-GB"/>
        </w:rPr>
        <w:t xml:space="preserve">0% of programme’s expenditures relates to IT capacity building and is made directly by the Commission through </w:t>
      </w:r>
      <w:r w:rsidRPr="00E77A89">
        <w:rPr>
          <w:rFonts w:ascii="Times New Roman" w:hAnsi="Times New Roman" w:cs="Times New Roman"/>
          <w:b/>
          <w:sz w:val="24"/>
          <w:szCs w:val="24"/>
          <w:lang w:eastAsia="en-GB"/>
        </w:rPr>
        <w:t>procurement</w:t>
      </w:r>
      <w:r w:rsidRPr="00E77A89">
        <w:rPr>
          <w:rFonts w:ascii="Times New Roman" w:hAnsi="Times New Roman" w:cs="Times New Roman"/>
          <w:sz w:val="24"/>
          <w:szCs w:val="24"/>
          <w:lang w:eastAsia="en-GB"/>
        </w:rPr>
        <w:t xml:space="preserve">. As regards </w:t>
      </w:r>
      <w:r w:rsidR="00F25CBD" w:rsidRPr="00E77A89">
        <w:rPr>
          <w:rFonts w:ascii="Times New Roman" w:hAnsi="Times New Roman" w:cs="Times New Roman"/>
          <w:sz w:val="24"/>
          <w:szCs w:val="24"/>
          <w:lang w:eastAsia="en-GB"/>
        </w:rPr>
        <w:t xml:space="preserve">most </w:t>
      </w:r>
      <w:r w:rsidRPr="00E77A89">
        <w:rPr>
          <w:rFonts w:ascii="Times New Roman" w:hAnsi="Times New Roman" w:cs="Times New Roman"/>
          <w:sz w:val="24"/>
          <w:szCs w:val="24"/>
          <w:lang w:eastAsia="en-GB"/>
        </w:rPr>
        <w:t xml:space="preserve">joint actions, the beneficiaries are exclusively public authorities and </w:t>
      </w:r>
      <w:r w:rsidRPr="00E77A89">
        <w:rPr>
          <w:rFonts w:ascii="Times New Roman" w:hAnsi="Times New Roman" w:cs="Times New Roman"/>
          <w:b/>
          <w:sz w:val="24"/>
          <w:szCs w:val="24"/>
          <w:lang w:eastAsia="en-GB"/>
        </w:rPr>
        <w:t>grants</w:t>
      </w:r>
      <w:r w:rsidR="00F25CBD" w:rsidRPr="00E77A89">
        <w:rPr>
          <w:rFonts w:ascii="Times New Roman" w:hAnsi="Times New Roman" w:cs="Times New Roman"/>
          <w:sz w:val="24"/>
          <w:szCs w:val="24"/>
          <w:lang w:eastAsia="en-GB"/>
        </w:rPr>
        <w:t xml:space="preserve"> fulfil</w:t>
      </w:r>
      <w:r w:rsidRPr="00E77A89">
        <w:rPr>
          <w:rFonts w:ascii="Times New Roman" w:hAnsi="Times New Roman" w:cs="Times New Roman"/>
          <w:sz w:val="24"/>
          <w:szCs w:val="24"/>
          <w:lang w:eastAsia="en-GB"/>
        </w:rPr>
        <w:t xml:space="preserve"> all identified needs. Therefore, no opportunity or need in terms of types of intervention was identified other than the current public procurement contracts, grants and to a minor extent reimbursement of expert costs. </w:t>
      </w:r>
    </w:p>
    <w:p w14:paraId="14BE7AB7" w14:textId="77777777" w:rsidR="001A6BB1" w:rsidRPr="00E77A89" w:rsidRDefault="001A6BB1" w:rsidP="001A6BB1">
      <w:pPr>
        <w:spacing w:line="240" w:lineRule="auto"/>
        <w:jc w:val="both"/>
        <w:rPr>
          <w:rFonts w:ascii="Times New Roman" w:hAnsi="Times New Roman" w:cs="Times New Roman"/>
          <w:sz w:val="24"/>
          <w:szCs w:val="24"/>
          <w:lang w:eastAsia="en-GB"/>
        </w:rPr>
      </w:pPr>
      <w:r w:rsidRPr="00E77A89">
        <w:rPr>
          <w:rFonts w:ascii="Times New Roman" w:hAnsi="Times New Roman" w:cs="Times New Roman"/>
          <w:b/>
          <w:sz w:val="24"/>
          <w:szCs w:val="24"/>
          <w:lang w:eastAsia="en-GB"/>
        </w:rPr>
        <w:t>Financial instruments</w:t>
      </w:r>
      <w:r w:rsidRPr="00E77A89">
        <w:rPr>
          <w:rStyle w:val="FootnoteReference"/>
          <w:rFonts w:ascii="Times New Roman" w:hAnsi="Times New Roman" w:cs="Times New Roman"/>
          <w:sz w:val="24"/>
          <w:szCs w:val="24"/>
          <w:lang w:eastAsia="en-GB"/>
        </w:rPr>
        <w:footnoteReference w:id="13"/>
      </w:r>
      <w:r w:rsidRPr="00E77A89">
        <w:rPr>
          <w:rFonts w:ascii="Times New Roman" w:hAnsi="Times New Roman" w:cs="Times New Roman"/>
          <w:sz w:val="24"/>
          <w:szCs w:val="24"/>
          <w:lang w:eastAsia="en-GB"/>
        </w:rPr>
        <w:t xml:space="preserve"> are not suitable financing instruments, as they aim at addressing market failures in the provision of external financing and are therefore unfit for the objectives and the beneficiaries (Member States &amp; Candidate Countries) of the programme. </w:t>
      </w:r>
    </w:p>
    <w:p w14:paraId="14BE7AB8" w14:textId="77777777" w:rsidR="001A6BB1" w:rsidRPr="00E77A89" w:rsidRDefault="001A6BB1" w:rsidP="001A6BB1">
      <w:pPr>
        <w:keepNext/>
        <w:keepLines/>
        <w:spacing w:line="240" w:lineRule="auto"/>
        <w:jc w:val="both"/>
        <w:rPr>
          <w:rFonts w:ascii="Times New Roman" w:hAnsi="Times New Roman" w:cs="Times New Roman"/>
          <w:sz w:val="24"/>
          <w:szCs w:val="24"/>
          <w:u w:val="single"/>
          <w:lang w:eastAsia="en-GB"/>
        </w:rPr>
      </w:pPr>
      <w:r w:rsidRPr="00E77A89">
        <w:rPr>
          <w:rFonts w:ascii="Times New Roman" w:hAnsi="Times New Roman" w:cs="Times New Roman"/>
          <w:sz w:val="24"/>
          <w:szCs w:val="24"/>
          <w:u w:val="single"/>
          <w:lang w:eastAsia="en-GB"/>
        </w:rPr>
        <w:t>Eligibility rules &amp; co-financing rates</w:t>
      </w:r>
    </w:p>
    <w:p w14:paraId="14BE7AB9" w14:textId="7BD0671F" w:rsidR="001A6BB1" w:rsidRPr="00E77A89" w:rsidRDefault="001A6BB1" w:rsidP="001A6BB1">
      <w:pPr>
        <w:spacing w:line="240" w:lineRule="auto"/>
        <w:jc w:val="both"/>
        <w:rPr>
          <w:rFonts w:ascii="Times New Roman" w:hAnsi="Times New Roman" w:cs="Times New Roman"/>
          <w:sz w:val="24"/>
          <w:szCs w:val="24"/>
          <w:u w:val="single"/>
          <w:lang w:eastAsia="en-GB"/>
        </w:rPr>
      </w:pPr>
      <w:r w:rsidRPr="00E77A89">
        <w:rPr>
          <w:rFonts w:ascii="Times New Roman" w:hAnsi="Times New Roman" w:cs="Times New Roman"/>
          <w:sz w:val="24"/>
          <w:szCs w:val="24"/>
          <w:lang w:eastAsia="en-GB"/>
        </w:rPr>
        <w:t xml:space="preserve">Eligibility rules are fundamental and should remain limited to a list of eligible actions in order to keep the programme simple and flexible for all actors, whether Commission services as central management team or participating countries as beneficiaries. They may also cover other expenses specified in the regulation, including some technical and administrative assistance expenses. </w:t>
      </w:r>
    </w:p>
    <w:p w14:paraId="14BE7ABA" w14:textId="77777777" w:rsidR="001A6BB1" w:rsidRPr="00E77A89" w:rsidRDefault="001A6BB1" w:rsidP="001A6BB1">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Co-financing rates are up to 100% in certain cases. They are set out in the annual work programmes in the cases where actions require the awarding of grants. </w:t>
      </w:r>
    </w:p>
    <w:p w14:paraId="14BE7ABB" w14:textId="77777777" w:rsidR="001A6BB1" w:rsidRPr="00E77A89" w:rsidRDefault="001A6BB1" w:rsidP="001A6BB1">
      <w:pPr>
        <w:keepNext/>
        <w:keepLines/>
        <w:spacing w:line="240" w:lineRule="auto"/>
        <w:jc w:val="both"/>
        <w:rPr>
          <w:rFonts w:ascii="Times New Roman" w:hAnsi="Times New Roman" w:cs="Times New Roman"/>
          <w:sz w:val="24"/>
          <w:szCs w:val="24"/>
          <w:u w:val="single"/>
          <w:lang w:eastAsia="en-GB"/>
        </w:rPr>
      </w:pPr>
      <w:r w:rsidRPr="00E77A89">
        <w:rPr>
          <w:rFonts w:ascii="Times New Roman" w:hAnsi="Times New Roman" w:cs="Times New Roman"/>
          <w:sz w:val="24"/>
          <w:szCs w:val="24"/>
          <w:u w:val="single"/>
          <w:lang w:eastAsia="en-GB"/>
        </w:rPr>
        <w:t>Conditionality</w:t>
      </w:r>
    </w:p>
    <w:p w14:paraId="14BE7ABC" w14:textId="77777777" w:rsidR="001A6BB1" w:rsidRPr="00E77A89" w:rsidRDefault="001A6BB1" w:rsidP="001A6BB1">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The programme aims at fostering (voluntary) cooperation between Member States. Against this background, it would be counterproductive to subject participation in activities to any particular condition, except the appropriate profile and qualifications, including language skills, of participants in activities. </w:t>
      </w:r>
    </w:p>
    <w:p w14:paraId="14BE7ABD" w14:textId="77777777" w:rsidR="001A6BB1" w:rsidRPr="00E77A89" w:rsidRDefault="001A6BB1" w:rsidP="001A6BB1">
      <w:pPr>
        <w:keepNext/>
        <w:keepLines/>
        <w:spacing w:line="240" w:lineRule="auto"/>
        <w:jc w:val="both"/>
        <w:rPr>
          <w:rFonts w:ascii="Times New Roman" w:hAnsi="Times New Roman" w:cs="Times New Roman"/>
          <w:sz w:val="24"/>
          <w:szCs w:val="24"/>
          <w:u w:val="single"/>
          <w:lang w:eastAsia="en-GB"/>
        </w:rPr>
      </w:pPr>
      <w:r w:rsidRPr="00E77A89">
        <w:rPr>
          <w:rFonts w:ascii="Times New Roman" w:hAnsi="Times New Roman" w:cs="Times New Roman"/>
          <w:sz w:val="24"/>
          <w:szCs w:val="24"/>
          <w:u w:val="single"/>
          <w:lang w:eastAsia="en-GB"/>
        </w:rPr>
        <w:t>Work programmes and comitology</w:t>
      </w:r>
    </w:p>
    <w:p w14:paraId="14BE7ABE" w14:textId="77777777" w:rsidR="001A6BB1" w:rsidRPr="00E77A89" w:rsidRDefault="001A6BB1" w:rsidP="001A6BB1">
      <w:pPr>
        <w:keepNext/>
        <w:keepLines/>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The Commission shall adopt work programmes by means of implementing acts adopted through comitology</w:t>
      </w:r>
      <w:r w:rsidR="00C94A68" w:rsidRPr="00E77A89">
        <w:rPr>
          <w:rFonts w:ascii="Times New Roman" w:hAnsi="Times New Roman" w:cs="Times New Roman"/>
          <w:sz w:val="24"/>
          <w:szCs w:val="24"/>
          <w:lang w:eastAsia="en-GB"/>
        </w:rPr>
        <w:t xml:space="preserve">, i.e. the Commission is assisted by a committee that has to provide a positive option at qualified majority before the annual work programme is adopted as an implementing act. </w:t>
      </w:r>
      <w:r w:rsidRPr="00E77A89">
        <w:rPr>
          <w:rFonts w:ascii="Times New Roman" w:hAnsi="Times New Roman" w:cs="Times New Roman"/>
          <w:sz w:val="24"/>
          <w:szCs w:val="24"/>
          <w:lang w:eastAsia="en-GB"/>
        </w:rPr>
        <w:t xml:space="preserve">This allows for adjustments during the programme duration and gives appropriate flexibility to implement the objectives of the programme in accordance with the most up-to-date needs and challenges identified in a collaborative way by the Commission and participating countries. </w:t>
      </w:r>
      <w:r w:rsidR="00C94A68" w:rsidRPr="00E77A89">
        <w:rPr>
          <w:rFonts w:ascii="Times New Roman" w:hAnsi="Times New Roman" w:cs="Times New Roman"/>
          <w:sz w:val="24"/>
          <w:szCs w:val="24"/>
          <w:lang w:eastAsia="en-GB"/>
        </w:rPr>
        <w:t>The strong involvement of Member States in the comitology procedure demonstrates the importance they give to the programme.</w:t>
      </w:r>
    </w:p>
    <w:p w14:paraId="14BE7ABF" w14:textId="77777777" w:rsidR="001A6BB1" w:rsidRPr="00E77A89" w:rsidRDefault="001A6BB1" w:rsidP="001A6BB1">
      <w:pPr>
        <w:keepNext/>
        <w:keepLines/>
        <w:spacing w:line="240" w:lineRule="auto"/>
        <w:jc w:val="both"/>
        <w:rPr>
          <w:rFonts w:ascii="Times New Roman" w:hAnsi="Times New Roman" w:cs="Times New Roman"/>
          <w:sz w:val="24"/>
          <w:szCs w:val="24"/>
          <w:u w:val="single"/>
          <w:lang w:eastAsia="en-GB"/>
        </w:rPr>
      </w:pPr>
      <w:r w:rsidRPr="00E77A89">
        <w:rPr>
          <w:rFonts w:ascii="Times New Roman" w:hAnsi="Times New Roman" w:cs="Times New Roman"/>
          <w:sz w:val="24"/>
          <w:szCs w:val="24"/>
          <w:u w:val="single"/>
          <w:lang w:eastAsia="en-GB"/>
        </w:rPr>
        <w:t>Prevention of errors, irregularities or fraud (audit, controls)</w:t>
      </w:r>
    </w:p>
    <w:p w14:paraId="14BE7AC0" w14:textId="2307D9A3" w:rsidR="001A6BB1" w:rsidRPr="00E77A89" w:rsidRDefault="001A6BB1" w:rsidP="001A6BB1">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The programme presents a low risk profile in view of the identity of beneficiaries, i.e. Member States and other participating countries. Standard provisions on the protection of the financial interests of the Union as foreseen in the Financial Regulation are therefore deemed sufficient. </w:t>
      </w:r>
    </w:p>
    <w:p w14:paraId="14BE7AC1" w14:textId="77777777" w:rsidR="001A6BB1" w:rsidRPr="00E77A89" w:rsidRDefault="001A6BB1" w:rsidP="001A6BB1">
      <w:pPr>
        <w:keepNext/>
        <w:keepLines/>
        <w:spacing w:line="240" w:lineRule="auto"/>
        <w:jc w:val="both"/>
        <w:rPr>
          <w:rFonts w:ascii="Times New Roman" w:hAnsi="Times New Roman" w:cs="Times New Roman"/>
          <w:sz w:val="24"/>
          <w:szCs w:val="24"/>
          <w:u w:val="single"/>
          <w:lang w:eastAsia="en-GB"/>
        </w:rPr>
      </w:pPr>
      <w:r w:rsidRPr="00E77A89">
        <w:rPr>
          <w:rFonts w:ascii="Times New Roman" w:hAnsi="Times New Roman" w:cs="Times New Roman"/>
          <w:sz w:val="24"/>
          <w:szCs w:val="24"/>
          <w:u w:val="single"/>
          <w:lang w:eastAsia="en-GB"/>
        </w:rPr>
        <w:t>Simplification &amp; flexibility</w:t>
      </w:r>
    </w:p>
    <w:p w14:paraId="14BE7AC2" w14:textId="77777777" w:rsidR="001A6BB1" w:rsidRPr="00E77A89" w:rsidRDefault="001A6BB1" w:rsidP="001A6BB1">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As explained above, the programme is already </w:t>
      </w:r>
      <w:r w:rsidR="00F25CBD" w:rsidRPr="00E77A89">
        <w:rPr>
          <w:rFonts w:ascii="Times New Roman" w:hAnsi="Times New Roman" w:cs="Times New Roman"/>
          <w:sz w:val="24"/>
          <w:szCs w:val="24"/>
          <w:lang w:eastAsia="en-GB"/>
        </w:rPr>
        <w:t xml:space="preserve">streamlined </w:t>
      </w:r>
      <w:r w:rsidRPr="00E77A89">
        <w:rPr>
          <w:rFonts w:ascii="Times New Roman" w:hAnsi="Times New Roman" w:cs="Times New Roman"/>
          <w:sz w:val="24"/>
          <w:szCs w:val="24"/>
          <w:lang w:eastAsia="en-GB"/>
        </w:rPr>
        <w:t xml:space="preserve">with a strong focus on outputs and results. The on-going programme already implements all simplifications identified in past evaluations. The main additional simplification identified would consist in an extended use of lump sums / unit costs and the possibility to adopt multi-annual work programmes to avoid the annual administrative burden of comitology. </w:t>
      </w:r>
    </w:p>
    <w:p w14:paraId="14BE7AC3" w14:textId="77777777" w:rsidR="001A6BB1" w:rsidRPr="00E77A89" w:rsidRDefault="001A6BB1" w:rsidP="001A6BB1">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Whereas flexibility is usually a key consideration when establishing EU action programmes in order to ensure that a programme and its objectives are able to address new policy needs and priorities over its period of execution, predictability is the key concern in the case of the </w:t>
      </w:r>
      <w:r w:rsidR="003A7D12" w:rsidRPr="00E77A89">
        <w:rPr>
          <w:rFonts w:ascii="Times New Roman" w:hAnsi="Times New Roman" w:cs="Times New Roman"/>
          <w:sz w:val="24"/>
          <w:szCs w:val="24"/>
          <w:lang w:eastAsia="en-GB"/>
        </w:rPr>
        <w:t>Fiscalis</w:t>
      </w:r>
      <w:r w:rsidRPr="00E77A89">
        <w:rPr>
          <w:rFonts w:ascii="Times New Roman" w:hAnsi="Times New Roman" w:cs="Times New Roman"/>
          <w:sz w:val="24"/>
          <w:szCs w:val="24"/>
          <w:lang w:eastAsia="en-GB"/>
        </w:rPr>
        <w:t xml:space="preserve"> programme. Over the last 25 years, the programme has indeed evolved </w:t>
      </w:r>
      <w:r w:rsidRPr="00E77A89">
        <w:rPr>
          <w:rFonts w:ascii="Times New Roman" w:hAnsi="Times New Roman" w:cs="Times New Roman"/>
          <w:sz w:val="24"/>
          <w:szCs w:val="24"/>
        </w:rPr>
        <w:t xml:space="preserve">from a mechanical support approach to an ambitious policy framework that fulfils an important element of the </w:t>
      </w:r>
      <w:r w:rsidR="003A7D12" w:rsidRPr="00E77A89">
        <w:rPr>
          <w:rFonts w:ascii="Times New Roman" w:hAnsi="Times New Roman" w:cs="Times New Roman"/>
          <w:sz w:val="24"/>
          <w:szCs w:val="24"/>
        </w:rPr>
        <w:t>tax</w:t>
      </w:r>
      <w:r w:rsidRPr="00E77A89">
        <w:rPr>
          <w:rFonts w:ascii="Times New Roman" w:hAnsi="Times New Roman" w:cs="Times New Roman"/>
          <w:sz w:val="24"/>
          <w:szCs w:val="24"/>
        </w:rPr>
        <w:t xml:space="preserve"> policy itself. It has now reached a stage of maturity that makes it critical to the functioning of </w:t>
      </w:r>
      <w:r w:rsidR="003A7D12" w:rsidRPr="00E77A89">
        <w:rPr>
          <w:rFonts w:ascii="Times New Roman" w:hAnsi="Times New Roman" w:cs="Times New Roman"/>
          <w:sz w:val="24"/>
          <w:szCs w:val="24"/>
        </w:rPr>
        <w:t>tax</w:t>
      </w:r>
      <w:r w:rsidRPr="00E77A89">
        <w:rPr>
          <w:rFonts w:ascii="Times New Roman" w:hAnsi="Times New Roman" w:cs="Times New Roman"/>
          <w:sz w:val="24"/>
          <w:szCs w:val="24"/>
        </w:rPr>
        <w:t xml:space="preserve"> administration itself, not </w:t>
      </w:r>
      <w:r w:rsidR="00F25CBD" w:rsidRPr="00E77A89">
        <w:rPr>
          <w:rFonts w:ascii="Times New Roman" w:hAnsi="Times New Roman" w:cs="Times New Roman"/>
          <w:sz w:val="24"/>
          <w:szCs w:val="24"/>
        </w:rPr>
        <w:t xml:space="preserve">in the </w:t>
      </w:r>
      <w:r w:rsidRPr="00E77A89">
        <w:rPr>
          <w:rFonts w:ascii="Times New Roman" w:hAnsi="Times New Roman" w:cs="Times New Roman"/>
          <w:sz w:val="24"/>
          <w:szCs w:val="24"/>
        </w:rPr>
        <w:t xml:space="preserve">least because of the operational focus and the IT capacity built over the years. Against this background and in view of the broad scope of intervention that allow encompassing almost all aspects of </w:t>
      </w:r>
      <w:r w:rsidR="003A7D12" w:rsidRPr="00E77A89">
        <w:rPr>
          <w:rFonts w:ascii="Times New Roman" w:hAnsi="Times New Roman" w:cs="Times New Roman"/>
          <w:sz w:val="24"/>
          <w:szCs w:val="24"/>
        </w:rPr>
        <w:t>tax</w:t>
      </w:r>
      <w:r w:rsidRPr="00E77A89">
        <w:rPr>
          <w:rFonts w:ascii="Times New Roman" w:hAnsi="Times New Roman" w:cs="Times New Roman"/>
          <w:sz w:val="24"/>
          <w:szCs w:val="24"/>
        </w:rPr>
        <w:t xml:space="preserve"> cooperation and activities, predictability– and not flexibility – is the key concern for the operations of future programmes. </w:t>
      </w:r>
    </w:p>
    <w:p w14:paraId="14BE7AC4" w14:textId="77777777" w:rsidR="001A6BB1" w:rsidRPr="00E77A89" w:rsidRDefault="001A6BB1" w:rsidP="001A6BB1">
      <w:pPr>
        <w:pStyle w:val="Heading2"/>
        <w:rPr>
          <w:szCs w:val="24"/>
          <w:lang w:eastAsia="en-GB"/>
        </w:rPr>
      </w:pPr>
      <w:bookmarkStart w:id="10" w:name="_Toc515012598"/>
      <w:r w:rsidRPr="00E77A89">
        <w:rPr>
          <w:szCs w:val="24"/>
          <w:lang w:eastAsia="en-GB"/>
        </w:rPr>
        <w:t>Synergies &amp; complementarities with other EU action programmes and funds</w:t>
      </w:r>
      <w:bookmarkEnd w:id="10"/>
    </w:p>
    <w:p w14:paraId="421EE74C" w14:textId="77777777" w:rsidR="002F2C3B" w:rsidRPr="00E77A89" w:rsidRDefault="00AA7100" w:rsidP="00D13B10">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An important consideration for the Commission in preparing the post-2020 MFF is also to look at synergies and complementarities across programmes in order to step up the added value of EU intervention</w:t>
      </w:r>
      <w:r w:rsidR="002F2C3B" w:rsidRPr="00E77A89">
        <w:rPr>
          <w:rFonts w:ascii="Times New Roman" w:hAnsi="Times New Roman" w:cs="Times New Roman"/>
          <w:sz w:val="24"/>
          <w:szCs w:val="24"/>
        </w:rPr>
        <w:t>.</w:t>
      </w:r>
    </w:p>
    <w:p w14:paraId="14BE7AC5" w14:textId="57D5AA8F" w:rsidR="00AA7100" w:rsidRPr="00E77A89" w:rsidRDefault="00AA7100" w:rsidP="00D13B10">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rPr>
        <w:t xml:space="preserve">This ex-ante evaluation </w:t>
      </w:r>
      <w:r w:rsidRPr="00E77A89">
        <w:rPr>
          <w:rFonts w:ascii="Times New Roman" w:hAnsi="Times New Roman" w:cs="Times New Roman"/>
          <w:sz w:val="24"/>
          <w:szCs w:val="24"/>
          <w:lang w:eastAsia="en-GB"/>
        </w:rPr>
        <w:t xml:space="preserve">should therefore be read jointly with other proposed EU action </w:t>
      </w:r>
      <w:r w:rsidRPr="00E77A89">
        <w:rPr>
          <w:rFonts w:ascii="Times New Roman" w:hAnsi="Times New Roman" w:cs="Times New Roman"/>
          <w:sz w:val="24"/>
          <w:szCs w:val="24"/>
        </w:rPr>
        <w:t>programmes</w:t>
      </w:r>
      <w:r w:rsidRPr="00E77A89">
        <w:rPr>
          <w:rFonts w:ascii="Times New Roman" w:hAnsi="Times New Roman" w:cs="Times New Roman"/>
          <w:sz w:val="24"/>
          <w:szCs w:val="24"/>
          <w:lang w:eastAsia="en-GB"/>
        </w:rPr>
        <w:t xml:space="preserve"> and funds that pursue similar objectives in related fields of competence and especially: </w:t>
      </w:r>
    </w:p>
    <w:p w14:paraId="14BE7AC6" w14:textId="6C3BFAE1" w:rsidR="00AA7100" w:rsidRPr="00E77A89" w:rsidRDefault="00AA7100" w:rsidP="00AA7100">
      <w:pPr>
        <w:pStyle w:val="ListParagraph"/>
        <w:numPr>
          <w:ilvl w:val="0"/>
          <w:numId w:val="15"/>
        </w:numPr>
        <w:spacing w:after="0"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The Customs programme</w:t>
      </w:r>
      <w:r w:rsidRPr="00E77A89">
        <w:rPr>
          <w:rStyle w:val="FootnoteReference"/>
          <w:rFonts w:ascii="Times New Roman" w:hAnsi="Times New Roman" w:cs="Times New Roman"/>
          <w:sz w:val="24"/>
          <w:szCs w:val="24"/>
          <w:lang w:eastAsia="en-GB"/>
        </w:rPr>
        <w:footnoteReference w:id="14"/>
      </w:r>
      <w:r w:rsidRPr="00E77A89">
        <w:rPr>
          <w:rFonts w:ascii="Times New Roman" w:hAnsi="Times New Roman" w:cs="Times New Roman"/>
          <w:sz w:val="24"/>
          <w:szCs w:val="24"/>
          <w:lang w:eastAsia="en-GB"/>
        </w:rPr>
        <w:t xml:space="preserve">, that supports cooperation in the field of customs; </w:t>
      </w:r>
    </w:p>
    <w:p w14:paraId="14BE7AC8" w14:textId="7F351262" w:rsidR="00AA7100" w:rsidRPr="00E77A89" w:rsidRDefault="00AA7100" w:rsidP="00AA7100">
      <w:pPr>
        <w:pStyle w:val="ListParagraph"/>
        <w:numPr>
          <w:ilvl w:val="0"/>
          <w:numId w:val="15"/>
        </w:numPr>
        <w:spacing w:after="0"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The </w:t>
      </w:r>
      <w:r w:rsidR="00F8628D" w:rsidRPr="00E77A89">
        <w:rPr>
          <w:rFonts w:ascii="Times New Roman" w:hAnsi="Times New Roman" w:cs="Times New Roman"/>
          <w:sz w:val="24"/>
          <w:szCs w:val="24"/>
          <w:lang w:eastAsia="en-GB"/>
        </w:rPr>
        <w:t xml:space="preserve">Single Market </w:t>
      </w:r>
      <w:r w:rsidRPr="00E77A89">
        <w:rPr>
          <w:rFonts w:ascii="Times New Roman" w:hAnsi="Times New Roman" w:cs="Times New Roman"/>
          <w:sz w:val="24"/>
          <w:szCs w:val="24"/>
          <w:lang w:eastAsia="en-GB"/>
        </w:rPr>
        <w:t>Programme</w:t>
      </w:r>
      <w:r w:rsidRPr="00E77A89">
        <w:rPr>
          <w:rStyle w:val="FootnoteReference"/>
          <w:rFonts w:ascii="Times New Roman" w:hAnsi="Times New Roman" w:cs="Times New Roman"/>
          <w:sz w:val="24"/>
          <w:szCs w:val="24"/>
          <w:lang w:eastAsia="en-GB"/>
        </w:rPr>
        <w:footnoteReference w:id="15"/>
      </w:r>
      <w:r w:rsidRPr="00E77A89">
        <w:rPr>
          <w:rFonts w:ascii="Times New Roman" w:hAnsi="Times New Roman" w:cs="Times New Roman"/>
          <w:sz w:val="24"/>
          <w:szCs w:val="24"/>
          <w:lang w:eastAsia="en-GB"/>
        </w:rPr>
        <w:t xml:space="preserve">, which supports EU actions for achieving a better functioning of the </w:t>
      </w:r>
      <w:r w:rsidR="00F8628D" w:rsidRPr="00E77A89">
        <w:rPr>
          <w:rFonts w:ascii="Times New Roman" w:hAnsi="Times New Roman" w:cs="Times New Roman"/>
          <w:sz w:val="24"/>
          <w:szCs w:val="24"/>
          <w:lang w:eastAsia="en-GB"/>
        </w:rPr>
        <w:t>single market</w:t>
      </w:r>
      <w:r w:rsidR="00D13B10" w:rsidRPr="00E77A89">
        <w:rPr>
          <w:rFonts w:ascii="Times New Roman" w:hAnsi="Times New Roman" w:cs="Times New Roman"/>
          <w:sz w:val="24"/>
          <w:szCs w:val="24"/>
          <w:lang w:eastAsia="en-GB"/>
        </w:rPr>
        <w:t>;</w:t>
      </w:r>
    </w:p>
    <w:p w14:paraId="5F7FCBF8" w14:textId="70324B2C" w:rsidR="008F6F05" w:rsidRPr="00E77A89" w:rsidRDefault="008F6F05" w:rsidP="008F6F05">
      <w:pPr>
        <w:pStyle w:val="ListParagraph"/>
        <w:numPr>
          <w:ilvl w:val="0"/>
          <w:numId w:val="15"/>
        </w:numPr>
        <w:spacing w:after="0"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The Justice, Rights and Values programme</w:t>
      </w:r>
      <w:r w:rsidR="008E309A" w:rsidRPr="00E77A89">
        <w:rPr>
          <w:rStyle w:val="FootnoteReference"/>
          <w:rFonts w:ascii="Times New Roman" w:hAnsi="Times New Roman" w:cs="Times New Roman"/>
          <w:sz w:val="24"/>
          <w:szCs w:val="24"/>
          <w:lang w:eastAsia="en-GB"/>
        </w:rPr>
        <w:footnoteReference w:id="16"/>
      </w:r>
      <w:r w:rsidRPr="00E77A89">
        <w:rPr>
          <w:rFonts w:ascii="Times New Roman" w:hAnsi="Times New Roman" w:cs="Times New Roman"/>
          <w:sz w:val="24"/>
          <w:szCs w:val="24"/>
          <w:lang w:eastAsia="en-GB"/>
        </w:rPr>
        <w:t xml:space="preserve">, that </w:t>
      </w:r>
    </w:p>
    <w:p w14:paraId="1CE9EE01" w14:textId="320F4771" w:rsidR="008F6F05" w:rsidRPr="00E77A89" w:rsidRDefault="008F6F05" w:rsidP="008F6F05">
      <w:pPr>
        <w:pStyle w:val="ListParagraph"/>
        <w:numPr>
          <w:ilvl w:val="0"/>
          <w:numId w:val="15"/>
        </w:numPr>
        <w:spacing w:after="0"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The </w:t>
      </w:r>
      <w:r w:rsidR="00D27CE8" w:rsidRPr="00E77A89">
        <w:rPr>
          <w:rFonts w:ascii="Times New Roman" w:hAnsi="Times New Roman" w:cs="Times New Roman"/>
          <w:sz w:val="24"/>
          <w:szCs w:val="24"/>
          <w:lang w:eastAsia="en-GB"/>
        </w:rPr>
        <w:t>EU Anti-</w:t>
      </w:r>
      <w:r w:rsidR="007F3ECD" w:rsidRPr="00E77A89">
        <w:rPr>
          <w:rFonts w:ascii="Times New Roman" w:hAnsi="Times New Roman" w:cs="Times New Roman"/>
          <w:sz w:val="24"/>
          <w:szCs w:val="24"/>
          <w:lang w:eastAsia="en-GB"/>
        </w:rPr>
        <w:t>Fraud</w:t>
      </w:r>
      <w:r w:rsidR="00D27CE8" w:rsidRPr="00E77A89">
        <w:rPr>
          <w:rFonts w:ascii="Times New Roman" w:hAnsi="Times New Roman" w:cs="Times New Roman"/>
          <w:sz w:val="24"/>
          <w:szCs w:val="24"/>
          <w:lang w:eastAsia="en-GB"/>
        </w:rPr>
        <w:t xml:space="preserve"> </w:t>
      </w:r>
      <w:r w:rsidRPr="00E77A89">
        <w:rPr>
          <w:rFonts w:ascii="Times New Roman" w:hAnsi="Times New Roman" w:cs="Times New Roman"/>
          <w:sz w:val="24"/>
          <w:szCs w:val="24"/>
          <w:lang w:eastAsia="en-GB"/>
        </w:rPr>
        <w:t>programme</w:t>
      </w:r>
      <w:r w:rsidRPr="00E77A89">
        <w:rPr>
          <w:rStyle w:val="FootnoteReference"/>
          <w:rFonts w:ascii="Times New Roman" w:hAnsi="Times New Roman" w:cs="Times New Roman"/>
          <w:sz w:val="24"/>
          <w:szCs w:val="24"/>
          <w:lang w:eastAsia="en-GB"/>
        </w:rPr>
        <w:footnoteReference w:id="17"/>
      </w:r>
      <w:r w:rsidRPr="00E77A89">
        <w:rPr>
          <w:rFonts w:ascii="Times New Roman" w:hAnsi="Times New Roman" w:cs="Times New Roman"/>
          <w:sz w:val="24"/>
          <w:szCs w:val="24"/>
          <w:lang w:eastAsia="en-GB"/>
        </w:rPr>
        <w:t xml:space="preserve">, that combats fraud and other illegal activities affecting the financial interests of the Union; </w:t>
      </w:r>
    </w:p>
    <w:p w14:paraId="354D5A94" w14:textId="7B4308ED" w:rsidR="008F6F05" w:rsidRPr="00E77A89" w:rsidRDefault="00BC189F" w:rsidP="008F6F05">
      <w:pPr>
        <w:pStyle w:val="ListParagraph"/>
        <w:numPr>
          <w:ilvl w:val="0"/>
          <w:numId w:val="15"/>
        </w:numPr>
        <w:spacing w:after="0"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The </w:t>
      </w:r>
      <w:r w:rsidR="008F6F05" w:rsidRPr="00E77A89">
        <w:rPr>
          <w:rFonts w:ascii="Times New Roman" w:hAnsi="Times New Roman" w:cs="Times New Roman"/>
          <w:sz w:val="24"/>
          <w:szCs w:val="24"/>
          <w:lang w:eastAsia="en-GB"/>
        </w:rPr>
        <w:t>Reform Support programme</w:t>
      </w:r>
      <w:r w:rsidR="008E309A" w:rsidRPr="00E77A89">
        <w:rPr>
          <w:rStyle w:val="FootnoteReference"/>
          <w:rFonts w:ascii="Times New Roman" w:hAnsi="Times New Roman" w:cs="Times New Roman"/>
          <w:sz w:val="24"/>
          <w:szCs w:val="24"/>
          <w:lang w:eastAsia="en-GB"/>
        </w:rPr>
        <w:footnoteReference w:id="18"/>
      </w:r>
      <w:r w:rsidR="008E309A" w:rsidRPr="00E77A89">
        <w:rPr>
          <w:rFonts w:ascii="Times New Roman" w:hAnsi="Times New Roman" w:cs="Times New Roman"/>
          <w:sz w:val="24"/>
          <w:szCs w:val="24"/>
          <w:lang w:eastAsia="en-GB"/>
        </w:rPr>
        <w:t>,</w:t>
      </w:r>
      <w:r w:rsidR="008F6F05" w:rsidRPr="00E77A89">
        <w:rPr>
          <w:rFonts w:ascii="Times New Roman" w:hAnsi="Times New Roman" w:cs="Times New Roman"/>
          <w:sz w:val="24"/>
          <w:szCs w:val="24"/>
          <w:lang w:eastAsia="en-GB"/>
        </w:rPr>
        <w:t xml:space="preserve"> </w:t>
      </w:r>
      <w:r w:rsidRPr="00E77A89">
        <w:rPr>
          <w:rFonts w:ascii="Times New Roman" w:hAnsi="Times New Roman" w:cs="Times New Roman"/>
          <w:sz w:val="24"/>
          <w:szCs w:val="24"/>
          <w:lang w:eastAsia="en-GB"/>
        </w:rPr>
        <w:t xml:space="preserve">that helps </w:t>
      </w:r>
      <w:r w:rsidRPr="00E77A89">
        <w:rPr>
          <w:rFonts w:ascii="Times New Roman" w:hAnsi="Times New Roman" w:cs="Times New Roman"/>
          <w:sz w:val="24"/>
          <w:szCs w:val="24"/>
        </w:rPr>
        <w:t>specific EU countries build more effective institutions, stronger governance frameworks and efficient public administrations</w:t>
      </w:r>
      <w:r w:rsidR="008F6F05" w:rsidRPr="00E77A89">
        <w:rPr>
          <w:rFonts w:ascii="Times New Roman" w:hAnsi="Times New Roman" w:cs="Times New Roman"/>
          <w:sz w:val="24"/>
          <w:szCs w:val="24"/>
        </w:rPr>
        <w:t>;</w:t>
      </w:r>
    </w:p>
    <w:p w14:paraId="294C913C" w14:textId="77777777" w:rsidR="002F3AD7" w:rsidRPr="00E77A89" w:rsidRDefault="008F6F05" w:rsidP="00812D88">
      <w:pPr>
        <w:pStyle w:val="ListParagraph"/>
        <w:numPr>
          <w:ilvl w:val="0"/>
          <w:numId w:val="15"/>
        </w:numPr>
        <w:spacing w:after="0"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The</w:t>
      </w:r>
      <w:r w:rsidRPr="00E77A89">
        <w:rPr>
          <w:rFonts w:ascii="Times New Roman" w:hAnsi="Times New Roman" w:cs="Times New Roman"/>
          <w:sz w:val="24"/>
          <w:szCs w:val="24"/>
        </w:rPr>
        <w:t xml:space="preserve"> Digital </w:t>
      </w:r>
      <w:r w:rsidRPr="00E77A89">
        <w:rPr>
          <w:rFonts w:ascii="Times New Roman" w:hAnsi="Times New Roman" w:cs="Times New Roman"/>
          <w:sz w:val="24"/>
          <w:szCs w:val="24"/>
          <w:lang w:eastAsia="en-GB"/>
        </w:rPr>
        <w:t>Europe</w:t>
      </w:r>
      <w:r w:rsidRPr="00E77A89">
        <w:rPr>
          <w:rFonts w:ascii="Times New Roman" w:hAnsi="Times New Roman" w:cs="Times New Roman"/>
          <w:sz w:val="24"/>
          <w:szCs w:val="24"/>
        </w:rPr>
        <w:t xml:space="preserve"> programme</w:t>
      </w:r>
      <w:r w:rsidR="008E309A" w:rsidRPr="00E77A89">
        <w:rPr>
          <w:rStyle w:val="FootnoteReference"/>
          <w:rFonts w:ascii="Times New Roman" w:hAnsi="Times New Roman" w:cs="Times New Roman"/>
          <w:sz w:val="24"/>
          <w:szCs w:val="24"/>
        </w:rPr>
        <w:footnoteReference w:id="19"/>
      </w:r>
      <w:r w:rsidRPr="00E77A89">
        <w:rPr>
          <w:rFonts w:ascii="Times New Roman" w:hAnsi="Times New Roman" w:cs="Times New Roman"/>
          <w:sz w:val="24"/>
          <w:szCs w:val="24"/>
        </w:rPr>
        <w:t xml:space="preserve"> and other IT synergies</w:t>
      </w:r>
      <w:r w:rsidR="002F3AD7" w:rsidRPr="00E77A89">
        <w:rPr>
          <w:rFonts w:ascii="Times New Roman" w:hAnsi="Times New Roman" w:cs="Times New Roman"/>
          <w:sz w:val="24"/>
          <w:szCs w:val="24"/>
        </w:rPr>
        <w:t xml:space="preserve">; </w:t>
      </w:r>
    </w:p>
    <w:p w14:paraId="14BE7ACB" w14:textId="6AAEDC1A" w:rsidR="00F352DB" w:rsidRPr="00E77A89" w:rsidRDefault="002F3AD7" w:rsidP="00812D88">
      <w:pPr>
        <w:pStyle w:val="ListParagraph"/>
        <w:numPr>
          <w:ilvl w:val="0"/>
          <w:numId w:val="15"/>
        </w:numPr>
        <w:spacing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rPr>
        <w:t>Horizon Europe</w:t>
      </w:r>
      <w:r w:rsidRPr="00E77A89">
        <w:rPr>
          <w:rStyle w:val="FootnoteReference"/>
          <w:rFonts w:ascii="Times New Roman" w:hAnsi="Times New Roman" w:cs="Times New Roman"/>
          <w:sz w:val="24"/>
          <w:szCs w:val="24"/>
        </w:rPr>
        <w:footnoteReference w:id="20"/>
      </w:r>
      <w:r w:rsidRPr="00E77A89">
        <w:rPr>
          <w:rFonts w:ascii="Times New Roman" w:hAnsi="Times New Roman" w:cs="Times New Roman"/>
          <w:sz w:val="24"/>
          <w:szCs w:val="24"/>
        </w:rPr>
        <w:t xml:space="preserve"> and other research and innovation actions</w:t>
      </w:r>
      <w:r w:rsidR="00BC189F" w:rsidRPr="00E77A89">
        <w:rPr>
          <w:rFonts w:ascii="Times New Roman" w:hAnsi="Times New Roman" w:cs="Times New Roman"/>
          <w:sz w:val="24"/>
          <w:szCs w:val="24"/>
        </w:rPr>
        <w:t>.</w:t>
      </w:r>
    </w:p>
    <w:p w14:paraId="14BE7ACC" w14:textId="70C0B258" w:rsidR="001A6BB1" w:rsidRPr="00E77A89" w:rsidRDefault="00AA7100" w:rsidP="001A6BB1">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rPr>
        <w:t>It also</w:t>
      </w:r>
      <w:r w:rsidR="001A6BB1" w:rsidRPr="00E77A89">
        <w:rPr>
          <w:rFonts w:ascii="Times New Roman" w:hAnsi="Times New Roman" w:cs="Times New Roman"/>
          <w:sz w:val="24"/>
          <w:szCs w:val="24"/>
        </w:rPr>
        <w:t xml:space="preserve"> </w:t>
      </w:r>
      <w:r w:rsidR="007F3ECD" w:rsidRPr="00E77A89">
        <w:rPr>
          <w:rFonts w:ascii="Times New Roman" w:hAnsi="Times New Roman" w:cs="Times New Roman"/>
          <w:sz w:val="24"/>
          <w:szCs w:val="24"/>
        </w:rPr>
        <w:t>analyses</w:t>
      </w:r>
      <w:r w:rsidR="001A6BB1" w:rsidRPr="00E77A89">
        <w:rPr>
          <w:rFonts w:ascii="Times New Roman" w:hAnsi="Times New Roman" w:cs="Times New Roman"/>
          <w:sz w:val="24"/>
          <w:szCs w:val="24"/>
        </w:rPr>
        <w:t xml:space="preserve"> the option to merge the programme with its </w:t>
      </w:r>
      <w:r w:rsidR="003D6AC2" w:rsidRPr="00E77A89">
        <w:rPr>
          <w:rFonts w:ascii="Times New Roman" w:hAnsi="Times New Roman" w:cs="Times New Roman"/>
          <w:sz w:val="24"/>
          <w:szCs w:val="24"/>
        </w:rPr>
        <w:t>customs</w:t>
      </w:r>
      <w:r w:rsidR="001A6BB1" w:rsidRPr="00E77A89">
        <w:rPr>
          <w:rFonts w:ascii="Times New Roman" w:hAnsi="Times New Roman" w:cs="Times New Roman"/>
          <w:sz w:val="24"/>
          <w:szCs w:val="24"/>
        </w:rPr>
        <w:t xml:space="preserve"> equivalent, despite the failu</w:t>
      </w:r>
      <w:r w:rsidRPr="00E77A89">
        <w:rPr>
          <w:rFonts w:ascii="Times New Roman" w:hAnsi="Times New Roman" w:cs="Times New Roman"/>
          <w:sz w:val="24"/>
          <w:szCs w:val="24"/>
        </w:rPr>
        <w:t>re of this solution in the past</w:t>
      </w:r>
      <w:r w:rsidR="001A6BB1" w:rsidRPr="00E77A89">
        <w:rPr>
          <w:rFonts w:ascii="Times New Roman" w:hAnsi="Times New Roman" w:cs="Times New Roman"/>
          <w:sz w:val="24"/>
          <w:szCs w:val="24"/>
        </w:rPr>
        <w:t xml:space="preserve">. </w:t>
      </w:r>
    </w:p>
    <w:p w14:paraId="14BE7ACD" w14:textId="5540A931" w:rsidR="001A6BB1" w:rsidRPr="00E77A89" w:rsidRDefault="00F25CBD" w:rsidP="001A6BB1">
      <w:pPr>
        <w:keepNext/>
        <w:keepLines/>
        <w:spacing w:line="240" w:lineRule="auto"/>
        <w:jc w:val="both"/>
        <w:rPr>
          <w:rFonts w:ascii="Times New Roman" w:hAnsi="Times New Roman" w:cs="Times New Roman"/>
          <w:sz w:val="24"/>
          <w:szCs w:val="24"/>
          <w:u w:val="single"/>
          <w:lang w:eastAsia="en-GB"/>
        </w:rPr>
      </w:pPr>
      <w:r w:rsidRPr="00E77A89">
        <w:rPr>
          <w:rFonts w:ascii="Times New Roman" w:hAnsi="Times New Roman" w:cs="Times New Roman"/>
          <w:sz w:val="24"/>
          <w:szCs w:val="24"/>
          <w:u w:val="single"/>
          <w:lang w:eastAsia="en-GB"/>
        </w:rPr>
        <w:t>Custom</w:t>
      </w:r>
      <w:r w:rsidR="001A6BB1" w:rsidRPr="00E77A89">
        <w:rPr>
          <w:rFonts w:ascii="Times New Roman" w:hAnsi="Times New Roman" w:cs="Times New Roman"/>
          <w:sz w:val="24"/>
          <w:szCs w:val="24"/>
          <w:u w:val="single"/>
          <w:lang w:eastAsia="en-GB"/>
        </w:rPr>
        <w:t>s</w:t>
      </w:r>
      <w:r w:rsidR="008F6F05" w:rsidRPr="00E77A89">
        <w:rPr>
          <w:rFonts w:ascii="Times New Roman" w:hAnsi="Times New Roman" w:cs="Times New Roman"/>
          <w:sz w:val="24"/>
          <w:szCs w:val="24"/>
          <w:u w:val="single"/>
          <w:lang w:eastAsia="en-GB"/>
        </w:rPr>
        <w:t xml:space="preserve"> programme</w:t>
      </w:r>
    </w:p>
    <w:p w14:paraId="14BE7ACE" w14:textId="77777777" w:rsidR="004F4048" w:rsidRPr="00E77A89" w:rsidRDefault="004F4048" w:rsidP="004F4048">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Significant synergies exist already at operational level with the other TAXUD programme for customs, Customs 2020. In the field of IT, there is cross-fertilisation and joint funding of common IT components such as the secured network (Common Communication Network). Identical IT management approaches and common horizontal support mechanisms are also in place. Moreover, the same type of actions is used and a similar approach for human capacity building and training is followed. The programme management, in terms of proposal management, action management, implementing acts, performance monitoring, is fully streamlined. In addition, there is an emerging and growing need for joint activities between taxation and customs, in particular in the domain of e-commerce and the customs control of excise products. </w:t>
      </w:r>
    </w:p>
    <w:p w14:paraId="14BE7ACF" w14:textId="77777777" w:rsidR="004F4048" w:rsidRPr="00E77A89" w:rsidRDefault="004F4048" w:rsidP="004F4048">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On the one hand, merging the two programmes might present some benefits. A unique programme for both tax and customs officers would promote the cooperation between these two bodies at national level and EU level and would better respond to the need of cross-border cooperation between the two different bodies. National customs and tax administrations could thus cooperate and participate in different activities together. This might lead to efficiency gains and the development of common approaches.</w:t>
      </w:r>
    </w:p>
    <w:p w14:paraId="14BE7AD0" w14:textId="77777777" w:rsidR="004F4048" w:rsidRPr="00E77A89" w:rsidRDefault="004F4048" w:rsidP="004F4048">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Nonetheless, on the other hand, there are four main reasons that led to decide not to consider the merge as a relevant policy option.</w:t>
      </w:r>
    </w:p>
    <w:p w14:paraId="14BE7AD1" w14:textId="7F397B3E" w:rsidR="004F4048" w:rsidRPr="00E77A89" w:rsidRDefault="004F4048" w:rsidP="004F4048">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First, the two programmes support the implementation of different policies lying on different legal Treaty bases. Customs policy is an area of exclusive EU competence, where the ultimate objective is that customs administrations act as if they were one. Subject to unanimity rules, taxation policy remains an area of national sovereignty and competence where the EU is only entitled to take measures for ensuring the proper functioning of the </w:t>
      </w:r>
      <w:r w:rsidR="00F8628D" w:rsidRPr="00E77A89">
        <w:rPr>
          <w:rFonts w:ascii="Times New Roman" w:hAnsi="Times New Roman" w:cs="Times New Roman"/>
          <w:sz w:val="24"/>
          <w:szCs w:val="24"/>
          <w:lang w:eastAsia="en-GB"/>
        </w:rPr>
        <w:t>single market</w:t>
      </w:r>
      <w:r w:rsidRPr="00E77A89">
        <w:rPr>
          <w:rFonts w:ascii="Times New Roman" w:hAnsi="Times New Roman" w:cs="Times New Roman"/>
          <w:sz w:val="24"/>
          <w:szCs w:val="24"/>
          <w:lang w:eastAsia="en-GB"/>
        </w:rPr>
        <w:t xml:space="preserve">. This distinction is reflected at the level of the programmes: Customs is based on Article 33 TFEU and aims at supporting the functioning and modernisation of the customs union while Fiscalis is based on Article 114 and 197 TFEU and aims at improving the proper functioning of the taxation systems in the </w:t>
      </w:r>
      <w:r w:rsidR="00F8628D" w:rsidRPr="00E77A89">
        <w:rPr>
          <w:rFonts w:ascii="Times New Roman" w:hAnsi="Times New Roman" w:cs="Times New Roman"/>
          <w:sz w:val="24"/>
          <w:szCs w:val="24"/>
          <w:lang w:eastAsia="en-GB"/>
        </w:rPr>
        <w:t>single market</w:t>
      </w:r>
      <w:r w:rsidRPr="00E77A89">
        <w:rPr>
          <w:rFonts w:ascii="Times New Roman" w:hAnsi="Times New Roman" w:cs="Times New Roman"/>
          <w:sz w:val="24"/>
          <w:szCs w:val="24"/>
          <w:lang w:eastAsia="en-GB"/>
        </w:rPr>
        <w:t xml:space="preserve">. </w:t>
      </w:r>
    </w:p>
    <w:p w14:paraId="14BE7AD2" w14:textId="5B39F4DB" w:rsidR="004F4048" w:rsidRPr="00E77A89" w:rsidRDefault="004F4048" w:rsidP="00ED685B">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Second, the two programmes support different policies with different objectives. Although the operational elements and outputs of both programmes are quite similar, important nuances appear</w:t>
      </w:r>
      <w:r w:rsidR="00ED685B" w:rsidRPr="00E77A89">
        <w:rPr>
          <w:rFonts w:ascii="Times New Roman" w:hAnsi="Times New Roman" w:cs="Times New Roman"/>
          <w:sz w:val="24"/>
          <w:szCs w:val="24"/>
          <w:lang w:eastAsia="en-GB"/>
        </w:rPr>
        <w:t xml:space="preserve"> however. The Customs programme supports the coherent application and effective implementation of Union law and policy in the field of customs. This operational objective of Customs aims to create the same customs experience across the different participating countries. The equivalent objective in Fiscalis does not exist, as this programme does not seek the uniformity of tax legislation. A</w:t>
      </w:r>
      <w:r w:rsidRPr="00E77A89">
        <w:rPr>
          <w:rFonts w:ascii="Times New Roman" w:hAnsi="Times New Roman" w:cs="Times New Roman"/>
          <w:sz w:val="24"/>
          <w:szCs w:val="24"/>
          <w:lang w:eastAsia="en-GB"/>
        </w:rPr>
        <w:t>t the level of the higher level impacts of the set objectives</w:t>
      </w:r>
      <w:r w:rsidR="00ED685B" w:rsidRPr="00E77A89">
        <w:rPr>
          <w:rFonts w:ascii="Times New Roman" w:hAnsi="Times New Roman" w:cs="Times New Roman"/>
          <w:sz w:val="24"/>
          <w:szCs w:val="24"/>
          <w:lang w:eastAsia="en-GB"/>
        </w:rPr>
        <w:t>, important differences exist also</w:t>
      </w:r>
      <w:r w:rsidRPr="00E77A89">
        <w:rPr>
          <w:rFonts w:ascii="Times New Roman" w:hAnsi="Times New Roman" w:cs="Times New Roman"/>
          <w:sz w:val="24"/>
          <w:szCs w:val="24"/>
          <w:lang w:eastAsia="en-GB"/>
        </w:rPr>
        <w:t>.</w:t>
      </w:r>
      <w:r w:rsidR="00ED685B" w:rsidRPr="00E77A89">
        <w:rPr>
          <w:rFonts w:ascii="Times New Roman" w:hAnsi="Times New Roman" w:cs="Times New Roman"/>
          <w:sz w:val="24"/>
          <w:szCs w:val="24"/>
          <w:lang w:eastAsia="en-GB"/>
        </w:rPr>
        <w:t xml:space="preserve"> The Customs programme is a supporting tool that aims at contributing to ensure that customs administrations act as one, thus contributing to the achievement of the full potential of the Customs Union, while Fiscalis targets the improvement the proper functioning of the taxation systems in the </w:t>
      </w:r>
      <w:r w:rsidR="00F8628D" w:rsidRPr="00E77A89">
        <w:rPr>
          <w:rFonts w:ascii="Times New Roman" w:hAnsi="Times New Roman" w:cs="Times New Roman"/>
          <w:sz w:val="24"/>
          <w:szCs w:val="24"/>
          <w:lang w:eastAsia="en-GB"/>
        </w:rPr>
        <w:t>single market</w:t>
      </w:r>
      <w:r w:rsidR="00ED685B" w:rsidRPr="00E77A89">
        <w:rPr>
          <w:rFonts w:ascii="Times New Roman" w:hAnsi="Times New Roman" w:cs="Times New Roman"/>
          <w:sz w:val="24"/>
          <w:szCs w:val="24"/>
          <w:lang w:eastAsia="en-GB"/>
        </w:rPr>
        <w:t xml:space="preserve"> by enhancing cooperation between participating countries</w:t>
      </w:r>
      <w:r w:rsidRPr="00E77A89">
        <w:rPr>
          <w:rFonts w:ascii="Times New Roman" w:hAnsi="Times New Roman" w:cs="Times New Roman"/>
          <w:sz w:val="24"/>
          <w:szCs w:val="24"/>
          <w:lang w:eastAsia="en-GB"/>
        </w:rPr>
        <w:t xml:space="preserve"> Customs aims at contributing to protect the financial and economic interests of the Union and Member States, to increase safety and security. Fiscalis contributes to the fight against tax fraud, tax evasion and aggressive tax planning and the implementation of Union law, in particular on administrative cooperation.</w:t>
      </w:r>
      <w:r w:rsidR="00ED685B" w:rsidRPr="00E77A89">
        <w:rPr>
          <w:rFonts w:ascii="Times New Roman" w:hAnsi="Times New Roman" w:cs="Times New Roman"/>
          <w:sz w:val="24"/>
          <w:szCs w:val="24"/>
          <w:lang w:eastAsia="en-GB"/>
        </w:rPr>
        <w:t xml:space="preserve"> </w:t>
      </w:r>
      <w:r w:rsidRPr="00E77A89">
        <w:rPr>
          <w:rFonts w:ascii="Times New Roman" w:hAnsi="Times New Roman" w:cs="Times New Roman"/>
          <w:sz w:val="24"/>
          <w:szCs w:val="24"/>
          <w:lang w:eastAsia="en-GB"/>
        </w:rPr>
        <w:t xml:space="preserve">The two programmes differ </w:t>
      </w:r>
      <w:r w:rsidR="00ED685B" w:rsidRPr="00E77A89">
        <w:rPr>
          <w:rFonts w:ascii="Times New Roman" w:hAnsi="Times New Roman" w:cs="Times New Roman"/>
          <w:sz w:val="24"/>
          <w:szCs w:val="24"/>
          <w:lang w:eastAsia="en-GB"/>
        </w:rPr>
        <w:t xml:space="preserve">thus </w:t>
      </w:r>
      <w:r w:rsidRPr="00E77A89">
        <w:rPr>
          <w:rFonts w:ascii="Times New Roman" w:hAnsi="Times New Roman" w:cs="Times New Roman"/>
          <w:sz w:val="24"/>
          <w:szCs w:val="24"/>
          <w:lang w:eastAsia="en-GB"/>
        </w:rPr>
        <w:t>substantially in terms of ambition.</w:t>
      </w:r>
    </w:p>
    <w:p w14:paraId="14BE7AD3" w14:textId="77777777" w:rsidR="004F4048" w:rsidRPr="00E77A89" w:rsidRDefault="004F4048" w:rsidP="004F4048">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Third, the merge</w:t>
      </w:r>
      <w:r w:rsidR="00ED685B" w:rsidRPr="00E77A89">
        <w:rPr>
          <w:rFonts w:ascii="Times New Roman" w:hAnsi="Times New Roman" w:cs="Times New Roman"/>
          <w:sz w:val="24"/>
          <w:szCs w:val="24"/>
          <w:lang w:eastAsia="en-GB"/>
        </w:rPr>
        <w:t>r</w:t>
      </w:r>
      <w:r w:rsidRPr="00E77A89">
        <w:rPr>
          <w:rFonts w:ascii="Times New Roman" w:hAnsi="Times New Roman" w:cs="Times New Roman"/>
          <w:sz w:val="24"/>
          <w:szCs w:val="24"/>
          <w:lang w:eastAsia="en-GB"/>
        </w:rPr>
        <w:t xml:space="preserve"> of the two programmes would only bring benefits to </w:t>
      </w:r>
      <w:r w:rsidR="00ED685B" w:rsidRPr="00E77A89">
        <w:rPr>
          <w:rFonts w:ascii="Times New Roman" w:hAnsi="Times New Roman" w:cs="Times New Roman"/>
          <w:sz w:val="24"/>
          <w:szCs w:val="24"/>
          <w:lang w:eastAsia="en-GB"/>
        </w:rPr>
        <w:t xml:space="preserve">a marginal </w:t>
      </w:r>
      <w:r w:rsidRPr="00E77A89">
        <w:rPr>
          <w:rFonts w:ascii="Times New Roman" w:hAnsi="Times New Roman" w:cs="Times New Roman"/>
          <w:sz w:val="24"/>
          <w:szCs w:val="24"/>
          <w:lang w:eastAsia="en-GB"/>
        </w:rPr>
        <w:t>extent. The two programmes already have a common management and shared processes. In addition, the two programmes already present almost the same type of eligible actions, which facilitates considerably their management at both EU and national level as in many Member States the two programmes are managed by the same entity. This mirroring of actions also facilitates cross-fertilisation between customs and tax administrations already today. Therefore, as the organisational and management synergies already exist between the two programmes, it is unlikely that the merge</w:t>
      </w:r>
      <w:r w:rsidR="00ED685B" w:rsidRPr="00E77A89">
        <w:rPr>
          <w:rFonts w:ascii="Times New Roman" w:hAnsi="Times New Roman" w:cs="Times New Roman"/>
          <w:sz w:val="24"/>
          <w:szCs w:val="24"/>
          <w:lang w:eastAsia="en-GB"/>
        </w:rPr>
        <w:t>r</w:t>
      </w:r>
      <w:r w:rsidRPr="00E77A89">
        <w:rPr>
          <w:rFonts w:ascii="Times New Roman" w:hAnsi="Times New Roman" w:cs="Times New Roman"/>
          <w:sz w:val="24"/>
          <w:szCs w:val="24"/>
          <w:lang w:eastAsia="en-GB"/>
        </w:rPr>
        <w:t xml:space="preserve"> would bring significant economies of scale from this point of view. </w:t>
      </w:r>
    </w:p>
    <w:p w14:paraId="14BE7AD4" w14:textId="77777777" w:rsidR="004F4048" w:rsidRPr="00E77A89" w:rsidRDefault="004F4048" w:rsidP="004F4048">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Fourth, although a unique programme could be perceived as a promising tool to improve the cooperation between tax and customs officers, it could also neglect the specific needs of each body. In addition, a single programme could also hamper the visibility of one body compared to the other. It could be possible that in some cases one of the two is considered more significant than the other according to the strategic priorities of the country. This scenario is currently avoided as the two programmes are set up to respond to the specific needs of each body, and ensure their respective visibility.</w:t>
      </w:r>
    </w:p>
    <w:p w14:paraId="14BE7AD5" w14:textId="77777777" w:rsidR="004F4048" w:rsidRPr="00E77A89" w:rsidRDefault="004F4048" w:rsidP="004F4048">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The combination of these </w:t>
      </w:r>
      <w:r w:rsidR="00ED685B" w:rsidRPr="00E77A89">
        <w:rPr>
          <w:rFonts w:ascii="Times New Roman" w:hAnsi="Times New Roman" w:cs="Times New Roman"/>
          <w:sz w:val="24"/>
          <w:szCs w:val="24"/>
          <w:lang w:eastAsia="en-GB"/>
        </w:rPr>
        <w:t xml:space="preserve">reasons indicates that a </w:t>
      </w:r>
      <w:r w:rsidRPr="00E77A89">
        <w:rPr>
          <w:rFonts w:ascii="Times New Roman" w:hAnsi="Times New Roman" w:cs="Times New Roman"/>
          <w:sz w:val="24"/>
          <w:szCs w:val="24"/>
          <w:lang w:eastAsia="en-GB"/>
        </w:rPr>
        <w:t>merge</w:t>
      </w:r>
      <w:r w:rsidR="00ED685B" w:rsidRPr="00E77A89">
        <w:rPr>
          <w:rFonts w:ascii="Times New Roman" w:hAnsi="Times New Roman" w:cs="Times New Roman"/>
          <w:sz w:val="24"/>
          <w:szCs w:val="24"/>
          <w:lang w:eastAsia="en-GB"/>
        </w:rPr>
        <w:t>r</w:t>
      </w:r>
      <w:r w:rsidRPr="00E77A89">
        <w:rPr>
          <w:rFonts w:ascii="Times New Roman" w:hAnsi="Times New Roman" w:cs="Times New Roman"/>
          <w:sz w:val="24"/>
          <w:szCs w:val="24"/>
          <w:lang w:eastAsia="en-GB"/>
        </w:rPr>
        <w:t xml:space="preserve"> is not a </w:t>
      </w:r>
      <w:r w:rsidR="00ED685B" w:rsidRPr="00E77A89">
        <w:rPr>
          <w:rFonts w:ascii="Times New Roman" w:hAnsi="Times New Roman" w:cs="Times New Roman"/>
          <w:sz w:val="24"/>
          <w:szCs w:val="24"/>
          <w:lang w:eastAsia="en-GB"/>
        </w:rPr>
        <w:t xml:space="preserve">good </w:t>
      </w:r>
      <w:r w:rsidRPr="00E77A89">
        <w:rPr>
          <w:rFonts w:ascii="Times New Roman" w:hAnsi="Times New Roman" w:cs="Times New Roman"/>
          <w:sz w:val="24"/>
          <w:szCs w:val="24"/>
          <w:lang w:eastAsia="en-GB"/>
        </w:rPr>
        <w:t>option and has therefore been discarded.</w:t>
      </w:r>
    </w:p>
    <w:p w14:paraId="14BE7AD6" w14:textId="2B86CF62" w:rsidR="001A6BB1" w:rsidRPr="00E77A89" w:rsidRDefault="00F8628D" w:rsidP="001A6BB1">
      <w:pPr>
        <w:keepNext/>
        <w:keepLines/>
        <w:spacing w:line="240" w:lineRule="auto"/>
        <w:jc w:val="both"/>
        <w:rPr>
          <w:rFonts w:ascii="Times New Roman" w:hAnsi="Times New Roman" w:cs="Times New Roman"/>
          <w:sz w:val="24"/>
          <w:szCs w:val="24"/>
          <w:u w:val="single"/>
          <w:lang w:eastAsia="en-GB"/>
        </w:rPr>
      </w:pPr>
      <w:r w:rsidRPr="00E77A89">
        <w:rPr>
          <w:rFonts w:ascii="Times New Roman" w:hAnsi="Times New Roman" w:cs="Times New Roman"/>
          <w:sz w:val="24"/>
          <w:szCs w:val="24"/>
          <w:u w:val="single"/>
          <w:lang w:eastAsia="en-GB"/>
        </w:rPr>
        <w:t>Single market</w:t>
      </w:r>
      <w:r w:rsidR="003D6AC2" w:rsidRPr="00E77A89">
        <w:rPr>
          <w:rFonts w:ascii="Times New Roman" w:hAnsi="Times New Roman" w:cs="Times New Roman"/>
          <w:sz w:val="24"/>
          <w:szCs w:val="24"/>
          <w:u w:val="single"/>
          <w:lang w:eastAsia="en-GB"/>
        </w:rPr>
        <w:t xml:space="preserve"> programme</w:t>
      </w:r>
    </w:p>
    <w:p w14:paraId="14BE7AD7" w14:textId="21E57723" w:rsidR="00367596" w:rsidRPr="00E77A89" w:rsidRDefault="004F4048" w:rsidP="004F4048">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Despite its relevance for </w:t>
      </w:r>
      <w:r w:rsidR="00367596" w:rsidRPr="00E77A89">
        <w:rPr>
          <w:rFonts w:ascii="Times New Roman" w:hAnsi="Times New Roman" w:cs="Times New Roman"/>
          <w:sz w:val="24"/>
          <w:szCs w:val="24"/>
          <w:lang w:eastAsia="en-GB"/>
        </w:rPr>
        <w:t xml:space="preserve">and </w:t>
      </w:r>
      <w:r w:rsidRPr="00E77A89">
        <w:rPr>
          <w:rFonts w:ascii="Times New Roman" w:hAnsi="Times New Roman" w:cs="Times New Roman"/>
          <w:sz w:val="24"/>
          <w:szCs w:val="24"/>
          <w:lang w:eastAsia="en-GB"/>
        </w:rPr>
        <w:t xml:space="preserve">being </w:t>
      </w:r>
      <w:r w:rsidR="00367596" w:rsidRPr="00E77A89">
        <w:rPr>
          <w:rFonts w:ascii="Times New Roman" w:hAnsi="Times New Roman" w:cs="Times New Roman"/>
          <w:sz w:val="24"/>
          <w:szCs w:val="24"/>
          <w:lang w:eastAsia="en-GB"/>
        </w:rPr>
        <w:t>a fundament</w:t>
      </w:r>
      <w:r w:rsidRPr="00E77A89">
        <w:rPr>
          <w:rFonts w:ascii="Times New Roman" w:hAnsi="Times New Roman" w:cs="Times New Roman"/>
          <w:sz w:val="24"/>
          <w:szCs w:val="24"/>
          <w:lang w:eastAsia="en-GB"/>
        </w:rPr>
        <w:t>al enabler of the Single Market</w:t>
      </w:r>
      <w:r w:rsidR="00367596" w:rsidRPr="00E77A89">
        <w:rPr>
          <w:rFonts w:ascii="Times New Roman" w:hAnsi="Times New Roman" w:cs="Times New Roman"/>
          <w:sz w:val="24"/>
          <w:szCs w:val="24"/>
          <w:lang w:eastAsia="en-GB"/>
        </w:rPr>
        <w:t>, the tax</w:t>
      </w:r>
      <w:r w:rsidRPr="00E77A89">
        <w:rPr>
          <w:rFonts w:ascii="Times New Roman" w:hAnsi="Times New Roman" w:cs="Times New Roman"/>
          <w:sz w:val="24"/>
          <w:szCs w:val="24"/>
          <w:lang w:eastAsia="en-GB"/>
        </w:rPr>
        <w:t xml:space="preserve"> </w:t>
      </w:r>
      <w:r w:rsidR="00367596" w:rsidRPr="00E77A89">
        <w:rPr>
          <w:rFonts w:ascii="Times New Roman" w:hAnsi="Times New Roman" w:cs="Times New Roman"/>
          <w:sz w:val="24"/>
          <w:szCs w:val="24"/>
          <w:lang w:eastAsia="en-GB"/>
        </w:rPr>
        <w:t>programme remained</w:t>
      </w:r>
      <w:r w:rsidRPr="00E77A89">
        <w:rPr>
          <w:rFonts w:ascii="Times New Roman" w:hAnsi="Times New Roman" w:cs="Times New Roman"/>
          <w:sz w:val="24"/>
          <w:szCs w:val="24"/>
          <w:lang w:eastAsia="en-GB"/>
        </w:rPr>
        <w:t xml:space="preserve"> a</w:t>
      </w:r>
      <w:r w:rsidR="00367596" w:rsidRPr="00E77A89">
        <w:rPr>
          <w:rFonts w:ascii="Times New Roman" w:hAnsi="Times New Roman" w:cs="Times New Roman"/>
          <w:sz w:val="24"/>
          <w:szCs w:val="24"/>
          <w:lang w:eastAsia="en-GB"/>
        </w:rPr>
        <w:t xml:space="preserve"> stand-alone programme under the Single Market </w:t>
      </w:r>
      <w:r w:rsidR="00F97381" w:rsidRPr="00E77A89">
        <w:rPr>
          <w:rFonts w:ascii="Times New Roman" w:hAnsi="Times New Roman" w:cs="Times New Roman"/>
          <w:sz w:val="24"/>
          <w:szCs w:val="24"/>
          <w:lang w:eastAsia="en-GB"/>
        </w:rPr>
        <w:t xml:space="preserve">budget </w:t>
      </w:r>
      <w:r w:rsidR="00367596" w:rsidRPr="00E77A89">
        <w:rPr>
          <w:rFonts w:ascii="Times New Roman" w:hAnsi="Times New Roman" w:cs="Times New Roman"/>
          <w:sz w:val="24"/>
          <w:szCs w:val="24"/>
          <w:lang w:eastAsia="en-GB"/>
        </w:rPr>
        <w:t xml:space="preserve">heading in view of </w:t>
      </w:r>
      <w:r w:rsidRPr="00E77A89">
        <w:rPr>
          <w:rFonts w:ascii="Times New Roman" w:hAnsi="Times New Roman" w:cs="Times New Roman"/>
          <w:sz w:val="24"/>
          <w:szCs w:val="24"/>
          <w:lang w:eastAsia="en-GB"/>
        </w:rPr>
        <w:t xml:space="preserve">its </w:t>
      </w:r>
      <w:r w:rsidR="00367596" w:rsidRPr="00E77A89">
        <w:rPr>
          <w:rFonts w:ascii="Times New Roman" w:hAnsi="Times New Roman" w:cs="Times New Roman"/>
          <w:sz w:val="24"/>
          <w:szCs w:val="24"/>
          <w:lang w:eastAsia="en-GB"/>
        </w:rPr>
        <w:t xml:space="preserve">specific and highly integrated features. </w:t>
      </w:r>
    </w:p>
    <w:p w14:paraId="14BE7AD8" w14:textId="6DCEAE5A" w:rsidR="00367596" w:rsidRPr="00E77A89" w:rsidRDefault="004F4048" w:rsidP="004F4048">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L</w:t>
      </w:r>
      <w:r w:rsidR="00367596" w:rsidRPr="00E77A89">
        <w:rPr>
          <w:rFonts w:ascii="Times New Roman" w:hAnsi="Times New Roman" w:cs="Times New Roman"/>
          <w:sz w:val="24"/>
          <w:szCs w:val="24"/>
          <w:lang w:eastAsia="en-GB"/>
        </w:rPr>
        <w:t>inks</w:t>
      </w:r>
      <w:r w:rsidRPr="00E77A89">
        <w:rPr>
          <w:rFonts w:ascii="Times New Roman" w:hAnsi="Times New Roman" w:cs="Times New Roman"/>
          <w:sz w:val="24"/>
          <w:szCs w:val="24"/>
          <w:lang w:eastAsia="en-GB"/>
        </w:rPr>
        <w:t xml:space="preserve"> </w:t>
      </w:r>
      <w:r w:rsidR="00367596" w:rsidRPr="00E77A89">
        <w:rPr>
          <w:rFonts w:ascii="Times New Roman" w:hAnsi="Times New Roman" w:cs="Times New Roman"/>
          <w:sz w:val="24"/>
          <w:szCs w:val="24"/>
          <w:lang w:eastAsia="en-GB"/>
        </w:rPr>
        <w:t xml:space="preserve">exist </w:t>
      </w:r>
      <w:r w:rsidRPr="00E77A89">
        <w:rPr>
          <w:rFonts w:ascii="Times New Roman" w:hAnsi="Times New Roman" w:cs="Times New Roman"/>
          <w:sz w:val="24"/>
          <w:szCs w:val="24"/>
          <w:lang w:eastAsia="en-GB"/>
        </w:rPr>
        <w:t xml:space="preserve">however with the </w:t>
      </w:r>
      <w:r w:rsidR="00F8628D" w:rsidRPr="00E77A89">
        <w:rPr>
          <w:rFonts w:ascii="Times New Roman" w:hAnsi="Times New Roman" w:cs="Times New Roman"/>
          <w:sz w:val="24"/>
          <w:szCs w:val="24"/>
          <w:lang w:eastAsia="en-GB"/>
        </w:rPr>
        <w:t>Single Market</w:t>
      </w:r>
      <w:r w:rsidR="00367596" w:rsidRPr="00E77A89">
        <w:rPr>
          <w:rFonts w:ascii="Times New Roman" w:hAnsi="Times New Roman" w:cs="Times New Roman"/>
          <w:sz w:val="24"/>
          <w:szCs w:val="24"/>
          <w:lang w:eastAsia="en-GB"/>
        </w:rPr>
        <w:t xml:space="preserve"> Programme</w:t>
      </w:r>
      <w:r w:rsidRPr="00E77A89">
        <w:rPr>
          <w:rFonts w:ascii="Times New Roman" w:hAnsi="Times New Roman" w:cs="Times New Roman"/>
          <w:sz w:val="24"/>
          <w:szCs w:val="24"/>
          <w:lang w:eastAsia="en-GB"/>
        </w:rPr>
        <w:t xml:space="preserve"> (</w:t>
      </w:r>
      <w:r w:rsidR="00F97381" w:rsidRPr="00E77A89">
        <w:rPr>
          <w:rFonts w:ascii="Times New Roman" w:hAnsi="Times New Roman" w:cs="Times New Roman"/>
          <w:sz w:val="24"/>
          <w:szCs w:val="24"/>
          <w:lang w:eastAsia="en-GB"/>
        </w:rPr>
        <w:t>SMP</w:t>
      </w:r>
      <w:r w:rsidRPr="00E77A89">
        <w:rPr>
          <w:rFonts w:ascii="Times New Roman" w:hAnsi="Times New Roman" w:cs="Times New Roman"/>
          <w:sz w:val="24"/>
          <w:szCs w:val="24"/>
          <w:lang w:eastAsia="en-GB"/>
        </w:rPr>
        <w:t>)</w:t>
      </w:r>
      <w:r w:rsidR="00367596" w:rsidRPr="00E77A89">
        <w:rPr>
          <w:rFonts w:ascii="Times New Roman" w:hAnsi="Times New Roman" w:cs="Times New Roman"/>
          <w:sz w:val="24"/>
          <w:szCs w:val="24"/>
          <w:lang w:eastAsia="en-GB"/>
        </w:rPr>
        <w:t xml:space="preserve">, which contemplates a series of budget lines for supporting the delivery of the </w:t>
      </w:r>
      <w:r w:rsidR="00F8628D" w:rsidRPr="00E77A89">
        <w:rPr>
          <w:rFonts w:ascii="Times New Roman" w:hAnsi="Times New Roman" w:cs="Times New Roman"/>
          <w:sz w:val="24"/>
          <w:szCs w:val="24"/>
          <w:lang w:eastAsia="en-GB"/>
        </w:rPr>
        <w:t>single market</w:t>
      </w:r>
      <w:r w:rsidR="00367596" w:rsidRPr="00E77A89">
        <w:rPr>
          <w:rFonts w:ascii="Times New Roman" w:hAnsi="Times New Roman" w:cs="Times New Roman"/>
          <w:sz w:val="24"/>
          <w:szCs w:val="24"/>
          <w:lang w:eastAsia="en-GB"/>
        </w:rPr>
        <w:t xml:space="preserve"> in the wider sense as an important contribution to empower citizens, consumers, businesses and administrations. They are included in the scope of the </w:t>
      </w:r>
      <w:r w:rsidR="00F8628D" w:rsidRPr="00E77A89">
        <w:rPr>
          <w:rFonts w:ascii="Times New Roman" w:hAnsi="Times New Roman" w:cs="Times New Roman"/>
          <w:sz w:val="24"/>
          <w:szCs w:val="24"/>
          <w:lang w:eastAsia="en-GB"/>
        </w:rPr>
        <w:t>Single Market</w:t>
      </w:r>
      <w:r w:rsidR="00F352DB" w:rsidRPr="00E77A89">
        <w:rPr>
          <w:rFonts w:ascii="Times New Roman" w:hAnsi="Times New Roman" w:cs="Times New Roman"/>
          <w:sz w:val="24"/>
          <w:szCs w:val="24"/>
          <w:lang w:eastAsia="en-GB"/>
        </w:rPr>
        <w:t xml:space="preserve"> Programme</w:t>
      </w:r>
      <w:r w:rsidR="00367596" w:rsidRPr="00E77A89">
        <w:rPr>
          <w:rFonts w:ascii="Times New Roman" w:hAnsi="Times New Roman" w:cs="Times New Roman"/>
          <w:sz w:val="24"/>
          <w:szCs w:val="24"/>
          <w:lang w:eastAsia="en-GB"/>
        </w:rPr>
        <w:t xml:space="preserve"> to ensure their uninterrupted delivery.</w:t>
      </w:r>
    </w:p>
    <w:p w14:paraId="14BE7AD9" w14:textId="2D03A50A" w:rsidR="00367596" w:rsidRPr="00E77A89" w:rsidRDefault="004F4048" w:rsidP="004F4048">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T</w:t>
      </w:r>
      <w:r w:rsidR="00367596" w:rsidRPr="00E77A89">
        <w:rPr>
          <w:rFonts w:ascii="Times New Roman" w:hAnsi="Times New Roman" w:cs="Times New Roman"/>
          <w:sz w:val="24"/>
          <w:szCs w:val="24"/>
          <w:lang w:eastAsia="en-GB"/>
        </w:rPr>
        <w:t xml:space="preserve">he </w:t>
      </w:r>
      <w:r w:rsidR="00F97381" w:rsidRPr="00E77A89">
        <w:rPr>
          <w:rFonts w:ascii="Times New Roman" w:hAnsi="Times New Roman" w:cs="Times New Roman"/>
          <w:sz w:val="24"/>
          <w:szCs w:val="24"/>
          <w:lang w:eastAsia="en-GB"/>
        </w:rPr>
        <w:t>SMP</w:t>
      </w:r>
      <w:r w:rsidRPr="00E77A89">
        <w:rPr>
          <w:rFonts w:ascii="Times New Roman" w:hAnsi="Times New Roman" w:cs="Times New Roman"/>
          <w:sz w:val="24"/>
          <w:szCs w:val="24"/>
          <w:lang w:eastAsia="en-GB"/>
        </w:rPr>
        <w:t xml:space="preserve"> </w:t>
      </w:r>
      <w:r w:rsidR="00367596" w:rsidRPr="00E77A89">
        <w:rPr>
          <w:rFonts w:ascii="Times New Roman" w:hAnsi="Times New Roman" w:cs="Times New Roman"/>
          <w:sz w:val="24"/>
          <w:szCs w:val="24"/>
          <w:lang w:eastAsia="en-GB"/>
        </w:rPr>
        <w:t>comprises the customs and tax policy development support budget line. This budget line finances a series of punctual activities – mainly studies - which support the Commission in its policy developing</w:t>
      </w:r>
      <w:r w:rsidRPr="00E77A89">
        <w:rPr>
          <w:rFonts w:ascii="Times New Roman" w:hAnsi="Times New Roman" w:cs="Times New Roman"/>
          <w:sz w:val="24"/>
          <w:szCs w:val="24"/>
          <w:lang w:eastAsia="en-GB"/>
        </w:rPr>
        <w:t xml:space="preserve"> and designing</w:t>
      </w:r>
      <w:r w:rsidR="00367596" w:rsidRPr="00E77A89">
        <w:rPr>
          <w:rFonts w:ascii="Times New Roman" w:hAnsi="Times New Roman" w:cs="Times New Roman"/>
          <w:sz w:val="24"/>
          <w:szCs w:val="24"/>
          <w:lang w:eastAsia="en-GB"/>
        </w:rPr>
        <w:t xml:space="preserve"> role in the area of EU </w:t>
      </w:r>
      <w:r w:rsidRPr="00E77A89">
        <w:rPr>
          <w:rFonts w:ascii="Times New Roman" w:hAnsi="Times New Roman" w:cs="Times New Roman"/>
          <w:sz w:val="24"/>
          <w:szCs w:val="24"/>
          <w:lang w:eastAsia="en-GB"/>
        </w:rPr>
        <w:t>tax policy</w:t>
      </w:r>
      <w:r w:rsidR="00367596" w:rsidRPr="00E77A89">
        <w:rPr>
          <w:rFonts w:ascii="Times New Roman" w:hAnsi="Times New Roman" w:cs="Times New Roman"/>
          <w:sz w:val="24"/>
          <w:szCs w:val="24"/>
          <w:lang w:eastAsia="en-GB"/>
        </w:rPr>
        <w:t xml:space="preserve">. This </w:t>
      </w:r>
      <w:r w:rsidRPr="00E77A89">
        <w:rPr>
          <w:rFonts w:ascii="Times New Roman" w:hAnsi="Times New Roman" w:cs="Times New Roman"/>
          <w:sz w:val="24"/>
          <w:szCs w:val="24"/>
          <w:lang w:eastAsia="en-GB"/>
        </w:rPr>
        <w:t xml:space="preserve">integration </w:t>
      </w:r>
      <w:r w:rsidR="00367596" w:rsidRPr="00E77A89">
        <w:rPr>
          <w:rFonts w:ascii="Times New Roman" w:hAnsi="Times New Roman" w:cs="Times New Roman"/>
          <w:sz w:val="24"/>
          <w:szCs w:val="24"/>
          <w:lang w:eastAsia="en-GB"/>
        </w:rPr>
        <w:t>will allow links (e.g. through common framework contracts) with other Union actions under this programme.</w:t>
      </w:r>
    </w:p>
    <w:p w14:paraId="14BE7ADA" w14:textId="581FAED6" w:rsidR="003D6AC2" w:rsidRPr="00E77A89" w:rsidRDefault="003D6AC2" w:rsidP="001A6BB1">
      <w:pPr>
        <w:keepNext/>
        <w:keepLines/>
        <w:spacing w:line="240" w:lineRule="auto"/>
        <w:jc w:val="both"/>
        <w:rPr>
          <w:rFonts w:ascii="Times New Roman" w:hAnsi="Times New Roman" w:cs="Times New Roman"/>
          <w:sz w:val="24"/>
          <w:szCs w:val="24"/>
          <w:u w:val="single"/>
          <w:lang w:eastAsia="en-GB"/>
        </w:rPr>
      </w:pPr>
      <w:r w:rsidRPr="00E77A89">
        <w:rPr>
          <w:rFonts w:ascii="Times New Roman" w:hAnsi="Times New Roman" w:cs="Times New Roman"/>
          <w:sz w:val="24"/>
          <w:szCs w:val="24"/>
          <w:u w:val="single"/>
          <w:lang w:eastAsia="en-GB"/>
        </w:rPr>
        <w:t>Justice</w:t>
      </w:r>
      <w:r w:rsidR="008F6F05" w:rsidRPr="00E77A89">
        <w:rPr>
          <w:rFonts w:ascii="Times New Roman" w:hAnsi="Times New Roman" w:cs="Times New Roman"/>
          <w:sz w:val="24"/>
          <w:szCs w:val="24"/>
          <w:u w:val="single"/>
          <w:lang w:eastAsia="en-GB"/>
        </w:rPr>
        <w:t>, Rights and Values</w:t>
      </w:r>
      <w:r w:rsidRPr="00E77A89">
        <w:rPr>
          <w:rFonts w:ascii="Times New Roman" w:hAnsi="Times New Roman" w:cs="Times New Roman"/>
          <w:sz w:val="24"/>
          <w:szCs w:val="24"/>
          <w:u w:val="single"/>
          <w:lang w:eastAsia="en-GB"/>
        </w:rPr>
        <w:t xml:space="preserve"> programme</w:t>
      </w:r>
    </w:p>
    <w:p w14:paraId="14BE7ADB" w14:textId="77777777" w:rsidR="003D6AC2" w:rsidRPr="00E77A89" w:rsidRDefault="003D6AC2" w:rsidP="003D6AC2">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Potential </w:t>
      </w:r>
      <w:r w:rsidR="00F25CBD" w:rsidRPr="00E77A89">
        <w:rPr>
          <w:rFonts w:ascii="Times New Roman" w:hAnsi="Times New Roman" w:cs="Times New Roman"/>
          <w:sz w:val="24"/>
          <w:szCs w:val="24"/>
          <w:lang w:eastAsia="en-GB"/>
        </w:rPr>
        <w:t xml:space="preserve">but very modest </w:t>
      </w:r>
      <w:r w:rsidRPr="00E77A89">
        <w:rPr>
          <w:rFonts w:ascii="Times New Roman" w:hAnsi="Times New Roman" w:cs="Times New Roman"/>
          <w:sz w:val="24"/>
          <w:szCs w:val="24"/>
          <w:lang w:eastAsia="en-GB"/>
        </w:rPr>
        <w:t>synergies with JUST were also identified as regards training of judges and judicial clerks and similar capacity building actions of other law-enforcement authorities. Synergies as regards the protection of EU financial interests might also develop further in the future with the new European Public Prosecutor's Office (EPPO), which, as part of its duties, might need access to tax information, e.g. information available under EUROFISC (a platform funded by Fiscalis where Member States have a multilateral exchange of information for the early detection of fraud schemes) or information gathered from the future Transaction Network Analysis for enhanced VAT risk management.</w:t>
      </w:r>
    </w:p>
    <w:p w14:paraId="14BE7ADC" w14:textId="7FDF2B4C" w:rsidR="00ED685B" w:rsidRPr="00E77A89" w:rsidRDefault="008F6F05" w:rsidP="00ED685B">
      <w:pPr>
        <w:keepNext/>
        <w:keepLines/>
        <w:spacing w:line="240" w:lineRule="auto"/>
        <w:jc w:val="both"/>
        <w:rPr>
          <w:rFonts w:ascii="Times New Roman" w:hAnsi="Times New Roman" w:cs="Times New Roman"/>
          <w:sz w:val="24"/>
          <w:szCs w:val="24"/>
          <w:u w:val="single"/>
          <w:lang w:eastAsia="en-GB"/>
        </w:rPr>
      </w:pPr>
      <w:r w:rsidRPr="00E77A89">
        <w:rPr>
          <w:rFonts w:ascii="Times New Roman" w:hAnsi="Times New Roman" w:cs="Times New Roman"/>
          <w:sz w:val="24"/>
          <w:szCs w:val="24"/>
          <w:lang w:eastAsia="en-GB"/>
        </w:rPr>
        <w:t>Reform Support programme</w:t>
      </w:r>
    </w:p>
    <w:p w14:paraId="14BE7ADD" w14:textId="7976A35A" w:rsidR="00ED685B" w:rsidRPr="00E77A89" w:rsidRDefault="00ED685B" w:rsidP="008F6F05">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The </w:t>
      </w:r>
      <w:r w:rsidR="001C7B61" w:rsidRPr="00E77A89">
        <w:rPr>
          <w:rFonts w:ascii="Times New Roman" w:hAnsi="Times New Roman" w:cs="Times New Roman"/>
          <w:sz w:val="24"/>
          <w:szCs w:val="24"/>
        </w:rPr>
        <w:t xml:space="preserve">Commission’s Structural Reform Support Service </w:t>
      </w:r>
      <w:r w:rsidRPr="00E77A89">
        <w:rPr>
          <w:rFonts w:ascii="Times New Roman" w:hAnsi="Times New Roman" w:cs="Times New Roman"/>
          <w:sz w:val="24"/>
          <w:szCs w:val="24"/>
        </w:rPr>
        <w:t xml:space="preserve">coordinates and provides tailor-made technical support to individual EU countries, in cooperation with the relevant Commission services. The support is notably provided through the Reform Support Programme. The objective is to help specific EU countries build more effective institutions, stronger governance frameworks and efficient public administrations. Such support reinforces the capacity of EU countries to design and implement policies to support job creation and sustainable growth. Inter alia, areas of support include governance and public administration, revenue administration and public financial management, rule of law, anti-corruption, anti-money-laundering and anti-fraud activities, migration and border control. </w:t>
      </w:r>
    </w:p>
    <w:p w14:paraId="14BE7ADE" w14:textId="5765A4C3" w:rsidR="00ED685B" w:rsidRPr="00E77A89" w:rsidRDefault="00ED685B" w:rsidP="008F6F05">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In recent years, bridges were built between the Fiscalis 2020 programme and </w:t>
      </w:r>
      <w:r w:rsidR="00311422" w:rsidRPr="00E77A89">
        <w:rPr>
          <w:rFonts w:ascii="Times New Roman" w:hAnsi="Times New Roman" w:cs="Times New Roman"/>
          <w:sz w:val="24"/>
          <w:szCs w:val="24"/>
        </w:rPr>
        <w:t>Reform Support Programme</w:t>
      </w:r>
      <w:r w:rsidR="00311422" w:rsidRPr="00E77A89" w:rsidDel="00311422">
        <w:rPr>
          <w:rFonts w:ascii="Times New Roman" w:hAnsi="Times New Roman" w:cs="Times New Roman"/>
          <w:sz w:val="24"/>
          <w:szCs w:val="24"/>
        </w:rPr>
        <w:t xml:space="preserve"> </w:t>
      </w:r>
      <w:r w:rsidRPr="00E77A89">
        <w:rPr>
          <w:rFonts w:ascii="Times New Roman" w:hAnsi="Times New Roman" w:cs="Times New Roman"/>
          <w:sz w:val="24"/>
          <w:szCs w:val="24"/>
        </w:rPr>
        <w:t xml:space="preserve">to complement </w:t>
      </w:r>
      <w:r w:rsidRPr="00E77A89">
        <w:rPr>
          <w:rFonts w:ascii="Times New Roman" w:hAnsi="Times New Roman" w:cs="Times New Roman"/>
          <w:sz w:val="24"/>
          <w:szCs w:val="24"/>
          <w:lang w:eastAsia="en-GB"/>
        </w:rPr>
        <w:t>the</w:t>
      </w:r>
      <w:r w:rsidRPr="00E77A89">
        <w:rPr>
          <w:rFonts w:ascii="Times New Roman" w:hAnsi="Times New Roman" w:cs="Times New Roman"/>
          <w:sz w:val="24"/>
          <w:szCs w:val="24"/>
        </w:rPr>
        <w:t xml:space="preserve"> structural reform process set up for Greece and Cyprus by SRSS. Specialised tax support and expertise is available and has been mobilised for the sake of the reform of the tax administration in Greece. This complementarity whereby the dedicated Fiscalis programme is primarily dealing with ensuring the implementation of EU tax policy across all countries while the interventions of SRSS and its relevant programme focus on providing tailor made assistance through dedicated projects to individual Member States should be maintained. </w:t>
      </w:r>
    </w:p>
    <w:p w14:paraId="14BE7ADF" w14:textId="716EAA6C" w:rsidR="001A6BB1" w:rsidRPr="00E77A89" w:rsidRDefault="00A534BB" w:rsidP="001A6BB1">
      <w:pPr>
        <w:keepNext/>
        <w:keepLines/>
        <w:spacing w:line="240" w:lineRule="auto"/>
        <w:jc w:val="both"/>
        <w:rPr>
          <w:rFonts w:ascii="Times New Roman" w:hAnsi="Times New Roman" w:cs="Times New Roman"/>
          <w:sz w:val="24"/>
          <w:szCs w:val="24"/>
          <w:u w:val="single"/>
          <w:lang w:eastAsia="en-GB"/>
        </w:rPr>
      </w:pPr>
      <w:r w:rsidRPr="00E77A89">
        <w:rPr>
          <w:rFonts w:ascii="Times New Roman" w:hAnsi="Times New Roman" w:cs="Times New Roman"/>
          <w:sz w:val="24"/>
          <w:szCs w:val="24"/>
          <w:u w:val="single"/>
          <w:lang w:eastAsia="en-GB"/>
        </w:rPr>
        <w:t>EU anti-fraud</w:t>
      </w:r>
      <w:r w:rsidR="008E309A" w:rsidRPr="00E77A89">
        <w:rPr>
          <w:rFonts w:ascii="Times New Roman" w:hAnsi="Times New Roman" w:cs="Times New Roman"/>
          <w:sz w:val="24"/>
          <w:szCs w:val="24"/>
          <w:u w:val="single"/>
          <w:lang w:eastAsia="en-GB"/>
        </w:rPr>
        <w:t xml:space="preserve"> programme for the protection </w:t>
      </w:r>
      <w:r w:rsidR="001A6BB1" w:rsidRPr="00E77A89">
        <w:rPr>
          <w:rFonts w:ascii="Times New Roman" w:hAnsi="Times New Roman" w:cs="Times New Roman"/>
          <w:sz w:val="24"/>
          <w:szCs w:val="24"/>
          <w:u w:val="single"/>
          <w:lang w:eastAsia="en-GB"/>
        </w:rPr>
        <w:t>of financial interests</w:t>
      </w:r>
      <w:r w:rsidR="008E309A" w:rsidRPr="00E77A89">
        <w:rPr>
          <w:rFonts w:ascii="Times New Roman" w:hAnsi="Times New Roman" w:cs="Times New Roman"/>
          <w:sz w:val="24"/>
          <w:szCs w:val="24"/>
          <w:u w:val="single"/>
          <w:lang w:eastAsia="en-GB"/>
        </w:rPr>
        <w:t xml:space="preserve"> </w:t>
      </w:r>
    </w:p>
    <w:p w14:paraId="14BE7AE0" w14:textId="37F85248" w:rsidR="00367596" w:rsidRPr="00E77A89" w:rsidRDefault="00367596" w:rsidP="00367596">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lang w:eastAsia="en-GB"/>
        </w:rPr>
        <w:t>As the Fiscali</w:t>
      </w:r>
      <w:r w:rsidR="005C6870" w:rsidRPr="00E77A89">
        <w:rPr>
          <w:rFonts w:ascii="Times New Roman" w:hAnsi="Times New Roman" w:cs="Times New Roman"/>
          <w:sz w:val="24"/>
          <w:szCs w:val="24"/>
          <w:lang w:eastAsia="en-GB"/>
        </w:rPr>
        <w:t>s</w:t>
      </w:r>
      <w:r w:rsidRPr="00E77A89">
        <w:rPr>
          <w:rFonts w:ascii="Times New Roman" w:hAnsi="Times New Roman" w:cs="Times New Roman"/>
          <w:sz w:val="24"/>
          <w:szCs w:val="24"/>
          <w:lang w:eastAsia="en-GB"/>
        </w:rPr>
        <w:t xml:space="preserve"> programme aims at supporting the tax authorities in protecting the EU financial interests, it has connections with the activities carried out by OLAF as regards combating fraud for the protection of Union financial interests in accordance with Art. 325 TFEU. Currently, various cooperation mechanisms are in place between TAXUD and OLAF but this takes place outside the Fiscalis programme. Given the particular mandate of OLAF, no additional synergies could be identified. </w:t>
      </w:r>
    </w:p>
    <w:p w14:paraId="14BE7AE1" w14:textId="3D8CEC6B" w:rsidR="001A6BB1" w:rsidRPr="00E77A89" w:rsidRDefault="00367596" w:rsidP="001A6BB1">
      <w:pPr>
        <w:keepNext/>
        <w:keepLines/>
        <w:spacing w:line="240" w:lineRule="auto"/>
        <w:jc w:val="both"/>
        <w:rPr>
          <w:rFonts w:ascii="Times New Roman" w:hAnsi="Times New Roman" w:cs="Times New Roman"/>
          <w:sz w:val="24"/>
          <w:szCs w:val="24"/>
          <w:u w:val="single"/>
          <w:lang w:eastAsia="en-GB"/>
        </w:rPr>
      </w:pPr>
      <w:r w:rsidRPr="00E77A89">
        <w:rPr>
          <w:rFonts w:ascii="Times New Roman" w:hAnsi="Times New Roman" w:cs="Times New Roman"/>
          <w:sz w:val="24"/>
          <w:szCs w:val="24"/>
          <w:u w:val="single"/>
          <w:lang w:eastAsia="en-GB"/>
        </w:rPr>
        <w:t xml:space="preserve">Digital Europe </w:t>
      </w:r>
      <w:r w:rsidR="008F6F05" w:rsidRPr="00E77A89">
        <w:rPr>
          <w:rFonts w:ascii="Times New Roman" w:hAnsi="Times New Roman" w:cs="Times New Roman"/>
          <w:sz w:val="24"/>
          <w:szCs w:val="24"/>
          <w:u w:val="single"/>
          <w:lang w:eastAsia="en-GB"/>
        </w:rPr>
        <w:t xml:space="preserve">programme </w:t>
      </w:r>
      <w:r w:rsidRPr="00E77A89">
        <w:rPr>
          <w:rFonts w:ascii="Times New Roman" w:hAnsi="Times New Roman" w:cs="Times New Roman"/>
          <w:sz w:val="24"/>
          <w:szCs w:val="24"/>
          <w:u w:val="single"/>
          <w:lang w:eastAsia="en-GB"/>
        </w:rPr>
        <w:t xml:space="preserve">and </w:t>
      </w:r>
      <w:r w:rsidR="001A6BB1" w:rsidRPr="00E77A89">
        <w:rPr>
          <w:rFonts w:ascii="Times New Roman" w:hAnsi="Times New Roman" w:cs="Times New Roman"/>
          <w:sz w:val="24"/>
          <w:szCs w:val="24"/>
          <w:u w:val="single"/>
          <w:lang w:eastAsia="en-GB"/>
        </w:rPr>
        <w:t>IT synergies</w:t>
      </w:r>
    </w:p>
    <w:p w14:paraId="14BE7AE2" w14:textId="62569006" w:rsidR="001A6BB1" w:rsidRPr="00E77A89" w:rsidRDefault="001A6BB1" w:rsidP="001A6BB1">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 xml:space="preserve">Finally, there are possibly synergies to exploit in the area of IT with all programmes that run (significant) </w:t>
      </w:r>
      <w:r w:rsidR="004E69DA" w:rsidRPr="00E77A89">
        <w:rPr>
          <w:rFonts w:ascii="Times New Roman" w:hAnsi="Times New Roman" w:cs="Times New Roman"/>
          <w:sz w:val="24"/>
          <w:szCs w:val="24"/>
          <w:lang w:eastAsia="en-GB"/>
        </w:rPr>
        <w:t xml:space="preserve">electronic </w:t>
      </w:r>
      <w:r w:rsidRPr="00E77A89">
        <w:rPr>
          <w:rFonts w:ascii="Times New Roman" w:hAnsi="Times New Roman" w:cs="Times New Roman"/>
          <w:sz w:val="24"/>
          <w:szCs w:val="24"/>
          <w:lang w:eastAsia="en-GB"/>
        </w:rPr>
        <w:t>systems. This is certainly true for the business agnostic part (e.g. data centres) while the situation for business specific part is probably rather different.</w:t>
      </w:r>
    </w:p>
    <w:p w14:paraId="14BE7AE3" w14:textId="08E47535" w:rsidR="001A6BB1" w:rsidRPr="00E77A89" w:rsidRDefault="001A6BB1" w:rsidP="001A6BB1">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The</w:t>
      </w:r>
      <w:r w:rsidR="00F25CBD" w:rsidRPr="00E77A89">
        <w:rPr>
          <w:rFonts w:ascii="Times New Roman" w:hAnsi="Times New Roman" w:cs="Times New Roman"/>
          <w:sz w:val="24"/>
          <w:szCs w:val="24"/>
        </w:rPr>
        <w:t xml:space="preserve"> multiplication or required </w:t>
      </w:r>
      <w:r w:rsidR="004E69DA" w:rsidRPr="00E77A89">
        <w:rPr>
          <w:rFonts w:ascii="Times New Roman" w:hAnsi="Times New Roman" w:cs="Times New Roman"/>
          <w:sz w:val="24"/>
          <w:szCs w:val="24"/>
          <w:lang w:eastAsia="en-GB"/>
        </w:rPr>
        <w:t xml:space="preserve">electronic </w:t>
      </w:r>
      <w:r w:rsidR="00F25CBD" w:rsidRPr="00E77A89">
        <w:rPr>
          <w:rFonts w:ascii="Times New Roman" w:hAnsi="Times New Roman" w:cs="Times New Roman"/>
          <w:sz w:val="24"/>
          <w:szCs w:val="24"/>
        </w:rPr>
        <w:t>systems and an</w:t>
      </w:r>
      <w:r w:rsidRPr="00E77A89">
        <w:rPr>
          <w:rFonts w:ascii="Times New Roman" w:hAnsi="Times New Roman" w:cs="Times New Roman"/>
          <w:sz w:val="24"/>
          <w:szCs w:val="24"/>
        </w:rPr>
        <w:t xml:space="preserve"> increasing Member State demand for support in reducing their IT </w:t>
      </w:r>
      <w:r w:rsidR="00F25CBD" w:rsidRPr="00E77A89">
        <w:rPr>
          <w:rFonts w:ascii="Times New Roman" w:hAnsi="Times New Roman" w:cs="Times New Roman"/>
          <w:sz w:val="24"/>
          <w:szCs w:val="24"/>
        </w:rPr>
        <w:t xml:space="preserve">(development) </w:t>
      </w:r>
      <w:r w:rsidRPr="00E77A89">
        <w:rPr>
          <w:rFonts w:ascii="Times New Roman" w:hAnsi="Times New Roman" w:cs="Times New Roman"/>
          <w:sz w:val="24"/>
          <w:szCs w:val="24"/>
        </w:rPr>
        <w:t xml:space="preserve">burden raise the issue of both the TAXUD delivery model and possible synergies and the long-term operation of customs </w:t>
      </w:r>
      <w:r w:rsidR="004E69DA" w:rsidRPr="00E77A89">
        <w:rPr>
          <w:rFonts w:ascii="Times New Roman" w:hAnsi="Times New Roman" w:cs="Times New Roman"/>
          <w:sz w:val="24"/>
          <w:szCs w:val="24"/>
          <w:lang w:eastAsia="en-GB"/>
        </w:rPr>
        <w:t xml:space="preserve">electronic </w:t>
      </w:r>
      <w:r w:rsidRPr="00E77A89">
        <w:rPr>
          <w:rFonts w:ascii="Times New Roman" w:hAnsi="Times New Roman" w:cs="Times New Roman"/>
          <w:sz w:val="24"/>
          <w:szCs w:val="24"/>
        </w:rPr>
        <w:t xml:space="preserve">systems in the EU. </w:t>
      </w:r>
    </w:p>
    <w:p w14:paraId="14BE7AE5" w14:textId="0F024536" w:rsidR="001A6BB1" w:rsidRPr="00E77A89" w:rsidRDefault="001A6BB1" w:rsidP="001F48EC">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rPr>
        <w:t xml:space="preserve">Discussions across Commission services </w:t>
      </w:r>
      <w:r w:rsidR="00F25CBD" w:rsidRPr="00E77A89">
        <w:rPr>
          <w:rFonts w:ascii="Times New Roman" w:hAnsi="Times New Roman" w:cs="Times New Roman"/>
          <w:sz w:val="24"/>
          <w:szCs w:val="24"/>
        </w:rPr>
        <w:t>led to the conclusion that t</w:t>
      </w:r>
      <w:r w:rsidRPr="00E77A89">
        <w:rPr>
          <w:rFonts w:ascii="Times New Roman" w:hAnsi="Times New Roman" w:cs="Times New Roman"/>
          <w:sz w:val="24"/>
          <w:szCs w:val="24"/>
        </w:rPr>
        <w:t>he preferred strategy is to continue TAXUD operations while</w:t>
      </w:r>
      <w:r w:rsidR="00FF632A" w:rsidRPr="00E77A89">
        <w:rPr>
          <w:rFonts w:ascii="Times New Roman" w:hAnsi="Times New Roman" w:cs="Times New Roman"/>
          <w:sz w:val="24"/>
          <w:szCs w:val="24"/>
        </w:rPr>
        <w:t xml:space="preserve"> </w:t>
      </w:r>
      <w:r w:rsidR="005C6870" w:rsidRPr="00E77A89">
        <w:rPr>
          <w:rFonts w:ascii="Times New Roman" w:hAnsi="Times New Roman" w:cs="Times New Roman"/>
          <w:sz w:val="24"/>
          <w:szCs w:val="24"/>
          <w:lang w:eastAsia="en-GB"/>
        </w:rPr>
        <w:t xml:space="preserve">in the </w:t>
      </w:r>
      <w:r w:rsidRPr="00E77A89">
        <w:rPr>
          <w:rFonts w:ascii="Times New Roman" w:hAnsi="Times New Roman" w:cs="Times New Roman"/>
          <w:sz w:val="24"/>
          <w:szCs w:val="24"/>
          <w:lang w:eastAsia="en-GB"/>
        </w:rPr>
        <w:t>short term fine-tuning the internal organisation and continuing to build on the</w:t>
      </w:r>
      <w:r w:rsidR="00D73907" w:rsidRPr="00E77A89">
        <w:rPr>
          <w:rFonts w:ascii="Times New Roman" w:hAnsi="Times New Roman" w:cs="Times New Roman"/>
          <w:sz w:val="24"/>
          <w:szCs w:val="24"/>
          <w:lang w:eastAsia="en-GB"/>
        </w:rPr>
        <w:t xml:space="preserve"> relationship with DIGIT, parti</w:t>
      </w:r>
      <w:r w:rsidRPr="00E77A89">
        <w:rPr>
          <w:rFonts w:ascii="Times New Roman" w:hAnsi="Times New Roman" w:cs="Times New Roman"/>
          <w:sz w:val="24"/>
          <w:szCs w:val="24"/>
          <w:lang w:eastAsia="en-GB"/>
        </w:rPr>
        <w:t xml:space="preserve">cularly as regards data centre management; </w:t>
      </w:r>
    </w:p>
    <w:p w14:paraId="7B5AFF44" w14:textId="66C0D2B5" w:rsidR="005C4DC1" w:rsidRPr="00E77A89" w:rsidRDefault="005C4DC1" w:rsidP="005C4DC1">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More generally speaking, actions carried out in relation to the development, operation and maintenance of European </w:t>
      </w:r>
      <w:r w:rsidR="004E69DA" w:rsidRPr="00E77A89">
        <w:rPr>
          <w:rFonts w:ascii="Times New Roman" w:hAnsi="Times New Roman" w:cs="Times New Roman"/>
          <w:sz w:val="24"/>
          <w:szCs w:val="24"/>
          <w:lang w:eastAsia="en-GB"/>
        </w:rPr>
        <w:t xml:space="preserve">electronic </w:t>
      </w:r>
      <w:r w:rsidR="004E69DA" w:rsidRPr="00E77A89">
        <w:rPr>
          <w:rFonts w:ascii="Times New Roman" w:hAnsi="Times New Roman" w:cs="Times New Roman"/>
          <w:sz w:val="24"/>
          <w:szCs w:val="24"/>
        </w:rPr>
        <w:t>s</w:t>
      </w:r>
      <w:r w:rsidRPr="00E77A89">
        <w:rPr>
          <w:rFonts w:ascii="Times New Roman" w:hAnsi="Times New Roman" w:cs="Times New Roman"/>
          <w:sz w:val="24"/>
          <w:szCs w:val="24"/>
        </w:rPr>
        <w:t>ystems will consider as far as possible the reuse of the building blocks</w:t>
      </w:r>
      <w:r w:rsidRPr="00E77A89">
        <w:rPr>
          <w:rStyle w:val="FootnoteReference"/>
          <w:rFonts w:ascii="Times New Roman" w:hAnsi="Times New Roman" w:cs="Times New Roman"/>
          <w:sz w:val="24"/>
          <w:szCs w:val="24"/>
        </w:rPr>
        <w:footnoteReference w:id="21"/>
      </w:r>
      <w:r w:rsidRPr="00E77A89">
        <w:rPr>
          <w:rFonts w:ascii="Times New Roman" w:hAnsi="Times New Roman" w:cs="Times New Roman"/>
          <w:sz w:val="24"/>
          <w:szCs w:val="24"/>
        </w:rPr>
        <w:t xml:space="preserve"> of the Connecting Europe Facility (CEF) as they promote compliance to the eIDAS regulation, support the implementation of the Tallinn Declaration and enable EU-wide interoperability. </w:t>
      </w:r>
      <w:r w:rsidR="00516BCB" w:rsidRPr="00E77A89">
        <w:rPr>
          <w:rFonts w:ascii="Times New Roman" w:hAnsi="Times New Roman" w:cs="Times New Roman"/>
          <w:sz w:val="24"/>
          <w:szCs w:val="24"/>
        </w:rPr>
        <w:t>Where relevant, they will also consider the European Interoperability Framework</w:t>
      </w:r>
      <w:r w:rsidR="00516BCB" w:rsidRPr="00E77A89">
        <w:rPr>
          <w:rStyle w:val="FootnoteReference"/>
          <w:rFonts w:ascii="Times New Roman" w:hAnsi="Times New Roman" w:cs="Times New Roman"/>
          <w:sz w:val="24"/>
          <w:szCs w:val="24"/>
        </w:rPr>
        <w:footnoteReference w:id="22"/>
      </w:r>
      <w:r w:rsidR="00516BCB" w:rsidRPr="00E77A89">
        <w:rPr>
          <w:rFonts w:ascii="Times New Roman" w:hAnsi="Times New Roman" w:cs="Times New Roman"/>
          <w:sz w:val="24"/>
          <w:szCs w:val="24"/>
        </w:rPr>
        <w:t>, which gives specific guidance on how to set up interoperable digital public services, and the Rolling Plan for ICT standardisation</w:t>
      </w:r>
      <w:r w:rsidR="00516BCB" w:rsidRPr="00E77A89">
        <w:rPr>
          <w:rStyle w:val="FootnoteReference"/>
          <w:rFonts w:ascii="Times New Roman" w:hAnsi="Times New Roman" w:cs="Times New Roman"/>
          <w:sz w:val="24"/>
          <w:szCs w:val="24"/>
        </w:rPr>
        <w:footnoteReference w:id="23"/>
      </w:r>
      <w:r w:rsidR="00516BCB" w:rsidRPr="00E77A89">
        <w:rPr>
          <w:rFonts w:ascii="Times New Roman" w:hAnsi="Times New Roman" w:cs="Times New Roman"/>
          <w:sz w:val="24"/>
          <w:szCs w:val="24"/>
        </w:rPr>
        <w:t>, which aims at facilitating the identification and development of necessary ICT standards</w:t>
      </w:r>
      <w:r w:rsidRPr="00E77A89">
        <w:rPr>
          <w:rFonts w:ascii="Times New Roman" w:hAnsi="Times New Roman" w:cs="Times New Roman"/>
          <w:sz w:val="24"/>
          <w:szCs w:val="24"/>
        </w:rPr>
        <w:t>.</w:t>
      </w:r>
      <w:r w:rsidR="00516BCB" w:rsidRPr="00E77A89">
        <w:rPr>
          <w:rFonts w:ascii="Times New Roman" w:hAnsi="Times New Roman" w:cs="Times New Roman"/>
          <w:sz w:val="24"/>
          <w:szCs w:val="24"/>
        </w:rPr>
        <w:t xml:space="preserve"> </w:t>
      </w:r>
      <w:r w:rsidR="00EC5BAE" w:rsidRPr="00E77A89">
        <w:rPr>
          <w:rFonts w:ascii="Times New Roman" w:hAnsi="Times New Roman" w:cs="Times New Roman"/>
          <w:sz w:val="24"/>
          <w:szCs w:val="24"/>
        </w:rPr>
        <w:t>Where applicable, coordination and synergies will also be searched with other relevant initiatives concerns about fraud and cybersecurity risks as well as in the field of FinTech and blockchain, such as the European Commission action plan on FinTech</w:t>
      </w:r>
      <w:r w:rsidR="00EC5BAE" w:rsidRPr="00E77A89">
        <w:rPr>
          <w:rStyle w:val="FootnoteReference"/>
          <w:rFonts w:ascii="Times New Roman" w:hAnsi="Times New Roman" w:cs="Times New Roman"/>
          <w:sz w:val="24"/>
          <w:szCs w:val="24"/>
        </w:rPr>
        <w:footnoteReference w:id="24"/>
      </w:r>
      <w:r w:rsidR="00EC5BAE" w:rsidRPr="00E77A89">
        <w:rPr>
          <w:rFonts w:ascii="Times New Roman" w:hAnsi="Times New Roman" w:cs="Times New Roman"/>
          <w:sz w:val="24"/>
          <w:szCs w:val="24"/>
        </w:rPr>
        <w:t xml:space="preserve"> adopted in March 2018 or the work of the EU Blockchain Observatory and Forum</w:t>
      </w:r>
      <w:r w:rsidR="00EC5BAE" w:rsidRPr="00E77A89">
        <w:rPr>
          <w:rStyle w:val="FootnoteReference"/>
          <w:rFonts w:ascii="Times New Roman" w:hAnsi="Times New Roman" w:cs="Times New Roman"/>
          <w:sz w:val="24"/>
          <w:szCs w:val="24"/>
        </w:rPr>
        <w:footnoteReference w:id="25"/>
      </w:r>
      <w:r w:rsidR="00EC5BAE" w:rsidRPr="00E77A89">
        <w:rPr>
          <w:rFonts w:ascii="Times New Roman" w:hAnsi="Times New Roman" w:cs="Times New Roman"/>
          <w:sz w:val="24"/>
          <w:szCs w:val="24"/>
        </w:rPr>
        <w:t>.</w:t>
      </w:r>
    </w:p>
    <w:p w14:paraId="20B97FD7" w14:textId="1EBD0E7C" w:rsidR="002F3AD7" w:rsidRPr="00E77A89" w:rsidRDefault="002F3AD7" w:rsidP="00812D88">
      <w:pPr>
        <w:keepNext/>
        <w:keepLines/>
        <w:spacing w:line="240" w:lineRule="auto"/>
        <w:jc w:val="both"/>
        <w:rPr>
          <w:rFonts w:ascii="Times New Roman" w:hAnsi="Times New Roman" w:cs="Times New Roman"/>
          <w:sz w:val="24"/>
          <w:szCs w:val="24"/>
          <w:u w:val="single"/>
        </w:rPr>
      </w:pPr>
      <w:r w:rsidRPr="00E77A89">
        <w:rPr>
          <w:rFonts w:ascii="Times New Roman" w:hAnsi="Times New Roman" w:cs="Times New Roman"/>
          <w:sz w:val="24"/>
          <w:szCs w:val="24"/>
          <w:u w:val="single"/>
        </w:rPr>
        <w:t xml:space="preserve">Horizon Europe and research and innovation </w:t>
      </w:r>
    </w:p>
    <w:p w14:paraId="547581E5" w14:textId="4C2832BC" w:rsidR="002F3AD7" w:rsidRPr="00E77A89" w:rsidRDefault="002F3AD7" w:rsidP="002F3AD7">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Policy relevant knowledge is becoming more and more important for all policies. Policy relevant knowledge will be necessary to find new ways how tax incentives and tax systems as a whole can contribute to encourage sustainable investments and make the economy and our societies move towards low carbon futures. This will help to unleash new opportunities and create jobs in the bioeconomy and in the circular economy. Synergies with the Horizon Europe programme and other research and innovation actions may provide useful support in this regard. </w:t>
      </w:r>
    </w:p>
    <w:p w14:paraId="14BE7AE9" w14:textId="350958E3" w:rsidR="001A6BB1" w:rsidRPr="00E77A89" w:rsidRDefault="001A6BB1" w:rsidP="005C4DC1">
      <w:pPr>
        <w:keepNext/>
        <w:keepLines/>
        <w:spacing w:line="240" w:lineRule="auto"/>
        <w:jc w:val="both"/>
        <w:rPr>
          <w:rFonts w:ascii="Times New Roman" w:hAnsi="Times New Roman" w:cs="Times New Roman"/>
          <w:sz w:val="24"/>
          <w:szCs w:val="24"/>
          <w:u w:val="single"/>
          <w:lang w:eastAsia="en-GB"/>
        </w:rPr>
      </w:pPr>
      <w:r w:rsidRPr="00E77A89">
        <w:rPr>
          <w:rFonts w:ascii="Times New Roman" w:hAnsi="Times New Roman" w:cs="Times New Roman"/>
          <w:sz w:val="24"/>
          <w:szCs w:val="24"/>
          <w:u w:val="single"/>
          <w:lang w:eastAsia="en-GB"/>
        </w:rPr>
        <w:t>Conclusion</w:t>
      </w:r>
    </w:p>
    <w:p w14:paraId="14BE7AEA" w14:textId="77777777" w:rsidR="001A6BB1" w:rsidRPr="00E77A89" w:rsidRDefault="001A6BB1" w:rsidP="001A6BB1">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In terms of structure and positioning of the programme, the Commission services explored a variety of options to reap more benefits from mergers or at least synergies. There is however no simple answer: all options have advantages and drawbacks and none shows obvious efficiencies or savings. On balance, there is at this stage a reasonably strong case to continue with the current setting. </w:t>
      </w:r>
    </w:p>
    <w:p w14:paraId="14BE7AEB" w14:textId="77777777" w:rsidR="001A6BB1" w:rsidRPr="00E77A89" w:rsidRDefault="001A6BB1" w:rsidP="001A6BB1">
      <w:pPr>
        <w:pStyle w:val="Heading2"/>
        <w:rPr>
          <w:szCs w:val="24"/>
          <w:lang w:eastAsia="en-GB"/>
        </w:rPr>
      </w:pPr>
      <w:bookmarkStart w:id="11" w:name="_Toc515012599"/>
      <w:r w:rsidRPr="00E77A89">
        <w:rPr>
          <w:szCs w:val="24"/>
          <w:lang w:eastAsia="en-GB"/>
        </w:rPr>
        <w:t>Other changes to delivery mechanisms</w:t>
      </w:r>
      <w:bookmarkEnd w:id="11"/>
    </w:p>
    <w:p w14:paraId="14BE7AEC" w14:textId="3F711D6A" w:rsidR="003D6AC2" w:rsidRPr="00E77A89" w:rsidRDefault="003D6AC2" w:rsidP="003D6AC2">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Taxation can no longer be dealt with only at EU level but requires intensive international cooperation, mainly through the G20: automatic exchange of information and transparency can be effective only if similar measures are promoted and agreed at worldwide level. The implementation of orientations or decisions taken should be better addressed at EU level, especially so as to allow for swift solutions. Identified obstacles are non-availability of funds under TAXUD programmes, lengthy legal procedures needed for concluding international bilateral agreements on the use of </w:t>
      </w:r>
      <w:r w:rsidR="004E69DA" w:rsidRPr="00E77A89">
        <w:rPr>
          <w:rFonts w:ascii="Times New Roman" w:hAnsi="Times New Roman" w:cs="Times New Roman"/>
          <w:sz w:val="24"/>
          <w:szCs w:val="24"/>
        </w:rPr>
        <w:t xml:space="preserve">European </w:t>
      </w:r>
      <w:r w:rsidR="004E69DA" w:rsidRPr="00E77A89">
        <w:rPr>
          <w:rFonts w:ascii="Times New Roman" w:hAnsi="Times New Roman" w:cs="Times New Roman"/>
          <w:sz w:val="24"/>
          <w:szCs w:val="24"/>
          <w:lang w:eastAsia="en-GB"/>
        </w:rPr>
        <w:t>electronic</w:t>
      </w:r>
      <w:r w:rsidRPr="00E77A89">
        <w:rPr>
          <w:rFonts w:ascii="Times New Roman" w:hAnsi="Times New Roman" w:cs="Times New Roman"/>
          <w:sz w:val="24"/>
          <w:szCs w:val="24"/>
        </w:rPr>
        <w:t xml:space="preserve"> systems, complex or non-available financial instruments to cover the money stream from third countries towards the Commission to cover for the investment and maintenance costs. The impact of these obstacles is at the political level as it leads to missed opportunities for the EU to steer the global scene and to guarantee that Member States will be able to use the EU IT solutions also worldwide. </w:t>
      </w:r>
    </w:p>
    <w:p w14:paraId="14BE7AED" w14:textId="718236F5" w:rsidR="001A6BB1" w:rsidRPr="00E77A89" w:rsidRDefault="001A6BB1" w:rsidP="001A6BB1">
      <w:pPr>
        <w:spacing w:line="240" w:lineRule="auto"/>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Against this backdrop, it is proposed to</w:t>
      </w:r>
      <w:r w:rsidR="00ED685B" w:rsidRPr="00E77A89">
        <w:rPr>
          <w:rFonts w:ascii="Times New Roman" w:hAnsi="Times New Roman" w:cs="Times New Roman"/>
          <w:sz w:val="24"/>
          <w:szCs w:val="24"/>
          <w:lang w:eastAsia="en-GB"/>
        </w:rPr>
        <w:t xml:space="preserve"> allow the Commission to take administrative arrangements with relevant interlocutors to facilitate and speed up the internationalisation of its cooperation in particular of the European </w:t>
      </w:r>
      <w:r w:rsidR="004E69DA" w:rsidRPr="00E77A89">
        <w:rPr>
          <w:rFonts w:ascii="Times New Roman" w:hAnsi="Times New Roman" w:cs="Times New Roman"/>
          <w:sz w:val="24"/>
          <w:szCs w:val="24"/>
          <w:lang w:eastAsia="en-GB"/>
        </w:rPr>
        <w:t xml:space="preserve">electronic </w:t>
      </w:r>
      <w:r w:rsidR="00ED685B" w:rsidRPr="00E77A89">
        <w:rPr>
          <w:rFonts w:ascii="Times New Roman" w:hAnsi="Times New Roman" w:cs="Times New Roman"/>
          <w:sz w:val="24"/>
          <w:szCs w:val="24"/>
          <w:lang w:eastAsia="en-GB"/>
        </w:rPr>
        <w:t>systems</w:t>
      </w:r>
      <w:r w:rsidRPr="00E77A89">
        <w:rPr>
          <w:rFonts w:ascii="Times New Roman" w:hAnsi="Times New Roman" w:cs="Times New Roman"/>
          <w:sz w:val="24"/>
          <w:szCs w:val="24"/>
          <w:lang w:eastAsia="en-GB"/>
        </w:rPr>
        <w:t>.</w:t>
      </w:r>
    </w:p>
    <w:p w14:paraId="14BE7AEE" w14:textId="77777777" w:rsidR="00244E6A" w:rsidRPr="00E77A89" w:rsidRDefault="001D063C" w:rsidP="00244E6A">
      <w:pPr>
        <w:pStyle w:val="Heading1"/>
        <w:rPr>
          <w:szCs w:val="24"/>
        </w:rPr>
      </w:pPr>
      <w:bookmarkStart w:id="12" w:name="_Toc515012600"/>
      <w:r w:rsidRPr="00E77A89">
        <w:rPr>
          <w:szCs w:val="24"/>
        </w:rPr>
        <w:t>monitor</w:t>
      </w:r>
      <w:r w:rsidR="003339A7" w:rsidRPr="00E77A89">
        <w:rPr>
          <w:szCs w:val="24"/>
        </w:rPr>
        <w:t>ing</w:t>
      </w:r>
      <w:r w:rsidRPr="00E77A89">
        <w:rPr>
          <w:szCs w:val="24"/>
        </w:rPr>
        <w:t xml:space="preserve"> and evaluation</w:t>
      </w:r>
      <w:bookmarkEnd w:id="12"/>
    </w:p>
    <w:p w14:paraId="14BE7AEF" w14:textId="77777777" w:rsidR="001D063C" w:rsidRPr="00E77A89" w:rsidRDefault="001D063C" w:rsidP="00236367">
      <w:pPr>
        <w:pStyle w:val="Heading2"/>
        <w:tabs>
          <w:tab w:val="clear" w:pos="1429"/>
          <w:tab w:val="num" w:pos="960"/>
        </w:tabs>
        <w:ind w:left="720"/>
        <w:rPr>
          <w:szCs w:val="24"/>
        </w:rPr>
      </w:pPr>
      <w:bookmarkStart w:id="13" w:name="_Toc515012601"/>
      <w:r w:rsidRPr="00E77A89">
        <w:rPr>
          <w:szCs w:val="24"/>
        </w:rPr>
        <w:t>Final evaluation Fiscalis 2013</w:t>
      </w:r>
      <w:bookmarkEnd w:id="13"/>
    </w:p>
    <w:p w14:paraId="14BE7AF0" w14:textId="4921084B" w:rsidR="001D063C" w:rsidRPr="00E77A89" w:rsidRDefault="006C72A7" w:rsidP="001D063C">
      <w:pPr>
        <w:spacing w:line="240" w:lineRule="auto"/>
        <w:jc w:val="both"/>
        <w:rPr>
          <w:rFonts w:ascii="Times New Roman" w:hAnsi="Times New Roman" w:cs="Times New Roman"/>
          <w:sz w:val="24"/>
          <w:szCs w:val="24"/>
        </w:rPr>
      </w:pPr>
      <w:r w:rsidRPr="00E77A89">
        <w:rPr>
          <w:rFonts w:ascii="Times New Roman" w:eastAsia="Times New Roman" w:hAnsi="Times New Roman" w:cs="Times New Roman"/>
          <w:color w:val="333333"/>
          <w:sz w:val="24"/>
          <w:szCs w:val="24"/>
        </w:rPr>
        <w:t>The Decision establishing the Fiscalis 2013 programme carries a legislative requirement for independent mid-term and final evaluations. The final evaluation</w:t>
      </w:r>
      <w:r w:rsidRPr="00E77A89">
        <w:rPr>
          <w:rStyle w:val="FootnoteReference"/>
          <w:rFonts w:ascii="Times New Roman" w:eastAsia="Times New Roman" w:hAnsi="Times New Roman" w:cs="Times New Roman"/>
          <w:color w:val="333333"/>
          <w:sz w:val="24"/>
          <w:szCs w:val="24"/>
        </w:rPr>
        <w:footnoteReference w:id="26"/>
      </w:r>
      <w:r w:rsidRPr="00E77A89">
        <w:rPr>
          <w:rFonts w:ascii="Times New Roman" w:eastAsia="Times New Roman" w:hAnsi="Times New Roman" w:cs="Times New Roman"/>
          <w:color w:val="333333"/>
          <w:sz w:val="24"/>
          <w:szCs w:val="24"/>
        </w:rPr>
        <w:t xml:space="preserve"> findings were broadly positive with regard to the Fiscalis 2013 programme’s contribution to policy-level objectives. </w:t>
      </w:r>
      <w:r w:rsidR="001D063C" w:rsidRPr="00E77A89">
        <w:rPr>
          <w:rFonts w:ascii="Times New Roman" w:hAnsi="Times New Roman" w:cs="Times New Roman"/>
          <w:sz w:val="24"/>
          <w:szCs w:val="24"/>
        </w:rPr>
        <w:t xml:space="preserve">The European </w:t>
      </w:r>
      <w:r w:rsidR="004E69DA" w:rsidRPr="00E77A89">
        <w:rPr>
          <w:rFonts w:ascii="Times New Roman" w:hAnsi="Times New Roman" w:cs="Times New Roman"/>
          <w:sz w:val="24"/>
          <w:szCs w:val="24"/>
          <w:lang w:eastAsia="en-GB"/>
        </w:rPr>
        <w:t xml:space="preserve">electronic </w:t>
      </w:r>
      <w:r w:rsidR="001D063C" w:rsidRPr="00E77A89">
        <w:rPr>
          <w:rFonts w:ascii="Times New Roman" w:hAnsi="Times New Roman" w:cs="Times New Roman"/>
          <w:sz w:val="24"/>
          <w:szCs w:val="24"/>
        </w:rPr>
        <w:t xml:space="preserve">systems helped identifying and combatting tax fraud and tax evasion by exchanging information and thereby improved revenue collection and protected the financial interests of Member States and the EU. The integration of EU </w:t>
      </w:r>
      <w:r w:rsidR="004E69DA" w:rsidRPr="00E77A89">
        <w:rPr>
          <w:rFonts w:ascii="Times New Roman" w:hAnsi="Times New Roman" w:cs="Times New Roman"/>
          <w:sz w:val="24"/>
          <w:szCs w:val="24"/>
          <w:lang w:eastAsia="en-GB"/>
        </w:rPr>
        <w:t xml:space="preserve">electronic </w:t>
      </w:r>
      <w:r w:rsidR="001D063C" w:rsidRPr="00E77A89">
        <w:rPr>
          <w:rFonts w:ascii="Times New Roman" w:hAnsi="Times New Roman" w:cs="Times New Roman"/>
          <w:sz w:val="24"/>
          <w:szCs w:val="24"/>
        </w:rPr>
        <w:t xml:space="preserve">systems with national applications was identified as an important influencing factor to ensure that the information could be used to its full effect, e.g. for further risk analysis. The human networks between tax officials created by Fiscalis 2013 were also highlighted as one of the most important effects of the programme. They contribute towards a “common approach” related to tax fraud. According to the evaluation, ceasing Fiscalis would likely imply an overall reduction in Member States' ability to combat tax fraud and evasion and a reduced effectiveness within national administrations. This would probably lead to loss of tax revenues, risk distorting competition and, ultimately, this would have a detrimental effect on the functioning of the </w:t>
      </w:r>
      <w:r w:rsidR="00F8628D" w:rsidRPr="00E77A89">
        <w:rPr>
          <w:rFonts w:ascii="Times New Roman" w:hAnsi="Times New Roman" w:cs="Times New Roman"/>
          <w:sz w:val="24"/>
          <w:szCs w:val="24"/>
        </w:rPr>
        <w:t>single market</w:t>
      </w:r>
      <w:r w:rsidR="001D063C" w:rsidRPr="00E77A89">
        <w:rPr>
          <w:rFonts w:ascii="Times New Roman" w:hAnsi="Times New Roman" w:cs="Times New Roman"/>
          <w:sz w:val="24"/>
          <w:szCs w:val="24"/>
        </w:rPr>
        <w:t xml:space="preserve">. </w:t>
      </w:r>
    </w:p>
    <w:p w14:paraId="14BE7AF1" w14:textId="77777777" w:rsidR="00236367" w:rsidRPr="00E77A89" w:rsidRDefault="00236367" w:rsidP="00236367">
      <w:pPr>
        <w:pStyle w:val="Heading2"/>
        <w:tabs>
          <w:tab w:val="clear" w:pos="1429"/>
          <w:tab w:val="num" w:pos="960"/>
        </w:tabs>
        <w:ind w:left="720"/>
        <w:rPr>
          <w:szCs w:val="24"/>
        </w:rPr>
      </w:pPr>
      <w:bookmarkStart w:id="14" w:name="_Toc515012602"/>
      <w:r w:rsidRPr="00E77A89">
        <w:rPr>
          <w:szCs w:val="24"/>
        </w:rPr>
        <w:t>Monitoring Fiscalis 2020</w:t>
      </w:r>
      <w:bookmarkEnd w:id="14"/>
    </w:p>
    <w:p w14:paraId="14BE7AF2" w14:textId="77777777" w:rsidR="00236367" w:rsidRPr="00E77A89" w:rsidRDefault="00236367" w:rsidP="00236367">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Besides these periodic evaluations of the programme, the Fiscalis 2020 Regulation required the setup of a comprehensive and permanent Performance Management Framework (PMF) as a monitoring framework for the programme and its actions. Three progress reports</w:t>
      </w:r>
      <w:r w:rsidRPr="00E77A89">
        <w:rPr>
          <w:rFonts w:ascii="Times New Roman" w:hAnsi="Times New Roman" w:cs="Times New Roman"/>
          <w:sz w:val="24"/>
          <w:szCs w:val="24"/>
          <w:vertAlign w:val="superscript"/>
        </w:rPr>
        <w:footnoteReference w:id="27"/>
      </w:r>
      <w:r w:rsidRPr="00E77A89">
        <w:rPr>
          <w:rFonts w:ascii="Times New Roman" w:hAnsi="Times New Roman" w:cs="Times New Roman"/>
          <w:sz w:val="24"/>
          <w:szCs w:val="24"/>
        </w:rPr>
        <w:t xml:space="preserve"> were published so far, covering the years 2014, 2015 and 2016. The indicators give an overall positive assessment of Fiscalis 2020 and suggest that the programme is on course to fulfilling its objectives and that it plays an important role in facilitating the implementation and development of EU taxation policies. Fiscalis 2020 is marked by the successful introduction of new types of cooperation (expert teams) that allow structured operational cooperation amongst experts from Member States on common projects on a longer term and result-driven basis (1 year and more). More generally speaking, Fiscalis also generates economies of scale as it reduces costs of (IT) development and implementation for taxpayers and businesses, and it strengthens the Member States' and EU influence on the international scene.</w:t>
      </w:r>
    </w:p>
    <w:p w14:paraId="14BE7AF3" w14:textId="77777777" w:rsidR="00236367" w:rsidRPr="00E77A89" w:rsidRDefault="00236367" w:rsidP="00236367">
      <w:pPr>
        <w:pStyle w:val="Heading2"/>
        <w:tabs>
          <w:tab w:val="clear" w:pos="1429"/>
          <w:tab w:val="num" w:pos="960"/>
        </w:tabs>
        <w:ind w:left="720"/>
        <w:rPr>
          <w:szCs w:val="24"/>
        </w:rPr>
      </w:pPr>
      <w:bookmarkStart w:id="15" w:name="_Toc515012603"/>
      <w:r w:rsidRPr="00E77A89">
        <w:rPr>
          <w:szCs w:val="24"/>
        </w:rPr>
        <w:t>Mid-term evaluation of Fiscalis 2020</w:t>
      </w:r>
      <w:bookmarkEnd w:id="15"/>
    </w:p>
    <w:p w14:paraId="14BE7AF4" w14:textId="3D23A48B" w:rsidR="00236367" w:rsidRPr="00E77A89" w:rsidRDefault="00236367" w:rsidP="00236367">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A mid-term evaluation of Fiscalis 2020 is on-going and its final report is due by 30 June 2018. The (draft) recommendations indicate that </w:t>
      </w:r>
      <w:r w:rsidR="00EC2FEA" w:rsidRPr="00E77A89">
        <w:rPr>
          <w:rFonts w:ascii="Times New Roman" w:hAnsi="Times New Roman" w:cs="Times New Roman"/>
          <w:sz w:val="24"/>
          <w:szCs w:val="24"/>
        </w:rPr>
        <w:t xml:space="preserve">the programme is providing strong EU added value, building trust and fostering strong cooperation between Member States and also with other participating countries (candidate </w:t>
      </w:r>
      <w:r w:rsidR="00D951A7" w:rsidRPr="00E77A89">
        <w:rPr>
          <w:rFonts w:ascii="Times New Roman" w:hAnsi="Times New Roman" w:cs="Times New Roman"/>
          <w:sz w:val="24"/>
          <w:szCs w:val="24"/>
        </w:rPr>
        <w:t xml:space="preserve">countries </w:t>
      </w:r>
      <w:r w:rsidR="00EC2FEA" w:rsidRPr="00E77A89">
        <w:rPr>
          <w:rFonts w:ascii="Times New Roman" w:hAnsi="Times New Roman" w:cs="Times New Roman"/>
          <w:sz w:val="24"/>
          <w:szCs w:val="24"/>
        </w:rPr>
        <w:t>and potential candidate</w:t>
      </w:r>
      <w:r w:rsidR="00D951A7" w:rsidRPr="00E77A89">
        <w:rPr>
          <w:rFonts w:ascii="Times New Roman" w:hAnsi="Times New Roman" w:cs="Times New Roman"/>
          <w:sz w:val="24"/>
          <w:szCs w:val="24"/>
        </w:rPr>
        <w:t>s</w:t>
      </w:r>
      <w:r w:rsidR="00EC2FEA" w:rsidRPr="00E77A89">
        <w:rPr>
          <w:rFonts w:ascii="Times New Roman" w:hAnsi="Times New Roman" w:cs="Times New Roman"/>
          <w:sz w:val="24"/>
          <w:szCs w:val="24"/>
        </w:rPr>
        <w:t xml:space="preserve">). The programme also eases the implementation of EU legislation, while allowing efficiency gains (through pooling of resources) especially in the area of </w:t>
      </w:r>
      <w:r w:rsidR="004E69DA" w:rsidRPr="00E77A89">
        <w:rPr>
          <w:rFonts w:ascii="Times New Roman" w:hAnsi="Times New Roman" w:cs="Times New Roman"/>
          <w:sz w:val="24"/>
          <w:szCs w:val="24"/>
          <w:lang w:eastAsia="en-GB"/>
        </w:rPr>
        <w:t xml:space="preserve">electronic </w:t>
      </w:r>
      <w:r w:rsidR="00EC2FEA" w:rsidRPr="00E77A89">
        <w:rPr>
          <w:rFonts w:ascii="Times New Roman" w:hAnsi="Times New Roman" w:cs="Times New Roman"/>
          <w:sz w:val="24"/>
          <w:szCs w:val="24"/>
        </w:rPr>
        <w:t>systems (where EU intervention is resulting in economies of scale and reduced development costs) and training modules (where EU intervention is reported as saving time and money for some administrations). Participants have also reported a high and growing interest in joint actions (particularly working visits, seminars and workshops) as an effective tool that contributes to cooperation and to improve the exchange of information between tax authorities. The introduction of Expert Teams is seen as a powerful vehicle to drive a deeper cooperation (on a regional or thematic basis) given its specific funding arrangements and operational setup. Some participants pointed out the possibility of increasing the current distribution of funds in favour of this administrative capacity building activity. Finally, the current monitoring system has been found to create substantial burdens on administrations and the Commission. This seemed partially due to the high number of indicators, which were difficult to manage and were not always fed into decision-making.</w:t>
      </w:r>
      <w:r w:rsidR="00EC2FEA" w:rsidRPr="00E77A89" w:rsidDel="00EC2FEA">
        <w:rPr>
          <w:rFonts w:ascii="Times New Roman" w:hAnsi="Times New Roman" w:cs="Times New Roman"/>
          <w:sz w:val="24"/>
          <w:szCs w:val="24"/>
        </w:rPr>
        <w:t xml:space="preserve"> </w:t>
      </w:r>
    </w:p>
    <w:p w14:paraId="14BE7AF5" w14:textId="77777777" w:rsidR="00236367" w:rsidRPr="00E77A89" w:rsidRDefault="00236367" w:rsidP="00236367">
      <w:pPr>
        <w:pStyle w:val="Heading2"/>
        <w:tabs>
          <w:tab w:val="clear" w:pos="1429"/>
          <w:tab w:val="num" w:pos="960"/>
        </w:tabs>
        <w:ind w:left="720"/>
        <w:rPr>
          <w:szCs w:val="24"/>
        </w:rPr>
      </w:pPr>
      <w:bookmarkStart w:id="16" w:name="_Toc515012604"/>
      <w:r w:rsidRPr="00E77A89">
        <w:rPr>
          <w:szCs w:val="24"/>
        </w:rPr>
        <w:t>Ex-ante evaluation study</w:t>
      </w:r>
      <w:bookmarkEnd w:id="16"/>
      <w:r w:rsidRPr="00E77A89">
        <w:rPr>
          <w:szCs w:val="24"/>
        </w:rPr>
        <w:t xml:space="preserve"> </w:t>
      </w:r>
    </w:p>
    <w:p w14:paraId="14BE7AF6" w14:textId="51623257" w:rsidR="001D063C" w:rsidRPr="00E77A89" w:rsidRDefault="001D063C" w:rsidP="001D063C">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The Commission commissioned an </w:t>
      </w:r>
      <w:r w:rsidRPr="00E77A89">
        <w:rPr>
          <w:rFonts w:ascii="Times New Roman" w:hAnsi="Times New Roman" w:cs="Times New Roman"/>
          <w:b/>
          <w:sz w:val="24"/>
          <w:szCs w:val="24"/>
        </w:rPr>
        <w:t>external study</w:t>
      </w:r>
      <w:r w:rsidRPr="00E77A89">
        <w:rPr>
          <w:rFonts w:ascii="Times New Roman" w:hAnsi="Times New Roman" w:cs="Times New Roman"/>
          <w:sz w:val="24"/>
          <w:szCs w:val="24"/>
        </w:rPr>
        <w:t xml:space="preserve"> to support this </w:t>
      </w:r>
      <w:r w:rsidR="00236367" w:rsidRPr="00E77A89">
        <w:rPr>
          <w:rFonts w:ascii="Times New Roman" w:hAnsi="Times New Roman" w:cs="Times New Roman"/>
          <w:sz w:val="24"/>
          <w:szCs w:val="24"/>
        </w:rPr>
        <w:t xml:space="preserve">ex-ante evaluation </w:t>
      </w:r>
      <w:r w:rsidRPr="00E77A89">
        <w:rPr>
          <w:rFonts w:ascii="Times New Roman" w:hAnsi="Times New Roman" w:cs="Times New Roman"/>
          <w:sz w:val="24"/>
          <w:szCs w:val="24"/>
        </w:rPr>
        <w:t xml:space="preserve">by providing quantitative and qualitative information. The objective of this assignment was to identify the key drivers setting the taxation scene in a post 2020 context, the problems to be faced by the EU </w:t>
      </w:r>
      <w:r w:rsidR="00F8628D" w:rsidRPr="00E77A89">
        <w:rPr>
          <w:rFonts w:ascii="Times New Roman" w:hAnsi="Times New Roman" w:cs="Times New Roman"/>
          <w:sz w:val="24"/>
          <w:szCs w:val="24"/>
        </w:rPr>
        <w:t>single market</w:t>
      </w:r>
      <w:r w:rsidRPr="00E77A89">
        <w:rPr>
          <w:rFonts w:ascii="Times New Roman" w:hAnsi="Times New Roman" w:cs="Times New Roman"/>
          <w:sz w:val="24"/>
          <w:szCs w:val="24"/>
        </w:rPr>
        <w:t xml:space="preserve"> and Member States' tax administrations in relation to taxation in the period post 2020 which could be addressed under a future EU financing intervention, taking into account the nature of the identified drivers and their consequences and help the Commission with identifying objectives for an EU-level intervention based on the identified drivers and problems (Task 1); identify possible EU policy options to achieve the objectives set by the Commission and deploy a future EU financing intervention in response to the drivers and problems identified and assess the identified options' expected economic, social and environmental impacts (Task 2); comparing the options according to the set criteria (such as efficiency, effectiveness, relevance, coherence) rank the options with reasoned arguments (Task 3). </w:t>
      </w:r>
    </w:p>
    <w:p w14:paraId="14BE7AF7" w14:textId="77777777" w:rsidR="001D063C" w:rsidRPr="00E77A89" w:rsidRDefault="001D063C" w:rsidP="001D063C">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The study included dedicated </w:t>
      </w:r>
      <w:r w:rsidRPr="00E77A89">
        <w:rPr>
          <w:rFonts w:ascii="Times New Roman" w:hAnsi="Times New Roman" w:cs="Times New Roman"/>
          <w:b/>
          <w:sz w:val="24"/>
          <w:szCs w:val="24"/>
        </w:rPr>
        <w:t>consultation activities</w:t>
      </w:r>
      <w:r w:rsidRPr="00E77A89">
        <w:rPr>
          <w:rFonts w:ascii="Times New Roman" w:hAnsi="Times New Roman" w:cs="Times New Roman"/>
          <w:sz w:val="24"/>
          <w:szCs w:val="24"/>
        </w:rPr>
        <w:t xml:space="preserve"> to gather more broadly the view from all stakeholders. Considering the particular scope of the programme (tax administrations are the only direct beneficiaries), these consultations concentrated on tax administrations by means of discussions in a project group, country visits/case studies and dedicated surveys. Interviews with business associations, NGOs and academics as well as with Fiscalis 2020 participants, consultants and international organisations (e.g. OECD) complemented these activities. </w:t>
      </w:r>
    </w:p>
    <w:p w14:paraId="14BE7AF8" w14:textId="77777777" w:rsidR="001D063C" w:rsidRPr="00E77A89" w:rsidRDefault="001D063C" w:rsidP="001D063C">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The external study and the related consultation activities confirmed the challenging times ahead of tax administrations and the </w:t>
      </w:r>
      <w:r w:rsidRPr="00E77A89">
        <w:rPr>
          <w:rFonts w:ascii="Times New Roman" w:hAnsi="Times New Roman" w:cs="Times New Roman"/>
          <w:b/>
          <w:sz w:val="24"/>
          <w:szCs w:val="24"/>
        </w:rPr>
        <w:t>need for an ambitious programme</w:t>
      </w:r>
      <w:r w:rsidRPr="00E77A89">
        <w:rPr>
          <w:rFonts w:ascii="Times New Roman" w:hAnsi="Times New Roman" w:cs="Times New Roman"/>
          <w:sz w:val="24"/>
          <w:szCs w:val="24"/>
        </w:rPr>
        <w:t xml:space="preserve"> around 2 key dimensions: on the one hand, continuity and reinforcement of (IT and human) capacity building and cooperation actions for a proper application of EU and national tax provisions and, on the other hand, more enhanced operational cooperation and better tackling innovation. </w:t>
      </w:r>
    </w:p>
    <w:p w14:paraId="14BE7AF9" w14:textId="4EE9A086" w:rsidR="001D063C" w:rsidRPr="00E77A89" w:rsidRDefault="001D063C" w:rsidP="001D063C">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Last but not least, an </w:t>
      </w:r>
      <w:r w:rsidRPr="00E77A89">
        <w:rPr>
          <w:rFonts w:ascii="Times New Roman" w:hAnsi="Times New Roman" w:cs="Times New Roman"/>
          <w:b/>
          <w:sz w:val="24"/>
          <w:szCs w:val="24"/>
        </w:rPr>
        <w:t>open</w:t>
      </w:r>
      <w:r w:rsidRPr="00E77A89">
        <w:rPr>
          <w:rFonts w:ascii="Times New Roman" w:hAnsi="Times New Roman" w:cs="Times New Roman"/>
          <w:sz w:val="24"/>
          <w:szCs w:val="24"/>
        </w:rPr>
        <w:t xml:space="preserve"> </w:t>
      </w:r>
      <w:r w:rsidRPr="00E77A89">
        <w:rPr>
          <w:rFonts w:ascii="Times New Roman" w:hAnsi="Times New Roman" w:cs="Times New Roman"/>
          <w:b/>
          <w:sz w:val="24"/>
          <w:szCs w:val="24"/>
        </w:rPr>
        <w:t>public consultation</w:t>
      </w:r>
      <w:r w:rsidRPr="00E77A89">
        <w:rPr>
          <w:rFonts w:ascii="Times New Roman" w:hAnsi="Times New Roman" w:cs="Times New Roman"/>
          <w:sz w:val="24"/>
          <w:szCs w:val="24"/>
        </w:rPr>
        <w:t xml:space="preserve"> on "EU funds in the area of investment, research &amp; innovation, SMEs and single market" was launched aiming at gathering the views of citizens on a.o. policy challenges and needs for EU intervention as regards taxation. </w:t>
      </w:r>
      <w:r w:rsidR="001D745A" w:rsidRPr="00E77A89">
        <w:rPr>
          <w:rFonts w:ascii="Times New Roman" w:hAnsi="Times New Roman" w:cs="Times New Roman"/>
          <w:sz w:val="24"/>
          <w:szCs w:val="24"/>
        </w:rPr>
        <w:t xml:space="preserve">4052 respondents provided feedback out of which only </w:t>
      </w:r>
      <w:r w:rsidR="005328FB" w:rsidRPr="00E77A89">
        <w:rPr>
          <w:rFonts w:ascii="Times New Roman" w:hAnsi="Times New Roman" w:cs="Times New Roman"/>
          <w:sz w:val="24"/>
          <w:szCs w:val="24"/>
        </w:rPr>
        <w:t>6</w:t>
      </w:r>
      <w:r w:rsidR="001D745A" w:rsidRPr="00E77A89">
        <w:rPr>
          <w:rFonts w:ascii="Times New Roman" w:hAnsi="Times New Roman" w:cs="Times New Roman"/>
          <w:sz w:val="24"/>
          <w:szCs w:val="24"/>
        </w:rPr>
        <w:t xml:space="preserve"> reported that they have experience with the Fiscalis 2020 programme, representing 0.</w:t>
      </w:r>
      <w:r w:rsidR="005328FB" w:rsidRPr="00E77A89">
        <w:rPr>
          <w:rFonts w:ascii="Times New Roman" w:hAnsi="Times New Roman" w:cs="Times New Roman"/>
          <w:sz w:val="24"/>
          <w:szCs w:val="24"/>
        </w:rPr>
        <w:t>15</w:t>
      </w:r>
      <w:r w:rsidR="001D745A" w:rsidRPr="00E77A89">
        <w:rPr>
          <w:rFonts w:ascii="Times New Roman" w:hAnsi="Times New Roman" w:cs="Times New Roman"/>
          <w:sz w:val="24"/>
          <w:szCs w:val="24"/>
        </w:rPr>
        <w:t xml:space="preserve"> % of the total number of respondents. Also, </w:t>
      </w:r>
      <w:r w:rsidR="008D116C" w:rsidRPr="00E77A89">
        <w:rPr>
          <w:rFonts w:ascii="Times New Roman" w:hAnsi="Times New Roman" w:cs="Times New Roman"/>
          <w:sz w:val="24"/>
          <w:szCs w:val="24"/>
        </w:rPr>
        <w:t>only 47</w:t>
      </w:r>
      <w:r w:rsidR="005328FB" w:rsidRPr="00E77A89">
        <w:rPr>
          <w:rFonts w:ascii="Times New Roman" w:hAnsi="Times New Roman" w:cs="Times New Roman"/>
          <w:sz w:val="24"/>
          <w:szCs w:val="24"/>
        </w:rPr>
        <w:t xml:space="preserve"> comment</w:t>
      </w:r>
      <w:r w:rsidR="008D116C" w:rsidRPr="00E77A89">
        <w:rPr>
          <w:rFonts w:ascii="Times New Roman" w:hAnsi="Times New Roman" w:cs="Times New Roman"/>
          <w:sz w:val="24"/>
          <w:szCs w:val="24"/>
        </w:rPr>
        <w:t>s</w:t>
      </w:r>
      <w:r w:rsidR="001D745A" w:rsidRPr="00E77A89">
        <w:rPr>
          <w:rFonts w:ascii="Times New Roman" w:hAnsi="Times New Roman" w:cs="Times New Roman"/>
          <w:sz w:val="24"/>
          <w:szCs w:val="24"/>
        </w:rPr>
        <w:t xml:space="preserve"> referred to taxation. This very limited number of instances relating to Fiscalis confirms the limited overall interest of the public at large and the relevance of the programme objectives – and focus of stakeholders’ consultations – on tax administrations.</w:t>
      </w:r>
      <w:r w:rsidR="005328FB" w:rsidRPr="00E77A89">
        <w:rPr>
          <w:rFonts w:ascii="Times New Roman" w:hAnsi="Times New Roman" w:cs="Times New Roman"/>
          <w:sz w:val="24"/>
          <w:szCs w:val="24"/>
        </w:rPr>
        <w:t xml:space="preserve"> </w:t>
      </w:r>
    </w:p>
    <w:p w14:paraId="14BE7AFA" w14:textId="3F321709" w:rsidR="001D063C" w:rsidRPr="00E77A89" w:rsidRDefault="001D063C" w:rsidP="00236367">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lang w:eastAsia="en-GB"/>
        </w:rPr>
      </w:pPr>
      <w:r w:rsidRPr="00E77A89">
        <w:rPr>
          <w:rFonts w:ascii="Times New Roman" w:hAnsi="Times New Roman" w:cs="Times New Roman"/>
          <w:b/>
          <w:sz w:val="24"/>
          <w:szCs w:val="24"/>
          <w:lang w:eastAsia="en-GB"/>
        </w:rPr>
        <w:t xml:space="preserve">The conclusions drawn from experience by the evaluation and monitoring activities indicate that the programme is a strong basis for replying to the needs of tax administrations and some adjustments would allow reaping even more benefits. In addition, an external study allowed identifying precisely and the open public consultation confirmed the many and significant challenges ahead of EU tax systems and the </w:t>
      </w:r>
      <w:r w:rsidR="00F8628D" w:rsidRPr="00E77A89">
        <w:rPr>
          <w:rFonts w:ascii="Times New Roman" w:hAnsi="Times New Roman" w:cs="Times New Roman"/>
          <w:b/>
          <w:sz w:val="24"/>
          <w:szCs w:val="24"/>
          <w:lang w:eastAsia="en-GB"/>
        </w:rPr>
        <w:t>single market</w:t>
      </w:r>
      <w:r w:rsidRPr="00E77A89">
        <w:rPr>
          <w:rFonts w:ascii="Times New Roman" w:hAnsi="Times New Roman" w:cs="Times New Roman"/>
          <w:b/>
          <w:sz w:val="24"/>
          <w:szCs w:val="24"/>
          <w:lang w:eastAsia="en-GB"/>
        </w:rPr>
        <w:t xml:space="preserve"> and – indirectly – the programme.</w:t>
      </w:r>
      <w:r w:rsidR="00236367" w:rsidRPr="00E77A89">
        <w:rPr>
          <w:rFonts w:ascii="Times New Roman" w:hAnsi="Times New Roman" w:cs="Times New Roman"/>
          <w:b/>
          <w:sz w:val="24"/>
          <w:szCs w:val="24"/>
          <w:lang w:eastAsia="en-GB"/>
        </w:rPr>
        <w:t xml:space="preserve"> </w:t>
      </w:r>
    </w:p>
    <w:p w14:paraId="14BE7AFB" w14:textId="77777777" w:rsidR="00236367" w:rsidRPr="00E77A89" w:rsidRDefault="00236367" w:rsidP="00236367">
      <w:pPr>
        <w:pStyle w:val="Heading2"/>
        <w:tabs>
          <w:tab w:val="clear" w:pos="1429"/>
          <w:tab w:val="num" w:pos="960"/>
        </w:tabs>
        <w:ind w:left="720"/>
        <w:rPr>
          <w:szCs w:val="24"/>
        </w:rPr>
      </w:pPr>
      <w:bookmarkStart w:id="17" w:name="_Toc509592587"/>
      <w:bookmarkStart w:id="18" w:name="_Toc515012605"/>
      <w:r w:rsidRPr="00E77A89">
        <w:rPr>
          <w:szCs w:val="24"/>
        </w:rPr>
        <w:t>Monitoring strategy of the performance</w:t>
      </w:r>
      <w:bookmarkEnd w:id="17"/>
      <w:bookmarkEnd w:id="18"/>
    </w:p>
    <w:p w14:paraId="14BE7AFC" w14:textId="73C007B3" w:rsidR="00236367" w:rsidRPr="00E77A89" w:rsidRDefault="00236367" w:rsidP="00236367">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The impact of the future Fiscalis programme is to be assessed through </w:t>
      </w:r>
      <w:r w:rsidR="00C07539" w:rsidRPr="00E77A89">
        <w:rPr>
          <w:rFonts w:ascii="Times New Roman" w:hAnsi="Times New Roman" w:cs="Times New Roman"/>
          <w:sz w:val="24"/>
          <w:szCs w:val="24"/>
        </w:rPr>
        <w:t xml:space="preserve">interim </w:t>
      </w:r>
      <w:r w:rsidRPr="00E77A89">
        <w:rPr>
          <w:rFonts w:ascii="Times New Roman" w:hAnsi="Times New Roman" w:cs="Times New Roman"/>
          <w:sz w:val="24"/>
          <w:szCs w:val="24"/>
        </w:rPr>
        <w:t>and final evaluations as well as by monitoring on an ongoing basis a set of high-level key performance indicators.</w:t>
      </w:r>
    </w:p>
    <w:p w14:paraId="14BE7AFD" w14:textId="77777777" w:rsidR="00236367" w:rsidRPr="00E77A89" w:rsidRDefault="00236367" w:rsidP="00236367">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The results and outputs of the programme will be regularly subject to assessment through a comprehensive monitoring system, based on defined indicators, in line with the Commission's commitment to monitor the EU budget and ensure the accountability for value for money.</w:t>
      </w:r>
    </w:p>
    <w:p w14:paraId="14BE7AFE" w14:textId="28F441C2" w:rsidR="00236367" w:rsidRPr="00E77A89" w:rsidRDefault="00236367" w:rsidP="00236367">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The basic legal act will provide for </w:t>
      </w:r>
      <w:r w:rsidR="00C07539" w:rsidRPr="00E77A89">
        <w:rPr>
          <w:rFonts w:ascii="Times New Roman" w:hAnsi="Times New Roman" w:cs="Times New Roman"/>
          <w:sz w:val="24"/>
          <w:szCs w:val="24"/>
        </w:rPr>
        <w:t xml:space="preserve">both </w:t>
      </w:r>
      <w:r w:rsidRPr="00E77A89">
        <w:rPr>
          <w:rFonts w:ascii="Times New Roman" w:hAnsi="Times New Roman" w:cs="Times New Roman"/>
          <w:sz w:val="24"/>
          <w:szCs w:val="24"/>
        </w:rPr>
        <w:t>a</w:t>
      </w:r>
      <w:r w:rsidR="00C07539" w:rsidRPr="00E77A89">
        <w:rPr>
          <w:rFonts w:ascii="Times New Roman" w:hAnsi="Times New Roman" w:cs="Times New Roman"/>
          <w:sz w:val="24"/>
          <w:szCs w:val="24"/>
        </w:rPr>
        <w:t>n interim</w:t>
      </w:r>
      <w:r w:rsidRPr="00E77A89">
        <w:rPr>
          <w:rFonts w:ascii="Times New Roman" w:hAnsi="Times New Roman" w:cs="Times New Roman"/>
          <w:sz w:val="24"/>
          <w:szCs w:val="24"/>
        </w:rPr>
        <w:t xml:space="preserve"> </w:t>
      </w:r>
      <w:r w:rsidR="00C07539" w:rsidRPr="00E77A89">
        <w:rPr>
          <w:rFonts w:ascii="Times New Roman" w:hAnsi="Times New Roman" w:cs="Times New Roman"/>
          <w:sz w:val="24"/>
          <w:szCs w:val="24"/>
        </w:rPr>
        <w:t xml:space="preserve">evaluation </w:t>
      </w:r>
      <w:r w:rsidRPr="00E77A89">
        <w:rPr>
          <w:rFonts w:ascii="Times New Roman" w:hAnsi="Times New Roman" w:cs="Times New Roman"/>
          <w:sz w:val="24"/>
          <w:szCs w:val="24"/>
        </w:rPr>
        <w:t xml:space="preserve">and a final evaluation of the programme, in line with the requirements of the Better Regulation Guidelines. The Commission will monitor the programme and the actions under it in cooperation with the participating countries. </w:t>
      </w:r>
    </w:p>
    <w:p w14:paraId="14BE7AFF" w14:textId="77777777" w:rsidR="00236367" w:rsidRPr="00E77A89" w:rsidRDefault="00236367" w:rsidP="00236367">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On a yearly basis, a programme progress report containing a summary of performance over the course of the </w:t>
      </w:r>
      <w:r w:rsidRPr="00E77A89">
        <w:rPr>
          <w:rFonts w:ascii="Times New Roman" w:hAnsi="Times New Roman" w:cs="Times New Roman"/>
          <w:sz w:val="24"/>
          <w:szCs w:val="24"/>
          <w:lang w:eastAsia="en-GB"/>
        </w:rPr>
        <w:t>previous</w:t>
      </w:r>
      <w:r w:rsidRPr="00E77A89">
        <w:rPr>
          <w:rFonts w:ascii="Times New Roman" w:hAnsi="Times New Roman" w:cs="Times New Roman"/>
          <w:sz w:val="24"/>
          <w:szCs w:val="24"/>
        </w:rPr>
        <w:t xml:space="preserve"> year in relation to the programme’ objectives and the related output and result indicators.</w:t>
      </w:r>
    </w:p>
    <w:p w14:paraId="14BE7B00" w14:textId="77777777" w:rsidR="00236367" w:rsidRPr="00E77A89" w:rsidRDefault="00236367" w:rsidP="00236367">
      <w:pPr>
        <w:pStyle w:val="Heading3"/>
        <w:rPr>
          <w:szCs w:val="24"/>
        </w:rPr>
      </w:pPr>
      <w:bookmarkStart w:id="19" w:name="_Toc509592588"/>
      <w:bookmarkStart w:id="20" w:name="_Toc515012606"/>
      <w:r w:rsidRPr="00E77A89">
        <w:rPr>
          <w:szCs w:val="24"/>
        </w:rPr>
        <w:t>Data for the monitoring</w:t>
      </w:r>
      <w:bookmarkEnd w:id="19"/>
      <w:bookmarkEnd w:id="20"/>
    </w:p>
    <w:p w14:paraId="14BE7B01" w14:textId="7FAA8F87" w:rsidR="00236367" w:rsidRPr="00E77A89" w:rsidRDefault="00236367" w:rsidP="00236367">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Data for measuring performance will be drawn from various data collection tools. The main tools envisaged at present are action follow-up forms, event assessment forms and a regular poll of </w:t>
      </w:r>
      <w:r w:rsidR="00642838" w:rsidRPr="00E77A89">
        <w:rPr>
          <w:rFonts w:ascii="Times New Roman" w:hAnsi="Times New Roman" w:cs="Times New Roman"/>
          <w:sz w:val="24"/>
          <w:szCs w:val="24"/>
        </w:rPr>
        <w:t xml:space="preserve">tax </w:t>
      </w:r>
      <w:r w:rsidRPr="00E77A89">
        <w:rPr>
          <w:rFonts w:ascii="Times New Roman" w:hAnsi="Times New Roman" w:cs="Times New Roman"/>
          <w:sz w:val="24"/>
          <w:szCs w:val="24"/>
        </w:rPr>
        <w:t>officials.</w:t>
      </w:r>
    </w:p>
    <w:p w14:paraId="14BE7B02" w14:textId="77777777" w:rsidR="00236367" w:rsidRPr="00E77A89" w:rsidRDefault="00236367" w:rsidP="00236367">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Throughout the programme, depending on the future opportunities to collect data at more disaggregated </w:t>
      </w:r>
      <w:r w:rsidRPr="00E77A89">
        <w:rPr>
          <w:rFonts w:ascii="Times New Roman" w:hAnsi="Times New Roman" w:cs="Times New Roman"/>
          <w:sz w:val="24"/>
          <w:szCs w:val="24"/>
          <w:lang w:eastAsia="en-GB"/>
        </w:rPr>
        <w:t>level</w:t>
      </w:r>
      <w:r w:rsidRPr="00E77A89">
        <w:rPr>
          <w:rFonts w:ascii="Times New Roman" w:hAnsi="Times New Roman" w:cs="Times New Roman"/>
          <w:sz w:val="24"/>
          <w:szCs w:val="24"/>
        </w:rPr>
        <w:t>, there will be an attempt to make use of new tools.</w:t>
      </w:r>
    </w:p>
    <w:p w14:paraId="14BE7B03" w14:textId="77777777" w:rsidR="00236367" w:rsidRPr="00E77A89" w:rsidRDefault="00236367" w:rsidP="00236367">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In addition to the data collected via the tools described above, data to feed into the indicators comes from a </w:t>
      </w:r>
      <w:r w:rsidRPr="00E77A89">
        <w:rPr>
          <w:rFonts w:ascii="Times New Roman" w:hAnsi="Times New Roman" w:cs="Times New Roman"/>
          <w:sz w:val="24"/>
          <w:szCs w:val="24"/>
          <w:lang w:eastAsia="en-GB"/>
        </w:rPr>
        <w:t>variety</w:t>
      </w:r>
      <w:r w:rsidRPr="00E77A89">
        <w:rPr>
          <w:rFonts w:ascii="Times New Roman" w:hAnsi="Times New Roman" w:cs="Times New Roman"/>
          <w:sz w:val="24"/>
          <w:szCs w:val="24"/>
        </w:rPr>
        <w:t xml:space="preserve"> of sources, namely:</w:t>
      </w:r>
    </w:p>
    <w:p w14:paraId="14BE7B04" w14:textId="77777777" w:rsidR="00236367" w:rsidRPr="00E77A89" w:rsidRDefault="00236367" w:rsidP="00236367">
      <w:pPr>
        <w:pStyle w:val="ListParagraph"/>
        <w:numPr>
          <w:ilvl w:val="0"/>
          <w:numId w:val="15"/>
        </w:numPr>
        <w:spacing w:after="0"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rPr>
        <w:t xml:space="preserve">IT </w:t>
      </w:r>
      <w:r w:rsidRPr="00E77A89">
        <w:rPr>
          <w:rFonts w:ascii="Times New Roman" w:hAnsi="Times New Roman" w:cs="Times New Roman"/>
          <w:sz w:val="24"/>
          <w:szCs w:val="24"/>
          <w:lang w:eastAsia="en-GB"/>
        </w:rPr>
        <w:t>statistics;</w:t>
      </w:r>
    </w:p>
    <w:p w14:paraId="14BE7B05" w14:textId="77777777" w:rsidR="00236367" w:rsidRPr="00E77A89" w:rsidRDefault="00236367" w:rsidP="00236367">
      <w:pPr>
        <w:pStyle w:val="ListParagraph"/>
        <w:numPr>
          <w:ilvl w:val="0"/>
          <w:numId w:val="15"/>
        </w:numPr>
        <w:spacing w:after="0"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Data analytics</w:t>
      </w:r>
    </w:p>
    <w:p w14:paraId="14BE7B06" w14:textId="77777777" w:rsidR="00236367" w:rsidRPr="00E77A89" w:rsidRDefault="00236367" w:rsidP="00236367">
      <w:pPr>
        <w:pStyle w:val="ListParagraph"/>
        <w:numPr>
          <w:ilvl w:val="0"/>
          <w:numId w:val="15"/>
        </w:numPr>
        <w:spacing w:after="0"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Studies and surveys</w:t>
      </w:r>
    </w:p>
    <w:p w14:paraId="14BE7B07" w14:textId="77777777" w:rsidR="00236367" w:rsidRPr="00E77A89" w:rsidRDefault="00236367" w:rsidP="00236367">
      <w:pPr>
        <w:pStyle w:val="ListParagraph"/>
        <w:numPr>
          <w:ilvl w:val="0"/>
          <w:numId w:val="15"/>
        </w:numPr>
        <w:spacing w:after="0"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DG TAXUD business units own statistics gathered via questionnaires and surveys specific for their area of work and relevant for the programme</w:t>
      </w:r>
    </w:p>
    <w:p w14:paraId="14BE7B08" w14:textId="77777777" w:rsidR="00236367" w:rsidRPr="00E77A89" w:rsidRDefault="00236367" w:rsidP="00236367">
      <w:pPr>
        <w:pStyle w:val="ListParagraph"/>
        <w:numPr>
          <w:ilvl w:val="0"/>
          <w:numId w:val="15"/>
        </w:numPr>
        <w:spacing w:line="240" w:lineRule="auto"/>
        <w:ind w:left="357" w:hanging="357"/>
        <w:contextualSpacing w:val="0"/>
        <w:jc w:val="both"/>
        <w:rPr>
          <w:rFonts w:ascii="Times New Roman" w:hAnsi="Times New Roman" w:cs="Times New Roman"/>
          <w:sz w:val="24"/>
          <w:szCs w:val="24"/>
          <w:lang w:eastAsia="en-GB"/>
        </w:rPr>
      </w:pPr>
      <w:r w:rsidRPr="00E77A89">
        <w:rPr>
          <w:rFonts w:ascii="Times New Roman" w:hAnsi="Times New Roman" w:cs="Times New Roman"/>
          <w:sz w:val="24"/>
          <w:szCs w:val="24"/>
          <w:lang w:eastAsia="en-GB"/>
        </w:rPr>
        <w:t>Other bodies</w:t>
      </w:r>
    </w:p>
    <w:p w14:paraId="14BE7B09" w14:textId="77777777" w:rsidR="00236367" w:rsidRPr="00E77A89" w:rsidRDefault="00AC1864" w:rsidP="00AC1864">
      <w:pPr>
        <w:pStyle w:val="Heading3"/>
        <w:rPr>
          <w:szCs w:val="24"/>
        </w:rPr>
      </w:pPr>
      <w:bookmarkStart w:id="21" w:name="_Toc509592589"/>
      <w:bookmarkStart w:id="22" w:name="_Toc515012607"/>
      <w:r w:rsidRPr="00E77A89">
        <w:rPr>
          <w:szCs w:val="24"/>
        </w:rPr>
        <w:t>Fiscali</w:t>
      </w:r>
      <w:r w:rsidR="00236367" w:rsidRPr="00E77A89">
        <w:rPr>
          <w:szCs w:val="24"/>
        </w:rPr>
        <w:t>s programme core indicators</w:t>
      </w:r>
      <w:bookmarkEnd w:id="21"/>
      <w:bookmarkEnd w:id="22"/>
    </w:p>
    <w:p w14:paraId="14BE7B0A" w14:textId="77777777" w:rsidR="00236367" w:rsidRPr="00E77A89" w:rsidRDefault="00236367" w:rsidP="00236367">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 xml:space="preserve">The monitoring system of the programme builds on the experience developed under the previous programme. The most meaningful indicators for the next generation of programme are presented in the table below, following contributions from the Mid-term Evaluation of the </w:t>
      </w:r>
      <w:r w:rsidR="00AC1864" w:rsidRPr="00E77A89">
        <w:rPr>
          <w:rFonts w:ascii="Times New Roman" w:hAnsi="Times New Roman" w:cs="Times New Roman"/>
          <w:sz w:val="24"/>
          <w:szCs w:val="24"/>
        </w:rPr>
        <w:t xml:space="preserve">Fiscalis </w:t>
      </w:r>
      <w:r w:rsidRPr="00E77A89">
        <w:rPr>
          <w:rFonts w:ascii="Times New Roman" w:hAnsi="Times New Roman" w:cs="Times New Roman"/>
          <w:sz w:val="24"/>
          <w:szCs w:val="24"/>
        </w:rPr>
        <w:t xml:space="preserve">2020 Programme, advice from JRC and recommendations from the ECA. Since the programme plays a supporting role, helping participating country administrations to share information and boost their capacity, the monitoring system focuses on following the progress of the programme’ activities in terms of indicators at outputs (e.g. number of guidelines produced) and results (e.g. actual use of such guidelines) levels. These are the aspects where available data can be linked to the performance of the programme in concrete ways. </w:t>
      </w:r>
    </w:p>
    <w:p w14:paraId="14BE7B0B" w14:textId="77777777" w:rsidR="00236367" w:rsidRPr="00E77A89" w:rsidRDefault="00236367" w:rsidP="00236367">
      <w:pPr>
        <w:spacing w:line="240" w:lineRule="auto"/>
        <w:jc w:val="both"/>
        <w:rPr>
          <w:rFonts w:ascii="Times New Roman" w:hAnsi="Times New Roman" w:cs="Times New Roman"/>
          <w:sz w:val="24"/>
          <w:szCs w:val="24"/>
          <w:lang w:val="en"/>
        </w:rPr>
      </w:pPr>
      <w:r w:rsidRPr="00E77A89">
        <w:rPr>
          <w:rFonts w:ascii="Times New Roman" w:hAnsi="Times New Roman" w:cs="Times New Roman"/>
          <w:sz w:val="24"/>
          <w:szCs w:val="24"/>
        </w:rPr>
        <w:t xml:space="preserve">Whenever possible, it also follows indicators in areas related to the programme’s high-level objectives. Because change in these indicators is affected by many factors, a causal relationship cannot be established to attribute change directly to programme performance. In other words, a causal relationship cannot be established. For this reason, rather than devoting substantial resources to collecting impact-level indicators expressly for monitoring the programme, it is proposed to track a limited number of indicators that are already being collected for various policy-related purposes. These will help gauge the direction of travel and ensure that the programme targets issues across its main activity areas that are most urgent for its stakeholders. </w:t>
      </w:r>
    </w:p>
    <w:p w14:paraId="14BE7B0C" w14:textId="77777777" w:rsidR="00236367" w:rsidRPr="00E77A89" w:rsidRDefault="00236367" w:rsidP="00236367">
      <w:pPr>
        <w:spacing w:line="240" w:lineRule="auto"/>
        <w:jc w:val="both"/>
        <w:rPr>
          <w:rFonts w:ascii="Times New Roman" w:hAnsi="Times New Roman" w:cs="Times New Roman"/>
          <w:sz w:val="24"/>
          <w:szCs w:val="24"/>
          <w:lang w:val="en"/>
        </w:rPr>
      </w:pPr>
      <w:r w:rsidRPr="00E77A89">
        <w:rPr>
          <w:rFonts w:ascii="Times New Roman" w:hAnsi="Times New Roman" w:cs="Times New Roman"/>
          <w:sz w:val="24"/>
          <w:szCs w:val="24"/>
          <w:lang w:val="en"/>
        </w:rPr>
        <w:t xml:space="preserve">The experience of the </w:t>
      </w:r>
      <w:r w:rsidR="00AC1864" w:rsidRPr="00E77A89">
        <w:rPr>
          <w:rFonts w:ascii="Times New Roman" w:hAnsi="Times New Roman" w:cs="Times New Roman"/>
          <w:sz w:val="24"/>
          <w:szCs w:val="24"/>
          <w:lang w:val="en"/>
        </w:rPr>
        <w:t>Fiscalis</w:t>
      </w:r>
      <w:r w:rsidRPr="00E77A89">
        <w:rPr>
          <w:rFonts w:ascii="Times New Roman" w:hAnsi="Times New Roman" w:cs="Times New Roman"/>
          <w:sz w:val="24"/>
          <w:szCs w:val="24"/>
          <w:lang w:val="en"/>
        </w:rPr>
        <w:t xml:space="preserve"> 2020 programme suggested (based on the mid-term evaluation) that its monitoring system placed substantial burdens on administrations and DG TAXUD, without leading to big improvements in the programme’s design and management. In part, this seemed due to the sheer number of indicators, which were difficult to manage and feed into decision-making. For this reason, DG TAXUD will consider the possibility to simplify the monitoring system and make it more purposeful and result-oriented. </w:t>
      </w:r>
    </w:p>
    <w:p w14:paraId="14BE7B0D" w14:textId="3D8B8053" w:rsidR="00236367" w:rsidRPr="00E77A89" w:rsidRDefault="00236367" w:rsidP="00236367">
      <w:pPr>
        <w:spacing w:line="240" w:lineRule="auto"/>
        <w:jc w:val="both"/>
        <w:rPr>
          <w:rFonts w:ascii="Times New Roman" w:hAnsi="Times New Roman" w:cs="Times New Roman"/>
          <w:sz w:val="24"/>
          <w:szCs w:val="24"/>
        </w:rPr>
      </w:pPr>
      <w:r w:rsidRPr="00E77A89">
        <w:rPr>
          <w:rFonts w:ascii="Times New Roman" w:hAnsi="Times New Roman" w:cs="Times New Roman"/>
          <w:sz w:val="24"/>
          <w:szCs w:val="24"/>
        </w:rPr>
        <w:t>The following core indicators</w:t>
      </w:r>
      <w:r w:rsidRPr="00E77A89">
        <w:rPr>
          <w:rStyle w:val="FootnoteReference"/>
          <w:rFonts w:ascii="Times New Roman" w:hAnsi="Times New Roman" w:cs="Times New Roman"/>
          <w:sz w:val="24"/>
          <w:szCs w:val="24"/>
        </w:rPr>
        <w:footnoteReference w:id="28"/>
      </w:r>
      <w:r w:rsidR="00AC1864" w:rsidRPr="00E77A89">
        <w:rPr>
          <w:rFonts w:ascii="Times New Roman" w:hAnsi="Times New Roman" w:cs="Times New Roman"/>
          <w:sz w:val="24"/>
          <w:szCs w:val="24"/>
        </w:rPr>
        <w:t xml:space="preserve"> </w:t>
      </w:r>
      <w:r w:rsidRPr="00E77A89">
        <w:rPr>
          <w:rFonts w:ascii="Times New Roman" w:hAnsi="Times New Roman" w:cs="Times New Roman"/>
          <w:sz w:val="24"/>
          <w:szCs w:val="24"/>
        </w:rPr>
        <w:t>have been identified as relevant for measuring the performance of the programme’s specific objective:</w:t>
      </w:r>
    </w:p>
    <w:tbl>
      <w:tblPr>
        <w:tblStyle w:val="TableGrid"/>
        <w:tblW w:w="0" w:type="auto"/>
        <w:tblLook w:val="04A0" w:firstRow="1" w:lastRow="0" w:firstColumn="1" w:lastColumn="0" w:noHBand="0" w:noVBand="1"/>
      </w:tblPr>
      <w:tblGrid>
        <w:gridCol w:w="8834"/>
      </w:tblGrid>
      <w:tr w:rsidR="004B67F5" w:rsidRPr="00E77A89" w14:paraId="510E0290" w14:textId="77777777" w:rsidTr="00C07539">
        <w:tc>
          <w:tcPr>
            <w:tcW w:w="8834" w:type="dxa"/>
          </w:tcPr>
          <w:p w14:paraId="7CE750A7" w14:textId="77777777" w:rsidR="004B67F5" w:rsidRPr="00E77A89" w:rsidRDefault="004B67F5" w:rsidP="00C07539">
            <w:pPr>
              <w:rPr>
                <w:b/>
                <w:sz w:val="24"/>
                <w:szCs w:val="24"/>
              </w:rPr>
            </w:pPr>
            <w:r w:rsidRPr="00E77A89">
              <w:rPr>
                <w:b/>
                <w:sz w:val="24"/>
                <w:szCs w:val="24"/>
              </w:rPr>
              <w:t>Specific objective:</w:t>
            </w:r>
          </w:p>
        </w:tc>
      </w:tr>
      <w:tr w:rsidR="004B67F5" w:rsidRPr="00E77A89" w14:paraId="0F9E0C99" w14:textId="77777777" w:rsidTr="00C07539">
        <w:tc>
          <w:tcPr>
            <w:tcW w:w="8834" w:type="dxa"/>
          </w:tcPr>
          <w:p w14:paraId="21853DBC" w14:textId="77777777" w:rsidR="004B67F5" w:rsidRPr="00E77A89" w:rsidRDefault="004B67F5" w:rsidP="00C07539">
            <w:pPr>
              <w:rPr>
                <w:sz w:val="24"/>
                <w:szCs w:val="24"/>
              </w:rPr>
            </w:pPr>
            <w:r w:rsidRPr="00E77A89">
              <w:rPr>
                <w:sz w:val="24"/>
                <w:szCs w:val="24"/>
              </w:rPr>
              <w:t>Support tax policy, tax cooperation and administrative capacity building, including human competency and the development and operation of the European electronic systems</w:t>
            </w:r>
          </w:p>
        </w:tc>
      </w:tr>
      <w:tr w:rsidR="004B67F5" w:rsidRPr="00E77A89" w14:paraId="2724B6C3" w14:textId="77777777" w:rsidTr="00C07539">
        <w:tc>
          <w:tcPr>
            <w:tcW w:w="8834" w:type="dxa"/>
          </w:tcPr>
          <w:p w14:paraId="3D55FF02" w14:textId="77777777" w:rsidR="004B67F5" w:rsidRPr="00E77A89" w:rsidRDefault="004B67F5" w:rsidP="00C07539">
            <w:pPr>
              <w:rPr>
                <w:b/>
                <w:sz w:val="24"/>
                <w:szCs w:val="24"/>
              </w:rPr>
            </w:pPr>
            <w:r w:rsidRPr="00E77A89">
              <w:rPr>
                <w:b/>
                <w:sz w:val="24"/>
                <w:szCs w:val="24"/>
              </w:rPr>
              <w:t>Indicators:</w:t>
            </w:r>
          </w:p>
        </w:tc>
      </w:tr>
      <w:tr w:rsidR="004B67F5" w:rsidRPr="00E77A89" w14:paraId="43DCDB32" w14:textId="77777777" w:rsidTr="00C07539">
        <w:tc>
          <w:tcPr>
            <w:tcW w:w="8834" w:type="dxa"/>
          </w:tcPr>
          <w:p w14:paraId="468411CF" w14:textId="77777777" w:rsidR="004B67F5" w:rsidRPr="00E77A89" w:rsidRDefault="004B67F5" w:rsidP="00C07539">
            <w:pPr>
              <w:pStyle w:val="ListParagraph"/>
              <w:numPr>
                <w:ilvl w:val="0"/>
                <w:numId w:val="34"/>
              </w:numPr>
              <w:ind w:left="720"/>
              <w:rPr>
                <w:sz w:val="24"/>
                <w:szCs w:val="24"/>
              </w:rPr>
            </w:pPr>
            <w:r w:rsidRPr="00E77A89">
              <w:rPr>
                <w:sz w:val="24"/>
                <w:szCs w:val="24"/>
              </w:rPr>
              <w:t>Indicator 1: Union Law and Policy Application and Implementation Index (Number of actions under the Programme organised in this area and recommendations issued following those actions)</w:t>
            </w:r>
          </w:p>
          <w:p w14:paraId="53AC0A2A" w14:textId="77777777" w:rsidR="004B67F5" w:rsidRPr="00E77A89" w:rsidRDefault="004B67F5" w:rsidP="00C07539">
            <w:pPr>
              <w:pStyle w:val="ListParagraph"/>
              <w:numPr>
                <w:ilvl w:val="0"/>
                <w:numId w:val="34"/>
              </w:numPr>
              <w:ind w:left="720"/>
              <w:rPr>
                <w:sz w:val="24"/>
                <w:szCs w:val="24"/>
              </w:rPr>
            </w:pPr>
            <w:r w:rsidRPr="00E77A89">
              <w:rPr>
                <w:sz w:val="24"/>
                <w:szCs w:val="24"/>
              </w:rPr>
              <w:t>Indicator 2: Best Practices and Guideline Index (number of actions under the Programme organised in this area; percentage of tax administrations that made use of a working practice/guideline developed with the support of the Programme)</w:t>
            </w:r>
          </w:p>
          <w:p w14:paraId="0A0ED08B" w14:textId="77777777" w:rsidR="004B67F5" w:rsidRPr="00E77A89" w:rsidRDefault="004B67F5" w:rsidP="00C07539">
            <w:pPr>
              <w:pStyle w:val="ListParagraph"/>
              <w:numPr>
                <w:ilvl w:val="0"/>
                <w:numId w:val="34"/>
              </w:numPr>
              <w:ind w:left="720"/>
              <w:rPr>
                <w:sz w:val="24"/>
                <w:szCs w:val="24"/>
              </w:rPr>
            </w:pPr>
            <w:r w:rsidRPr="00E77A89">
              <w:rPr>
                <w:sz w:val="24"/>
                <w:szCs w:val="24"/>
              </w:rPr>
              <w:t>Indicator 3: Learning Index (Learning modules used; number of officials trained; quality score by participants)</w:t>
            </w:r>
          </w:p>
          <w:p w14:paraId="75630B75" w14:textId="77777777" w:rsidR="004B67F5" w:rsidRPr="00E77A89" w:rsidRDefault="004B67F5" w:rsidP="00C07539">
            <w:pPr>
              <w:pStyle w:val="ListParagraph"/>
              <w:numPr>
                <w:ilvl w:val="0"/>
                <w:numId w:val="34"/>
              </w:numPr>
              <w:ind w:left="720"/>
              <w:rPr>
                <w:sz w:val="24"/>
                <w:szCs w:val="24"/>
              </w:rPr>
            </w:pPr>
            <w:r w:rsidRPr="00E77A89">
              <w:rPr>
                <w:sz w:val="24"/>
                <w:szCs w:val="24"/>
              </w:rPr>
              <w:t>Indicator 4: Collaboration Robustness Index (degree of networking generated, number of face-to-face meetings, number of on-line collaboration groups)</w:t>
            </w:r>
          </w:p>
          <w:p w14:paraId="73BB72B9" w14:textId="16046112" w:rsidR="004B67F5" w:rsidRPr="00E77A89" w:rsidRDefault="004B67F5" w:rsidP="00C07539">
            <w:pPr>
              <w:pStyle w:val="ListParagraph"/>
              <w:numPr>
                <w:ilvl w:val="0"/>
                <w:numId w:val="34"/>
              </w:numPr>
              <w:ind w:left="720"/>
              <w:rPr>
                <w:sz w:val="24"/>
                <w:szCs w:val="24"/>
              </w:rPr>
            </w:pPr>
            <w:r w:rsidRPr="00E77A89">
              <w:rPr>
                <w:sz w:val="24"/>
                <w:szCs w:val="24"/>
              </w:rPr>
              <w:t xml:space="preserve">Indicator 5: Availability of European </w:t>
            </w:r>
            <w:r w:rsidR="004E69DA" w:rsidRPr="00E77A89">
              <w:rPr>
                <w:sz w:val="24"/>
                <w:szCs w:val="24"/>
              </w:rPr>
              <w:t>electronic s</w:t>
            </w:r>
            <w:r w:rsidRPr="00E77A89">
              <w:rPr>
                <w:sz w:val="24"/>
                <w:szCs w:val="24"/>
              </w:rPr>
              <w:t>ystems (in time percentage terms)</w:t>
            </w:r>
          </w:p>
          <w:p w14:paraId="792D20B5" w14:textId="77777777" w:rsidR="004B67F5" w:rsidRPr="00E77A89" w:rsidRDefault="004B67F5" w:rsidP="00C07539">
            <w:pPr>
              <w:pStyle w:val="ListParagraph"/>
              <w:numPr>
                <w:ilvl w:val="0"/>
                <w:numId w:val="34"/>
              </w:numPr>
              <w:ind w:left="720"/>
              <w:rPr>
                <w:sz w:val="24"/>
                <w:szCs w:val="24"/>
              </w:rPr>
            </w:pPr>
            <w:r w:rsidRPr="00E77A89">
              <w:rPr>
                <w:sz w:val="24"/>
                <w:szCs w:val="24"/>
              </w:rPr>
              <w:t>Indicator 6: Availability of the Common Communication Network (in time percentage terms)</w:t>
            </w:r>
          </w:p>
          <w:p w14:paraId="534CC98C" w14:textId="65342F6B" w:rsidR="004B67F5" w:rsidRPr="00E77A89" w:rsidRDefault="004B67F5" w:rsidP="00C07539">
            <w:pPr>
              <w:pStyle w:val="ListParagraph"/>
              <w:numPr>
                <w:ilvl w:val="0"/>
                <w:numId w:val="34"/>
              </w:numPr>
              <w:ind w:left="720"/>
              <w:rPr>
                <w:sz w:val="24"/>
                <w:szCs w:val="24"/>
              </w:rPr>
            </w:pPr>
            <w:r w:rsidRPr="00E77A89">
              <w:rPr>
                <w:sz w:val="24"/>
                <w:szCs w:val="24"/>
              </w:rPr>
              <w:t xml:space="preserve">Indicator 7: IT simplified procedures for the national administrations and economic operators (number of registered economic operators, numbers of applications and number of consultations in the different </w:t>
            </w:r>
            <w:r w:rsidR="004E69DA" w:rsidRPr="00E77A89">
              <w:rPr>
                <w:sz w:val="24"/>
                <w:szCs w:val="24"/>
              </w:rPr>
              <w:t xml:space="preserve">electronic </w:t>
            </w:r>
            <w:r w:rsidRPr="00E77A89">
              <w:rPr>
                <w:sz w:val="24"/>
                <w:szCs w:val="24"/>
              </w:rPr>
              <w:t>systems funded by the Programme)</w:t>
            </w:r>
          </w:p>
        </w:tc>
      </w:tr>
    </w:tbl>
    <w:p w14:paraId="14BE7B24" w14:textId="77777777" w:rsidR="00236367" w:rsidRPr="00E77A89" w:rsidRDefault="00236367" w:rsidP="00525F4F">
      <w:pPr>
        <w:rPr>
          <w:rFonts w:ascii="Times New Roman" w:hAnsi="Times New Roman" w:cs="Times New Roman"/>
          <w:sz w:val="24"/>
          <w:szCs w:val="24"/>
        </w:rPr>
      </w:pPr>
    </w:p>
    <w:p w14:paraId="14BE7B25" w14:textId="77777777" w:rsidR="006E11B2" w:rsidRDefault="006E11B2" w:rsidP="006E11B2">
      <w:pPr>
        <w:sectPr w:rsidR="006E11B2" w:rsidSect="00244E6A">
          <w:headerReference w:type="even" r:id="rId44"/>
          <w:headerReference w:type="default" r:id="rId45"/>
          <w:footerReference w:type="even" r:id="rId46"/>
          <w:footerReference w:type="default" r:id="rId47"/>
          <w:headerReference w:type="first" r:id="rId48"/>
          <w:footerReference w:type="first" r:id="rId49"/>
          <w:pgSz w:w="11906" w:h="16838"/>
          <w:pgMar w:top="1020" w:right="1701" w:bottom="1020" w:left="1587" w:header="601" w:footer="1077" w:gutter="0"/>
          <w:cols w:space="720"/>
          <w:titlePg/>
        </w:sectPr>
      </w:pPr>
    </w:p>
    <w:p w14:paraId="14BE7B26" w14:textId="77777777" w:rsidR="002A0C1B" w:rsidRPr="008302F7" w:rsidRDefault="00244E6A" w:rsidP="00CF1C3C">
      <w:pPr>
        <w:pStyle w:val="AnnexTitle"/>
        <w:rPr>
          <w:rStyle w:val="A6"/>
        </w:rPr>
      </w:pPr>
      <w:bookmarkStart w:id="23" w:name="_Toc515012608"/>
      <w:r w:rsidRPr="006D4947">
        <w:t>Annex 1:</w:t>
      </w:r>
      <w:r w:rsidR="00CF1C3C">
        <w:t xml:space="preserve"> Intervention overview for EU tax policy</w:t>
      </w:r>
      <w:bookmarkEnd w:id="23"/>
      <w:r w:rsidRPr="006D4947">
        <w:t xml:space="preserve"> </w:t>
      </w:r>
    </w:p>
    <w:p w14:paraId="14BE7B2D" w14:textId="04318799" w:rsidR="00374603" w:rsidRPr="008302F7" w:rsidRDefault="00055AFA" w:rsidP="00812D88">
      <w:pPr>
        <w:spacing w:line="240" w:lineRule="auto"/>
        <w:jc w:val="center"/>
        <w:rPr>
          <w:rStyle w:val="A6"/>
        </w:rPr>
      </w:pPr>
      <w:r>
        <w:rPr>
          <w:rStyle w:val="A6"/>
          <w:noProof/>
          <w:lang w:eastAsia="en-GB"/>
        </w:rPr>
        <w:drawing>
          <wp:inline distT="0" distB="0" distL="0" distR="0" wp14:anchorId="70B83C3A" wp14:editId="2328D7ED">
            <wp:extent cx="7248525" cy="480949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255394" cy="4814048"/>
                    </a:xfrm>
                    <a:prstGeom prst="rect">
                      <a:avLst/>
                    </a:prstGeom>
                    <a:noFill/>
                  </pic:spPr>
                </pic:pic>
              </a:graphicData>
            </a:graphic>
          </wp:inline>
        </w:drawing>
      </w:r>
    </w:p>
    <w:sectPr w:rsidR="00374603" w:rsidRPr="008302F7" w:rsidSect="00812D88">
      <w:headerReference w:type="even" r:id="rId51"/>
      <w:headerReference w:type="default" r:id="rId52"/>
      <w:footerReference w:type="even" r:id="rId53"/>
      <w:footerReference w:type="default" r:id="rId54"/>
      <w:headerReference w:type="first" r:id="rId55"/>
      <w:footerReference w:type="first" r:id="rId56"/>
      <w:pgSz w:w="16838" w:h="11906" w:orient="landscape"/>
      <w:pgMar w:top="1587" w:right="1020" w:bottom="1701" w:left="1020" w:header="601" w:footer="107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E7B3D" w14:textId="77777777" w:rsidR="00C07539" w:rsidRDefault="00C07539" w:rsidP="0021058A">
      <w:pPr>
        <w:spacing w:after="0" w:line="240" w:lineRule="auto"/>
      </w:pPr>
      <w:r>
        <w:separator/>
      </w:r>
    </w:p>
  </w:endnote>
  <w:endnote w:type="continuationSeparator" w:id="0">
    <w:p w14:paraId="14BE7B3E" w14:textId="77777777" w:rsidR="00C07539" w:rsidRDefault="00C07539" w:rsidP="0021058A">
      <w:pPr>
        <w:spacing w:after="0" w:line="240" w:lineRule="auto"/>
      </w:pPr>
      <w:r>
        <w:continuationSeparator/>
      </w:r>
    </w:p>
  </w:endnote>
  <w:endnote w:type="continuationNotice" w:id="1">
    <w:p w14:paraId="14BE7B3F" w14:textId="77777777" w:rsidR="00C07539" w:rsidRDefault="00C07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A7357" w14:textId="77777777" w:rsidR="00CA0738" w:rsidRPr="00CA0738" w:rsidRDefault="00CA0738" w:rsidP="00CA073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55" w14:textId="77777777" w:rsidR="00C07539" w:rsidRDefault="00C0753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56" w14:textId="77777777" w:rsidR="00C07539" w:rsidRDefault="00C07539">
    <w:pPr>
      <w:pStyle w:val="Footer"/>
      <w:jc w:val="center"/>
    </w:pPr>
    <w:r>
      <w:fldChar w:fldCharType="begin"/>
    </w:r>
    <w:r>
      <w:instrText>PAGE</w:instrText>
    </w:r>
    <w:r>
      <w:fldChar w:fldCharType="separate"/>
    </w:r>
    <w:r>
      <w:rPr>
        <w:noProof/>
      </w:rPr>
      <w:t>26</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020220"/>
      <w:docPartObj>
        <w:docPartGallery w:val="Page Numbers (Bottom of Page)"/>
        <w:docPartUnique/>
      </w:docPartObj>
    </w:sdtPr>
    <w:sdtEndPr>
      <w:rPr>
        <w:noProof/>
      </w:rPr>
    </w:sdtEndPr>
    <w:sdtContent>
      <w:p w14:paraId="14BE7B58" w14:textId="0AAE3945" w:rsidR="00C07539" w:rsidRDefault="00C07539" w:rsidP="0051673C">
        <w:pPr>
          <w:pStyle w:val="Footer"/>
          <w:jc w:val="center"/>
        </w:pPr>
        <w:r>
          <w:fldChar w:fldCharType="begin"/>
        </w:r>
        <w:r>
          <w:instrText xml:space="preserve"> PAGE   \* MERGEFORMAT </w:instrText>
        </w:r>
        <w:r>
          <w:fldChar w:fldCharType="separate"/>
        </w:r>
        <w:r w:rsidR="00CA0738">
          <w:rPr>
            <w:noProof/>
          </w:rPr>
          <w:t>15</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5B" w14:textId="77777777" w:rsidR="00C07539" w:rsidRDefault="00C0753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5C" w14:textId="4155432F" w:rsidR="00C07539" w:rsidRDefault="00C07539">
    <w:pPr>
      <w:pStyle w:val="Footer"/>
      <w:jc w:val="center"/>
    </w:pPr>
    <w:r>
      <w:fldChar w:fldCharType="begin"/>
    </w:r>
    <w:r>
      <w:instrText>PAGE</w:instrText>
    </w:r>
    <w:r>
      <w:fldChar w:fldCharType="separate"/>
    </w:r>
    <w:r w:rsidR="00CA0738">
      <w:rPr>
        <w:noProof/>
      </w:rPr>
      <w:t>29</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359980"/>
      <w:docPartObj>
        <w:docPartGallery w:val="Page Numbers (Bottom of Page)"/>
        <w:docPartUnique/>
      </w:docPartObj>
    </w:sdtPr>
    <w:sdtEndPr>
      <w:rPr>
        <w:noProof/>
      </w:rPr>
    </w:sdtEndPr>
    <w:sdtContent>
      <w:p w14:paraId="14BE7B5E" w14:textId="4C9D7505" w:rsidR="00C07539" w:rsidRDefault="00C07539" w:rsidP="0051673C">
        <w:pPr>
          <w:pStyle w:val="Footer"/>
          <w:jc w:val="center"/>
        </w:pPr>
        <w:r>
          <w:fldChar w:fldCharType="begin"/>
        </w:r>
        <w:r>
          <w:instrText xml:space="preserve"> PAGE   \* MERGEFORMAT </w:instrText>
        </w:r>
        <w:r>
          <w:fldChar w:fldCharType="separate"/>
        </w:r>
        <w:r w:rsidR="00CA0738">
          <w:rPr>
            <w:noProof/>
          </w:rPr>
          <w:t>16</w:t>
        </w:r>
        <w:r>
          <w:rPr>
            <w:noProof/>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67" w14:textId="77777777" w:rsidR="00C07539" w:rsidRDefault="00C0753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68" w14:textId="77777777" w:rsidR="00C07539" w:rsidRPr="00CD516A" w:rsidRDefault="00C07539" w:rsidP="00CD516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477051"/>
      <w:docPartObj>
        <w:docPartGallery w:val="Page Numbers (Bottom of Page)"/>
        <w:docPartUnique/>
      </w:docPartObj>
    </w:sdtPr>
    <w:sdtEndPr>
      <w:rPr>
        <w:noProof/>
      </w:rPr>
    </w:sdtEndPr>
    <w:sdtContent>
      <w:p w14:paraId="14BE7B6A" w14:textId="0D2F2333" w:rsidR="00C07539" w:rsidRDefault="00812D88" w:rsidP="00812D88">
        <w:pPr>
          <w:pStyle w:val="Footer"/>
          <w:jc w:val="center"/>
        </w:pPr>
        <w:r>
          <w:fldChar w:fldCharType="begin"/>
        </w:r>
        <w:r>
          <w:instrText xml:space="preserve"> PAGE   \* MERGEFORMAT </w:instrText>
        </w:r>
        <w:r>
          <w:fldChar w:fldCharType="separate"/>
        </w:r>
        <w:r w:rsidR="00CA0738">
          <w:rPr>
            <w:noProof/>
          </w:rPr>
          <w:t>30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0755B" w14:textId="108D7C0E" w:rsidR="00CA0738" w:rsidRPr="00CA0738" w:rsidRDefault="00CA0738" w:rsidP="00CA0738">
    <w:pPr>
      <w:pStyle w:val="FooterCoverPage"/>
      <w:rPr>
        <w:rFonts w:ascii="Arial" w:hAnsi="Arial" w:cs="Arial"/>
        <w:b/>
        <w:sz w:val="48"/>
      </w:rPr>
    </w:pPr>
    <w:r w:rsidRPr="00CA0738">
      <w:rPr>
        <w:rFonts w:ascii="Arial" w:hAnsi="Arial" w:cs="Arial"/>
        <w:b/>
        <w:sz w:val="48"/>
      </w:rPr>
      <w:t>EN</w:t>
    </w:r>
    <w:r w:rsidRPr="00CA0738">
      <w:rPr>
        <w:rFonts w:ascii="Arial" w:hAnsi="Arial" w:cs="Arial"/>
        <w:b/>
        <w:sz w:val="48"/>
      </w:rPr>
      <w:tab/>
    </w:r>
    <w:r w:rsidRPr="00CA0738">
      <w:rPr>
        <w:rFonts w:ascii="Arial" w:hAnsi="Arial" w:cs="Arial"/>
        <w:b/>
        <w:sz w:val="48"/>
      </w:rPr>
      <w:tab/>
    </w:r>
    <w:r w:rsidRPr="00CA0738">
      <w:tab/>
    </w:r>
    <w:r w:rsidRPr="00CA073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5031E" w14:textId="77777777" w:rsidR="00CA0738" w:rsidRPr="00CA0738" w:rsidRDefault="00CA0738" w:rsidP="00CA073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48" w14:textId="77777777" w:rsidR="00C07539" w:rsidRDefault="00C075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49" w14:textId="77777777" w:rsidR="00C07539" w:rsidRDefault="00C07539">
    <w:pPr>
      <w:pStyle w:val="Footer"/>
      <w:jc w:val="center"/>
    </w:pPr>
    <w:r>
      <w:fldChar w:fldCharType="begin"/>
    </w:r>
    <w:r>
      <w:instrText>PAGE</w:instrText>
    </w:r>
    <w:r>
      <w:fldChar w:fldCharType="separate"/>
    </w:r>
    <w:r>
      <w:rPr>
        <w:noProof/>
      </w:rP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252755"/>
      <w:docPartObj>
        <w:docPartGallery w:val="Page Numbers (Bottom of Page)"/>
        <w:docPartUnique/>
      </w:docPartObj>
    </w:sdtPr>
    <w:sdtEndPr>
      <w:rPr>
        <w:noProof/>
      </w:rPr>
    </w:sdtEndPr>
    <w:sdtContent>
      <w:p w14:paraId="14BE7B4B" w14:textId="6D1D5013" w:rsidR="00C07539" w:rsidRDefault="00C07539">
        <w:pPr>
          <w:pStyle w:val="Footer"/>
          <w:jc w:val="center"/>
        </w:pPr>
        <w:r>
          <w:fldChar w:fldCharType="begin"/>
        </w:r>
        <w:r>
          <w:instrText xml:space="preserve"> PAGE   \* MERGEFORMAT </w:instrText>
        </w:r>
        <w:r>
          <w:fldChar w:fldCharType="separate"/>
        </w:r>
        <w:r w:rsidR="00CA0738">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4F" w14:textId="77777777" w:rsidR="00C07539" w:rsidRDefault="00C0753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50" w14:textId="44422CBB" w:rsidR="00C07539" w:rsidRDefault="00C07539">
    <w:pPr>
      <w:pStyle w:val="Footer"/>
      <w:jc w:val="center"/>
    </w:pPr>
    <w:r>
      <w:fldChar w:fldCharType="begin"/>
    </w:r>
    <w:r>
      <w:instrText>PAGE</w:instrText>
    </w:r>
    <w:r>
      <w:fldChar w:fldCharType="separate"/>
    </w:r>
    <w:r w:rsidR="00CA0738">
      <w:rPr>
        <w:noProof/>
      </w:rPr>
      <w:t>14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82234"/>
      <w:docPartObj>
        <w:docPartGallery w:val="Page Numbers (Bottom of Page)"/>
        <w:docPartUnique/>
      </w:docPartObj>
    </w:sdtPr>
    <w:sdtEndPr>
      <w:rPr>
        <w:noProof/>
      </w:rPr>
    </w:sdtEndPr>
    <w:sdtContent>
      <w:p w14:paraId="14BE7B52" w14:textId="58DB90A2" w:rsidR="00C07539" w:rsidRDefault="00C07539" w:rsidP="0051673C">
        <w:pPr>
          <w:pStyle w:val="Footer"/>
          <w:jc w:val="center"/>
        </w:pPr>
        <w:r>
          <w:fldChar w:fldCharType="begin"/>
        </w:r>
        <w:r>
          <w:instrText xml:space="preserve"> PAGE   \* MERGEFORMAT </w:instrText>
        </w:r>
        <w:r>
          <w:fldChar w:fldCharType="separate"/>
        </w:r>
        <w:r w:rsidR="00CA073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E7B3A" w14:textId="77777777" w:rsidR="00C07539" w:rsidRDefault="00C07539" w:rsidP="0021058A">
      <w:pPr>
        <w:spacing w:after="0" w:line="240" w:lineRule="auto"/>
      </w:pPr>
      <w:r>
        <w:separator/>
      </w:r>
    </w:p>
  </w:footnote>
  <w:footnote w:type="continuationSeparator" w:id="0">
    <w:p w14:paraId="14BE7B3B" w14:textId="77777777" w:rsidR="00C07539" w:rsidRDefault="00C07539" w:rsidP="0021058A">
      <w:pPr>
        <w:spacing w:after="0" w:line="240" w:lineRule="auto"/>
      </w:pPr>
      <w:r>
        <w:continuationSeparator/>
      </w:r>
    </w:p>
  </w:footnote>
  <w:footnote w:type="continuationNotice" w:id="1">
    <w:p w14:paraId="14BE7B3C" w14:textId="77777777" w:rsidR="00C07539" w:rsidRDefault="00C07539">
      <w:pPr>
        <w:spacing w:after="0" w:line="240" w:lineRule="auto"/>
      </w:pPr>
    </w:p>
  </w:footnote>
  <w:footnote w:id="2">
    <w:p w14:paraId="45915F84" w14:textId="1A4108B8" w:rsidR="00C07539" w:rsidRPr="00885EDE" w:rsidRDefault="00C07539">
      <w:pPr>
        <w:pStyle w:val="FootnoteText"/>
      </w:pPr>
      <w:r>
        <w:rPr>
          <w:rStyle w:val="FootnoteReference"/>
        </w:rPr>
        <w:footnoteRef/>
      </w:r>
      <w:r w:rsidRPr="001F48EC">
        <w:rPr>
          <w:lang w:val="pt-PT"/>
        </w:rPr>
        <w:t xml:space="preserve"> </w:t>
      </w:r>
      <w:r>
        <w:rPr>
          <w:lang w:val="pt-PT"/>
        </w:rPr>
        <w:tab/>
      </w:r>
      <w:r w:rsidRPr="00885EDE">
        <w:rPr>
          <w:lang w:val="pt-PT"/>
        </w:rPr>
        <w:t xml:space="preserve">COM(2018) 147 final, C(2018) 1650 final, and COM(2018) 148 final. </w:t>
      </w:r>
      <w:r w:rsidRPr="001F48EC">
        <w:t>See also the impact assessment accompanying the proposals SWD(2018) 81 final. The proposals are presented in the Commission Communication "Time to establish a modern, fair and efficient taxation standard for the digital economy” COM(2018) 146 final</w:t>
      </w:r>
    </w:p>
  </w:footnote>
  <w:footnote w:id="3">
    <w:p w14:paraId="06E63C14" w14:textId="06C92D21" w:rsidR="00C07539" w:rsidRPr="006168F4" w:rsidRDefault="00C07539" w:rsidP="001916F1">
      <w:pPr>
        <w:pStyle w:val="FootnoteText"/>
        <w:jc w:val="both"/>
        <w:rPr>
          <w:rFonts w:cs="Times New Roman"/>
        </w:rPr>
      </w:pPr>
      <w:r w:rsidRPr="000D3C37">
        <w:rPr>
          <w:rStyle w:val="FootnoteReference"/>
          <w:rFonts w:asciiTheme="minorHAnsi" w:hAnsiTheme="minorHAnsi" w:cstheme="minorHAnsi"/>
        </w:rPr>
        <w:footnoteRef/>
      </w:r>
      <w:r w:rsidRPr="0072467D">
        <w:rPr>
          <w:rFonts w:asciiTheme="minorHAnsi" w:hAnsiTheme="minorHAnsi" w:cstheme="minorHAnsi"/>
        </w:rPr>
        <w:t xml:space="preserve"> </w:t>
      </w:r>
      <w:r w:rsidRPr="0072467D">
        <w:rPr>
          <w:rFonts w:asciiTheme="minorHAnsi" w:hAnsiTheme="minorHAnsi" w:cstheme="minorHAnsi"/>
        </w:rPr>
        <w:tab/>
      </w:r>
      <w:r w:rsidRPr="006168F4">
        <w:rPr>
          <w:rFonts w:cs="Times New Roman"/>
        </w:rPr>
        <w:t>COM(2018) 148 final</w:t>
      </w:r>
    </w:p>
  </w:footnote>
  <w:footnote w:id="4">
    <w:p w14:paraId="499B8FC0" w14:textId="6386CBA9" w:rsidR="00C07539" w:rsidRPr="006168F4" w:rsidRDefault="00C07539" w:rsidP="001916F1">
      <w:pPr>
        <w:pStyle w:val="FootnoteText"/>
        <w:jc w:val="both"/>
        <w:rPr>
          <w:rFonts w:cs="Times New Roman"/>
        </w:rPr>
      </w:pPr>
      <w:r w:rsidRPr="006168F4">
        <w:rPr>
          <w:rStyle w:val="FootnoteReference"/>
          <w:rFonts w:cs="Times New Roman"/>
        </w:rPr>
        <w:footnoteRef/>
      </w:r>
      <w:r w:rsidRPr="006168F4">
        <w:rPr>
          <w:rFonts w:cs="Times New Roman"/>
        </w:rPr>
        <w:t xml:space="preserve"> </w:t>
      </w:r>
      <w:r w:rsidRPr="006168F4">
        <w:rPr>
          <w:rFonts w:cs="Times New Roman"/>
        </w:rPr>
        <w:tab/>
        <w:t>Supported by the EMCS trans-European IT system</w:t>
      </w:r>
    </w:p>
  </w:footnote>
  <w:footnote w:id="5">
    <w:p w14:paraId="14BE7B6C" w14:textId="77777777" w:rsidR="00C07539" w:rsidRPr="001E7F67" w:rsidRDefault="00C07539" w:rsidP="004B7293">
      <w:pPr>
        <w:pStyle w:val="FootnoteText"/>
      </w:pPr>
      <w:r>
        <w:rPr>
          <w:rStyle w:val="FootnoteReference"/>
        </w:rPr>
        <w:footnoteRef/>
      </w:r>
      <w:r>
        <w:t xml:space="preserve"> </w:t>
      </w:r>
      <w:r w:rsidRPr="001E7F67">
        <w:tab/>
        <w:t>See all details in the note "Provision of services and/or software to international entities" sent to the ITSC in advance of its 90th meeting: Ares(2016)2800271</w:t>
      </w:r>
    </w:p>
  </w:footnote>
  <w:footnote w:id="6">
    <w:p w14:paraId="77C36328" w14:textId="67695703" w:rsidR="00C07539" w:rsidRPr="00881E02" w:rsidRDefault="00C07539" w:rsidP="00881E02">
      <w:pPr>
        <w:pStyle w:val="FootnoteText"/>
      </w:pPr>
      <w:r>
        <w:rPr>
          <w:rStyle w:val="FootnoteReference"/>
        </w:rPr>
        <w:footnoteRef/>
      </w:r>
      <w:r>
        <w:t xml:space="preserve"> </w:t>
      </w:r>
      <w:r>
        <w:tab/>
      </w:r>
      <w:r w:rsidRPr="00812D88">
        <w:rPr>
          <w:lang w:eastAsia="en-GB"/>
        </w:rPr>
        <w:t>In particular during the Fiscalis Workshops held in 2016 and 2017</w:t>
      </w:r>
    </w:p>
  </w:footnote>
  <w:footnote w:id="7">
    <w:p w14:paraId="4987B412" w14:textId="5B9AFE13" w:rsidR="00C07539" w:rsidRDefault="00C07539">
      <w:pPr>
        <w:pStyle w:val="FootnoteText"/>
      </w:pPr>
      <w:r>
        <w:rPr>
          <w:rStyle w:val="FootnoteReference"/>
        </w:rPr>
        <w:footnoteRef/>
      </w:r>
      <w:r>
        <w:tab/>
      </w:r>
      <w:hyperlink r:id="rId1" w:history="1">
        <w:r w:rsidRPr="00F637EA">
          <w:rPr>
            <w:rStyle w:val="Hyperlink"/>
          </w:rPr>
          <w:t>https://ec.europa.eu/commission/white-paper-future-europe-reflections-and-scenarios-eu27_en</w:t>
        </w:r>
      </w:hyperlink>
      <w:r>
        <w:t xml:space="preserve"> </w:t>
      </w:r>
    </w:p>
  </w:footnote>
  <w:footnote w:id="8">
    <w:p w14:paraId="5969B7B8" w14:textId="61D2BB36" w:rsidR="00C07539" w:rsidRPr="00A416A0" w:rsidRDefault="00C07539" w:rsidP="00A416A0">
      <w:pPr>
        <w:pStyle w:val="FootnoteText"/>
      </w:pPr>
      <w:r>
        <w:rPr>
          <w:rStyle w:val="FootnoteReference"/>
        </w:rPr>
        <w:footnoteRef/>
      </w:r>
      <w:r>
        <w:t xml:space="preserve"> </w:t>
      </w:r>
      <w:r>
        <w:tab/>
        <w:t xml:space="preserve">Article 114 TFUE concerns the adoption of the measures for the approximation of the provisions laid down by law, regulation or administrative action in Member States which have as their object the establishment and functioning of the internal market. </w:t>
      </w:r>
    </w:p>
  </w:footnote>
  <w:footnote w:id="9">
    <w:p w14:paraId="14BE7B6D" w14:textId="54306D65" w:rsidR="00C07539" w:rsidRDefault="00C07539" w:rsidP="003E53AE">
      <w:pPr>
        <w:pStyle w:val="FootnoteText"/>
        <w:jc w:val="both"/>
      </w:pPr>
      <w:r>
        <w:rPr>
          <w:rStyle w:val="FootnoteReference"/>
        </w:rPr>
        <w:footnoteRef/>
      </w:r>
      <w:r>
        <w:t xml:space="preserve"> </w:t>
      </w:r>
      <w:r>
        <w:tab/>
        <w:t xml:space="preserve">Each country profile lists the operational details of administrative cooperation in a specific Member State, such as its internal organisation, information directly available, procedures to gather more information, special provisions as regards the notification of taxpayers subject to a request for information in view of data protection laws, retention period of documents etc., which all reduce and simplify contacts between tax administrations. </w:t>
      </w:r>
    </w:p>
  </w:footnote>
  <w:footnote w:id="10">
    <w:p w14:paraId="48B1D679" w14:textId="546E4F8B" w:rsidR="00C07539" w:rsidRDefault="00C07539" w:rsidP="00127014">
      <w:pPr>
        <w:pStyle w:val="FootnoteText"/>
        <w:jc w:val="both"/>
      </w:pPr>
      <w:r>
        <w:rPr>
          <w:rStyle w:val="FootnoteReference"/>
        </w:rPr>
        <w:footnoteRef/>
      </w:r>
      <w:r>
        <w:tab/>
      </w:r>
      <w:r w:rsidRPr="00127014">
        <w:t>Regulation (EU) 2017/825 of the European Parliament and of the Council of 17 May 2017 on the establishment of the Structural Reform Support Programme for the period 2017 to 2020 and amending Regulations (EU) No 1303/2013 and (EU) No 1305/2013</w:t>
      </w:r>
      <w:r>
        <w:t xml:space="preserve">, </w:t>
      </w:r>
      <w:r w:rsidRPr="00127014">
        <w:t>OJ L 129, 19.5.2017, p. 1</w:t>
      </w:r>
      <w:r>
        <w:t>.</w:t>
      </w:r>
    </w:p>
  </w:footnote>
  <w:footnote w:id="11">
    <w:p w14:paraId="14BE7B6E" w14:textId="2FC6F3DB" w:rsidR="00C07539" w:rsidRDefault="00C07539" w:rsidP="005D4803">
      <w:pPr>
        <w:pStyle w:val="FootnoteText"/>
        <w:jc w:val="both"/>
      </w:pPr>
      <w:r>
        <w:rPr>
          <w:rStyle w:val="FootnoteReference"/>
        </w:rPr>
        <w:footnoteRef/>
      </w:r>
      <w:r>
        <w:t xml:space="preserve"> </w:t>
      </w:r>
      <w:r>
        <w:tab/>
        <w:t xml:space="preserve">The Fiscalis 2020 programme currently includes a small support line (100 €k/yr). Although marginal in amount, this support line is of critical importance for the proper implementation of the programme: it </w:t>
      </w:r>
      <w:r w:rsidR="005D4803">
        <w:t>may cover a.o. mission and representation expenses, conference and meeting costs, costs of Committees, information and management systems, ICT equipment and services</w:t>
      </w:r>
      <w:r>
        <w:t xml:space="preserve">. Although not discussed in this impact assessment, it is proposed to keep this support line and even </w:t>
      </w:r>
      <w:r w:rsidR="005D4803">
        <w:t xml:space="preserve">to </w:t>
      </w:r>
      <w:r>
        <w:t>increase slightly its amount in the post-2020 programme in view of its increasing use.</w:t>
      </w:r>
    </w:p>
  </w:footnote>
  <w:footnote w:id="12">
    <w:p w14:paraId="14BE7B6F" w14:textId="77777777" w:rsidR="00C07539" w:rsidRDefault="00C07539" w:rsidP="00CB1A61">
      <w:pPr>
        <w:pStyle w:val="FootnoteText"/>
        <w:jc w:val="both"/>
      </w:pPr>
      <w:r>
        <w:rPr>
          <w:rStyle w:val="FootnoteReference"/>
        </w:rPr>
        <w:footnoteRef/>
      </w:r>
      <w:r>
        <w:t xml:space="preserve"> </w:t>
      </w:r>
      <w:r>
        <w:tab/>
        <w:t xml:space="preserve">The EU computerised format for </w:t>
      </w:r>
      <w:r>
        <w:rPr>
          <w:lang w:eastAsia="en-GB"/>
        </w:rPr>
        <w:t xml:space="preserve">the automatic exchange of information on immovable property is one example of such a specific module. The OECD has included this automatic exchange of information its work programme for several years but it has only a basic one at its disposal. In view of the entry into force of automatic exchange under the DAC in 2015, the EU developed a comprehensive computerised format. Subject to appropriate provisions in the programme, the EU could finance the adaptation of its format in view of a mandatory automatic exchange of such information under the joint EU-OECD auspices and thereby promote the EU agenda against tax fraud on the international scene while ensuring the consistency for EU Member States with IT systems developed inside the EU. </w:t>
      </w:r>
    </w:p>
  </w:footnote>
  <w:footnote w:id="13">
    <w:p w14:paraId="14BE7B70" w14:textId="77777777" w:rsidR="00C07539" w:rsidRPr="00A93672" w:rsidRDefault="00C07539" w:rsidP="001A6BB1">
      <w:pPr>
        <w:pStyle w:val="FootnoteText"/>
      </w:pPr>
      <w:r>
        <w:rPr>
          <w:rStyle w:val="FootnoteReference"/>
        </w:rPr>
        <w:footnoteRef/>
      </w:r>
      <w:r>
        <w:t xml:space="preserve"> </w:t>
      </w:r>
      <w:r>
        <w:tab/>
        <w:t>F</w:t>
      </w:r>
      <w:r w:rsidRPr="00A93672">
        <w:t>inancial instruments are "Union measures of financial support provided on a complementary basis from the budget in order to address one or more specific policy objectives of the Union. Such instruments may take the form of equity or quasi-equity investments, loans or guarantees, or other risk-sharing instruments, and may, where appropriate, be combined with grants" (see Article 2(p) of the Financial Regulation).</w:t>
      </w:r>
    </w:p>
  </w:footnote>
  <w:footnote w:id="14">
    <w:p w14:paraId="14BE7B72" w14:textId="1F71C290" w:rsidR="00C07539" w:rsidRPr="00F65C1D" w:rsidRDefault="00C07539" w:rsidP="00AA7100">
      <w:pPr>
        <w:pStyle w:val="FootnoteText"/>
        <w:rPr>
          <w:lang w:val="pt-PT"/>
        </w:rPr>
      </w:pPr>
      <w:r w:rsidRPr="001373F8">
        <w:rPr>
          <w:rStyle w:val="FootnoteReference"/>
        </w:rPr>
        <w:footnoteRef/>
      </w:r>
      <w:r w:rsidRPr="00F65C1D">
        <w:rPr>
          <w:lang w:val="pt-PT"/>
        </w:rPr>
        <w:t xml:space="preserve"> </w:t>
      </w:r>
      <w:r w:rsidRPr="00F65C1D">
        <w:rPr>
          <w:lang w:val="pt-PT"/>
        </w:rPr>
        <w:tab/>
      </w:r>
      <w:r w:rsidR="005F1DFB" w:rsidRPr="00F65C1D">
        <w:rPr>
          <w:lang w:val="pt-PT"/>
        </w:rPr>
        <w:t xml:space="preserve">COM(2018) </w:t>
      </w:r>
      <w:r w:rsidR="008A4A9A" w:rsidRPr="00F65C1D">
        <w:rPr>
          <w:lang w:val="pt-PT"/>
        </w:rPr>
        <w:t>44</w:t>
      </w:r>
      <w:r w:rsidR="008A4A9A">
        <w:rPr>
          <w:lang w:val="pt-PT"/>
        </w:rPr>
        <w:t>2</w:t>
      </w:r>
    </w:p>
  </w:footnote>
  <w:footnote w:id="15">
    <w:p w14:paraId="14BE7B74" w14:textId="645C6C21" w:rsidR="00C07539" w:rsidRPr="00F65C1D" w:rsidRDefault="00C07539" w:rsidP="00AA7100">
      <w:pPr>
        <w:pStyle w:val="FootnoteText"/>
        <w:rPr>
          <w:lang w:val="pt-PT"/>
        </w:rPr>
      </w:pPr>
      <w:r>
        <w:rPr>
          <w:rStyle w:val="FootnoteReference"/>
        </w:rPr>
        <w:footnoteRef/>
      </w:r>
      <w:r w:rsidRPr="00F65C1D">
        <w:rPr>
          <w:lang w:val="pt-PT"/>
        </w:rPr>
        <w:t xml:space="preserve"> </w:t>
      </w:r>
      <w:r w:rsidRPr="00F65C1D">
        <w:rPr>
          <w:lang w:val="pt-PT"/>
        </w:rPr>
        <w:tab/>
      </w:r>
      <w:r w:rsidR="005F1DFB" w:rsidRPr="00F65C1D">
        <w:rPr>
          <w:lang w:val="pt-PT"/>
        </w:rPr>
        <w:t>COM(2018) 441</w:t>
      </w:r>
    </w:p>
  </w:footnote>
  <w:footnote w:id="16">
    <w:p w14:paraId="547ACC05" w14:textId="34BCEF90" w:rsidR="00C07539" w:rsidRPr="00F65C1D" w:rsidRDefault="00C07539" w:rsidP="008E309A">
      <w:pPr>
        <w:pStyle w:val="FootnoteText"/>
        <w:rPr>
          <w:lang w:val="pt-PT"/>
        </w:rPr>
      </w:pPr>
      <w:r>
        <w:rPr>
          <w:rStyle w:val="FootnoteReference"/>
        </w:rPr>
        <w:footnoteRef/>
      </w:r>
      <w:r w:rsidRPr="00F65C1D">
        <w:rPr>
          <w:lang w:val="pt-PT"/>
        </w:rPr>
        <w:tab/>
      </w:r>
      <w:r w:rsidR="005F1DFB" w:rsidRPr="00F65C1D">
        <w:rPr>
          <w:lang w:val="pt-PT"/>
        </w:rPr>
        <w:t>COM(2018) 383</w:t>
      </w:r>
    </w:p>
  </w:footnote>
  <w:footnote w:id="17">
    <w:p w14:paraId="555C517D" w14:textId="6EE3B12C" w:rsidR="00C07539" w:rsidRPr="00F65C1D" w:rsidRDefault="00C07539" w:rsidP="008F6F05">
      <w:pPr>
        <w:pStyle w:val="FootnoteText"/>
        <w:rPr>
          <w:lang w:val="pt-PT"/>
        </w:rPr>
      </w:pPr>
      <w:r w:rsidRPr="001373F8">
        <w:rPr>
          <w:rStyle w:val="FootnoteReference"/>
        </w:rPr>
        <w:footnoteRef/>
      </w:r>
      <w:r w:rsidRPr="00F65C1D">
        <w:rPr>
          <w:lang w:val="pt-PT"/>
        </w:rPr>
        <w:t xml:space="preserve"> </w:t>
      </w:r>
      <w:r w:rsidRPr="00F65C1D">
        <w:rPr>
          <w:lang w:val="pt-PT"/>
        </w:rPr>
        <w:tab/>
      </w:r>
      <w:r w:rsidR="005F1DFB" w:rsidRPr="00F65C1D">
        <w:rPr>
          <w:lang w:val="pt-PT"/>
        </w:rPr>
        <w:t>COM(2018) 386</w:t>
      </w:r>
    </w:p>
  </w:footnote>
  <w:footnote w:id="18">
    <w:p w14:paraId="57BC2158" w14:textId="69F4F378" w:rsidR="00C07539" w:rsidRPr="00F65C1D" w:rsidRDefault="00C07539" w:rsidP="008E309A">
      <w:pPr>
        <w:pStyle w:val="FootnoteText"/>
        <w:rPr>
          <w:lang w:val="pt-PT"/>
        </w:rPr>
      </w:pPr>
      <w:r>
        <w:rPr>
          <w:rStyle w:val="FootnoteReference"/>
        </w:rPr>
        <w:footnoteRef/>
      </w:r>
      <w:r w:rsidRPr="00F65C1D">
        <w:rPr>
          <w:lang w:val="pt-PT"/>
        </w:rPr>
        <w:tab/>
      </w:r>
      <w:r w:rsidR="005F1DFB" w:rsidRPr="00F65C1D">
        <w:rPr>
          <w:lang w:val="pt-PT"/>
        </w:rPr>
        <w:t>COM(2018) 391</w:t>
      </w:r>
    </w:p>
  </w:footnote>
  <w:footnote w:id="19">
    <w:p w14:paraId="14CFFEA7" w14:textId="52663C82" w:rsidR="00C07539" w:rsidRPr="00F65C1D" w:rsidRDefault="00C07539" w:rsidP="008E309A">
      <w:pPr>
        <w:pStyle w:val="FootnoteText"/>
        <w:rPr>
          <w:lang w:val="pt-PT"/>
        </w:rPr>
      </w:pPr>
      <w:r>
        <w:rPr>
          <w:rStyle w:val="FootnoteReference"/>
        </w:rPr>
        <w:footnoteRef/>
      </w:r>
      <w:r w:rsidRPr="00F65C1D">
        <w:rPr>
          <w:lang w:val="pt-PT"/>
        </w:rPr>
        <w:tab/>
      </w:r>
      <w:r w:rsidR="005F1DFB" w:rsidRPr="00F65C1D">
        <w:rPr>
          <w:lang w:val="pt-PT"/>
        </w:rPr>
        <w:t>COM(2018) 434</w:t>
      </w:r>
    </w:p>
  </w:footnote>
  <w:footnote w:id="20">
    <w:p w14:paraId="513EB925" w14:textId="6A24424B" w:rsidR="00C07539" w:rsidRPr="00F65C1D" w:rsidRDefault="00C07539">
      <w:pPr>
        <w:pStyle w:val="FootnoteText"/>
        <w:rPr>
          <w:lang w:val="pt-PT"/>
        </w:rPr>
      </w:pPr>
      <w:r>
        <w:rPr>
          <w:rStyle w:val="FootnoteReference"/>
        </w:rPr>
        <w:footnoteRef/>
      </w:r>
      <w:r w:rsidRPr="00F65C1D">
        <w:rPr>
          <w:lang w:val="pt-PT"/>
        </w:rPr>
        <w:tab/>
      </w:r>
      <w:r w:rsidR="005F1DFB" w:rsidRPr="00F65C1D">
        <w:rPr>
          <w:lang w:val="pt-PT"/>
        </w:rPr>
        <w:t>COM(2018) 435</w:t>
      </w:r>
    </w:p>
  </w:footnote>
  <w:footnote w:id="21">
    <w:p w14:paraId="6CFFC43E" w14:textId="77777777" w:rsidR="00C07539" w:rsidRPr="00F65C1D" w:rsidRDefault="00C07539" w:rsidP="005C4DC1">
      <w:pPr>
        <w:pStyle w:val="FootnoteText"/>
        <w:rPr>
          <w:lang w:val="pt-PT"/>
        </w:rPr>
      </w:pPr>
      <w:r>
        <w:rPr>
          <w:rStyle w:val="FootnoteReference"/>
        </w:rPr>
        <w:footnoteRef/>
      </w:r>
      <w:r w:rsidRPr="00F65C1D">
        <w:rPr>
          <w:lang w:val="pt-PT"/>
        </w:rPr>
        <w:tab/>
      </w:r>
      <w:hyperlink r:id="rId2" w:history="1">
        <w:r w:rsidRPr="00F65C1D">
          <w:rPr>
            <w:rStyle w:val="Hyperlink"/>
            <w:lang w:val="pt-PT"/>
          </w:rPr>
          <w:t>https://ec.europa.eu/cefdigital/wiki/display/CEFDIGITAL/CEF+Digital+Home</w:t>
        </w:r>
      </w:hyperlink>
      <w:r w:rsidRPr="00F65C1D">
        <w:rPr>
          <w:lang w:val="pt-PT"/>
        </w:rPr>
        <w:t xml:space="preserve"> </w:t>
      </w:r>
    </w:p>
  </w:footnote>
  <w:footnote w:id="22">
    <w:p w14:paraId="1E4AA4CB" w14:textId="1154A280" w:rsidR="00C07539" w:rsidRPr="00F65C1D" w:rsidRDefault="00C07539" w:rsidP="00516BCB">
      <w:pPr>
        <w:pStyle w:val="FootnoteText"/>
        <w:jc w:val="both"/>
        <w:rPr>
          <w:lang w:val="pt-PT"/>
        </w:rPr>
      </w:pPr>
      <w:r>
        <w:rPr>
          <w:rStyle w:val="FootnoteReference"/>
        </w:rPr>
        <w:footnoteRef/>
      </w:r>
      <w:r w:rsidRPr="00F65C1D">
        <w:rPr>
          <w:lang w:val="pt-PT"/>
        </w:rPr>
        <w:tab/>
        <w:t>COM(2017)</w:t>
      </w:r>
      <w:r w:rsidR="005F1DFB" w:rsidRPr="00F65C1D">
        <w:rPr>
          <w:lang w:val="pt-PT"/>
        </w:rPr>
        <w:t xml:space="preserve"> </w:t>
      </w:r>
      <w:r w:rsidRPr="00F65C1D">
        <w:rPr>
          <w:lang w:val="pt-PT"/>
        </w:rPr>
        <w:t xml:space="preserve">134 </w:t>
      </w:r>
    </w:p>
  </w:footnote>
  <w:footnote w:id="23">
    <w:p w14:paraId="30A0C355" w14:textId="522DBBA5" w:rsidR="00C07539" w:rsidRPr="00F65C1D" w:rsidRDefault="00C07539" w:rsidP="00516BCB">
      <w:pPr>
        <w:pStyle w:val="FootnoteText"/>
        <w:rPr>
          <w:lang w:val="pt-PT"/>
        </w:rPr>
      </w:pPr>
      <w:r>
        <w:rPr>
          <w:rStyle w:val="FootnoteReference"/>
        </w:rPr>
        <w:footnoteRef/>
      </w:r>
      <w:r w:rsidRPr="00F65C1D">
        <w:rPr>
          <w:lang w:val="pt-PT"/>
        </w:rPr>
        <w:tab/>
      </w:r>
      <w:hyperlink r:id="rId3" w:history="1">
        <w:r w:rsidRPr="00F65C1D">
          <w:rPr>
            <w:rStyle w:val="Hyperlink"/>
            <w:lang w:val="pt-PT"/>
          </w:rPr>
          <w:t>https://ec.europa.eu/growth/industry/policy/ict-standardisation_en</w:t>
        </w:r>
      </w:hyperlink>
      <w:r w:rsidRPr="00F65C1D">
        <w:rPr>
          <w:lang w:val="pt-PT"/>
        </w:rPr>
        <w:t xml:space="preserve"> </w:t>
      </w:r>
    </w:p>
  </w:footnote>
  <w:footnote w:id="24">
    <w:p w14:paraId="32C7D864" w14:textId="77777777" w:rsidR="00C07539" w:rsidRPr="00F65C1D" w:rsidRDefault="00C07539" w:rsidP="00EC5BAE">
      <w:pPr>
        <w:pStyle w:val="FootnoteText"/>
        <w:rPr>
          <w:lang w:val="pt-PT"/>
        </w:rPr>
      </w:pPr>
      <w:r>
        <w:rPr>
          <w:rStyle w:val="FootnoteReference"/>
        </w:rPr>
        <w:footnoteRef/>
      </w:r>
      <w:r w:rsidRPr="00F65C1D">
        <w:rPr>
          <w:lang w:val="pt-PT"/>
        </w:rPr>
        <w:tab/>
      </w:r>
      <w:hyperlink r:id="rId4" w:anchor="action-plan" w:history="1">
        <w:r w:rsidRPr="00F65C1D">
          <w:rPr>
            <w:rStyle w:val="Hyperlink"/>
            <w:lang w:val="pt-PT"/>
          </w:rPr>
          <w:t>https://ec.europa.eu/info/business-economy-euro/banking-and-finance/fintech_en#action-plan</w:t>
        </w:r>
      </w:hyperlink>
      <w:r w:rsidRPr="00F65C1D">
        <w:rPr>
          <w:lang w:val="pt-PT"/>
        </w:rPr>
        <w:t xml:space="preserve"> </w:t>
      </w:r>
    </w:p>
  </w:footnote>
  <w:footnote w:id="25">
    <w:p w14:paraId="37C555F6" w14:textId="77777777" w:rsidR="00C07539" w:rsidRPr="00F65C1D" w:rsidRDefault="00C07539" w:rsidP="00EC5BAE">
      <w:pPr>
        <w:pStyle w:val="FootnoteText"/>
        <w:rPr>
          <w:lang w:val="pt-PT"/>
        </w:rPr>
      </w:pPr>
      <w:r>
        <w:rPr>
          <w:rStyle w:val="FootnoteReference"/>
        </w:rPr>
        <w:footnoteRef/>
      </w:r>
      <w:r w:rsidRPr="00F65C1D">
        <w:rPr>
          <w:lang w:val="pt-PT"/>
        </w:rPr>
        <w:tab/>
      </w:r>
      <w:hyperlink r:id="rId5" w:history="1">
        <w:r w:rsidRPr="00F65C1D">
          <w:rPr>
            <w:rStyle w:val="Hyperlink"/>
            <w:lang w:val="pt-PT"/>
          </w:rPr>
          <w:t>https://ec.europa.eu/digital-single-market/en/news/european-commission-launches-eu-blockchain-observatory-and-forum</w:t>
        </w:r>
      </w:hyperlink>
      <w:r w:rsidRPr="00F65C1D">
        <w:rPr>
          <w:lang w:val="pt-PT"/>
        </w:rPr>
        <w:t xml:space="preserve"> </w:t>
      </w:r>
    </w:p>
  </w:footnote>
  <w:footnote w:id="26">
    <w:p w14:paraId="5DC1ACBD" w14:textId="301439CF" w:rsidR="00C07539" w:rsidRDefault="00C07539">
      <w:pPr>
        <w:pStyle w:val="FootnoteText"/>
      </w:pPr>
      <w:r>
        <w:rPr>
          <w:rStyle w:val="FootnoteReference"/>
        </w:rPr>
        <w:footnoteRef/>
      </w:r>
      <w:r>
        <w:tab/>
      </w:r>
      <w:hyperlink r:id="rId6" w:history="1">
        <w:r w:rsidRPr="00F637EA">
          <w:rPr>
            <w:rStyle w:val="Hyperlink"/>
          </w:rPr>
          <w:t>http://ec.europa.eu/taxation_customs/sites/taxation/files/resources/documents/common/</w:t>
        </w:r>
      </w:hyperlink>
      <w:r>
        <w:t xml:space="preserve"> </w:t>
      </w:r>
      <w:r w:rsidRPr="006C72A7">
        <w:t>publications/studies/fiscalis2013_final_evaluation.pdf</w:t>
      </w:r>
    </w:p>
  </w:footnote>
  <w:footnote w:id="27">
    <w:p w14:paraId="14BE7B75" w14:textId="46B2108D" w:rsidR="00C07539" w:rsidRDefault="00C07539" w:rsidP="00236367">
      <w:pPr>
        <w:pStyle w:val="FootnoteText"/>
      </w:pPr>
      <w:r>
        <w:rPr>
          <w:rStyle w:val="FootnoteReference"/>
        </w:rPr>
        <w:footnoteRef/>
      </w:r>
      <w:r>
        <w:t xml:space="preserve"> </w:t>
      </w:r>
      <w:r>
        <w:tab/>
      </w:r>
      <w:hyperlink r:id="rId7" w:history="1">
        <w:r w:rsidR="0071224F" w:rsidRPr="00A5600B">
          <w:rPr>
            <w:rStyle w:val="Hyperlink"/>
          </w:rPr>
          <w:t>https://ec.europa.eu/taxation_customs/fiscalis-programme/reference-documents_en</w:t>
        </w:r>
      </w:hyperlink>
      <w:r w:rsidR="0071224F">
        <w:rPr>
          <w:highlight w:val="red"/>
        </w:rPr>
        <w:t xml:space="preserve"> </w:t>
      </w:r>
    </w:p>
  </w:footnote>
  <w:footnote w:id="28">
    <w:p w14:paraId="14BE7B76" w14:textId="77777777" w:rsidR="00C07539" w:rsidRDefault="00C07539" w:rsidP="00236367">
      <w:pPr>
        <w:pStyle w:val="FootnoteText"/>
      </w:pPr>
      <w:r>
        <w:rPr>
          <w:rStyle w:val="FootnoteReference"/>
        </w:rPr>
        <w:footnoteRef/>
      </w:r>
      <w:r>
        <w:t xml:space="preserve"> </w:t>
      </w:r>
      <w:r>
        <w:tab/>
        <w:t xml:space="preserve">Availability and reliability of data were key considerations for selecting these core indicators.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931A9" w14:textId="77777777" w:rsidR="00CA0738" w:rsidRPr="00CA0738" w:rsidRDefault="00CA0738" w:rsidP="00CA073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53" w14:textId="77777777" w:rsidR="00C07539" w:rsidRDefault="00C0753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54" w14:textId="77777777" w:rsidR="00C07539" w:rsidRDefault="00C0753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57" w14:textId="77777777" w:rsidR="00C07539" w:rsidRDefault="00C0753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59" w14:textId="77777777" w:rsidR="00C07539" w:rsidRDefault="00C0753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5A" w14:textId="77777777" w:rsidR="00C07539" w:rsidRDefault="00C0753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5D" w14:textId="77777777" w:rsidR="00C07539" w:rsidRDefault="00C0753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65" w14:textId="77777777" w:rsidR="00C07539" w:rsidRDefault="00C0753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66" w14:textId="77777777" w:rsidR="00C07539" w:rsidRDefault="00C0753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69" w14:textId="77777777" w:rsidR="00C07539" w:rsidRDefault="00C075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95194" w14:textId="77777777" w:rsidR="00CA0738" w:rsidRPr="00CA0738" w:rsidRDefault="00CA0738" w:rsidP="00CA073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FF0EE" w14:textId="77777777" w:rsidR="00CA0738" w:rsidRPr="00CA0738" w:rsidRDefault="00CA0738" w:rsidP="00CA073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46" w14:textId="77777777" w:rsidR="00C07539" w:rsidRDefault="00C0753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47" w14:textId="77777777" w:rsidR="00C07539" w:rsidRDefault="00C0753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4A" w14:textId="77777777" w:rsidR="00C07539" w:rsidRDefault="00C0753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4D" w14:textId="77777777" w:rsidR="00C07539" w:rsidRDefault="00C0753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4E" w14:textId="77777777" w:rsidR="00C07539" w:rsidRDefault="00C0753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7B51" w14:textId="77777777" w:rsidR="00C07539" w:rsidRDefault="00C07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203B"/>
    <w:multiLevelType w:val="hybridMultilevel"/>
    <w:tmpl w:val="B478EDD0"/>
    <w:lvl w:ilvl="0" w:tplc="0CB84FE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F36988"/>
    <w:multiLevelType w:val="hybridMultilevel"/>
    <w:tmpl w:val="970C50EA"/>
    <w:lvl w:ilvl="0" w:tplc="0CB84FE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B5C57AB"/>
    <w:multiLevelType w:val="hybridMultilevel"/>
    <w:tmpl w:val="005AE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429"/>
        </w:tabs>
        <w:ind w:left="1429"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3769D8"/>
    <w:multiLevelType w:val="hybridMultilevel"/>
    <w:tmpl w:val="BEFA0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653F59"/>
    <w:multiLevelType w:val="hybridMultilevel"/>
    <w:tmpl w:val="D15405E4"/>
    <w:lvl w:ilvl="0" w:tplc="0CB84FE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F74381D"/>
    <w:multiLevelType w:val="hybridMultilevel"/>
    <w:tmpl w:val="BB74FA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nsid w:val="44B068A2"/>
    <w:multiLevelType w:val="hybridMultilevel"/>
    <w:tmpl w:val="A5C29CEA"/>
    <w:lvl w:ilvl="0" w:tplc="0CB84FE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E3879B9"/>
    <w:multiLevelType w:val="hybridMultilevel"/>
    <w:tmpl w:val="FBC08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D21A21"/>
    <w:multiLevelType w:val="hybridMultilevel"/>
    <w:tmpl w:val="2BC69F6A"/>
    <w:lvl w:ilvl="0" w:tplc="0CB84FE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1F088B"/>
    <w:multiLevelType w:val="hybridMultilevel"/>
    <w:tmpl w:val="3BA44D0A"/>
    <w:lvl w:ilvl="0" w:tplc="0B8E97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8669FC"/>
    <w:multiLevelType w:val="hybridMultilevel"/>
    <w:tmpl w:val="4948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624C88"/>
    <w:multiLevelType w:val="hybridMultilevel"/>
    <w:tmpl w:val="6D306C0E"/>
    <w:lvl w:ilvl="0" w:tplc="08090003">
      <w:numFmt w:val="bullet"/>
      <w:lvlText w:val="-"/>
      <w:lvlJc w:val="left"/>
      <w:pPr>
        <w:ind w:left="720" w:hanging="360"/>
      </w:pPr>
      <w:rPr>
        <w:rFonts w:ascii="Times" w:eastAsia="Times New Roman" w:hAnsi="Time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9">
    <w:nsid w:val="747E5969"/>
    <w:multiLevelType w:val="hybridMultilevel"/>
    <w:tmpl w:val="C37ACD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2"/>
  </w:num>
  <w:num w:numId="13">
    <w:abstractNumId w:val="19"/>
  </w:num>
  <w:num w:numId="14">
    <w:abstractNumId w:val="6"/>
  </w:num>
  <w:num w:numId="15">
    <w:abstractNumId w:val="14"/>
  </w:num>
  <w:num w:numId="16">
    <w:abstractNumId w:val="8"/>
  </w:num>
  <w:num w:numId="17">
    <w:abstractNumId w:val="7"/>
  </w:num>
  <w:num w:numId="18">
    <w:abstractNumId w:val="5"/>
  </w:num>
  <w:num w:numId="19">
    <w:abstractNumId w:val="16"/>
  </w:num>
  <w:num w:numId="20">
    <w:abstractNumId w:val="11"/>
  </w:num>
  <w:num w:numId="21">
    <w:abstractNumId w:val="18"/>
  </w:num>
  <w:num w:numId="22">
    <w:abstractNumId w:val="1"/>
  </w:num>
  <w:num w:numId="23">
    <w:abstractNumId w:val="9"/>
  </w:num>
  <w:num w:numId="24">
    <w:abstractNumId w:val="17"/>
  </w:num>
  <w:num w:numId="25">
    <w:abstractNumId w:val="0"/>
  </w:num>
  <w:num w:numId="26">
    <w:abstractNumId w:val="13"/>
  </w:num>
  <w:num w:numId="27">
    <w:abstractNumId w:val="4"/>
  </w:num>
  <w:num w:numId="28">
    <w:abstractNumId w:val="3"/>
  </w:num>
  <w:num w:numId="29">
    <w:abstractNumId w:val="3"/>
  </w:num>
  <w:num w:numId="30">
    <w:abstractNumId w:val="3"/>
  </w:num>
  <w:num w:numId="31">
    <w:abstractNumId w:val="3"/>
  </w:num>
  <w:num w:numId="32">
    <w:abstractNumId w:val="3"/>
  </w:num>
  <w:num w:numId="33">
    <w:abstractNumId w:val="10"/>
  </w:num>
  <w:num w:numId="34">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OULIN Pierre-Yves (TAXUD)">
    <w15:presenceInfo w15:providerId="None" w15:userId="DEMOULIN Pierre-Yves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0862DFB-DF25-4908-A866-3841DD284C2A"/>
    <w:docVar w:name="LW_COVERPAGE_TYPE" w:val="1"/>
    <w:docVar w:name="LW_CROSSREFERENCE" w:val="{COM(2018) 443 final}_x000a_{SWD(2018) 324 final}"/>
    <w:docVar w:name="LW_DocType" w:val="NORMAL"/>
    <w:docVar w:name="LW_EMISSION" w:val="8.6.2018"/>
    <w:docVar w:name="LW_EMISSION_ISODATE" w:val="2018-06-08"/>
    <w:docVar w:name="LW_EMISSION_LOCATION" w:val="BRX"/>
    <w:docVar w:name="LW_EMISSION_PREFIX" w:val="Brussels,"/>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stablishing the 'Fiscalis' programme for cooperation in the field of taxation"/>
    <w:docVar w:name="LW_PART_NBR" w:val="1"/>
    <w:docVar w:name="LW_PART_NBR_TOTAL" w:val="1"/>
    <w:docVar w:name="LW_REF.INST.NEW" w:val="SWD"/>
    <w:docVar w:name="LW_REF.INST.NEW_ADOPTED" w:val="&lt;EMPTY&gt;"/>
    <w:docVar w:name="LW_REF.INST.NEW_TEXT" w:val="(2018) 323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ANTE EVALUATION"/>
    <w:docVar w:name="LW_TYPE.DOC.CP" w:val="COMMISSION STAFF WORKING DOCUMENT"/>
    <w:docVar w:name="LW_TYPEACTEPRINCIPAL.CP" w:val="Proposal for a_x000b_REGULATION OF THE EUROPEAN PARLIAMENT AND OF THE COUNCIL"/>
  </w:docVars>
  <w:rsids>
    <w:rsidRoot w:val="0021058A"/>
    <w:rsid w:val="0000359D"/>
    <w:rsid w:val="000039BB"/>
    <w:rsid w:val="000115B8"/>
    <w:rsid w:val="00020DDE"/>
    <w:rsid w:val="000210DF"/>
    <w:rsid w:val="000218AC"/>
    <w:rsid w:val="00024B6C"/>
    <w:rsid w:val="00044CA9"/>
    <w:rsid w:val="00047440"/>
    <w:rsid w:val="00047E84"/>
    <w:rsid w:val="000507C1"/>
    <w:rsid w:val="00055AFA"/>
    <w:rsid w:val="00057219"/>
    <w:rsid w:val="00067B7B"/>
    <w:rsid w:val="000759A5"/>
    <w:rsid w:val="000761F0"/>
    <w:rsid w:val="00080896"/>
    <w:rsid w:val="00083721"/>
    <w:rsid w:val="00090807"/>
    <w:rsid w:val="00091649"/>
    <w:rsid w:val="00091B5D"/>
    <w:rsid w:val="00093965"/>
    <w:rsid w:val="000A3060"/>
    <w:rsid w:val="000A7BBA"/>
    <w:rsid w:val="000B404B"/>
    <w:rsid w:val="000C2C26"/>
    <w:rsid w:val="000C3B87"/>
    <w:rsid w:val="000C5366"/>
    <w:rsid w:val="000C53D3"/>
    <w:rsid w:val="000C7FA7"/>
    <w:rsid w:val="000D33B5"/>
    <w:rsid w:val="000D5B2B"/>
    <w:rsid w:val="000E5670"/>
    <w:rsid w:val="000F0CD6"/>
    <w:rsid w:val="000F6CC6"/>
    <w:rsid w:val="00107D66"/>
    <w:rsid w:val="00112CF6"/>
    <w:rsid w:val="00127014"/>
    <w:rsid w:val="00132E26"/>
    <w:rsid w:val="001354B7"/>
    <w:rsid w:val="00136425"/>
    <w:rsid w:val="00141727"/>
    <w:rsid w:val="001515D9"/>
    <w:rsid w:val="001547B8"/>
    <w:rsid w:val="00163B40"/>
    <w:rsid w:val="0016409F"/>
    <w:rsid w:val="001663C0"/>
    <w:rsid w:val="00166BB9"/>
    <w:rsid w:val="00171369"/>
    <w:rsid w:val="001756CA"/>
    <w:rsid w:val="001916F1"/>
    <w:rsid w:val="00194E02"/>
    <w:rsid w:val="001A6B7D"/>
    <w:rsid w:val="001A6BB1"/>
    <w:rsid w:val="001B20D3"/>
    <w:rsid w:val="001B559B"/>
    <w:rsid w:val="001C3AE9"/>
    <w:rsid w:val="001C4427"/>
    <w:rsid w:val="001C4728"/>
    <w:rsid w:val="001C4E59"/>
    <w:rsid w:val="001C7B61"/>
    <w:rsid w:val="001D063C"/>
    <w:rsid w:val="001D745A"/>
    <w:rsid w:val="001F4300"/>
    <w:rsid w:val="001F48EC"/>
    <w:rsid w:val="001F6471"/>
    <w:rsid w:val="00203034"/>
    <w:rsid w:val="00205682"/>
    <w:rsid w:val="0021058A"/>
    <w:rsid w:val="002111A2"/>
    <w:rsid w:val="00211619"/>
    <w:rsid w:val="00223B8A"/>
    <w:rsid w:val="0023540C"/>
    <w:rsid w:val="00236367"/>
    <w:rsid w:val="00244E6A"/>
    <w:rsid w:val="0024538E"/>
    <w:rsid w:val="00245ED2"/>
    <w:rsid w:val="0025285E"/>
    <w:rsid w:val="00252AF0"/>
    <w:rsid w:val="00252D46"/>
    <w:rsid w:val="00254995"/>
    <w:rsid w:val="00254B8F"/>
    <w:rsid w:val="00255723"/>
    <w:rsid w:val="00263D15"/>
    <w:rsid w:val="002816F4"/>
    <w:rsid w:val="00290202"/>
    <w:rsid w:val="00296036"/>
    <w:rsid w:val="002A0C1B"/>
    <w:rsid w:val="002A2978"/>
    <w:rsid w:val="002A4AA6"/>
    <w:rsid w:val="002A5863"/>
    <w:rsid w:val="002A5EA8"/>
    <w:rsid w:val="002B3011"/>
    <w:rsid w:val="002D052C"/>
    <w:rsid w:val="002D4982"/>
    <w:rsid w:val="002E0364"/>
    <w:rsid w:val="002E158B"/>
    <w:rsid w:val="002E28EC"/>
    <w:rsid w:val="002E5D0A"/>
    <w:rsid w:val="002F2C3B"/>
    <w:rsid w:val="002F3AD7"/>
    <w:rsid w:val="00311422"/>
    <w:rsid w:val="00325E9A"/>
    <w:rsid w:val="003325E4"/>
    <w:rsid w:val="003339A7"/>
    <w:rsid w:val="00334612"/>
    <w:rsid w:val="00341314"/>
    <w:rsid w:val="00343555"/>
    <w:rsid w:val="00345E01"/>
    <w:rsid w:val="00366A10"/>
    <w:rsid w:val="00367596"/>
    <w:rsid w:val="00374603"/>
    <w:rsid w:val="003813C8"/>
    <w:rsid w:val="0038643B"/>
    <w:rsid w:val="003A7C59"/>
    <w:rsid w:val="003A7D12"/>
    <w:rsid w:val="003B229C"/>
    <w:rsid w:val="003B68C4"/>
    <w:rsid w:val="003C7045"/>
    <w:rsid w:val="003D6AC2"/>
    <w:rsid w:val="003E059C"/>
    <w:rsid w:val="003E29A1"/>
    <w:rsid w:val="003E53AE"/>
    <w:rsid w:val="003E6174"/>
    <w:rsid w:val="00405A6B"/>
    <w:rsid w:val="00410366"/>
    <w:rsid w:val="00416C67"/>
    <w:rsid w:val="004234AA"/>
    <w:rsid w:val="00423F48"/>
    <w:rsid w:val="00436C1E"/>
    <w:rsid w:val="00451B10"/>
    <w:rsid w:val="00451C3C"/>
    <w:rsid w:val="00471F3F"/>
    <w:rsid w:val="0048095B"/>
    <w:rsid w:val="00482C44"/>
    <w:rsid w:val="00490AEB"/>
    <w:rsid w:val="004959A7"/>
    <w:rsid w:val="004A21E3"/>
    <w:rsid w:val="004A4EEA"/>
    <w:rsid w:val="004B67F5"/>
    <w:rsid w:val="004B7293"/>
    <w:rsid w:val="004D005F"/>
    <w:rsid w:val="004D6820"/>
    <w:rsid w:val="004D6A46"/>
    <w:rsid w:val="004E29D0"/>
    <w:rsid w:val="004E4BD1"/>
    <w:rsid w:val="004E69DA"/>
    <w:rsid w:val="004E7B45"/>
    <w:rsid w:val="004F4048"/>
    <w:rsid w:val="0051673C"/>
    <w:rsid w:val="00516BCB"/>
    <w:rsid w:val="00525F4F"/>
    <w:rsid w:val="00527CCF"/>
    <w:rsid w:val="005328FB"/>
    <w:rsid w:val="005500BA"/>
    <w:rsid w:val="00550A06"/>
    <w:rsid w:val="00553A6B"/>
    <w:rsid w:val="005540CA"/>
    <w:rsid w:val="005546A2"/>
    <w:rsid w:val="0057353A"/>
    <w:rsid w:val="00580634"/>
    <w:rsid w:val="00591EA2"/>
    <w:rsid w:val="005B4CA6"/>
    <w:rsid w:val="005C2753"/>
    <w:rsid w:val="005C35EC"/>
    <w:rsid w:val="005C4DC1"/>
    <w:rsid w:val="005C6870"/>
    <w:rsid w:val="005D4803"/>
    <w:rsid w:val="005F1DFB"/>
    <w:rsid w:val="005F478A"/>
    <w:rsid w:val="00615312"/>
    <w:rsid w:val="0061644F"/>
    <w:rsid w:val="006168F4"/>
    <w:rsid w:val="006405B6"/>
    <w:rsid w:val="00642838"/>
    <w:rsid w:val="00647EDE"/>
    <w:rsid w:val="006536B2"/>
    <w:rsid w:val="00656814"/>
    <w:rsid w:val="00663874"/>
    <w:rsid w:val="00667AA8"/>
    <w:rsid w:val="00672A85"/>
    <w:rsid w:val="0067694F"/>
    <w:rsid w:val="00685C70"/>
    <w:rsid w:val="006909DC"/>
    <w:rsid w:val="0069224F"/>
    <w:rsid w:val="0069283B"/>
    <w:rsid w:val="006930DC"/>
    <w:rsid w:val="006A125E"/>
    <w:rsid w:val="006B19A7"/>
    <w:rsid w:val="006C1A74"/>
    <w:rsid w:val="006C615E"/>
    <w:rsid w:val="006C72A7"/>
    <w:rsid w:val="006D41E7"/>
    <w:rsid w:val="006E11B2"/>
    <w:rsid w:val="006E2BCD"/>
    <w:rsid w:val="0071224F"/>
    <w:rsid w:val="00714FFC"/>
    <w:rsid w:val="00720768"/>
    <w:rsid w:val="00721D46"/>
    <w:rsid w:val="007223B9"/>
    <w:rsid w:val="0072467D"/>
    <w:rsid w:val="00724C13"/>
    <w:rsid w:val="00727D0B"/>
    <w:rsid w:val="00740584"/>
    <w:rsid w:val="0074526C"/>
    <w:rsid w:val="00753E3C"/>
    <w:rsid w:val="00756EF6"/>
    <w:rsid w:val="00771758"/>
    <w:rsid w:val="007736C4"/>
    <w:rsid w:val="007770A5"/>
    <w:rsid w:val="00786039"/>
    <w:rsid w:val="007A371F"/>
    <w:rsid w:val="007C0437"/>
    <w:rsid w:val="007C7BDA"/>
    <w:rsid w:val="007D532D"/>
    <w:rsid w:val="007E421C"/>
    <w:rsid w:val="007E4356"/>
    <w:rsid w:val="007F1FB9"/>
    <w:rsid w:val="007F3ECD"/>
    <w:rsid w:val="007F4829"/>
    <w:rsid w:val="007F65EE"/>
    <w:rsid w:val="00804F5E"/>
    <w:rsid w:val="00812D88"/>
    <w:rsid w:val="00822E8D"/>
    <w:rsid w:val="00825203"/>
    <w:rsid w:val="008259B1"/>
    <w:rsid w:val="008276B7"/>
    <w:rsid w:val="008302F7"/>
    <w:rsid w:val="00831300"/>
    <w:rsid w:val="00835764"/>
    <w:rsid w:val="00866800"/>
    <w:rsid w:val="00871165"/>
    <w:rsid w:val="00873C92"/>
    <w:rsid w:val="00875ED5"/>
    <w:rsid w:val="00881E02"/>
    <w:rsid w:val="00885EDE"/>
    <w:rsid w:val="008A1FDD"/>
    <w:rsid w:val="008A4A9A"/>
    <w:rsid w:val="008C0CDC"/>
    <w:rsid w:val="008D116C"/>
    <w:rsid w:val="008E309A"/>
    <w:rsid w:val="008E6EF3"/>
    <w:rsid w:val="008F0C7E"/>
    <w:rsid w:val="008F1C8E"/>
    <w:rsid w:val="008F6F05"/>
    <w:rsid w:val="00904135"/>
    <w:rsid w:val="0091047F"/>
    <w:rsid w:val="0091234E"/>
    <w:rsid w:val="00912ED4"/>
    <w:rsid w:val="0091311A"/>
    <w:rsid w:val="009154FE"/>
    <w:rsid w:val="00915A0F"/>
    <w:rsid w:val="0092799F"/>
    <w:rsid w:val="009358DF"/>
    <w:rsid w:val="00942A5E"/>
    <w:rsid w:val="0094700B"/>
    <w:rsid w:val="009502CA"/>
    <w:rsid w:val="00955D62"/>
    <w:rsid w:val="00957A0F"/>
    <w:rsid w:val="00963ACC"/>
    <w:rsid w:val="00970D64"/>
    <w:rsid w:val="009769D3"/>
    <w:rsid w:val="009931CF"/>
    <w:rsid w:val="009954EC"/>
    <w:rsid w:val="00997DEF"/>
    <w:rsid w:val="009A4B16"/>
    <w:rsid w:val="009B3B1B"/>
    <w:rsid w:val="009D5319"/>
    <w:rsid w:val="009E3848"/>
    <w:rsid w:val="009E3F28"/>
    <w:rsid w:val="009E4B7A"/>
    <w:rsid w:val="009E506F"/>
    <w:rsid w:val="009F5006"/>
    <w:rsid w:val="00A144D0"/>
    <w:rsid w:val="00A364BC"/>
    <w:rsid w:val="00A416A0"/>
    <w:rsid w:val="00A534BB"/>
    <w:rsid w:val="00A700F3"/>
    <w:rsid w:val="00A737A3"/>
    <w:rsid w:val="00A73D02"/>
    <w:rsid w:val="00A8654C"/>
    <w:rsid w:val="00A96D79"/>
    <w:rsid w:val="00A97010"/>
    <w:rsid w:val="00AA310A"/>
    <w:rsid w:val="00AA52F9"/>
    <w:rsid w:val="00AA7100"/>
    <w:rsid w:val="00AC1864"/>
    <w:rsid w:val="00AC5C19"/>
    <w:rsid w:val="00AD63C5"/>
    <w:rsid w:val="00AE2482"/>
    <w:rsid w:val="00AE574B"/>
    <w:rsid w:val="00AE7CB6"/>
    <w:rsid w:val="00AF145A"/>
    <w:rsid w:val="00AF5354"/>
    <w:rsid w:val="00B05E26"/>
    <w:rsid w:val="00B06E89"/>
    <w:rsid w:val="00B06FB4"/>
    <w:rsid w:val="00B52A16"/>
    <w:rsid w:val="00B576CA"/>
    <w:rsid w:val="00B70855"/>
    <w:rsid w:val="00B81E55"/>
    <w:rsid w:val="00BA315F"/>
    <w:rsid w:val="00BA5558"/>
    <w:rsid w:val="00BB6266"/>
    <w:rsid w:val="00BB775A"/>
    <w:rsid w:val="00BC189F"/>
    <w:rsid w:val="00BC2718"/>
    <w:rsid w:val="00BC520A"/>
    <w:rsid w:val="00BC6427"/>
    <w:rsid w:val="00BC7053"/>
    <w:rsid w:val="00BD1735"/>
    <w:rsid w:val="00BD369F"/>
    <w:rsid w:val="00BE051A"/>
    <w:rsid w:val="00BE3BCE"/>
    <w:rsid w:val="00BF069A"/>
    <w:rsid w:val="00BF2287"/>
    <w:rsid w:val="00C07539"/>
    <w:rsid w:val="00C12E58"/>
    <w:rsid w:val="00C1522C"/>
    <w:rsid w:val="00C15858"/>
    <w:rsid w:val="00C20152"/>
    <w:rsid w:val="00C217F0"/>
    <w:rsid w:val="00C22998"/>
    <w:rsid w:val="00C244A0"/>
    <w:rsid w:val="00C306D1"/>
    <w:rsid w:val="00C369DD"/>
    <w:rsid w:val="00C437F8"/>
    <w:rsid w:val="00C5286E"/>
    <w:rsid w:val="00C7122F"/>
    <w:rsid w:val="00C71EFA"/>
    <w:rsid w:val="00C72846"/>
    <w:rsid w:val="00C775BB"/>
    <w:rsid w:val="00C82480"/>
    <w:rsid w:val="00C83C5D"/>
    <w:rsid w:val="00C8758B"/>
    <w:rsid w:val="00C9426E"/>
    <w:rsid w:val="00C94A68"/>
    <w:rsid w:val="00C977D0"/>
    <w:rsid w:val="00CA0738"/>
    <w:rsid w:val="00CA4B34"/>
    <w:rsid w:val="00CA6E6B"/>
    <w:rsid w:val="00CB1A61"/>
    <w:rsid w:val="00CC0A1E"/>
    <w:rsid w:val="00CD516A"/>
    <w:rsid w:val="00CE140E"/>
    <w:rsid w:val="00CF1C3C"/>
    <w:rsid w:val="00D0315C"/>
    <w:rsid w:val="00D07F54"/>
    <w:rsid w:val="00D13B10"/>
    <w:rsid w:val="00D16FC0"/>
    <w:rsid w:val="00D27CE8"/>
    <w:rsid w:val="00D330E9"/>
    <w:rsid w:val="00D3372C"/>
    <w:rsid w:val="00D3423F"/>
    <w:rsid w:val="00D4075C"/>
    <w:rsid w:val="00D429D6"/>
    <w:rsid w:val="00D45177"/>
    <w:rsid w:val="00D47F51"/>
    <w:rsid w:val="00D52EE6"/>
    <w:rsid w:val="00D53F92"/>
    <w:rsid w:val="00D63000"/>
    <w:rsid w:val="00D65F5B"/>
    <w:rsid w:val="00D73907"/>
    <w:rsid w:val="00D775F4"/>
    <w:rsid w:val="00D951A7"/>
    <w:rsid w:val="00DA1A83"/>
    <w:rsid w:val="00DA1D14"/>
    <w:rsid w:val="00DA3903"/>
    <w:rsid w:val="00DA6CBE"/>
    <w:rsid w:val="00DB44EE"/>
    <w:rsid w:val="00DB5BB0"/>
    <w:rsid w:val="00DB62B3"/>
    <w:rsid w:val="00DC2C06"/>
    <w:rsid w:val="00DD5501"/>
    <w:rsid w:val="00DF2E4C"/>
    <w:rsid w:val="00DF54BA"/>
    <w:rsid w:val="00E15BFA"/>
    <w:rsid w:val="00E22ABE"/>
    <w:rsid w:val="00E32B2F"/>
    <w:rsid w:val="00E371A4"/>
    <w:rsid w:val="00E43F34"/>
    <w:rsid w:val="00E65D3F"/>
    <w:rsid w:val="00E65FCA"/>
    <w:rsid w:val="00E66FD2"/>
    <w:rsid w:val="00E72532"/>
    <w:rsid w:val="00E77A89"/>
    <w:rsid w:val="00E87625"/>
    <w:rsid w:val="00E91411"/>
    <w:rsid w:val="00EB2359"/>
    <w:rsid w:val="00EB3388"/>
    <w:rsid w:val="00EC2FEA"/>
    <w:rsid w:val="00EC5BAE"/>
    <w:rsid w:val="00EC740D"/>
    <w:rsid w:val="00EC792F"/>
    <w:rsid w:val="00ED0C4B"/>
    <w:rsid w:val="00ED4643"/>
    <w:rsid w:val="00ED4EAC"/>
    <w:rsid w:val="00ED5087"/>
    <w:rsid w:val="00ED5F92"/>
    <w:rsid w:val="00ED685B"/>
    <w:rsid w:val="00ED6A78"/>
    <w:rsid w:val="00F03051"/>
    <w:rsid w:val="00F06DB9"/>
    <w:rsid w:val="00F15C82"/>
    <w:rsid w:val="00F217EE"/>
    <w:rsid w:val="00F24ACA"/>
    <w:rsid w:val="00F25CBD"/>
    <w:rsid w:val="00F32148"/>
    <w:rsid w:val="00F32441"/>
    <w:rsid w:val="00F34AE6"/>
    <w:rsid w:val="00F352DB"/>
    <w:rsid w:val="00F355F9"/>
    <w:rsid w:val="00F3571F"/>
    <w:rsid w:val="00F4299A"/>
    <w:rsid w:val="00F539BE"/>
    <w:rsid w:val="00F639A7"/>
    <w:rsid w:val="00F65C1D"/>
    <w:rsid w:val="00F70AD2"/>
    <w:rsid w:val="00F77082"/>
    <w:rsid w:val="00F83731"/>
    <w:rsid w:val="00F85E93"/>
    <w:rsid w:val="00F8628D"/>
    <w:rsid w:val="00F95DD8"/>
    <w:rsid w:val="00F96ABC"/>
    <w:rsid w:val="00F97381"/>
    <w:rsid w:val="00FA07CC"/>
    <w:rsid w:val="00FA5B78"/>
    <w:rsid w:val="00FA7100"/>
    <w:rsid w:val="00FB271A"/>
    <w:rsid w:val="00FC1132"/>
    <w:rsid w:val="00FC423A"/>
    <w:rsid w:val="00FC49A9"/>
    <w:rsid w:val="00FC6779"/>
    <w:rsid w:val="00FD06E0"/>
    <w:rsid w:val="00FE2DE4"/>
    <w:rsid w:val="00FE7AB7"/>
    <w:rsid w:val="00FF09B1"/>
    <w:rsid w:val="00FF632A"/>
    <w:rsid w:val="00FF6F06"/>
    <w:rsid w:val="00FF73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4BE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80634"/>
  </w:style>
  <w:style w:type="paragraph" w:styleId="Heading1">
    <w:name w:val="heading 1"/>
    <w:basedOn w:val="Normal"/>
    <w:next w:val="Text1"/>
    <w:link w:val="Heading1Char"/>
    <w:qFormat/>
    <w:rsid w:val="00244E6A"/>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rsid w:val="00244E6A"/>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244E6A"/>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244E6A"/>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1058A"/>
    <w:rPr>
      <w:color w:val="0000FF"/>
      <w:shd w:val="clear" w:color="auto" w:fill="auto"/>
    </w:rPr>
  </w:style>
  <w:style w:type="paragraph" w:customStyle="1" w:styleId="Pagedecouverture">
    <w:name w:val="Page de couverture"/>
    <w:basedOn w:val="Normal"/>
    <w:next w:val="Normal"/>
    <w:rsid w:val="0021058A"/>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F15C82"/>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F15C82"/>
    <w:rPr>
      <w:rFonts w:ascii="Times New Roman" w:hAnsi="Times New Roman" w:cs="Times New Roman"/>
      <w:sz w:val="24"/>
    </w:rPr>
  </w:style>
  <w:style w:type="paragraph" w:styleId="Footer">
    <w:name w:val="footer"/>
    <w:basedOn w:val="Normal"/>
    <w:link w:val="FooterChar"/>
    <w:uiPriority w:val="99"/>
    <w:unhideWhenUsed/>
    <w:rsid w:val="00F15C8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F15C82"/>
    <w:rPr>
      <w:rFonts w:ascii="Times New Roman" w:hAnsi="Times New Roman" w:cs="Times New Roman"/>
      <w:sz w:val="24"/>
    </w:rPr>
  </w:style>
  <w:style w:type="paragraph" w:customStyle="1" w:styleId="FooterCoverPage">
    <w:name w:val="Footer Cover Page"/>
    <w:basedOn w:val="Normal"/>
    <w:link w:val="FooterCoverPageChar"/>
    <w:rsid w:val="0021058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1058A"/>
    <w:rPr>
      <w:rFonts w:ascii="Times New Roman" w:hAnsi="Times New Roman" w:cs="Times New Roman"/>
      <w:sz w:val="24"/>
    </w:rPr>
  </w:style>
  <w:style w:type="paragraph" w:customStyle="1" w:styleId="HeaderCoverPage">
    <w:name w:val="Header Cover Page"/>
    <w:basedOn w:val="Normal"/>
    <w:link w:val="HeaderCoverPageChar"/>
    <w:rsid w:val="0021058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1058A"/>
    <w:rPr>
      <w:rFonts w:ascii="Times New Roman" w:hAnsi="Times New Roman" w:cs="Times New Roman"/>
      <w:sz w:val="24"/>
    </w:rPr>
  </w:style>
  <w:style w:type="character" w:customStyle="1" w:styleId="Heading1Char">
    <w:name w:val="Heading 1 Char"/>
    <w:basedOn w:val="DefaultParagraphFont"/>
    <w:link w:val="Heading1"/>
    <w:rsid w:val="00244E6A"/>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244E6A"/>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244E6A"/>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244E6A"/>
    <w:rPr>
      <w:rFonts w:ascii="Times New Roman" w:eastAsia="Times New Roman" w:hAnsi="Times New Roman" w:cs="Times New Roman"/>
      <w:sz w:val="24"/>
      <w:szCs w:val="20"/>
    </w:rPr>
  </w:style>
  <w:style w:type="paragraph" w:customStyle="1" w:styleId="Text1">
    <w:name w:val="Text 1"/>
    <w:basedOn w:val="Normal"/>
    <w:link w:val="Text1Char"/>
    <w:rsid w:val="00244E6A"/>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rsid w:val="00244E6A"/>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rsid w:val="00244E6A"/>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rsid w:val="00244E6A"/>
    <w:pPr>
      <w:numPr>
        <w:numId w:val="2"/>
      </w:numPr>
    </w:pPr>
  </w:style>
  <w:style w:type="table" w:styleId="TableGrid">
    <w:name w:val="Table Grid"/>
    <w:aliases w:val="Document Table,CV1"/>
    <w:basedOn w:val="TableNormal"/>
    <w:uiPriority w:val="39"/>
    <w:rsid w:val="00244E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rsid w:val="00244E6A"/>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sid w:val="00244E6A"/>
    <w:rPr>
      <w:rFonts w:ascii="Times New Roman" w:eastAsia="Times New Roman" w:hAnsi="Times New Roman" w:cs="Times New Roman"/>
      <w:b/>
      <w:sz w:val="32"/>
      <w:szCs w:val="20"/>
    </w:rPr>
  </w:style>
  <w:style w:type="table" w:customStyle="1" w:styleId="CV11">
    <w:name w:val="CV11"/>
    <w:basedOn w:val="TableNormal"/>
    <w:next w:val="TableGrid"/>
    <w:uiPriority w:val="39"/>
    <w:rsid w:val="00244E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rsid w:val="00244E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rsid w:val="00244E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44E6A"/>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rsid w:val="00244E6A"/>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rsid w:val="00244E6A"/>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244E6A"/>
    <w:rPr>
      <w:color w:val="0000FF" w:themeColor="hyperlink"/>
      <w:u w:val="single"/>
    </w:rPr>
  </w:style>
  <w:style w:type="paragraph" w:styleId="BalloonText">
    <w:name w:val="Balloon Text"/>
    <w:basedOn w:val="Normal"/>
    <w:link w:val="BalloonTextChar"/>
    <w:uiPriority w:val="99"/>
    <w:semiHidden/>
    <w:unhideWhenUsed/>
    <w:rsid w:val="000B4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04B"/>
    <w:rPr>
      <w:rFonts w:ascii="Tahoma" w:hAnsi="Tahoma" w:cs="Tahoma"/>
      <w:sz w:val="16"/>
      <w:szCs w:val="16"/>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rsid w:val="00970D64"/>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rsid w:val="00F24ACA"/>
    <w:pPr>
      <w:spacing w:after="0" w:line="240" w:lineRule="auto"/>
      <w:ind w:left="720" w:hanging="720"/>
    </w:pPr>
    <w:rPr>
      <w:rFonts w:ascii="Times New Roman" w:hAnsi="Times New Roman"/>
      <w:sz w:val="18"/>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sid w:val="00F24ACA"/>
    <w:rPr>
      <w:rFonts w:ascii="Times New Roman" w:hAnsi="Times New Roman"/>
      <w:sz w:val="18"/>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uiPriority w:val="99"/>
    <w:unhideWhenUsed/>
    <w:qFormat/>
    <w:rsid w:val="009769D3"/>
    <w:rPr>
      <w:vertAlign w:val="superscript"/>
    </w:rPr>
  </w:style>
  <w:style w:type="paragraph" w:customStyle="1" w:styleId="Declassification">
    <w:name w:val="Declassification"/>
    <w:basedOn w:val="Normal"/>
    <w:next w:val="Normal"/>
    <w:rsid w:val="00F15C82"/>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F15C82"/>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F15C8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F15C82"/>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F15C8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llowedHyperlink">
    <w:name w:val="FollowedHyperlink"/>
    <w:basedOn w:val="DefaultParagraphFont"/>
    <w:uiPriority w:val="99"/>
    <w:semiHidden/>
    <w:unhideWhenUsed/>
    <w:rsid w:val="0025285E"/>
    <w:rPr>
      <w:color w:val="800080" w:themeColor="followedHyperlink"/>
      <w:u w:val="single"/>
    </w:rPr>
  </w:style>
  <w:style w:type="character" w:customStyle="1" w:styleId="A6">
    <w:name w:val="A6"/>
    <w:uiPriority w:val="99"/>
    <w:rsid w:val="008302F7"/>
    <w:rPr>
      <w:rFonts w:cs="Garamond"/>
      <w:color w:val="000000"/>
      <w:sz w:val="22"/>
      <w:szCs w:val="22"/>
    </w:rPr>
  </w:style>
  <w:style w:type="paragraph" w:customStyle="1" w:styleId="ListDash2">
    <w:name w:val="List Dash 2"/>
    <w:basedOn w:val="Text2"/>
    <w:rsid w:val="00D45177"/>
    <w:pPr>
      <w:numPr>
        <w:numId w:val="19"/>
      </w:numPr>
      <w:tabs>
        <w:tab w:val="clear" w:pos="2302"/>
      </w:tabs>
    </w:pPr>
  </w:style>
  <w:style w:type="paragraph" w:customStyle="1" w:styleId="ListDash3">
    <w:name w:val="List Dash 3"/>
    <w:basedOn w:val="Normal"/>
    <w:rsid w:val="00D45177"/>
    <w:pPr>
      <w:numPr>
        <w:numId w:val="21"/>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rsid w:val="00FF09B1"/>
    <w:pPr>
      <w:numPr>
        <w:numId w:val="23"/>
      </w:numPr>
      <w:tabs>
        <w:tab w:val="clear" w:pos="2302"/>
      </w:tabs>
    </w:pPr>
  </w:style>
  <w:style w:type="paragraph" w:customStyle="1" w:styleId="ListNumber2Level2">
    <w:name w:val="List Number 2 (Level 2)"/>
    <w:basedOn w:val="Text2"/>
    <w:rsid w:val="00FF09B1"/>
    <w:pPr>
      <w:numPr>
        <w:ilvl w:val="1"/>
        <w:numId w:val="23"/>
      </w:numPr>
      <w:tabs>
        <w:tab w:val="clear" w:pos="2302"/>
      </w:tabs>
    </w:pPr>
  </w:style>
  <w:style w:type="paragraph" w:customStyle="1" w:styleId="ListNumber2Level3">
    <w:name w:val="List Number 2 (Level 3)"/>
    <w:basedOn w:val="Text2"/>
    <w:rsid w:val="00FF09B1"/>
    <w:pPr>
      <w:numPr>
        <w:ilvl w:val="2"/>
        <w:numId w:val="23"/>
      </w:numPr>
      <w:tabs>
        <w:tab w:val="clear" w:pos="2302"/>
      </w:tabs>
    </w:pPr>
  </w:style>
  <w:style w:type="paragraph" w:customStyle="1" w:styleId="ListNumber2Level4">
    <w:name w:val="List Number 2 (Level 4)"/>
    <w:basedOn w:val="Text2"/>
    <w:rsid w:val="00FF09B1"/>
    <w:pPr>
      <w:numPr>
        <w:ilvl w:val="3"/>
        <w:numId w:val="23"/>
      </w:numPr>
      <w:tabs>
        <w:tab w:val="clear" w:pos="2302"/>
      </w:tabs>
    </w:pPr>
  </w:style>
  <w:style w:type="character" w:customStyle="1" w:styleId="Text1Char">
    <w:name w:val="Text 1 Char"/>
    <w:link w:val="Text1"/>
    <w:rsid w:val="00FF09B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111A2"/>
    <w:rPr>
      <w:sz w:val="16"/>
      <w:szCs w:val="16"/>
    </w:rPr>
  </w:style>
  <w:style w:type="paragraph" w:styleId="CommentText">
    <w:name w:val="annotation text"/>
    <w:basedOn w:val="Normal"/>
    <w:link w:val="CommentTextChar"/>
    <w:uiPriority w:val="99"/>
    <w:semiHidden/>
    <w:unhideWhenUsed/>
    <w:rsid w:val="002111A2"/>
    <w:pPr>
      <w:spacing w:line="240" w:lineRule="auto"/>
    </w:pPr>
    <w:rPr>
      <w:sz w:val="20"/>
      <w:szCs w:val="20"/>
    </w:rPr>
  </w:style>
  <w:style w:type="character" w:customStyle="1" w:styleId="CommentTextChar">
    <w:name w:val="Comment Text Char"/>
    <w:basedOn w:val="DefaultParagraphFont"/>
    <w:link w:val="CommentText"/>
    <w:uiPriority w:val="99"/>
    <w:semiHidden/>
    <w:rsid w:val="002111A2"/>
    <w:rPr>
      <w:sz w:val="20"/>
      <w:szCs w:val="20"/>
    </w:rPr>
  </w:style>
  <w:style w:type="paragraph" w:styleId="CommentSubject">
    <w:name w:val="annotation subject"/>
    <w:basedOn w:val="CommentText"/>
    <w:next w:val="CommentText"/>
    <w:link w:val="CommentSubjectChar"/>
    <w:uiPriority w:val="99"/>
    <w:semiHidden/>
    <w:unhideWhenUsed/>
    <w:rsid w:val="002111A2"/>
    <w:rPr>
      <w:b/>
      <w:bCs/>
    </w:rPr>
  </w:style>
  <w:style w:type="character" w:customStyle="1" w:styleId="CommentSubjectChar">
    <w:name w:val="Comment Subject Char"/>
    <w:basedOn w:val="CommentTextChar"/>
    <w:link w:val="CommentSubject"/>
    <w:uiPriority w:val="99"/>
    <w:semiHidden/>
    <w:rsid w:val="002111A2"/>
    <w:rPr>
      <w:b/>
      <w:bCs/>
      <w:sz w:val="20"/>
      <w:szCs w:val="20"/>
    </w:rPr>
  </w:style>
  <w:style w:type="paragraph" w:styleId="Revision">
    <w:name w:val="Revision"/>
    <w:hidden/>
    <w:uiPriority w:val="99"/>
    <w:semiHidden/>
    <w:rsid w:val="002111A2"/>
    <w:pPr>
      <w:spacing w:after="0" w:line="240" w:lineRule="auto"/>
    </w:pPr>
  </w:style>
  <w:style w:type="paragraph" w:styleId="Subtitle">
    <w:name w:val="Subtitle"/>
    <w:basedOn w:val="Normal"/>
    <w:next w:val="Normal"/>
    <w:link w:val="SubtitleChar"/>
    <w:uiPriority w:val="11"/>
    <w:qFormat/>
    <w:rsid w:val="00BA31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315F"/>
    <w:rPr>
      <w:rFonts w:asciiTheme="majorHAnsi" w:eastAsiaTheme="majorEastAsia" w:hAnsiTheme="majorHAnsi" w:cstheme="majorBidi"/>
      <w:i/>
      <w:iCs/>
      <w:color w:val="4F81BD" w:themeColor="accent1"/>
      <w:spacing w:val="15"/>
      <w:sz w:val="24"/>
      <w:szCs w:val="24"/>
    </w:r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sid w:val="004F4048"/>
  </w:style>
  <w:style w:type="character" w:customStyle="1" w:styleId="st">
    <w:name w:val="st"/>
    <w:basedOn w:val="DefaultParagraphFont"/>
    <w:rsid w:val="001663C0"/>
  </w:style>
  <w:style w:type="character" w:styleId="Emphasis">
    <w:name w:val="Emphasis"/>
    <w:basedOn w:val="DefaultParagraphFont"/>
    <w:uiPriority w:val="20"/>
    <w:qFormat/>
    <w:rsid w:val="001663C0"/>
    <w:rPr>
      <w:i/>
      <w:iCs/>
    </w:rPr>
  </w:style>
  <w:style w:type="paragraph" w:styleId="TOC3">
    <w:name w:val="toc 3"/>
    <w:basedOn w:val="Normal"/>
    <w:next w:val="Normal"/>
    <w:autoRedefine/>
    <w:uiPriority w:val="39"/>
    <w:unhideWhenUsed/>
    <w:rsid w:val="00EC792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80634"/>
  </w:style>
  <w:style w:type="paragraph" w:styleId="Heading1">
    <w:name w:val="heading 1"/>
    <w:basedOn w:val="Normal"/>
    <w:next w:val="Text1"/>
    <w:link w:val="Heading1Char"/>
    <w:qFormat/>
    <w:rsid w:val="00244E6A"/>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rsid w:val="00244E6A"/>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244E6A"/>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244E6A"/>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1058A"/>
    <w:rPr>
      <w:color w:val="0000FF"/>
      <w:shd w:val="clear" w:color="auto" w:fill="auto"/>
    </w:rPr>
  </w:style>
  <w:style w:type="paragraph" w:customStyle="1" w:styleId="Pagedecouverture">
    <w:name w:val="Page de couverture"/>
    <w:basedOn w:val="Normal"/>
    <w:next w:val="Normal"/>
    <w:rsid w:val="0021058A"/>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F15C82"/>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F15C82"/>
    <w:rPr>
      <w:rFonts w:ascii="Times New Roman" w:hAnsi="Times New Roman" w:cs="Times New Roman"/>
      <w:sz w:val="24"/>
    </w:rPr>
  </w:style>
  <w:style w:type="paragraph" w:styleId="Footer">
    <w:name w:val="footer"/>
    <w:basedOn w:val="Normal"/>
    <w:link w:val="FooterChar"/>
    <w:uiPriority w:val="99"/>
    <w:unhideWhenUsed/>
    <w:rsid w:val="00F15C8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F15C82"/>
    <w:rPr>
      <w:rFonts w:ascii="Times New Roman" w:hAnsi="Times New Roman" w:cs="Times New Roman"/>
      <w:sz w:val="24"/>
    </w:rPr>
  </w:style>
  <w:style w:type="paragraph" w:customStyle="1" w:styleId="FooterCoverPage">
    <w:name w:val="Footer Cover Page"/>
    <w:basedOn w:val="Normal"/>
    <w:link w:val="FooterCoverPageChar"/>
    <w:rsid w:val="0021058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1058A"/>
    <w:rPr>
      <w:rFonts w:ascii="Times New Roman" w:hAnsi="Times New Roman" w:cs="Times New Roman"/>
      <w:sz w:val="24"/>
    </w:rPr>
  </w:style>
  <w:style w:type="paragraph" w:customStyle="1" w:styleId="HeaderCoverPage">
    <w:name w:val="Header Cover Page"/>
    <w:basedOn w:val="Normal"/>
    <w:link w:val="HeaderCoverPageChar"/>
    <w:rsid w:val="0021058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1058A"/>
    <w:rPr>
      <w:rFonts w:ascii="Times New Roman" w:hAnsi="Times New Roman" w:cs="Times New Roman"/>
      <w:sz w:val="24"/>
    </w:rPr>
  </w:style>
  <w:style w:type="character" w:customStyle="1" w:styleId="Heading1Char">
    <w:name w:val="Heading 1 Char"/>
    <w:basedOn w:val="DefaultParagraphFont"/>
    <w:link w:val="Heading1"/>
    <w:rsid w:val="00244E6A"/>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244E6A"/>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244E6A"/>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244E6A"/>
    <w:rPr>
      <w:rFonts w:ascii="Times New Roman" w:eastAsia="Times New Roman" w:hAnsi="Times New Roman" w:cs="Times New Roman"/>
      <w:sz w:val="24"/>
      <w:szCs w:val="20"/>
    </w:rPr>
  </w:style>
  <w:style w:type="paragraph" w:customStyle="1" w:styleId="Text1">
    <w:name w:val="Text 1"/>
    <w:basedOn w:val="Normal"/>
    <w:link w:val="Text1Char"/>
    <w:rsid w:val="00244E6A"/>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rsid w:val="00244E6A"/>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rsid w:val="00244E6A"/>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rsid w:val="00244E6A"/>
    <w:pPr>
      <w:numPr>
        <w:numId w:val="2"/>
      </w:numPr>
    </w:pPr>
  </w:style>
  <w:style w:type="table" w:styleId="TableGrid">
    <w:name w:val="Table Grid"/>
    <w:aliases w:val="Document Table,CV1"/>
    <w:basedOn w:val="TableNormal"/>
    <w:uiPriority w:val="39"/>
    <w:rsid w:val="00244E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rsid w:val="00244E6A"/>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sid w:val="00244E6A"/>
    <w:rPr>
      <w:rFonts w:ascii="Times New Roman" w:eastAsia="Times New Roman" w:hAnsi="Times New Roman" w:cs="Times New Roman"/>
      <w:b/>
      <w:sz w:val="32"/>
      <w:szCs w:val="20"/>
    </w:rPr>
  </w:style>
  <w:style w:type="table" w:customStyle="1" w:styleId="CV11">
    <w:name w:val="CV11"/>
    <w:basedOn w:val="TableNormal"/>
    <w:next w:val="TableGrid"/>
    <w:uiPriority w:val="39"/>
    <w:rsid w:val="00244E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rsid w:val="00244E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rsid w:val="00244E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44E6A"/>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rsid w:val="00244E6A"/>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rsid w:val="00244E6A"/>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244E6A"/>
    <w:rPr>
      <w:color w:val="0000FF" w:themeColor="hyperlink"/>
      <w:u w:val="single"/>
    </w:rPr>
  </w:style>
  <w:style w:type="paragraph" w:styleId="BalloonText">
    <w:name w:val="Balloon Text"/>
    <w:basedOn w:val="Normal"/>
    <w:link w:val="BalloonTextChar"/>
    <w:uiPriority w:val="99"/>
    <w:semiHidden/>
    <w:unhideWhenUsed/>
    <w:rsid w:val="000B4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04B"/>
    <w:rPr>
      <w:rFonts w:ascii="Tahoma" w:hAnsi="Tahoma" w:cs="Tahoma"/>
      <w:sz w:val="16"/>
      <w:szCs w:val="16"/>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rsid w:val="00970D64"/>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rsid w:val="00F24ACA"/>
    <w:pPr>
      <w:spacing w:after="0" w:line="240" w:lineRule="auto"/>
      <w:ind w:left="720" w:hanging="720"/>
    </w:pPr>
    <w:rPr>
      <w:rFonts w:ascii="Times New Roman" w:hAnsi="Times New Roman"/>
      <w:sz w:val="18"/>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sid w:val="00F24ACA"/>
    <w:rPr>
      <w:rFonts w:ascii="Times New Roman" w:hAnsi="Times New Roman"/>
      <w:sz w:val="18"/>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uiPriority w:val="99"/>
    <w:unhideWhenUsed/>
    <w:qFormat/>
    <w:rsid w:val="009769D3"/>
    <w:rPr>
      <w:vertAlign w:val="superscript"/>
    </w:rPr>
  </w:style>
  <w:style w:type="paragraph" w:customStyle="1" w:styleId="Declassification">
    <w:name w:val="Declassification"/>
    <w:basedOn w:val="Normal"/>
    <w:next w:val="Normal"/>
    <w:rsid w:val="00F15C82"/>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F15C82"/>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F15C8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F15C82"/>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F15C8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llowedHyperlink">
    <w:name w:val="FollowedHyperlink"/>
    <w:basedOn w:val="DefaultParagraphFont"/>
    <w:uiPriority w:val="99"/>
    <w:semiHidden/>
    <w:unhideWhenUsed/>
    <w:rsid w:val="0025285E"/>
    <w:rPr>
      <w:color w:val="800080" w:themeColor="followedHyperlink"/>
      <w:u w:val="single"/>
    </w:rPr>
  </w:style>
  <w:style w:type="character" w:customStyle="1" w:styleId="A6">
    <w:name w:val="A6"/>
    <w:uiPriority w:val="99"/>
    <w:rsid w:val="008302F7"/>
    <w:rPr>
      <w:rFonts w:cs="Garamond"/>
      <w:color w:val="000000"/>
      <w:sz w:val="22"/>
      <w:szCs w:val="22"/>
    </w:rPr>
  </w:style>
  <w:style w:type="paragraph" w:customStyle="1" w:styleId="ListDash2">
    <w:name w:val="List Dash 2"/>
    <w:basedOn w:val="Text2"/>
    <w:rsid w:val="00D45177"/>
    <w:pPr>
      <w:numPr>
        <w:numId w:val="19"/>
      </w:numPr>
      <w:tabs>
        <w:tab w:val="clear" w:pos="2302"/>
      </w:tabs>
    </w:pPr>
  </w:style>
  <w:style w:type="paragraph" w:customStyle="1" w:styleId="ListDash3">
    <w:name w:val="List Dash 3"/>
    <w:basedOn w:val="Normal"/>
    <w:rsid w:val="00D45177"/>
    <w:pPr>
      <w:numPr>
        <w:numId w:val="21"/>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rsid w:val="00FF09B1"/>
    <w:pPr>
      <w:numPr>
        <w:numId w:val="23"/>
      </w:numPr>
      <w:tabs>
        <w:tab w:val="clear" w:pos="2302"/>
      </w:tabs>
    </w:pPr>
  </w:style>
  <w:style w:type="paragraph" w:customStyle="1" w:styleId="ListNumber2Level2">
    <w:name w:val="List Number 2 (Level 2)"/>
    <w:basedOn w:val="Text2"/>
    <w:rsid w:val="00FF09B1"/>
    <w:pPr>
      <w:numPr>
        <w:ilvl w:val="1"/>
        <w:numId w:val="23"/>
      </w:numPr>
      <w:tabs>
        <w:tab w:val="clear" w:pos="2302"/>
      </w:tabs>
    </w:pPr>
  </w:style>
  <w:style w:type="paragraph" w:customStyle="1" w:styleId="ListNumber2Level3">
    <w:name w:val="List Number 2 (Level 3)"/>
    <w:basedOn w:val="Text2"/>
    <w:rsid w:val="00FF09B1"/>
    <w:pPr>
      <w:numPr>
        <w:ilvl w:val="2"/>
        <w:numId w:val="23"/>
      </w:numPr>
      <w:tabs>
        <w:tab w:val="clear" w:pos="2302"/>
      </w:tabs>
    </w:pPr>
  </w:style>
  <w:style w:type="paragraph" w:customStyle="1" w:styleId="ListNumber2Level4">
    <w:name w:val="List Number 2 (Level 4)"/>
    <w:basedOn w:val="Text2"/>
    <w:rsid w:val="00FF09B1"/>
    <w:pPr>
      <w:numPr>
        <w:ilvl w:val="3"/>
        <w:numId w:val="23"/>
      </w:numPr>
      <w:tabs>
        <w:tab w:val="clear" w:pos="2302"/>
      </w:tabs>
    </w:pPr>
  </w:style>
  <w:style w:type="character" w:customStyle="1" w:styleId="Text1Char">
    <w:name w:val="Text 1 Char"/>
    <w:link w:val="Text1"/>
    <w:rsid w:val="00FF09B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111A2"/>
    <w:rPr>
      <w:sz w:val="16"/>
      <w:szCs w:val="16"/>
    </w:rPr>
  </w:style>
  <w:style w:type="paragraph" w:styleId="CommentText">
    <w:name w:val="annotation text"/>
    <w:basedOn w:val="Normal"/>
    <w:link w:val="CommentTextChar"/>
    <w:uiPriority w:val="99"/>
    <w:semiHidden/>
    <w:unhideWhenUsed/>
    <w:rsid w:val="002111A2"/>
    <w:pPr>
      <w:spacing w:line="240" w:lineRule="auto"/>
    </w:pPr>
    <w:rPr>
      <w:sz w:val="20"/>
      <w:szCs w:val="20"/>
    </w:rPr>
  </w:style>
  <w:style w:type="character" w:customStyle="1" w:styleId="CommentTextChar">
    <w:name w:val="Comment Text Char"/>
    <w:basedOn w:val="DefaultParagraphFont"/>
    <w:link w:val="CommentText"/>
    <w:uiPriority w:val="99"/>
    <w:semiHidden/>
    <w:rsid w:val="002111A2"/>
    <w:rPr>
      <w:sz w:val="20"/>
      <w:szCs w:val="20"/>
    </w:rPr>
  </w:style>
  <w:style w:type="paragraph" w:styleId="CommentSubject">
    <w:name w:val="annotation subject"/>
    <w:basedOn w:val="CommentText"/>
    <w:next w:val="CommentText"/>
    <w:link w:val="CommentSubjectChar"/>
    <w:uiPriority w:val="99"/>
    <w:semiHidden/>
    <w:unhideWhenUsed/>
    <w:rsid w:val="002111A2"/>
    <w:rPr>
      <w:b/>
      <w:bCs/>
    </w:rPr>
  </w:style>
  <w:style w:type="character" w:customStyle="1" w:styleId="CommentSubjectChar">
    <w:name w:val="Comment Subject Char"/>
    <w:basedOn w:val="CommentTextChar"/>
    <w:link w:val="CommentSubject"/>
    <w:uiPriority w:val="99"/>
    <w:semiHidden/>
    <w:rsid w:val="002111A2"/>
    <w:rPr>
      <w:b/>
      <w:bCs/>
      <w:sz w:val="20"/>
      <w:szCs w:val="20"/>
    </w:rPr>
  </w:style>
  <w:style w:type="paragraph" w:styleId="Revision">
    <w:name w:val="Revision"/>
    <w:hidden/>
    <w:uiPriority w:val="99"/>
    <w:semiHidden/>
    <w:rsid w:val="002111A2"/>
    <w:pPr>
      <w:spacing w:after="0" w:line="240" w:lineRule="auto"/>
    </w:pPr>
  </w:style>
  <w:style w:type="paragraph" w:styleId="Subtitle">
    <w:name w:val="Subtitle"/>
    <w:basedOn w:val="Normal"/>
    <w:next w:val="Normal"/>
    <w:link w:val="SubtitleChar"/>
    <w:uiPriority w:val="11"/>
    <w:qFormat/>
    <w:rsid w:val="00BA31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315F"/>
    <w:rPr>
      <w:rFonts w:asciiTheme="majorHAnsi" w:eastAsiaTheme="majorEastAsia" w:hAnsiTheme="majorHAnsi" w:cstheme="majorBidi"/>
      <w:i/>
      <w:iCs/>
      <w:color w:val="4F81BD" w:themeColor="accent1"/>
      <w:spacing w:val="15"/>
      <w:sz w:val="24"/>
      <w:szCs w:val="24"/>
    </w:r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sid w:val="004F4048"/>
  </w:style>
  <w:style w:type="character" w:customStyle="1" w:styleId="st">
    <w:name w:val="st"/>
    <w:basedOn w:val="DefaultParagraphFont"/>
    <w:rsid w:val="001663C0"/>
  </w:style>
  <w:style w:type="character" w:styleId="Emphasis">
    <w:name w:val="Emphasis"/>
    <w:basedOn w:val="DefaultParagraphFont"/>
    <w:uiPriority w:val="20"/>
    <w:qFormat/>
    <w:rsid w:val="001663C0"/>
    <w:rPr>
      <w:i/>
      <w:iCs/>
    </w:rPr>
  </w:style>
  <w:style w:type="paragraph" w:styleId="TOC3">
    <w:name w:val="toc 3"/>
    <w:basedOn w:val="Normal"/>
    <w:next w:val="Normal"/>
    <w:autoRedefine/>
    <w:uiPriority w:val="39"/>
    <w:unhideWhenUsed/>
    <w:rsid w:val="00EC792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png"/><Relationship Id="rId39" Type="http://schemas.openxmlformats.org/officeDocument/2006/relationships/header" Target="header11.xml"/><Relationship Id="rId21" Type="http://schemas.openxmlformats.org/officeDocument/2006/relationships/footer" Target="footer4.xml"/><Relationship Id="rId34" Type="http://schemas.openxmlformats.org/officeDocument/2006/relationships/diagramLayout" Target="diagrams/layout1.xml"/><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image" Target="media/image3.png"/><Relationship Id="rId55" Type="http://schemas.openxmlformats.org/officeDocument/2006/relationships/header" Target="header18.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c.europa.eu/commission/priorities/democratic-change/future-europe/eu-budget-future_en" TargetMode="External"/><Relationship Id="rId33" Type="http://schemas.openxmlformats.org/officeDocument/2006/relationships/diagramData" Target="diagrams/data1.xml"/><Relationship Id="rId38" Type="http://schemas.openxmlformats.org/officeDocument/2006/relationships/header" Target="header10.xml"/><Relationship Id="rId46" Type="http://schemas.openxmlformats.org/officeDocument/2006/relationships/footer" Target="footer13.xm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41" Type="http://schemas.openxmlformats.org/officeDocument/2006/relationships/footer" Target="footer11.xml"/><Relationship Id="rId54"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9.xml"/><Relationship Id="rId37" Type="http://schemas.microsoft.com/office/2007/relationships/diagramDrawing" Target="diagrams/drawing1.xml"/><Relationship Id="rId40" Type="http://schemas.openxmlformats.org/officeDocument/2006/relationships/footer" Target="footer10.xml"/><Relationship Id="rId45" Type="http://schemas.openxmlformats.org/officeDocument/2006/relationships/header" Target="header14.xml"/><Relationship Id="rId53" Type="http://schemas.openxmlformats.org/officeDocument/2006/relationships/footer" Target="footer16.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diagramColors" Target="diagrams/colors1.xml"/><Relationship Id="rId49" Type="http://schemas.openxmlformats.org/officeDocument/2006/relationships/footer" Target="footer15.xm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header" Target="header13.xml"/><Relationship Id="rId52"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diagramQuickStyle" Target="diagrams/quickStyle1.xml"/><Relationship Id="rId43" Type="http://schemas.openxmlformats.org/officeDocument/2006/relationships/footer" Target="footer12.xml"/><Relationship Id="rId48" Type="http://schemas.openxmlformats.org/officeDocument/2006/relationships/header" Target="header15.xml"/><Relationship Id="rId56" Type="http://schemas.openxmlformats.org/officeDocument/2006/relationships/footer" Target="footer18.xml"/><Relationship Id="rId8" Type="http://schemas.openxmlformats.org/officeDocument/2006/relationships/settings" Target="settings.xml"/><Relationship Id="rId51" Type="http://schemas.openxmlformats.org/officeDocument/2006/relationships/header" Target="header1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industry/policy/ict-standardisation_en" TargetMode="External"/><Relationship Id="rId7" Type="http://schemas.openxmlformats.org/officeDocument/2006/relationships/hyperlink" Target="https://ec.europa.eu/taxation_customs/fiscalis-programme/reference-documents_en" TargetMode="External"/><Relationship Id="rId2" Type="http://schemas.openxmlformats.org/officeDocument/2006/relationships/hyperlink" Target="https://ec.europa.eu/cefdigital/wiki/display/CEFDIGITAL/CEF+Digital+Home" TargetMode="External"/><Relationship Id="rId1" Type="http://schemas.openxmlformats.org/officeDocument/2006/relationships/hyperlink" Target="https://ec.europa.eu/commission/white-paper-future-europe-reflections-and-scenarios-eu27_en" TargetMode="External"/><Relationship Id="rId6" Type="http://schemas.openxmlformats.org/officeDocument/2006/relationships/hyperlink" Target="http://ec.europa.eu/taxation_customs/sites/taxation/files/resources/documents/common/" TargetMode="External"/><Relationship Id="rId5" Type="http://schemas.openxmlformats.org/officeDocument/2006/relationships/hyperlink" Target="https://ec.europa.eu/digital-single-market/en/news/european-commission-launches-eu-blockchain-observatory-and-forum" TargetMode="External"/><Relationship Id="rId4" Type="http://schemas.openxmlformats.org/officeDocument/2006/relationships/hyperlink" Target="https://ec.europa.eu/info/business-economy-euro/banking-and-finance/fintech_en"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AD3D2F-5AF7-4D8E-931E-035AB7B80473}" type="doc">
      <dgm:prSet loTypeId="urn:microsoft.com/office/officeart/2005/8/layout/lProcess2" loCatId="list" qsTypeId="urn:microsoft.com/office/officeart/2005/8/quickstyle/simple1" qsCatId="simple" csTypeId="urn:microsoft.com/office/officeart/2005/8/colors/accent2_1" csCatId="accent2" phldr="1"/>
      <dgm:spPr/>
      <dgm:t>
        <a:bodyPr/>
        <a:lstStyle/>
        <a:p>
          <a:endParaRPr lang="en-US"/>
        </a:p>
      </dgm:t>
    </dgm:pt>
    <dgm:pt modelId="{5000BF9D-847D-438E-8E26-CB10ECA3CE0B}">
      <dgm:prSet/>
      <dgm:spPr>
        <a:solidFill>
          <a:srgbClr val="0070C0"/>
        </a:solidFill>
        <a:ln>
          <a:noFill/>
        </a:ln>
      </dgm:spPr>
      <dgm:t>
        <a:bodyPr/>
        <a:lstStyle/>
        <a:p>
          <a:pPr algn="ctr"/>
          <a:r>
            <a:rPr lang="en-US" dirty="0" smtClean="0">
              <a:solidFill>
                <a:schemeClr val="bg1"/>
              </a:solidFill>
            </a:rPr>
            <a:t>Current 2020 </a:t>
          </a:r>
          <a:r>
            <a:rPr lang="en-US" dirty="0" err="1" smtClean="0">
              <a:solidFill>
                <a:schemeClr val="bg1"/>
              </a:solidFill>
            </a:rPr>
            <a:t>programme</a:t>
          </a:r>
          <a:endParaRPr lang="en-US" dirty="0">
            <a:solidFill>
              <a:schemeClr val="bg1"/>
            </a:solidFill>
          </a:endParaRPr>
        </a:p>
      </dgm:t>
    </dgm:pt>
    <dgm:pt modelId="{265505EA-80EA-4D6B-AB6B-C7BCD2C44BCC}" type="parTrans" cxnId="{0DA834A2-7ADB-4500-A726-EBC29DAA39FC}">
      <dgm:prSet/>
      <dgm:spPr/>
      <dgm:t>
        <a:bodyPr/>
        <a:lstStyle/>
        <a:p>
          <a:pPr algn="ctr"/>
          <a:endParaRPr lang="en-US"/>
        </a:p>
      </dgm:t>
    </dgm:pt>
    <dgm:pt modelId="{77A6C3B1-18EF-4704-AA10-4097FB5D8298}" type="sibTrans" cxnId="{0DA834A2-7ADB-4500-A726-EBC29DAA39FC}">
      <dgm:prSet/>
      <dgm:spPr/>
      <dgm:t>
        <a:bodyPr/>
        <a:lstStyle/>
        <a:p>
          <a:pPr algn="ctr"/>
          <a:endParaRPr lang="en-US"/>
        </a:p>
      </dgm:t>
    </dgm:pt>
    <dgm:pt modelId="{DB558913-1A90-4934-B3C4-F3576302FFB0}">
      <dgm:prSet/>
      <dgm:spPr>
        <a:solidFill>
          <a:srgbClr val="00B050"/>
        </a:solidFill>
      </dgm:spPr>
      <dgm:t>
        <a:bodyPr/>
        <a:lstStyle/>
        <a:p>
          <a:pPr algn="ctr"/>
          <a:r>
            <a:rPr lang="en-US" b="1" u="sng" dirty="0" smtClean="0">
              <a:solidFill>
                <a:schemeClr val="bg1"/>
              </a:solidFill>
            </a:rPr>
            <a:t>OPTION 3</a:t>
          </a:r>
          <a:r>
            <a:rPr lang="en-US" dirty="0" smtClean="0">
              <a:solidFill>
                <a:schemeClr val="bg1"/>
              </a:solidFill>
            </a:rPr>
            <a:t> Continuity “plus”</a:t>
          </a:r>
          <a:endParaRPr lang="en-US" dirty="0">
            <a:solidFill>
              <a:schemeClr val="bg1"/>
            </a:solidFill>
          </a:endParaRPr>
        </a:p>
      </dgm:t>
    </dgm:pt>
    <dgm:pt modelId="{F39D1A77-D6C8-4CB0-B32B-9831B5257583}" type="parTrans" cxnId="{1D1B275F-DA5F-4046-B5DD-8E74C23CB7FE}">
      <dgm:prSet/>
      <dgm:spPr/>
      <dgm:t>
        <a:bodyPr/>
        <a:lstStyle/>
        <a:p>
          <a:pPr algn="ctr"/>
          <a:endParaRPr lang="en-US"/>
        </a:p>
      </dgm:t>
    </dgm:pt>
    <dgm:pt modelId="{DC29D179-002E-4CE3-BACB-BCDFA3CE394F}" type="sibTrans" cxnId="{1D1B275F-DA5F-4046-B5DD-8E74C23CB7FE}">
      <dgm:prSet/>
      <dgm:spPr/>
      <dgm:t>
        <a:bodyPr/>
        <a:lstStyle/>
        <a:p>
          <a:pPr algn="ctr"/>
          <a:endParaRPr lang="en-US"/>
        </a:p>
      </dgm:t>
    </dgm:pt>
    <dgm:pt modelId="{AB6BD5F8-ACB1-4511-AFB1-F98D5CEB2607}">
      <dgm:prSet custT="1"/>
      <dgm:spPr>
        <a:solidFill>
          <a:schemeClr val="accent3">
            <a:lumMod val="40000"/>
            <a:lumOff val="60000"/>
          </a:schemeClr>
        </a:solidFill>
        <a:ln w="12700">
          <a:solidFill>
            <a:srgbClr val="0F5494"/>
          </a:solidFill>
        </a:ln>
      </dgm:spPr>
      <dgm:t>
        <a:bodyPr/>
        <a:lstStyle/>
        <a:p>
          <a:pPr algn="ctr"/>
          <a:r>
            <a:rPr lang="en-US" sz="1050" b="0" dirty="0" smtClean="0">
              <a:solidFill>
                <a:srgbClr val="0F5494"/>
              </a:solidFill>
            </a:rPr>
            <a:t>IT-1: Legacy 2020</a:t>
          </a:r>
          <a:endParaRPr lang="en-US" sz="1050" b="0" dirty="0">
            <a:solidFill>
              <a:srgbClr val="0F5494"/>
            </a:solidFill>
          </a:endParaRPr>
        </a:p>
      </dgm:t>
    </dgm:pt>
    <dgm:pt modelId="{A3694A0D-5C69-4D2F-8EFF-4FCAE6FFE617}" type="parTrans" cxnId="{224BCCF5-01EA-413B-A6E7-A57D71956EF6}">
      <dgm:prSet/>
      <dgm:spPr/>
      <dgm:t>
        <a:bodyPr/>
        <a:lstStyle/>
        <a:p>
          <a:pPr algn="ctr"/>
          <a:endParaRPr lang="en-US"/>
        </a:p>
      </dgm:t>
    </dgm:pt>
    <dgm:pt modelId="{5FE699C1-0480-446E-9912-1402A09FD41C}" type="sibTrans" cxnId="{224BCCF5-01EA-413B-A6E7-A57D71956EF6}">
      <dgm:prSet/>
      <dgm:spPr/>
      <dgm:t>
        <a:bodyPr/>
        <a:lstStyle/>
        <a:p>
          <a:pPr algn="ctr"/>
          <a:endParaRPr lang="en-US"/>
        </a:p>
      </dgm:t>
    </dgm:pt>
    <dgm:pt modelId="{537F2FFE-2FBE-451F-8E1C-C77B1C5B2769}">
      <dgm:prSet/>
      <dgm:spPr>
        <a:solidFill>
          <a:schemeClr val="bg1"/>
        </a:solidFill>
        <a:ln>
          <a:solidFill>
            <a:srgbClr val="0F5494"/>
          </a:solidFill>
        </a:ln>
      </dgm:spPr>
      <dgm:t>
        <a:bodyPr/>
        <a:lstStyle/>
        <a:p>
          <a:pPr algn="ctr"/>
          <a:r>
            <a:rPr lang="en-US" b="1" u="sng" dirty="0" smtClean="0">
              <a:solidFill>
                <a:srgbClr val="0070C0"/>
              </a:solidFill>
            </a:rPr>
            <a:t>ACTIONS</a:t>
          </a:r>
          <a:endParaRPr lang="en-US" b="1" u="sng" dirty="0">
            <a:solidFill>
              <a:srgbClr val="0070C0"/>
            </a:solidFill>
          </a:endParaRPr>
        </a:p>
      </dgm:t>
    </dgm:pt>
    <dgm:pt modelId="{D5721325-0FDA-4D27-A395-840C57DABC44}" type="parTrans" cxnId="{8EB550E5-B296-43AD-85AE-E0708735FBEC}">
      <dgm:prSet/>
      <dgm:spPr/>
      <dgm:t>
        <a:bodyPr/>
        <a:lstStyle/>
        <a:p>
          <a:pPr algn="ctr"/>
          <a:endParaRPr lang="en-US"/>
        </a:p>
      </dgm:t>
    </dgm:pt>
    <dgm:pt modelId="{5DC75C88-BC53-48D1-8F49-ED320BD35514}" type="sibTrans" cxnId="{8EB550E5-B296-43AD-85AE-E0708735FBEC}">
      <dgm:prSet/>
      <dgm:spPr/>
      <dgm:t>
        <a:bodyPr/>
        <a:lstStyle/>
        <a:p>
          <a:pPr algn="ctr"/>
          <a:endParaRPr lang="en-US"/>
        </a:p>
      </dgm:t>
    </dgm:pt>
    <dgm:pt modelId="{702BFA04-3EFC-4409-AD78-08C31C892477}">
      <dgm:prSet custT="1"/>
      <dgm:spPr>
        <a:solidFill>
          <a:schemeClr val="bg1"/>
        </a:solidFill>
        <a:ln>
          <a:noFill/>
        </a:ln>
      </dgm:spPr>
      <dgm:t>
        <a:bodyPr/>
        <a:lstStyle/>
        <a:p>
          <a:pPr algn="ctr"/>
          <a:r>
            <a:rPr lang="en-US" sz="1050" b="0" dirty="0" smtClean="0">
              <a:solidFill>
                <a:srgbClr val="0F5494"/>
              </a:solidFill>
            </a:rPr>
            <a:t>+++</a:t>
          </a:r>
          <a:endParaRPr lang="en-US" sz="1050" b="0" dirty="0">
            <a:solidFill>
              <a:srgbClr val="0F5494"/>
            </a:solidFill>
          </a:endParaRPr>
        </a:p>
      </dgm:t>
    </dgm:pt>
    <dgm:pt modelId="{1CEDB1BB-AB5F-4922-A906-1FB5AB0C9232}" type="parTrans" cxnId="{85D0A5E0-FCCD-4345-9810-5D8665AE57B4}">
      <dgm:prSet/>
      <dgm:spPr/>
      <dgm:t>
        <a:bodyPr/>
        <a:lstStyle/>
        <a:p>
          <a:pPr algn="ctr"/>
          <a:endParaRPr lang="en-US"/>
        </a:p>
      </dgm:t>
    </dgm:pt>
    <dgm:pt modelId="{95E0065E-5E5A-4A77-938E-8024844F72B9}" type="sibTrans" cxnId="{85D0A5E0-FCCD-4345-9810-5D8665AE57B4}">
      <dgm:prSet/>
      <dgm:spPr/>
      <dgm:t>
        <a:bodyPr/>
        <a:lstStyle/>
        <a:p>
          <a:pPr algn="ctr"/>
          <a:endParaRPr lang="en-US"/>
        </a:p>
      </dgm:t>
    </dgm:pt>
    <dgm:pt modelId="{CE75729D-7308-4533-9138-4EE2451F0F29}">
      <dgm:prSet custT="1"/>
      <dgm:spPr>
        <a:solidFill>
          <a:schemeClr val="accent3">
            <a:lumMod val="40000"/>
            <a:lumOff val="60000"/>
          </a:schemeClr>
        </a:solidFill>
        <a:ln w="12700">
          <a:solidFill>
            <a:srgbClr val="0F5494"/>
          </a:solidFill>
        </a:ln>
      </dgm:spPr>
      <dgm:t>
        <a:bodyPr/>
        <a:lstStyle/>
        <a:p>
          <a:pPr algn="ctr"/>
          <a:r>
            <a:rPr lang="en-US" sz="1050" b="0" dirty="0" smtClean="0">
              <a:solidFill>
                <a:srgbClr val="0F5494"/>
              </a:solidFill>
            </a:rPr>
            <a:t>IT-2: New projects</a:t>
          </a:r>
          <a:endParaRPr lang="en-US" sz="1050" b="0" dirty="0">
            <a:solidFill>
              <a:srgbClr val="0F5494"/>
            </a:solidFill>
          </a:endParaRPr>
        </a:p>
      </dgm:t>
    </dgm:pt>
    <dgm:pt modelId="{875E0266-91DE-4812-9854-8FA7270F5FAC}" type="parTrans" cxnId="{34FFB1EC-5D96-4DF4-9EB1-2BBC84E85C7F}">
      <dgm:prSet/>
      <dgm:spPr/>
      <dgm:t>
        <a:bodyPr/>
        <a:lstStyle/>
        <a:p>
          <a:pPr algn="ctr"/>
          <a:endParaRPr lang="en-US"/>
        </a:p>
      </dgm:t>
    </dgm:pt>
    <dgm:pt modelId="{075CAD16-E983-4978-94CB-8B85D0F8CC2F}" type="sibTrans" cxnId="{34FFB1EC-5D96-4DF4-9EB1-2BBC84E85C7F}">
      <dgm:prSet/>
      <dgm:spPr/>
      <dgm:t>
        <a:bodyPr/>
        <a:lstStyle/>
        <a:p>
          <a:pPr algn="ctr"/>
          <a:endParaRPr lang="en-US"/>
        </a:p>
      </dgm:t>
    </dgm:pt>
    <dgm:pt modelId="{813499C5-B71F-401E-B446-66B58DE26426}">
      <dgm:prSet custT="1"/>
      <dgm:spPr>
        <a:solidFill>
          <a:schemeClr val="accent6">
            <a:lumMod val="60000"/>
            <a:lumOff val="40000"/>
          </a:schemeClr>
        </a:solidFill>
        <a:ln w="12700">
          <a:solidFill>
            <a:srgbClr val="0F5494"/>
          </a:solidFill>
        </a:ln>
      </dgm:spPr>
      <dgm:t>
        <a:bodyPr/>
        <a:lstStyle/>
        <a:p>
          <a:pPr algn="ctr"/>
          <a:r>
            <a:rPr lang="en-US" sz="1050" b="0" dirty="0" smtClean="0">
              <a:solidFill>
                <a:srgbClr val="0F5494"/>
              </a:solidFill>
            </a:rPr>
            <a:t>JA-1: Basic joint actions</a:t>
          </a:r>
          <a:endParaRPr lang="en-US" sz="1050" b="0" dirty="0">
            <a:solidFill>
              <a:srgbClr val="0F5494"/>
            </a:solidFill>
          </a:endParaRPr>
        </a:p>
      </dgm:t>
    </dgm:pt>
    <dgm:pt modelId="{00396E7A-0CAD-4080-8E6B-7BC38710D294}" type="parTrans" cxnId="{1573C439-103A-4811-95B4-FB46025B7161}">
      <dgm:prSet/>
      <dgm:spPr/>
      <dgm:t>
        <a:bodyPr/>
        <a:lstStyle/>
        <a:p>
          <a:pPr algn="ctr"/>
          <a:endParaRPr lang="en-US"/>
        </a:p>
      </dgm:t>
    </dgm:pt>
    <dgm:pt modelId="{3FDC40C6-D0EC-47AD-96A1-27A1E42E834F}" type="sibTrans" cxnId="{1573C439-103A-4811-95B4-FB46025B7161}">
      <dgm:prSet/>
      <dgm:spPr/>
      <dgm:t>
        <a:bodyPr/>
        <a:lstStyle/>
        <a:p>
          <a:pPr algn="ctr"/>
          <a:endParaRPr lang="en-US"/>
        </a:p>
      </dgm:t>
    </dgm:pt>
    <dgm:pt modelId="{00341C2B-7030-4B30-BE39-F29C6C8883B3}">
      <dgm:prSet custT="1"/>
      <dgm:spPr>
        <a:solidFill>
          <a:schemeClr val="accent3">
            <a:lumMod val="40000"/>
            <a:lumOff val="60000"/>
          </a:schemeClr>
        </a:solidFill>
        <a:ln w="12700">
          <a:solidFill>
            <a:srgbClr val="0F5494"/>
          </a:solidFill>
        </a:ln>
      </dgm:spPr>
      <dgm:t>
        <a:bodyPr/>
        <a:lstStyle/>
        <a:p>
          <a:pPr algn="ctr"/>
          <a:r>
            <a:rPr lang="en-US" sz="1050" b="0" dirty="0" smtClean="0">
              <a:solidFill>
                <a:srgbClr val="0F5494"/>
              </a:solidFill>
            </a:rPr>
            <a:t>IT-3: Innovation</a:t>
          </a:r>
          <a:endParaRPr lang="en-US" sz="1050" b="0" dirty="0">
            <a:solidFill>
              <a:srgbClr val="0F5494"/>
            </a:solidFill>
          </a:endParaRPr>
        </a:p>
      </dgm:t>
    </dgm:pt>
    <dgm:pt modelId="{85C6E6FB-6066-4F48-9CA8-FB432CF7D711}" type="parTrans" cxnId="{7F3119E8-882C-4997-BB85-671EDCE482C5}">
      <dgm:prSet/>
      <dgm:spPr/>
      <dgm:t>
        <a:bodyPr/>
        <a:lstStyle/>
        <a:p>
          <a:pPr algn="ctr"/>
          <a:endParaRPr lang="en-US"/>
        </a:p>
      </dgm:t>
    </dgm:pt>
    <dgm:pt modelId="{656FC349-89A2-4FBD-A1AE-5E43ADC6B361}" type="sibTrans" cxnId="{7F3119E8-882C-4997-BB85-671EDCE482C5}">
      <dgm:prSet/>
      <dgm:spPr/>
      <dgm:t>
        <a:bodyPr/>
        <a:lstStyle/>
        <a:p>
          <a:pPr algn="ctr"/>
          <a:endParaRPr lang="en-US"/>
        </a:p>
      </dgm:t>
    </dgm:pt>
    <dgm:pt modelId="{CEE01E88-ACEF-49DC-9912-8D7AB39AA406}">
      <dgm:prSet custT="1"/>
      <dgm:spPr>
        <a:solidFill>
          <a:schemeClr val="accent6">
            <a:lumMod val="60000"/>
            <a:lumOff val="40000"/>
          </a:schemeClr>
        </a:solidFill>
        <a:ln w="12700">
          <a:solidFill>
            <a:srgbClr val="0F5494"/>
          </a:solidFill>
        </a:ln>
      </dgm:spPr>
      <dgm:t>
        <a:bodyPr/>
        <a:lstStyle/>
        <a:p>
          <a:pPr algn="ctr"/>
          <a:r>
            <a:rPr lang="en-US" sz="1050" b="0" dirty="0" smtClean="0">
              <a:solidFill>
                <a:srgbClr val="0F5494"/>
              </a:solidFill>
            </a:rPr>
            <a:t>JA-2: Enhanced operational cooperation</a:t>
          </a:r>
          <a:endParaRPr lang="en-US" sz="1050" b="0" dirty="0">
            <a:solidFill>
              <a:srgbClr val="0F5494"/>
            </a:solidFill>
          </a:endParaRPr>
        </a:p>
      </dgm:t>
    </dgm:pt>
    <dgm:pt modelId="{2BAA6500-312C-4BAE-9DD9-86D147BD21D6}" type="parTrans" cxnId="{6200DC82-C71C-4FE0-826C-83BAEB103F80}">
      <dgm:prSet/>
      <dgm:spPr/>
      <dgm:t>
        <a:bodyPr/>
        <a:lstStyle/>
        <a:p>
          <a:pPr algn="ctr"/>
          <a:endParaRPr lang="en-US"/>
        </a:p>
      </dgm:t>
    </dgm:pt>
    <dgm:pt modelId="{DFE48854-386B-445C-90DD-57AFEBF00E11}" type="sibTrans" cxnId="{6200DC82-C71C-4FE0-826C-83BAEB103F80}">
      <dgm:prSet/>
      <dgm:spPr/>
      <dgm:t>
        <a:bodyPr/>
        <a:lstStyle/>
        <a:p>
          <a:pPr algn="ctr"/>
          <a:endParaRPr lang="en-US"/>
        </a:p>
      </dgm:t>
    </dgm:pt>
    <dgm:pt modelId="{FB89FD41-81B2-450E-AE22-9DEE6B124B37}">
      <dgm:prSet custT="1"/>
      <dgm:spPr>
        <a:solidFill>
          <a:schemeClr val="accent2">
            <a:lumMod val="60000"/>
            <a:lumOff val="40000"/>
          </a:schemeClr>
        </a:solidFill>
        <a:ln w="12700">
          <a:solidFill>
            <a:srgbClr val="0F5494"/>
          </a:solidFill>
        </a:ln>
      </dgm:spPr>
      <dgm:t>
        <a:bodyPr/>
        <a:lstStyle/>
        <a:p>
          <a:pPr algn="ctr"/>
          <a:r>
            <a:rPr lang="en-US" sz="1050" b="0" dirty="0" smtClean="0">
              <a:solidFill>
                <a:srgbClr val="0F5494"/>
              </a:solidFill>
            </a:rPr>
            <a:t>Human capacity building</a:t>
          </a:r>
          <a:endParaRPr lang="en-US" sz="1050" b="0" dirty="0">
            <a:solidFill>
              <a:srgbClr val="0F5494"/>
            </a:solidFill>
          </a:endParaRPr>
        </a:p>
      </dgm:t>
    </dgm:pt>
    <dgm:pt modelId="{FF57492C-9590-4EEB-83D6-87BDAA571993}" type="parTrans" cxnId="{F06E17E2-270E-471C-83A6-E283CFE37331}">
      <dgm:prSet/>
      <dgm:spPr/>
      <dgm:t>
        <a:bodyPr/>
        <a:lstStyle/>
        <a:p>
          <a:pPr algn="ctr"/>
          <a:endParaRPr lang="en-US"/>
        </a:p>
      </dgm:t>
    </dgm:pt>
    <dgm:pt modelId="{E14020AB-C7AF-4975-8B49-48DBB256CDFD}" type="sibTrans" cxnId="{F06E17E2-270E-471C-83A6-E283CFE37331}">
      <dgm:prSet/>
      <dgm:spPr/>
      <dgm:t>
        <a:bodyPr/>
        <a:lstStyle/>
        <a:p>
          <a:pPr algn="ctr"/>
          <a:endParaRPr lang="en-US"/>
        </a:p>
      </dgm:t>
    </dgm:pt>
    <dgm:pt modelId="{16B4C3BB-B3EC-40E9-98CD-DC6CD618B4D8}">
      <dgm:prSet custT="1"/>
      <dgm:spPr>
        <a:solidFill>
          <a:schemeClr val="accent4">
            <a:lumMod val="60000"/>
            <a:lumOff val="40000"/>
          </a:schemeClr>
        </a:solidFill>
        <a:ln w="12700">
          <a:solidFill>
            <a:srgbClr val="0F5494"/>
          </a:solidFill>
        </a:ln>
      </dgm:spPr>
      <dgm:t>
        <a:bodyPr/>
        <a:lstStyle/>
        <a:p>
          <a:pPr algn="ctr"/>
          <a:r>
            <a:rPr lang="en-US" sz="1050" b="0" dirty="0" err="1" smtClean="0">
              <a:solidFill>
                <a:srgbClr val="0F5494"/>
              </a:solidFill>
            </a:rPr>
            <a:t>Centralisation</a:t>
          </a:r>
          <a:endParaRPr lang="en-US" sz="1050" b="0" dirty="0">
            <a:solidFill>
              <a:srgbClr val="0F5494"/>
            </a:solidFill>
          </a:endParaRPr>
        </a:p>
      </dgm:t>
    </dgm:pt>
    <dgm:pt modelId="{6D2F153B-ADC1-4AA8-AA92-8427F20D6751}" type="parTrans" cxnId="{C8773D19-B804-494E-83BD-5C449783DD20}">
      <dgm:prSet/>
      <dgm:spPr/>
      <dgm:t>
        <a:bodyPr/>
        <a:lstStyle/>
        <a:p>
          <a:pPr algn="ctr"/>
          <a:endParaRPr lang="en-US"/>
        </a:p>
      </dgm:t>
    </dgm:pt>
    <dgm:pt modelId="{1B27831F-CD9C-4793-B407-770A81551625}" type="sibTrans" cxnId="{C8773D19-B804-494E-83BD-5C449783DD20}">
      <dgm:prSet/>
      <dgm:spPr/>
      <dgm:t>
        <a:bodyPr/>
        <a:lstStyle/>
        <a:p>
          <a:pPr algn="ctr"/>
          <a:endParaRPr lang="en-US"/>
        </a:p>
      </dgm:t>
    </dgm:pt>
    <dgm:pt modelId="{B8574016-65C3-4190-B935-C10CAE0E964B}">
      <dgm:prSet custT="1"/>
      <dgm:spPr>
        <a:solidFill>
          <a:schemeClr val="bg1"/>
        </a:solidFill>
        <a:ln>
          <a:noFill/>
        </a:ln>
      </dgm:spPr>
      <dgm:t>
        <a:bodyPr/>
        <a:lstStyle/>
        <a:p>
          <a:pPr algn="ctr"/>
          <a:r>
            <a:rPr lang="en-US" sz="1050" b="0" dirty="0">
              <a:solidFill>
                <a:srgbClr val="0F5494"/>
              </a:solidFill>
            </a:rPr>
            <a:t>0</a:t>
          </a:r>
        </a:p>
      </dgm:t>
    </dgm:pt>
    <dgm:pt modelId="{33EE84A3-A002-4172-B74A-252C1F75173F}" type="parTrans" cxnId="{A638DA88-2F8A-4BD3-8507-2C61D687555C}">
      <dgm:prSet/>
      <dgm:spPr/>
      <dgm:t>
        <a:bodyPr/>
        <a:lstStyle/>
        <a:p>
          <a:pPr algn="ctr"/>
          <a:endParaRPr lang="en-US"/>
        </a:p>
      </dgm:t>
    </dgm:pt>
    <dgm:pt modelId="{E5A3C9B2-0C9C-44F0-A8BA-92C0F35F14B9}" type="sibTrans" cxnId="{A638DA88-2F8A-4BD3-8507-2C61D687555C}">
      <dgm:prSet/>
      <dgm:spPr/>
      <dgm:t>
        <a:bodyPr/>
        <a:lstStyle/>
        <a:p>
          <a:pPr algn="ctr"/>
          <a:endParaRPr lang="en-US"/>
        </a:p>
      </dgm:t>
    </dgm:pt>
    <dgm:pt modelId="{D00B0793-4F76-4932-BFB3-3A8D9594EABC}">
      <dgm:prSet custT="1"/>
      <dgm:spPr>
        <a:solidFill>
          <a:schemeClr val="bg1"/>
        </a:solidFill>
        <a:ln>
          <a:noFill/>
        </a:ln>
      </dgm:spPr>
      <dgm:t>
        <a:bodyPr/>
        <a:lstStyle/>
        <a:p>
          <a:pPr algn="ctr"/>
          <a:r>
            <a:rPr lang="en-US" sz="1050" b="0" dirty="0" smtClean="0">
              <a:solidFill>
                <a:srgbClr val="0F5494"/>
              </a:solidFill>
            </a:rPr>
            <a:t>+++</a:t>
          </a:r>
          <a:endParaRPr lang="en-US" sz="1050" b="0" dirty="0">
            <a:solidFill>
              <a:srgbClr val="0F5494"/>
            </a:solidFill>
          </a:endParaRPr>
        </a:p>
      </dgm:t>
    </dgm:pt>
    <dgm:pt modelId="{6B36FF76-393D-4534-9E55-98D3865CF409}" type="parTrans" cxnId="{BB7A847F-DC46-4ABD-A6D8-F2072F6C1604}">
      <dgm:prSet/>
      <dgm:spPr/>
      <dgm:t>
        <a:bodyPr/>
        <a:lstStyle/>
        <a:p>
          <a:pPr algn="ctr"/>
          <a:endParaRPr lang="en-US"/>
        </a:p>
      </dgm:t>
    </dgm:pt>
    <dgm:pt modelId="{6997FCF9-3DC9-4FAD-8393-DF47E8E9F988}" type="sibTrans" cxnId="{BB7A847F-DC46-4ABD-A6D8-F2072F6C1604}">
      <dgm:prSet/>
      <dgm:spPr/>
      <dgm:t>
        <a:bodyPr/>
        <a:lstStyle/>
        <a:p>
          <a:pPr algn="ctr"/>
          <a:endParaRPr lang="en-US"/>
        </a:p>
      </dgm:t>
    </dgm:pt>
    <dgm:pt modelId="{D8294449-6D64-42B3-B945-4D2E5AF18C8D}">
      <dgm:prSet custT="1"/>
      <dgm:spPr>
        <a:solidFill>
          <a:schemeClr val="bg1"/>
        </a:solidFill>
        <a:ln>
          <a:noFill/>
        </a:ln>
      </dgm:spPr>
      <dgm:t>
        <a:bodyPr/>
        <a:lstStyle/>
        <a:p>
          <a:pPr algn="ctr"/>
          <a:r>
            <a:rPr lang="en-US" sz="1050" b="0" dirty="0" smtClean="0">
              <a:solidFill>
                <a:srgbClr val="0F5494"/>
              </a:solidFill>
            </a:rPr>
            <a:t>++</a:t>
          </a:r>
          <a:endParaRPr lang="en-US" sz="1050" b="0" dirty="0">
            <a:solidFill>
              <a:srgbClr val="0F5494"/>
            </a:solidFill>
          </a:endParaRPr>
        </a:p>
      </dgm:t>
    </dgm:pt>
    <dgm:pt modelId="{36B1B753-8781-4F2F-910A-16CDEAD1AF0F}" type="parTrans" cxnId="{01104938-0EAF-4747-981E-7222875E2AE9}">
      <dgm:prSet/>
      <dgm:spPr/>
      <dgm:t>
        <a:bodyPr/>
        <a:lstStyle/>
        <a:p>
          <a:pPr algn="ctr"/>
          <a:endParaRPr lang="en-US"/>
        </a:p>
      </dgm:t>
    </dgm:pt>
    <dgm:pt modelId="{0F5AF06E-2526-488D-8CA6-C800D44DF5A4}" type="sibTrans" cxnId="{01104938-0EAF-4747-981E-7222875E2AE9}">
      <dgm:prSet/>
      <dgm:spPr/>
      <dgm:t>
        <a:bodyPr/>
        <a:lstStyle/>
        <a:p>
          <a:pPr algn="ctr"/>
          <a:endParaRPr lang="en-US"/>
        </a:p>
      </dgm:t>
    </dgm:pt>
    <dgm:pt modelId="{FA1CDA8F-D0DE-4D91-A211-DA2686DF4D12}">
      <dgm:prSet custT="1"/>
      <dgm:spPr>
        <a:solidFill>
          <a:schemeClr val="bg1"/>
        </a:solidFill>
        <a:ln>
          <a:noFill/>
        </a:ln>
      </dgm:spPr>
      <dgm:t>
        <a:bodyPr/>
        <a:lstStyle/>
        <a:p>
          <a:pPr algn="ctr"/>
          <a:r>
            <a:rPr lang="en-US" sz="1050" b="0" dirty="0" smtClean="0">
              <a:solidFill>
                <a:srgbClr val="0F5494"/>
              </a:solidFill>
            </a:rPr>
            <a:t>+++</a:t>
          </a:r>
          <a:endParaRPr lang="en-US" sz="1050" b="0" dirty="0">
            <a:solidFill>
              <a:srgbClr val="0F5494"/>
            </a:solidFill>
          </a:endParaRPr>
        </a:p>
      </dgm:t>
    </dgm:pt>
    <dgm:pt modelId="{B1ABD518-5488-4293-B6C0-C71B03B6AF56}" type="parTrans" cxnId="{90C5F9F6-E131-46EE-AD98-9F87E7356231}">
      <dgm:prSet/>
      <dgm:spPr/>
      <dgm:t>
        <a:bodyPr/>
        <a:lstStyle/>
        <a:p>
          <a:pPr algn="ctr"/>
          <a:endParaRPr lang="en-US"/>
        </a:p>
      </dgm:t>
    </dgm:pt>
    <dgm:pt modelId="{37780A13-9DBE-40D2-A59C-F824643BDD9D}" type="sibTrans" cxnId="{90C5F9F6-E131-46EE-AD98-9F87E7356231}">
      <dgm:prSet/>
      <dgm:spPr/>
      <dgm:t>
        <a:bodyPr/>
        <a:lstStyle/>
        <a:p>
          <a:pPr algn="ctr"/>
          <a:endParaRPr lang="en-US"/>
        </a:p>
      </dgm:t>
    </dgm:pt>
    <dgm:pt modelId="{BEBB8417-240A-4DD3-852C-708256270995}">
      <dgm:prSet custT="1"/>
      <dgm:spPr>
        <a:solidFill>
          <a:schemeClr val="bg1"/>
        </a:solidFill>
        <a:ln>
          <a:noFill/>
        </a:ln>
      </dgm:spPr>
      <dgm:t>
        <a:bodyPr/>
        <a:lstStyle/>
        <a:p>
          <a:pPr algn="ctr"/>
          <a:r>
            <a:rPr lang="en-US" sz="1050" b="0" dirty="0">
              <a:solidFill>
                <a:srgbClr val="0F5494"/>
              </a:solidFill>
            </a:rPr>
            <a:t>0</a:t>
          </a:r>
        </a:p>
      </dgm:t>
    </dgm:pt>
    <dgm:pt modelId="{CBDBD50C-57B6-4CFC-8B7A-725322D4F87F}" type="parTrans" cxnId="{F3C8EE6F-7200-49D7-9D56-23E3C45E21CF}">
      <dgm:prSet/>
      <dgm:spPr/>
      <dgm:t>
        <a:bodyPr/>
        <a:lstStyle/>
        <a:p>
          <a:pPr algn="ctr"/>
          <a:endParaRPr lang="en-US"/>
        </a:p>
      </dgm:t>
    </dgm:pt>
    <dgm:pt modelId="{75C99EBC-F465-41F6-B631-3D040FF571A4}" type="sibTrans" cxnId="{F3C8EE6F-7200-49D7-9D56-23E3C45E21CF}">
      <dgm:prSet/>
      <dgm:spPr/>
      <dgm:t>
        <a:bodyPr/>
        <a:lstStyle/>
        <a:p>
          <a:pPr algn="ctr"/>
          <a:endParaRPr lang="en-US"/>
        </a:p>
      </dgm:t>
    </dgm:pt>
    <dgm:pt modelId="{CDE9E8E5-D516-4675-BD45-4817E0B87186}">
      <dgm:prSet custT="1"/>
      <dgm:spPr>
        <a:solidFill>
          <a:schemeClr val="bg1"/>
        </a:solidFill>
        <a:ln>
          <a:noFill/>
        </a:ln>
      </dgm:spPr>
      <dgm:t>
        <a:bodyPr/>
        <a:lstStyle/>
        <a:p>
          <a:pPr algn="ctr"/>
          <a:r>
            <a:rPr lang="en-US" sz="1050" b="0" dirty="0" smtClean="0">
              <a:solidFill>
                <a:srgbClr val="0F5494"/>
              </a:solidFill>
            </a:rPr>
            <a:t>+++</a:t>
          </a:r>
          <a:endParaRPr lang="en-US" sz="1050" b="0" dirty="0">
            <a:solidFill>
              <a:srgbClr val="0F5494"/>
            </a:solidFill>
          </a:endParaRPr>
        </a:p>
      </dgm:t>
    </dgm:pt>
    <dgm:pt modelId="{3E729AC2-EB6D-4B04-976B-36442F7E728E}" type="parTrans" cxnId="{4F8B5761-35A9-487D-909F-C67E3D94CF48}">
      <dgm:prSet/>
      <dgm:spPr/>
      <dgm:t>
        <a:bodyPr/>
        <a:lstStyle/>
        <a:p>
          <a:pPr algn="ctr"/>
          <a:endParaRPr lang="en-US"/>
        </a:p>
      </dgm:t>
    </dgm:pt>
    <dgm:pt modelId="{CEC3B899-BF03-4D2B-871D-B7BAF0BEA856}" type="sibTrans" cxnId="{4F8B5761-35A9-487D-909F-C67E3D94CF48}">
      <dgm:prSet/>
      <dgm:spPr/>
      <dgm:t>
        <a:bodyPr/>
        <a:lstStyle/>
        <a:p>
          <a:pPr algn="ctr"/>
          <a:endParaRPr lang="en-US"/>
        </a:p>
      </dgm:t>
    </dgm:pt>
    <dgm:pt modelId="{67FF2F59-CCF1-4CC3-97F7-6C8145C1278A}">
      <dgm:prSet custT="1"/>
      <dgm:spPr>
        <a:solidFill>
          <a:schemeClr val="bg1"/>
        </a:solidFill>
        <a:ln>
          <a:noFill/>
        </a:ln>
      </dgm:spPr>
      <dgm:t>
        <a:bodyPr/>
        <a:lstStyle/>
        <a:p>
          <a:pPr algn="ctr"/>
          <a:r>
            <a:rPr lang="en-US" sz="1050" b="0" dirty="0" smtClean="0">
              <a:solidFill>
                <a:srgbClr val="0F5494"/>
              </a:solidFill>
            </a:rPr>
            <a:t>+++</a:t>
          </a:r>
          <a:endParaRPr lang="en-US" sz="1050" b="0" dirty="0">
            <a:solidFill>
              <a:srgbClr val="0F5494"/>
            </a:solidFill>
          </a:endParaRPr>
        </a:p>
      </dgm:t>
    </dgm:pt>
    <dgm:pt modelId="{E6F48B2B-BB82-4096-819D-8622CFD4392E}" type="parTrans" cxnId="{B00151EA-B417-48B7-A1CB-AFCA0795F1D8}">
      <dgm:prSet/>
      <dgm:spPr/>
      <dgm:t>
        <a:bodyPr/>
        <a:lstStyle/>
        <a:p>
          <a:pPr algn="ctr"/>
          <a:endParaRPr lang="en-US"/>
        </a:p>
      </dgm:t>
    </dgm:pt>
    <dgm:pt modelId="{9134277B-C7F3-4737-B304-2EC180BFE94E}" type="sibTrans" cxnId="{B00151EA-B417-48B7-A1CB-AFCA0795F1D8}">
      <dgm:prSet/>
      <dgm:spPr/>
      <dgm:t>
        <a:bodyPr/>
        <a:lstStyle/>
        <a:p>
          <a:pPr algn="ctr"/>
          <a:endParaRPr lang="en-US"/>
        </a:p>
      </dgm:t>
    </dgm:pt>
    <dgm:pt modelId="{5677B32E-E3FE-419B-91EA-8AEE41F05E93}">
      <dgm:prSet custT="1"/>
      <dgm:spPr>
        <a:solidFill>
          <a:schemeClr val="bg1"/>
        </a:solidFill>
        <a:ln>
          <a:noFill/>
        </a:ln>
      </dgm:spPr>
      <dgm:t>
        <a:bodyPr/>
        <a:lstStyle/>
        <a:p>
          <a:pPr algn="ctr"/>
          <a:r>
            <a:rPr lang="en-US" sz="1050" b="0" dirty="0" smtClean="0">
              <a:solidFill>
                <a:srgbClr val="0F5494"/>
              </a:solidFill>
            </a:rPr>
            <a:t>+++</a:t>
          </a:r>
          <a:endParaRPr lang="en-US" sz="1050" b="0" dirty="0">
            <a:solidFill>
              <a:srgbClr val="0F5494"/>
            </a:solidFill>
          </a:endParaRPr>
        </a:p>
      </dgm:t>
    </dgm:pt>
    <dgm:pt modelId="{B8D71841-1B3B-45C2-BCBA-CD4558D8EAC2}" type="parTrans" cxnId="{2EF03746-758B-4277-A779-340912B89636}">
      <dgm:prSet/>
      <dgm:spPr/>
      <dgm:t>
        <a:bodyPr/>
        <a:lstStyle/>
        <a:p>
          <a:pPr algn="ctr"/>
          <a:endParaRPr lang="en-US"/>
        </a:p>
      </dgm:t>
    </dgm:pt>
    <dgm:pt modelId="{E859CCB5-B5D4-4988-B6EC-E0AD9885AA8B}" type="sibTrans" cxnId="{2EF03746-758B-4277-A779-340912B89636}">
      <dgm:prSet/>
      <dgm:spPr/>
      <dgm:t>
        <a:bodyPr/>
        <a:lstStyle/>
        <a:p>
          <a:pPr algn="ctr"/>
          <a:endParaRPr lang="en-US"/>
        </a:p>
      </dgm:t>
    </dgm:pt>
    <dgm:pt modelId="{ED7C89A2-07A7-4840-A90A-AF58C128250E}">
      <dgm:prSet custT="1"/>
      <dgm:spPr>
        <a:solidFill>
          <a:schemeClr val="bg1"/>
        </a:solidFill>
        <a:ln>
          <a:noFill/>
        </a:ln>
      </dgm:spPr>
      <dgm:t>
        <a:bodyPr/>
        <a:lstStyle/>
        <a:p>
          <a:pPr algn="ctr"/>
          <a:r>
            <a:rPr lang="en-US" sz="1050" b="0" dirty="0" smtClean="0">
              <a:solidFill>
                <a:srgbClr val="0F5494"/>
              </a:solidFill>
            </a:rPr>
            <a:t>++</a:t>
          </a:r>
          <a:endParaRPr lang="en-US" sz="1050" b="0" dirty="0">
            <a:solidFill>
              <a:srgbClr val="0F5494"/>
            </a:solidFill>
          </a:endParaRPr>
        </a:p>
      </dgm:t>
    </dgm:pt>
    <dgm:pt modelId="{599BB185-E523-4007-9C37-F4484C0839B6}" type="parTrans" cxnId="{024C90A8-D124-49F4-A6C0-DBB18693D115}">
      <dgm:prSet/>
      <dgm:spPr/>
      <dgm:t>
        <a:bodyPr/>
        <a:lstStyle/>
        <a:p>
          <a:pPr algn="ctr"/>
          <a:endParaRPr lang="en-US"/>
        </a:p>
      </dgm:t>
    </dgm:pt>
    <dgm:pt modelId="{4E3B4E03-0448-40CB-8487-36241F498333}" type="sibTrans" cxnId="{024C90A8-D124-49F4-A6C0-DBB18693D115}">
      <dgm:prSet/>
      <dgm:spPr/>
      <dgm:t>
        <a:bodyPr/>
        <a:lstStyle/>
        <a:p>
          <a:pPr algn="ctr"/>
          <a:endParaRPr lang="en-US"/>
        </a:p>
      </dgm:t>
    </dgm:pt>
    <dgm:pt modelId="{87D7D9D5-8256-44CE-92E9-4FE94877C023}">
      <dgm:prSet custT="1"/>
      <dgm:spPr>
        <a:solidFill>
          <a:schemeClr val="bg1"/>
        </a:solidFill>
        <a:ln>
          <a:noFill/>
        </a:ln>
      </dgm:spPr>
      <dgm:t>
        <a:bodyPr/>
        <a:lstStyle/>
        <a:p>
          <a:pPr algn="ctr"/>
          <a:r>
            <a:rPr lang="en-US" sz="1050" b="0" dirty="0" smtClean="0">
              <a:solidFill>
                <a:srgbClr val="0F5494"/>
              </a:solidFill>
            </a:rPr>
            <a:t>++</a:t>
          </a:r>
          <a:endParaRPr lang="en-US" sz="1050" b="0" dirty="0">
            <a:solidFill>
              <a:srgbClr val="0F5494"/>
            </a:solidFill>
          </a:endParaRPr>
        </a:p>
      </dgm:t>
    </dgm:pt>
    <dgm:pt modelId="{402E150C-D0A2-4EC3-BF09-17AF50E163C7}" type="parTrans" cxnId="{E5AB54D7-5FB1-41D7-B03D-EF0C5002EB59}">
      <dgm:prSet/>
      <dgm:spPr/>
      <dgm:t>
        <a:bodyPr/>
        <a:lstStyle/>
        <a:p>
          <a:pPr algn="ctr"/>
          <a:endParaRPr lang="en-US"/>
        </a:p>
      </dgm:t>
    </dgm:pt>
    <dgm:pt modelId="{DF700046-020D-49B9-88FA-2278DBC76F7E}" type="sibTrans" cxnId="{E5AB54D7-5FB1-41D7-B03D-EF0C5002EB59}">
      <dgm:prSet/>
      <dgm:spPr/>
      <dgm:t>
        <a:bodyPr/>
        <a:lstStyle/>
        <a:p>
          <a:pPr algn="ctr"/>
          <a:endParaRPr lang="en-US"/>
        </a:p>
      </dgm:t>
    </dgm:pt>
    <dgm:pt modelId="{79D43506-DB74-45CB-9867-E5D4D8F1A3CA}">
      <dgm:prSet custT="1"/>
      <dgm:spPr>
        <a:solidFill>
          <a:schemeClr val="bg1"/>
        </a:solidFill>
        <a:ln>
          <a:noFill/>
        </a:ln>
      </dgm:spPr>
      <dgm:t>
        <a:bodyPr/>
        <a:lstStyle/>
        <a:p>
          <a:pPr algn="ctr"/>
          <a:r>
            <a:rPr lang="en-US" sz="1050" b="0" dirty="0">
              <a:solidFill>
                <a:srgbClr val="0F5494"/>
              </a:solidFill>
            </a:rPr>
            <a:t>0</a:t>
          </a:r>
        </a:p>
      </dgm:t>
    </dgm:pt>
    <dgm:pt modelId="{88E5EE72-6A7C-406A-AFE4-EA746BEAF748}" type="parTrans" cxnId="{874A65AD-7D09-44F2-8E19-EE2B2592BF89}">
      <dgm:prSet/>
      <dgm:spPr/>
      <dgm:t>
        <a:bodyPr/>
        <a:lstStyle/>
        <a:p>
          <a:pPr algn="ctr"/>
          <a:endParaRPr lang="en-US"/>
        </a:p>
      </dgm:t>
    </dgm:pt>
    <dgm:pt modelId="{088B4BFC-F8FF-47E0-B91A-BD3544F103BC}" type="sibTrans" cxnId="{874A65AD-7D09-44F2-8E19-EE2B2592BF89}">
      <dgm:prSet/>
      <dgm:spPr/>
      <dgm:t>
        <a:bodyPr/>
        <a:lstStyle/>
        <a:p>
          <a:pPr algn="ctr"/>
          <a:endParaRPr lang="en-US"/>
        </a:p>
      </dgm:t>
    </dgm:pt>
    <dgm:pt modelId="{88C2A955-F46A-4E98-A7E9-4A97D4EAE405}">
      <dgm:prSet custT="1"/>
      <dgm:spPr>
        <a:solidFill>
          <a:schemeClr val="bg1"/>
        </a:solidFill>
        <a:ln>
          <a:noFill/>
        </a:ln>
      </dgm:spPr>
      <dgm:t>
        <a:bodyPr/>
        <a:lstStyle/>
        <a:p>
          <a:pPr algn="ctr"/>
          <a:r>
            <a:rPr lang="en-US" sz="1050" b="0" dirty="0" smtClean="0">
              <a:solidFill>
                <a:srgbClr val="0F5494"/>
              </a:solidFill>
            </a:rPr>
            <a:t>+++</a:t>
          </a:r>
          <a:endParaRPr lang="en-US" sz="1050" b="0" dirty="0">
            <a:solidFill>
              <a:srgbClr val="0F5494"/>
            </a:solidFill>
          </a:endParaRPr>
        </a:p>
      </dgm:t>
    </dgm:pt>
    <dgm:pt modelId="{7B5B7CDD-0E2A-4AEB-AEE4-FE235F3BF0BE}" type="parTrans" cxnId="{5F4E0F05-935C-4E68-96B8-71034D395BA9}">
      <dgm:prSet/>
      <dgm:spPr/>
      <dgm:t>
        <a:bodyPr/>
        <a:lstStyle/>
        <a:p>
          <a:pPr algn="ctr"/>
          <a:endParaRPr lang="en-US"/>
        </a:p>
      </dgm:t>
    </dgm:pt>
    <dgm:pt modelId="{10C5D365-DF50-4C9F-98D4-CB056E65ADE4}" type="sibTrans" cxnId="{5F4E0F05-935C-4E68-96B8-71034D395BA9}">
      <dgm:prSet/>
      <dgm:spPr/>
      <dgm:t>
        <a:bodyPr/>
        <a:lstStyle/>
        <a:p>
          <a:pPr algn="ctr"/>
          <a:endParaRPr lang="en-US"/>
        </a:p>
      </dgm:t>
    </dgm:pt>
    <dgm:pt modelId="{5C2FDDAA-A62C-425A-B73D-5E2BC978AD48}">
      <dgm:prSet custT="1"/>
      <dgm:spPr>
        <a:solidFill>
          <a:schemeClr val="bg1"/>
        </a:solidFill>
        <a:ln>
          <a:noFill/>
        </a:ln>
      </dgm:spPr>
      <dgm:t>
        <a:bodyPr/>
        <a:lstStyle/>
        <a:p>
          <a:pPr algn="ctr"/>
          <a:r>
            <a:rPr lang="en-US" sz="1050" b="0" dirty="0" smtClean="0">
              <a:solidFill>
                <a:srgbClr val="0F5494"/>
              </a:solidFill>
            </a:rPr>
            <a:t>+</a:t>
          </a:r>
          <a:endParaRPr lang="en-US" sz="1050" b="0" dirty="0">
            <a:solidFill>
              <a:srgbClr val="0F5494"/>
            </a:solidFill>
          </a:endParaRPr>
        </a:p>
      </dgm:t>
    </dgm:pt>
    <dgm:pt modelId="{F8284EA9-AE82-40A0-9825-7584EC7AF385}" type="parTrans" cxnId="{D492FE82-43D9-4A19-96E4-A358A5E241C9}">
      <dgm:prSet/>
      <dgm:spPr/>
      <dgm:t>
        <a:bodyPr/>
        <a:lstStyle/>
        <a:p>
          <a:pPr algn="ctr"/>
          <a:endParaRPr lang="en-US"/>
        </a:p>
      </dgm:t>
    </dgm:pt>
    <dgm:pt modelId="{D942D5B4-BE0E-4196-9A63-BB46D16C5D45}" type="sibTrans" cxnId="{D492FE82-43D9-4A19-96E4-A358A5E241C9}">
      <dgm:prSet/>
      <dgm:spPr/>
      <dgm:t>
        <a:bodyPr/>
        <a:lstStyle/>
        <a:p>
          <a:pPr algn="ctr"/>
          <a:endParaRPr lang="en-US"/>
        </a:p>
      </dgm:t>
    </dgm:pt>
    <dgm:pt modelId="{B0DE6BE9-FCB1-462C-A72A-B10C9F906D77}">
      <dgm:prSet custT="1"/>
      <dgm:spPr>
        <a:solidFill>
          <a:schemeClr val="accent1">
            <a:lumMod val="60000"/>
            <a:lumOff val="40000"/>
          </a:schemeClr>
        </a:solidFill>
        <a:ln w="12700">
          <a:solidFill>
            <a:srgbClr val="0F5494"/>
          </a:solidFill>
        </a:ln>
      </dgm:spPr>
      <dgm:t>
        <a:bodyPr/>
        <a:lstStyle/>
        <a:p>
          <a:pPr algn="ctr"/>
          <a:r>
            <a:rPr lang="en-US" sz="1050" b="0" dirty="0">
              <a:solidFill>
                <a:srgbClr val="0F5494"/>
              </a:solidFill>
            </a:rPr>
            <a:t>International cooperation</a:t>
          </a:r>
        </a:p>
      </dgm:t>
    </dgm:pt>
    <dgm:pt modelId="{E6A1B310-9407-45CE-B063-A35D5BA66EFF}" type="parTrans" cxnId="{E65809C6-D7B5-41EF-B19C-008DAE1D3A6D}">
      <dgm:prSet/>
      <dgm:spPr/>
      <dgm:t>
        <a:bodyPr/>
        <a:lstStyle/>
        <a:p>
          <a:endParaRPr lang="en-GB"/>
        </a:p>
      </dgm:t>
    </dgm:pt>
    <dgm:pt modelId="{027D4155-58BC-4F08-BFA8-EF6B58BC3F9C}" type="sibTrans" cxnId="{E65809C6-D7B5-41EF-B19C-008DAE1D3A6D}">
      <dgm:prSet/>
      <dgm:spPr/>
      <dgm:t>
        <a:bodyPr/>
        <a:lstStyle/>
        <a:p>
          <a:endParaRPr lang="en-GB"/>
        </a:p>
      </dgm:t>
    </dgm:pt>
    <dgm:pt modelId="{BD4BBCC3-C227-4788-83C2-B6EA4EE8277A}">
      <dgm:prSet custT="1"/>
      <dgm:spPr>
        <a:solidFill>
          <a:schemeClr val="bg1"/>
        </a:solidFill>
        <a:ln>
          <a:noFill/>
        </a:ln>
      </dgm:spPr>
      <dgm:t>
        <a:bodyPr/>
        <a:lstStyle/>
        <a:p>
          <a:pPr algn="ctr"/>
          <a:r>
            <a:rPr lang="en-US" sz="1050" b="0" dirty="0">
              <a:solidFill>
                <a:srgbClr val="0F5494"/>
              </a:solidFill>
            </a:rPr>
            <a:t>+</a:t>
          </a:r>
        </a:p>
      </dgm:t>
    </dgm:pt>
    <dgm:pt modelId="{BE06E631-83CD-476A-B29C-9E766A242666}" type="parTrans" cxnId="{85084FD0-A428-45A0-9A8E-D96B76125AC6}">
      <dgm:prSet/>
      <dgm:spPr/>
      <dgm:t>
        <a:bodyPr/>
        <a:lstStyle/>
        <a:p>
          <a:endParaRPr lang="en-GB"/>
        </a:p>
      </dgm:t>
    </dgm:pt>
    <dgm:pt modelId="{4A263034-CB13-4639-8BD1-45E119F4AC43}" type="sibTrans" cxnId="{85084FD0-A428-45A0-9A8E-D96B76125AC6}">
      <dgm:prSet/>
      <dgm:spPr/>
      <dgm:t>
        <a:bodyPr/>
        <a:lstStyle/>
        <a:p>
          <a:endParaRPr lang="en-GB"/>
        </a:p>
      </dgm:t>
    </dgm:pt>
    <dgm:pt modelId="{4D3F8D66-81BA-4779-A785-BD36059DDD1D}">
      <dgm:prSet custT="1"/>
      <dgm:spPr>
        <a:solidFill>
          <a:schemeClr val="bg1"/>
        </a:solidFill>
        <a:ln>
          <a:noFill/>
        </a:ln>
      </dgm:spPr>
      <dgm:t>
        <a:bodyPr/>
        <a:lstStyle/>
        <a:p>
          <a:pPr algn="ctr"/>
          <a:r>
            <a:rPr lang="en-US" sz="1050" b="0" dirty="0">
              <a:solidFill>
                <a:srgbClr val="0F5494"/>
              </a:solidFill>
            </a:rPr>
            <a:t>++</a:t>
          </a:r>
        </a:p>
      </dgm:t>
    </dgm:pt>
    <dgm:pt modelId="{BF6DEDB4-9438-41E3-BEB8-D597D95738CE}" type="parTrans" cxnId="{0FEA6597-6EB1-4F3E-A07C-911BC55B110E}">
      <dgm:prSet/>
      <dgm:spPr/>
      <dgm:t>
        <a:bodyPr/>
        <a:lstStyle/>
        <a:p>
          <a:endParaRPr lang="en-GB"/>
        </a:p>
      </dgm:t>
    </dgm:pt>
    <dgm:pt modelId="{B934153D-3600-45FD-8274-F4AD57CC6D2D}" type="sibTrans" cxnId="{0FEA6597-6EB1-4F3E-A07C-911BC55B110E}">
      <dgm:prSet/>
      <dgm:spPr/>
      <dgm:t>
        <a:bodyPr/>
        <a:lstStyle/>
        <a:p>
          <a:endParaRPr lang="en-GB"/>
        </a:p>
      </dgm:t>
    </dgm:pt>
    <dgm:pt modelId="{B5D85577-96E6-4A0F-AFCE-978EE1C69D76}" type="pres">
      <dgm:prSet presAssocID="{62AD3D2F-5AF7-4D8E-931E-035AB7B80473}" presName="theList" presStyleCnt="0">
        <dgm:presLayoutVars>
          <dgm:dir/>
          <dgm:animLvl val="lvl"/>
          <dgm:resizeHandles val="exact"/>
        </dgm:presLayoutVars>
      </dgm:prSet>
      <dgm:spPr/>
      <dgm:t>
        <a:bodyPr/>
        <a:lstStyle/>
        <a:p>
          <a:endParaRPr lang="en-US"/>
        </a:p>
      </dgm:t>
    </dgm:pt>
    <dgm:pt modelId="{0F1B01A6-08B6-4811-AA66-AA02055CB4F6}" type="pres">
      <dgm:prSet presAssocID="{537F2FFE-2FBE-451F-8E1C-C77B1C5B2769}" presName="compNode" presStyleCnt="0"/>
      <dgm:spPr/>
    </dgm:pt>
    <dgm:pt modelId="{1D46F74A-4192-4F80-909F-9F9337FEB9AA}" type="pres">
      <dgm:prSet presAssocID="{537F2FFE-2FBE-451F-8E1C-C77B1C5B2769}" presName="aNode" presStyleLbl="bgShp" presStyleIdx="0" presStyleCnt="3" custScaleX="177779"/>
      <dgm:spPr/>
      <dgm:t>
        <a:bodyPr/>
        <a:lstStyle/>
        <a:p>
          <a:endParaRPr lang="en-US"/>
        </a:p>
      </dgm:t>
    </dgm:pt>
    <dgm:pt modelId="{F4EEC6B4-5635-474F-A209-93DA0D491544}" type="pres">
      <dgm:prSet presAssocID="{537F2FFE-2FBE-451F-8E1C-C77B1C5B2769}" presName="textNode" presStyleLbl="bgShp" presStyleIdx="0" presStyleCnt="3"/>
      <dgm:spPr/>
      <dgm:t>
        <a:bodyPr/>
        <a:lstStyle/>
        <a:p>
          <a:endParaRPr lang="en-US"/>
        </a:p>
      </dgm:t>
    </dgm:pt>
    <dgm:pt modelId="{CDA1297D-A6F2-430A-9CEC-F80B4DFF93A2}" type="pres">
      <dgm:prSet presAssocID="{537F2FFE-2FBE-451F-8E1C-C77B1C5B2769}" presName="compChildNode" presStyleCnt="0"/>
      <dgm:spPr/>
    </dgm:pt>
    <dgm:pt modelId="{2182E836-EBFF-4262-B12D-EDBFA870FA70}" type="pres">
      <dgm:prSet presAssocID="{537F2FFE-2FBE-451F-8E1C-C77B1C5B2769}" presName="theInnerList" presStyleCnt="0"/>
      <dgm:spPr/>
    </dgm:pt>
    <dgm:pt modelId="{EC31E237-58DE-4BAC-B0BD-9369AA93FE2B}" type="pres">
      <dgm:prSet presAssocID="{AB6BD5F8-ACB1-4511-AFB1-F98D5CEB2607}" presName="childNode" presStyleLbl="node1" presStyleIdx="0" presStyleCnt="24" custScaleX="177779">
        <dgm:presLayoutVars>
          <dgm:bulletEnabled val="1"/>
        </dgm:presLayoutVars>
      </dgm:prSet>
      <dgm:spPr/>
      <dgm:t>
        <a:bodyPr/>
        <a:lstStyle/>
        <a:p>
          <a:endParaRPr lang="en-US"/>
        </a:p>
      </dgm:t>
    </dgm:pt>
    <dgm:pt modelId="{5D9D5962-8E81-4769-ABCD-87098AE2F5CB}" type="pres">
      <dgm:prSet presAssocID="{AB6BD5F8-ACB1-4511-AFB1-F98D5CEB2607}" presName="aSpace2" presStyleCnt="0"/>
      <dgm:spPr/>
    </dgm:pt>
    <dgm:pt modelId="{078171B6-E22C-41CA-BECF-E96F0A5D7211}" type="pres">
      <dgm:prSet presAssocID="{CE75729D-7308-4533-9138-4EE2451F0F29}" presName="childNode" presStyleLbl="node1" presStyleIdx="1" presStyleCnt="24" custScaleX="177779">
        <dgm:presLayoutVars>
          <dgm:bulletEnabled val="1"/>
        </dgm:presLayoutVars>
      </dgm:prSet>
      <dgm:spPr/>
      <dgm:t>
        <a:bodyPr/>
        <a:lstStyle/>
        <a:p>
          <a:endParaRPr lang="en-US"/>
        </a:p>
      </dgm:t>
    </dgm:pt>
    <dgm:pt modelId="{B239BFB6-7193-4EA4-994F-E13463719634}" type="pres">
      <dgm:prSet presAssocID="{CE75729D-7308-4533-9138-4EE2451F0F29}" presName="aSpace2" presStyleCnt="0"/>
      <dgm:spPr/>
    </dgm:pt>
    <dgm:pt modelId="{50D0E816-0680-405C-8746-5A97CBA1D644}" type="pres">
      <dgm:prSet presAssocID="{00341C2B-7030-4B30-BE39-F29C6C8883B3}" presName="childNode" presStyleLbl="node1" presStyleIdx="2" presStyleCnt="24" custScaleX="177779">
        <dgm:presLayoutVars>
          <dgm:bulletEnabled val="1"/>
        </dgm:presLayoutVars>
      </dgm:prSet>
      <dgm:spPr/>
      <dgm:t>
        <a:bodyPr/>
        <a:lstStyle/>
        <a:p>
          <a:endParaRPr lang="en-US"/>
        </a:p>
      </dgm:t>
    </dgm:pt>
    <dgm:pt modelId="{4B3ADE67-2E16-4A3E-AE8A-D59BCF63286F}" type="pres">
      <dgm:prSet presAssocID="{00341C2B-7030-4B30-BE39-F29C6C8883B3}" presName="aSpace2" presStyleCnt="0"/>
      <dgm:spPr/>
    </dgm:pt>
    <dgm:pt modelId="{88C000AF-6522-4AB8-B33F-7EBEBFE7286C}" type="pres">
      <dgm:prSet presAssocID="{813499C5-B71F-401E-B446-66B58DE26426}" presName="childNode" presStyleLbl="node1" presStyleIdx="3" presStyleCnt="24" custScaleX="177779">
        <dgm:presLayoutVars>
          <dgm:bulletEnabled val="1"/>
        </dgm:presLayoutVars>
      </dgm:prSet>
      <dgm:spPr/>
      <dgm:t>
        <a:bodyPr/>
        <a:lstStyle/>
        <a:p>
          <a:endParaRPr lang="en-US"/>
        </a:p>
      </dgm:t>
    </dgm:pt>
    <dgm:pt modelId="{C419217F-A8CF-4D45-98A6-D9C14C455B7B}" type="pres">
      <dgm:prSet presAssocID="{813499C5-B71F-401E-B446-66B58DE26426}" presName="aSpace2" presStyleCnt="0"/>
      <dgm:spPr/>
    </dgm:pt>
    <dgm:pt modelId="{28527660-E347-4400-BA30-EA8AE1E7F004}" type="pres">
      <dgm:prSet presAssocID="{CEE01E88-ACEF-49DC-9912-8D7AB39AA406}" presName="childNode" presStyleLbl="node1" presStyleIdx="4" presStyleCnt="24" custScaleX="177779">
        <dgm:presLayoutVars>
          <dgm:bulletEnabled val="1"/>
        </dgm:presLayoutVars>
      </dgm:prSet>
      <dgm:spPr/>
      <dgm:t>
        <a:bodyPr/>
        <a:lstStyle/>
        <a:p>
          <a:endParaRPr lang="en-US"/>
        </a:p>
      </dgm:t>
    </dgm:pt>
    <dgm:pt modelId="{B11A59F3-0656-4490-B339-16F6CCACE64F}" type="pres">
      <dgm:prSet presAssocID="{CEE01E88-ACEF-49DC-9912-8D7AB39AA406}" presName="aSpace2" presStyleCnt="0"/>
      <dgm:spPr/>
    </dgm:pt>
    <dgm:pt modelId="{D887372D-BB3F-42F8-83EB-78FE3144B047}" type="pres">
      <dgm:prSet presAssocID="{FB89FD41-81B2-450E-AE22-9DEE6B124B37}" presName="childNode" presStyleLbl="node1" presStyleIdx="5" presStyleCnt="24" custScaleX="177779">
        <dgm:presLayoutVars>
          <dgm:bulletEnabled val="1"/>
        </dgm:presLayoutVars>
      </dgm:prSet>
      <dgm:spPr/>
      <dgm:t>
        <a:bodyPr/>
        <a:lstStyle/>
        <a:p>
          <a:endParaRPr lang="en-US"/>
        </a:p>
      </dgm:t>
    </dgm:pt>
    <dgm:pt modelId="{A3882D30-BCDE-4970-9F24-501EEEDC0266}" type="pres">
      <dgm:prSet presAssocID="{FB89FD41-81B2-450E-AE22-9DEE6B124B37}" presName="aSpace2" presStyleCnt="0"/>
      <dgm:spPr/>
    </dgm:pt>
    <dgm:pt modelId="{5A0312DF-FF86-480F-A90C-6F2D92F7D4AB}" type="pres">
      <dgm:prSet presAssocID="{B0DE6BE9-FCB1-462C-A72A-B10C9F906D77}" presName="childNode" presStyleLbl="node1" presStyleIdx="6" presStyleCnt="24" custScaleX="179232">
        <dgm:presLayoutVars>
          <dgm:bulletEnabled val="1"/>
        </dgm:presLayoutVars>
      </dgm:prSet>
      <dgm:spPr/>
      <dgm:t>
        <a:bodyPr/>
        <a:lstStyle/>
        <a:p>
          <a:endParaRPr lang="en-US"/>
        </a:p>
      </dgm:t>
    </dgm:pt>
    <dgm:pt modelId="{9862B63A-3DDF-4B73-B976-5B53D2A85BC7}" type="pres">
      <dgm:prSet presAssocID="{B0DE6BE9-FCB1-462C-A72A-B10C9F906D77}" presName="aSpace2" presStyleCnt="0"/>
      <dgm:spPr/>
    </dgm:pt>
    <dgm:pt modelId="{87D65564-C0FC-45B9-8790-50BB6713A2E1}" type="pres">
      <dgm:prSet presAssocID="{16B4C3BB-B3EC-40E9-98CD-DC6CD618B4D8}" presName="childNode" presStyleLbl="node1" presStyleIdx="7" presStyleCnt="24" custScaleX="177779">
        <dgm:presLayoutVars>
          <dgm:bulletEnabled val="1"/>
        </dgm:presLayoutVars>
      </dgm:prSet>
      <dgm:spPr/>
      <dgm:t>
        <a:bodyPr/>
        <a:lstStyle/>
        <a:p>
          <a:endParaRPr lang="en-US"/>
        </a:p>
      </dgm:t>
    </dgm:pt>
    <dgm:pt modelId="{90CCE336-8057-4F07-87D3-0323B6B2AC4E}" type="pres">
      <dgm:prSet presAssocID="{537F2FFE-2FBE-451F-8E1C-C77B1C5B2769}" presName="aSpace" presStyleCnt="0"/>
      <dgm:spPr/>
    </dgm:pt>
    <dgm:pt modelId="{0A32BA30-706D-4EDF-9CE1-DD37E386CC1C}" type="pres">
      <dgm:prSet presAssocID="{5000BF9D-847D-438E-8E26-CB10ECA3CE0B}" presName="compNode" presStyleCnt="0"/>
      <dgm:spPr/>
    </dgm:pt>
    <dgm:pt modelId="{B193819B-1090-4C70-A251-27E13A8FD448}" type="pres">
      <dgm:prSet presAssocID="{5000BF9D-847D-438E-8E26-CB10ECA3CE0B}" presName="aNode" presStyleLbl="bgShp" presStyleIdx="1" presStyleCnt="3"/>
      <dgm:spPr/>
      <dgm:t>
        <a:bodyPr/>
        <a:lstStyle/>
        <a:p>
          <a:endParaRPr lang="en-US"/>
        </a:p>
      </dgm:t>
    </dgm:pt>
    <dgm:pt modelId="{A3F6D3B8-48FE-402A-8C12-11F016D1BE98}" type="pres">
      <dgm:prSet presAssocID="{5000BF9D-847D-438E-8E26-CB10ECA3CE0B}" presName="textNode" presStyleLbl="bgShp" presStyleIdx="1" presStyleCnt="3"/>
      <dgm:spPr/>
      <dgm:t>
        <a:bodyPr/>
        <a:lstStyle/>
        <a:p>
          <a:endParaRPr lang="en-US"/>
        </a:p>
      </dgm:t>
    </dgm:pt>
    <dgm:pt modelId="{2B37C946-E0E1-486E-9BEE-DEC801A7E430}" type="pres">
      <dgm:prSet presAssocID="{5000BF9D-847D-438E-8E26-CB10ECA3CE0B}" presName="compChildNode" presStyleCnt="0"/>
      <dgm:spPr/>
    </dgm:pt>
    <dgm:pt modelId="{DF7B5722-59B0-4FC1-A7A8-6CBC9A5EC593}" type="pres">
      <dgm:prSet presAssocID="{5000BF9D-847D-438E-8E26-CB10ECA3CE0B}" presName="theInnerList" presStyleCnt="0"/>
      <dgm:spPr/>
    </dgm:pt>
    <dgm:pt modelId="{C64D7C5F-CB62-4EC9-8643-6B9EDFD2A578}" type="pres">
      <dgm:prSet presAssocID="{702BFA04-3EFC-4409-AD78-08C31C892477}" presName="childNode" presStyleLbl="node1" presStyleIdx="8" presStyleCnt="24">
        <dgm:presLayoutVars>
          <dgm:bulletEnabled val="1"/>
        </dgm:presLayoutVars>
      </dgm:prSet>
      <dgm:spPr/>
      <dgm:t>
        <a:bodyPr/>
        <a:lstStyle/>
        <a:p>
          <a:endParaRPr lang="en-US"/>
        </a:p>
      </dgm:t>
    </dgm:pt>
    <dgm:pt modelId="{4BC6E5B4-AC61-4B60-9C6F-C20342FA9D72}" type="pres">
      <dgm:prSet presAssocID="{702BFA04-3EFC-4409-AD78-08C31C892477}" presName="aSpace2" presStyleCnt="0"/>
      <dgm:spPr/>
    </dgm:pt>
    <dgm:pt modelId="{AF3D0907-1B78-48A0-85E1-B2E4269A3F2C}" type="pres">
      <dgm:prSet presAssocID="{88C2A955-F46A-4E98-A7E9-4A97D4EAE405}" presName="childNode" presStyleLbl="node1" presStyleIdx="9" presStyleCnt="24">
        <dgm:presLayoutVars>
          <dgm:bulletEnabled val="1"/>
        </dgm:presLayoutVars>
      </dgm:prSet>
      <dgm:spPr/>
      <dgm:t>
        <a:bodyPr/>
        <a:lstStyle/>
        <a:p>
          <a:endParaRPr lang="en-US"/>
        </a:p>
      </dgm:t>
    </dgm:pt>
    <dgm:pt modelId="{6B0BF022-091C-4A9B-B03C-E4E370FC40DB}" type="pres">
      <dgm:prSet presAssocID="{88C2A955-F46A-4E98-A7E9-4A97D4EAE405}" presName="aSpace2" presStyleCnt="0"/>
      <dgm:spPr/>
    </dgm:pt>
    <dgm:pt modelId="{3FA606E2-DC90-4E70-8427-63DBC091A65A}" type="pres">
      <dgm:prSet presAssocID="{B8574016-65C3-4190-B935-C10CAE0E964B}" presName="childNode" presStyleLbl="node1" presStyleIdx="10" presStyleCnt="24">
        <dgm:presLayoutVars>
          <dgm:bulletEnabled val="1"/>
        </dgm:presLayoutVars>
      </dgm:prSet>
      <dgm:spPr/>
      <dgm:t>
        <a:bodyPr/>
        <a:lstStyle/>
        <a:p>
          <a:endParaRPr lang="en-US"/>
        </a:p>
      </dgm:t>
    </dgm:pt>
    <dgm:pt modelId="{0879E097-A119-46B0-84B5-1029670A2F95}" type="pres">
      <dgm:prSet presAssocID="{B8574016-65C3-4190-B935-C10CAE0E964B}" presName="aSpace2" presStyleCnt="0"/>
      <dgm:spPr/>
    </dgm:pt>
    <dgm:pt modelId="{99CE386E-9FFF-4A2D-BA8F-90CEFC4750CD}" type="pres">
      <dgm:prSet presAssocID="{D00B0793-4F76-4932-BFB3-3A8D9594EABC}" presName="childNode" presStyleLbl="node1" presStyleIdx="11" presStyleCnt="24">
        <dgm:presLayoutVars>
          <dgm:bulletEnabled val="1"/>
        </dgm:presLayoutVars>
      </dgm:prSet>
      <dgm:spPr/>
      <dgm:t>
        <a:bodyPr/>
        <a:lstStyle/>
        <a:p>
          <a:endParaRPr lang="en-US"/>
        </a:p>
      </dgm:t>
    </dgm:pt>
    <dgm:pt modelId="{1C99E4FF-4496-4C85-85FC-4801F71EA0D9}" type="pres">
      <dgm:prSet presAssocID="{D00B0793-4F76-4932-BFB3-3A8D9594EABC}" presName="aSpace2" presStyleCnt="0"/>
      <dgm:spPr/>
    </dgm:pt>
    <dgm:pt modelId="{A2784BF8-3ABA-4605-A548-CA5B01571FFF}" type="pres">
      <dgm:prSet presAssocID="{D8294449-6D64-42B3-B945-4D2E5AF18C8D}" presName="childNode" presStyleLbl="node1" presStyleIdx="12" presStyleCnt="24">
        <dgm:presLayoutVars>
          <dgm:bulletEnabled val="1"/>
        </dgm:presLayoutVars>
      </dgm:prSet>
      <dgm:spPr/>
      <dgm:t>
        <a:bodyPr/>
        <a:lstStyle/>
        <a:p>
          <a:endParaRPr lang="en-US"/>
        </a:p>
      </dgm:t>
    </dgm:pt>
    <dgm:pt modelId="{75DC7AB5-B3F9-41A9-A779-0E98037EA72B}" type="pres">
      <dgm:prSet presAssocID="{D8294449-6D64-42B3-B945-4D2E5AF18C8D}" presName="aSpace2" presStyleCnt="0"/>
      <dgm:spPr/>
    </dgm:pt>
    <dgm:pt modelId="{C1426B1D-D6D1-40B9-AA41-C8614E8072FC}" type="pres">
      <dgm:prSet presAssocID="{FA1CDA8F-D0DE-4D91-A211-DA2686DF4D12}" presName="childNode" presStyleLbl="node1" presStyleIdx="13" presStyleCnt="24">
        <dgm:presLayoutVars>
          <dgm:bulletEnabled val="1"/>
        </dgm:presLayoutVars>
      </dgm:prSet>
      <dgm:spPr/>
      <dgm:t>
        <a:bodyPr/>
        <a:lstStyle/>
        <a:p>
          <a:endParaRPr lang="en-US"/>
        </a:p>
      </dgm:t>
    </dgm:pt>
    <dgm:pt modelId="{4CF47CFB-13AC-4DDA-9CEF-C09EB9761B9F}" type="pres">
      <dgm:prSet presAssocID="{FA1CDA8F-D0DE-4D91-A211-DA2686DF4D12}" presName="aSpace2" presStyleCnt="0"/>
      <dgm:spPr/>
    </dgm:pt>
    <dgm:pt modelId="{18642513-E833-4ACD-BBF6-3F1E4C73EE27}" type="pres">
      <dgm:prSet presAssocID="{BD4BBCC3-C227-4788-83C2-B6EA4EE8277A}" presName="childNode" presStyleLbl="node1" presStyleIdx="14" presStyleCnt="24">
        <dgm:presLayoutVars>
          <dgm:bulletEnabled val="1"/>
        </dgm:presLayoutVars>
      </dgm:prSet>
      <dgm:spPr/>
      <dgm:t>
        <a:bodyPr/>
        <a:lstStyle/>
        <a:p>
          <a:endParaRPr lang="en-US"/>
        </a:p>
      </dgm:t>
    </dgm:pt>
    <dgm:pt modelId="{7D3CCD1F-8D93-4B9B-B03F-AE9A0148362D}" type="pres">
      <dgm:prSet presAssocID="{BD4BBCC3-C227-4788-83C2-B6EA4EE8277A}" presName="aSpace2" presStyleCnt="0"/>
      <dgm:spPr/>
    </dgm:pt>
    <dgm:pt modelId="{9DDA8698-8A5B-4832-959B-3E32FE15CE21}" type="pres">
      <dgm:prSet presAssocID="{BEBB8417-240A-4DD3-852C-708256270995}" presName="childNode" presStyleLbl="node1" presStyleIdx="15" presStyleCnt="24">
        <dgm:presLayoutVars>
          <dgm:bulletEnabled val="1"/>
        </dgm:presLayoutVars>
      </dgm:prSet>
      <dgm:spPr/>
      <dgm:t>
        <a:bodyPr/>
        <a:lstStyle/>
        <a:p>
          <a:endParaRPr lang="en-US"/>
        </a:p>
      </dgm:t>
    </dgm:pt>
    <dgm:pt modelId="{D7990E70-4DDE-4D8A-8AF2-71BD9463352A}" type="pres">
      <dgm:prSet presAssocID="{5000BF9D-847D-438E-8E26-CB10ECA3CE0B}" presName="aSpace" presStyleCnt="0"/>
      <dgm:spPr/>
    </dgm:pt>
    <dgm:pt modelId="{7D8DDEA5-D20C-4594-B9C3-8F5247646D4B}" type="pres">
      <dgm:prSet presAssocID="{DB558913-1A90-4934-B3C4-F3576302FFB0}" presName="compNode" presStyleCnt="0"/>
      <dgm:spPr/>
    </dgm:pt>
    <dgm:pt modelId="{F439C290-A177-42E1-A11A-817571F3B5EC}" type="pres">
      <dgm:prSet presAssocID="{DB558913-1A90-4934-B3C4-F3576302FFB0}" presName="aNode" presStyleLbl="bgShp" presStyleIdx="2" presStyleCnt="3"/>
      <dgm:spPr/>
      <dgm:t>
        <a:bodyPr/>
        <a:lstStyle/>
        <a:p>
          <a:endParaRPr lang="en-US"/>
        </a:p>
      </dgm:t>
    </dgm:pt>
    <dgm:pt modelId="{77866D72-3C56-450C-A5E9-826729D0E2CA}" type="pres">
      <dgm:prSet presAssocID="{DB558913-1A90-4934-B3C4-F3576302FFB0}" presName="textNode" presStyleLbl="bgShp" presStyleIdx="2" presStyleCnt="3"/>
      <dgm:spPr/>
      <dgm:t>
        <a:bodyPr/>
        <a:lstStyle/>
        <a:p>
          <a:endParaRPr lang="en-US"/>
        </a:p>
      </dgm:t>
    </dgm:pt>
    <dgm:pt modelId="{FD6893DA-A270-457F-81EE-106F05F07FF3}" type="pres">
      <dgm:prSet presAssocID="{DB558913-1A90-4934-B3C4-F3576302FFB0}" presName="compChildNode" presStyleCnt="0"/>
      <dgm:spPr/>
    </dgm:pt>
    <dgm:pt modelId="{CB92E49F-09D2-46FE-9C31-BD4712FC0E15}" type="pres">
      <dgm:prSet presAssocID="{DB558913-1A90-4934-B3C4-F3576302FFB0}" presName="theInnerList" presStyleCnt="0"/>
      <dgm:spPr/>
    </dgm:pt>
    <dgm:pt modelId="{F7BB5E4D-6C47-45EE-BED3-13B3775901A2}" type="pres">
      <dgm:prSet presAssocID="{CDE9E8E5-D516-4675-BD45-4817E0B87186}" presName="childNode" presStyleLbl="node1" presStyleIdx="16" presStyleCnt="24">
        <dgm:presLayoutVars>
          <dgm:bulletEnabled val="1"/>
        </dgm:presLayoutVars>
      </dgm:prSet>
      <dgm:spPr/>
      <dgm:t>
        <a:bodyPr/>
        <a:lstStyle/>
        <a:p>
          <a:endParaRPr lang="en-US"/>
        </a:p>
      </dgm:t>
    </dgm:pt>
    <dgm:pt modelId="{6DE48050-E9F6-4B13-AE86-82CFA9AF6CD4}" type="pres">
      <dgm:prSet presAssocID="{CDE9E8E5-D516-4675-BD45-4817E0B87186}" presName="aSpace2" presStyleCnt="0"/>
      <dgm:spPr/>
    </dgm:pt>
    <dgm:pt modelId="{59F9E01C-5FD8-4352-ADBC-BCA2C68CA9D3}" type="pres">
      <dgm:prSet presAssocID="{67FF2F59-CCF1-4CC3-97F7-6C8145C1278A}" presName="childNode" presStyleLbl="node1" presStyleIdx="17" presStyleCnt="24">
        <dgm:presLayoutVars>
          <dgm:bulletEnabled val="1"/>
        </dgm:presLayoutVars>
      </dgm:prSet>
      <dgm:spPr/>
      <dgm:t>
        <a:bodyPr/>
        <a:lstStyle/>
        <a:p>
          <a:endParaRPr lang="en-US"/>
        </a:p>
      </dgm:t>
    </dgm:pt>
    <dgm:pt modelId="{D13FF2EE-7577-4A6D-9C59-0D4B5AA1A70C}" type="pres">
      <dgm:prSet presAssocID="{67FF2F59-CCF1-4CC3-97F7-6C8145C1278A}" presName="aSpace2" presStyleCnt="0"/>
      <dgm:spPr/>
    </dgm:pt>
    <dgm:pt modelId="{4DF84A8D-6ECB-4889-A9B8-C46932319C90}" type="pres">
      <dgm:prSet presAssocID="{5C2FDDAA-A62C-425A-B73D-5E2BC978AD48}" presName="childNode" presStyleLbl="node1" presStyleIdx="18" presStyleCnt="24">
        <dgm:presLayoutVars>
          <dgm:bulletEnabled val="1"/>
        </dgm:presLayoutVars>
      </dgm:prSet>
      <dgm:spPr/>
      <dgm:t>
        <a:bodyPr/>
        <a:lstStyle/>
        <a:p>
          <a:endParaRPr lang="en-US"/>
        </a:p>
      </dgm:t>
    </dgm:pt>
    <dgm:pt modelId="{02686B0F-883C-46D4-B1FB-F5D0AB237219}" type="pres">
      <dgm:prSet presAssocID="{5C2FDDAA-A62C-425A-B73D-5E2BC978AD48}" presName="aSpace2" presStyleCnt="0"/>
      <dgm:spPr/>
    </dgm:pt>
    <dgm:pt modelId="{709173EF-3100-4EE8-A858-44008A8B60BA}" type="pres">
      <dgm:prSet presAssocID="{5677B32E-E3FE-419B-91EA-8AEE41F05E93}" presName="childNode" presStyleLbl="node1" presStyleIdx="19" presStyleCnt="24">
        <dgm:presLayoutVars>
          <dgm:bulletEnabled val="1"/>
        </dgm:presLayoutVars>
      </dgm:prSet>
      <dgm:spPr/>
      <dgm:t>
        <a:bodyPr/>
        <a:lstStyle/>
        <a:p>
          <a:endParaRPr lang="en-US"/>
        </a:p>
      </dgm:t>
    </dgm:pt>
    <dgm:pt modelId="{5EC37529-AD46-4082-A7CE-6AB381C83023}" type="pres">
      <dgm:prSet presAssocID="{5677B32E-E3FE-419B-91EA-8AEE41F05E93}" presName="aSpace2" presStyleCnt="0"/>
      <dgm:spPr/>
    </dgm:pt>
    <dgm:pt modelId="{E075D0DD-3102-4BFB-87AF-93EBFB3660E3}" type="pres">
      <dgm:prSet presAssocID="{ED7C89A2-07A7-4840-A90A-AF58C128250E}" presName="childNode" presStyleLbl="node1" presStyleIdx="20" presStyleCnt="24">
        <dgm:presLayoutVars>
          <dgm:bulletEnabled val="1"/>
        </dgm:presLayoutVars>
      </dgm:prSet>
      <dgm:spPr/>
      <dgm:t>
        <a:bodyPr/>
        <a:lstStyle/>
        <a:p>
          <a:endParaRPr lang="en-US"/>
        </a:p>
      </dgm:t>
    </dgm:pt>
    <dgm:pt modelId="{F9464188-5A91-4D60-A71B-C01C9F71EEB3}" type="pres">
      <dgm:prSet presAssocID="{ED7C89A2-07A7-4840-A90A-AF58C128250E}" presName="aSpace2" presStyleCnt="0"/>
      <dgm:spPr/>
    </dgm:pt>
    <dgm:pt modelId="{7D4E7A99-6408-4E80-89E5-7E510312AE3F}" type="pres">
      <dgm:prSet presAssocID="{87D7D9D5-8256-44CE-92E9-4FE94877C023}" presName="childNode" presStyleLbl="node1" presStyleIdx="21" presStyleCnt="24">
        <dgm:presLayoutVars>
          <dgm:bulletEnabled val="1"/>
        </dgm:presLayoutVars>
      </dgm:prSet>
      <dgm:spPr/>
      <dgm:t>
        <a:bodyPr/>
        <a:lstStyle/>
        <a:p>
          <a:endParaRPr lang="en-US"/>
        </a:p>
      </dgm:t>
    </dgm:pt>
    <dgm:pt modelId="{F95E050B-589D-408B-8529-CCE746116E2E}" type="pres">
      <dgm:prSet presAssocID="{87D7D9D5-8256-44CE-92E9-4FE94877C023}" presName="aSpace2" presStyleCnt="0"/>
      <dgm:spPr/>
    </dgm:pt>
    <dgm:pt modelId="{86F12DB4-7E7D-4586-A3E1-047612095D6F}" type="pres">
      <dgm:prSet presAssocID="{4D3F8D66-81BA-4779-A785-BD36059DDD1D}" presName="childNode" presStyleLbl="node1" presStyleIdx="22" presStyleCnt="24">
        <dgm:presLayoutVars>
          <dgm:bulletEnabled val="1"/>
        </dgm:presLayoutVars>
      </dgm:prSet>
      <dgm:spPr/>
      <dgm:t>
        <a:bodyPr/>
        <a:lstStyle/>
        <a:p>
          <a:endParaRPr lang="en-US"/>
        </a:p>
      </dgm:t>
    </dgm:pt>
    <dgm:pt modelId="{93D57779-8291-4DB0-A8FA-87627D7583D7}" type="pres">
      <dgm:prSet presAssocID="{4D3F8D66-81BA-4779-A785-BD36059DDD1D}" presName="aSpace2" presStyleCnt="0"/>
      <dgm:spPr/>
    </dgm:pt>
    <dgm:pt modelId="{D31260E0-F8CB-4AAD-A27B-CE131B88883D}" type="pres">
      <dgm:prSet presAssocID="{79D43506-DB74-45CB-9867-E5D4D8F1A3CA}" presName="childNode" presStyleLbl="node1" presStyleIdx="23" presStyleCnt="24">
        <dgm:presLayoutVars>
          <dgm:bulletEnabled val="1"/>
        </dgm:presLayoutVars>
      </dgm:prSet>
      <dgm:spPr/>
      <dgm:t>
        <a:bodyPr/>
        <a:lstStyle/>
        <a:p>
          <a:endParaRPr lang="en-US"/>
        </a:p>
      </dgm:t>
    </dgm:pt>
  </dgm:ptLst>
  <dgm:cxnLst>
    <dgm:cxn modelId="{EA85EFF4-60DD-494D-8E15-710C9F8F4A9F}" type="presOf" srcId="{813499C5-B71F-401E-B446-66B58DE26426}" destId="{88C000AF-6522-4AB8-B33F-7EBEBFE7286C}" srcOrd="0" destOrd="0" presId="urn:microsoft.com/office/officeart/2005/8/layout/lProcess2"/>
    <dgm:cxn modelId="{8EB550E5-B296-43AD-85AE-E0708735FBEC}" srcId="{62AD3D2F-5AF7-4D8E-931E-035AB7B80473}" destId="{537F2FFE-2FBE-451F-8E1C-C77B1C5B2769}" srcOrd="0" destOrd="0" parTransId="{D5721325-0FDA-4D27-A395-840C57DABC44}" sibTransId="{5DC75C88-BC53-48D1-8F49-ED320BD35514}"/>
    <dgm:cxn modelId="{024C90A8-D124-49F4-A6C0-DBB18693D115}" srcId="{DB558913-1A90-4934-B3C4-F3576302FFB0}" destId="{ED7C89A2-07A7-4840-A90A-AF58C128250E}" srcOrd="4" destOrd="0" parTransId="{599BB185-E523-4007-9C37-F4484C0839B6}" sibTransId="{4E3B4E03-0448-40CB-8487-36241F498333}"/>
    <dgm:cxn modelId="{CAD93E18-DB20-45ED-A320-19E05C9502D1}" type="presOf" srcId="{16B4C3BB-B3EC-40E9-98CD-DC6CD618B4D8}" destId="{87D65564-C0FC-45B9-8790-50BB6713A2E1}" srcOrd="0" destOrd="0" presId="urn:microsoft.com/office/officeart/2005/8/layout/lProcess2"/>
    <dgm:cxn modelId="{A638DA88-2F8A-4BD3-8507-2C61D687555C}" srcId="{5000BF9D-847D-438E-8E26-CB10ECA3CE0B}" destId="{B8574016-65C3-4190-B935-C10CAE0E964B}" srcOrd="2" destOrd="0" parTransId="{33EE84A3-A002-4172-B74A-252C1F75173F}" sibTransId="{E5A3C9B2-0C9C-44F0-A8BA-92C0F35F14B9}"/>
    <dgm:cxn modelId="{874A65AD-7D09-44F2-8E19-EE2B2592BF89}" srcId="{DB558913-1A90-4934-B3C4-F3576302FFB0}" destId="{79D43506-DB74-45CB-9867-E5D4D8F1A3CA}" srcOrd="7" destOrd="0" parTransId="{88E5EE72-6A7C-406A-AFE4-EA746BEAF748}" sibTransId="{088B4BFC-F8FF-47E0-B91A-BD3544F103BC}"/>
    <dgm:cxn modelId="{145124B5-FC16-4FC8-BD5D-0C7B51DC9FED}" type="presOf" srcId="{5C2FDDAA-A62C-425A-B73D-5E2BC978AD48}" destId="{4DF84A8D-6ECB-4889-A9B8-C46932319C90}" srcOrd="0" destOrd="0" presId="urn:microsoft.com/office/officeart/2005/8/layout/lProcess2"/>
    <dgm:cxn modelId="{6200DC82-C71C-4FE0-826C-83BAEB103F80}" srcId="{537F2FFE-2FBE-451F-8E1C-C77B1C5B2769}" destId="{CEE01E88-ACEF-49DC-9912-8D7AB39AA406}" srcOrd="4" destOrd="0" parTransId="{2BAA6500-312C-4BAE-9DD9-86D147BD21D6}" sibTransId="{DFE48854-386B-445C-90DD-57AFEBF00E11}"/>
    <dgm:cxn modelId="{707F6967-B243-45E5-BCC4-1A27E430F582}" type="presOf" srcId="{5000BF9D-847D-438E-8E26-CB10ECA3CE0B}" destId="{B193819B-1090-4C70-A251-27E13A8FD448}" srcOrd="0" destOrd="0" presId="urn:microsoft.com/office/officeart/2005/8/layout/lProcess2"/>
    <dgm:cxn modelId="{7F3119E8-882C-4997-BB85-671EDCE482C5}" srcId="{537F2FFE-2FBE-451F-8E1C-C77B1C5B2769}" destId="{00341C2B-7030-4B30-BE39-F29C6C8883B3}" srcOrd="2" destOrd="0" parTransId="{85C6E6FB-6066-4F48-9CA8-FB432CF7D711}" sibTransId="{656FC349-89A2-4FBD-A1AE-5E43ADC6B361}"/>
    <dgm:cxn modelId="{0FEA6597-6EB1-4F3E-A07C-911BC55B110E}" srcId="{DB558913-1A90-4934-B3C4-F3576302FFB0}" destId="{4D3F8D66-81BA-4779-A785-BD36059DDD1D}" srcOrd="6" destOrd="0" parTransId="{BF6DEDB4-9438-41E3-BEB8-D597D95738CE}" sibTransId="{B934153D-3600-45FD-8274-F4AD57CC6D2D}"/>
    <dgm:cxn modelId="{0AEA0B52-C2C2-4DF3-894C-956AF0DA31C6}" type="presOf" srcId="{87D7D9D5-8256-44CE-92E9-4FE94877C023}" destId="{7D4E7A99-6408-4E80-89E5-7E510312AE3F}" srcOrd="0" destOrd="0" presId="urn:microsoft.com/office/officeart/2005/8/layout/lProcess2"/>
    <dgm:cxn modelId="{9AA4C6B2-B7DE-416F-A16E-845CE177C98F}" type="presOf" srcId="{4D3F8D66-81BA-4779-A785-BD36059DDD1D}" destId="{86F12DB4-7E7D-4586-A3E1-047612095D6F}" srcOrd="0" destOrd="0" presId="urn:microsoft.com/office/officeart/2005/8/layout/lProcess2"/>
    <dgm:cxn modelId="{21F20D0B-03D8-43B1-B689-8719C1A40FFC}" type="presOf" srcId="{AB6BD5F8-ACB1-4511-AFB1-F98D5CEB2607}" destId="{EC31E237-58DE-4BAC-B0BD-9369AA93FE2B}" srcOrd="0" destOrd="0" presId="urn:microsoft.com/office/officeart/2005/8/layout/lProcess2"/>
    <dgm:cxn modelId="{45F133F2-4298-44E4-895B-F352F67C8571}" type="presOf" srcId="{62AD3D2F-5AF7-4D8E-931E-035AB7B80473}" destId="{B5D85577-96E6-4A0F-AFCE-978EE1C69D76}" srcOrd="0" destOrd="0" presId="urn:microsoft.com/office/officeart/2005/8/layout/lProcess2"/>
    <dgm:cxn modelId="{26C74152-3261-4787-8C83-F7BFB2815844}" type="presOf" srcId="{D00B0793-4F76-4932-BFB3-3A8D9594EABC}" destId="{99CE386E-9FFF-4A2D-BA8F-90CEFC4750CD}" srcOrd="0" destOrd="0" presId="urn:microsoft.com/office/officeart/2005/8/layout/lProcess2"/>
    <dgm:cxn modelId="{D492FE82-43D9-4A19-96E4-A358A5E241C9}" srcId="{DB558913-1A90-4934-B3C4-F3576302FFB0}" destId="{5C2FDDAA-A62C-425A-B73D-5E2BC978AD48}" srcOrd="2" destOrd="0" parTransId="{F8284EA9-AE82-40A0-9825-7584EC7AF385}" sibTransId="{D942D5B4-BE0E-4196-9A63-BB46D16C5D45}"/>
    <dgm:cxn modelId="{C8773D19-B804-494E-83BD-5C449783DD20}" srcId="{537F2FFE-2FBE-451F-8E1C-C77B1C5B2769}" destId="{16B4C3BB-B3EC-40E9-98CD-DC6CD618B4D8}" srcOrd="7" destOrd="0" parTransId="{6D2F153B-ADC1-4AA8-AA92-8427F20D6751}" sibTransId="{1B27831F-CD9C-4793-B407-770A81551625}"/>
    <dgm:cxn modelId="{BB7A847F-DC46-4ABD-A6D8-F2072F6C1604}" srcId="{5000BF9D-847D-438E-8E26-CB10ECA3CE0B}" destId="{D00B0793-4F76-4932-BFB3-3A8D9594EABC}" srcOrd="3" destOrd="0" parTransId="{6B36FF76-393D-4534-9E55-98D3865CF409}" sibTransId="{6997FCF9-3DC9-4FAD-8393-DF47E8E9F988}"/>
    <dgm:cxn modelId="{1B49A053-7DA3-4DFD-8359-F3D2E9E9AF62}" type="presOf" srcId="{CDE9E8E5-D516-4675-BD45-4817E0B87186}" destId="{F7BB5E4D-6C47-45EE-BED3-13B3775901A2}" srcOrd="0" destOrd="0" presId="urn:microsoft.com/office/officeart/2005/8/layout/lProcess2"/>
    <dgm:cxn modelId="{34FFB1EC-5D96-4DF4-9EB1-2BBC84E85C7F}" srcId="{537F2FFE-2FBE-451F-8E1C-C77B1C5B2769}" destId="{CE75729D-7308-4533-9138-4EE2451F0F29}" srcOrd="1" destOrd="0" parTransId="{875E0266-91DE-4812-9854-8FA7270F5FAC}" sibTransId="{075CAD16-E983-4978-94CB-8B85D0F8CC2F}"/>
    <dgm:cxn modelId="{85084FD0-A428-45A0-9A8E-D96B76125AC6}" srcId="{5000BF9D-847D-438E-8E26-CB10ECA3CE0B}" destId="{BD4BBCC3-C227-4788-83C2-B6EA4EE8277A}" srcOrd="6" destOrd="0" parTransId="{BE06E631-83CD-476A-B29C-9E766A242666}" sibTransId="{4A263034-CB13-4639-8BD1-45E119F4AC43}"/>
    <dgm:cxn modelId="{1573C439-103A-4811-95B4-FB46025B7161}" srcId="{537F2FFE-2FBE-451F-8E1C-C77B1C5B2769}" destId="{813499C5-B71F-401E-B446-66B58DE26426}" srcOrd="3" destOrd="0" parTransId="{00396E7A-0CAD-4080-8E6B-7BC38710D294}" sibTransId="{3FDC40C6-D0EC-47AD-96A1-27A1E42E834F}"/>
    <dgm:cxn modelId="{45FA18DC-3741-4D1A-BE88-5AAE2E929E5D}" type="presOf" srcId="{D8294449-6D64-42B3-B945-4D2E5AF18C8D}" destId="{A2784BF8-3ABA-4605-A548-CA5B01571FFF}" srcOrd="0" destOrd="0" presId="urn:microsoft.com/office/officeart/2005/8/layout/lProcess2"/>
    <dgm:cxn modelId="{64E741A4-FD15-4755-99A6-56C185EA145B}" type="presOf" srcId="{CEE01E88-ACEF-49DC-9912-8D7AB39AA406}" destId="{28527660-E347-4400-BA30-EA8AE1E7F004}" srcOrd="0" destOrd="0" presId="urn:microsoft.com/office/officeart/2005/8/layout/lProcess2"/>
    <dgm:cxn modelId="{1D1B275F-DA5F-4046-B5DD-8E74C23CB7FE}" srcId="{62AD3D2F-5AF7-4D8E-931E-035AB7B80473}" destId="{DB558913-1A90-4934-B3C4-F3576302FFB0}" srcOrd="2" destOrd="0" parTransId="{F39D1A77-D6C8-4CB0-B32B-9831B5257583}" sibTransId="{DC29D179-002E-4CE3-BACB-BCDFA3CE394F}"/>
    <dgm:cxn modelId="{C269E3D9-B431-431C-B35F-5D872A4F65A8}" type="presOf" srcId="{67FF2F59-CCF1-4CC3-97F7-6C8145C1278A}" destId="{59F9E01C-5FD8-4352-ADBC-BCA2C68CA9D3}" srcOrd="0" destOrd="0" presId="urn:microsoft.com/office/officeart/2005/8/layout/lProcess2"/>
    <dgm:cxn modelId="{AFFECDB6-14FF-441B-9A79-455EF09AECB9}" type="presOf" srcId="{00341C2B-7030-4B30-BE39-F29C6C8883B3}" destId="{50D0E816-0680-405C-8746-5A97CBA1D644}" srcOrd="0" destOrd="0" presId="urn:microsoft.com/office/officeart/2005/8/layout/lProcess2"/>
    <dgm:cxn modelId="{9A4E3F49-FFE0-42ED-BFBD-852AD57B602E}" type="presOf" srcId="{FB89FD41-81B2-450E-AE22-9DEE6B124B37}" destId="{D887372D-BB3F-42F8-83EB-78FE3144B047}" srcOrd="0" destOrd="0" presId="urn:microsoft.com/office/officeart/2005/8/layout/lProcess2"/>
    <dgm:cxn modelId="{6321565C-70BA-4213-B173-B35200BC77E1}" type="presOf" srcId="{79D43506-DB74-45CB-9867-E5D4D8F1A3CA}" destId="{D31260E0-F8CB-4AAD-A27B-CE131B88883D}" srcOrd="0" destOrd="0" presId="urn:microsoft.com/office/officeart/2005/8/layout/lProcess2"/>
    <dgm:cxn modelId="{0DA834A2-7ADB-4500-A726-EBC29DAA39FC}" srcId="{62AD3D2F-5AF7-4D8E-931E-035AB7B80473}" destId="{5000BF9D-847D-438E-8E26-CB10ECA3CE0B}" srcOrd="1" destOrd="0" parTransId="{265505EA-80EA-4D6B-AB6B-C7BCD2C44BCC}" sibTransId="{77A6C3B1-18EF-4704-AA10-4097FB5D8298}"/>
    <dgm:cxn modelId="{E5AB54D7-5FB1-41D7-B03D-EF0C5002EB59}" srcId="{DB558913-1A90-4934-B3C4-F3576302FFB0}" destId="{87D7D9D5-8256-44CE-92E9-4FE94877C023}" srcOrd="5" destOrd="0" parTransId="{402E150C-D0A2-4EC3-BF09-17AF50E163C7}" sibTransId="{DF700046-020D-49B9-88FA-2278DBC76F7E}"/>
    <dgm:cxn modelId="{46F2E449-5DDC-43F0-B1B5-35B6BFBA64EA}" type="presOf" srcId="{5677B32E-E3FE-419B-91EA-8AEE41F05E93}" destId="{709173EF-3100-4EE8-A858-44008A8B60BA}" srcOrd="0" destOrd="0" presId="urn:microsoft.com/office/officeart/2005/8/layout/lProcess2"/>
    <dgm:cxn modelId="{E65809C6-D7B5-41EF-B19C-008DAE1D3A6D}" srcId="{537F2FFE-2FBE-451F-8E1C-C77B1C5B2769}" destId="{B0DE6BE9-FCB1-462C-A72A-B10C9F906D77}" srcOrd="6" destOrd="0" parTransId="{E6A1B310-9407-45CE-B063-A35D5BA66EFF}" sibTransId="{027D4155-58BC-4F08-BFA8-EF6B58BC3F9C}"/>
    <dgm:cxn modelId="{833CE5D1-6317-4F91-B5BA-5CB4BE0901DA}" type="presOf" srcId="{BD4BBCC3-C227-4788-83C2-B6EA4EE8277A}" destId="{18642513-E833-4ACD-BBF6-3F1E4C73EE27}" srcOrd="0" destOrd="0" presId="urn:microsoft.com/office/officeart/2005/8/layout/lProcess2"/>
    <dgm:cxn modelId="{533A9C8E-8F01-4F74-B2CB-1E039B33839C}" type="presOf" srcId="{BEBB8417-240A-4DD3-852C-708256270995}" destId="{9DDA8698-8A5B-4832-959B-3E32FE15CE21}" srcOrd="0" destOrd="0" presId="urn:microsoft.com/office/officeart/2005/8/layout/lProcess2"/>
    <dgm:cxn modelId="{5F4E0F05-935C-4E68-96B8-71034D395BA9}" srcId="{5000BF9D-847D-438E-8E26-CB10ECA3CE0B}" destId="{88C2A955-F46A-4E98-A7E9-4A97D4EAE405}" srcOrd="1" destOrd="0" parTransId="{7B5B7CDD-0E2A-4AEB-AEE4-FE235F3BF0BE}" sibTransId="{10C5D365-DF50-4C9F-98D4-CB056E65ADE4}"/>
    <dgm:cxn modelId="{90C5F9F6-E131-46EE-AD98-9F87E7356231}" srcId="{5000BF9D-847D-438E-8E26-CB10ECA3CE0B}" destId="{FA1CDA8F-D0DE-4D91-A211-DA2686DF4D12}" srcOrd="5" destOrd="0" parTransId="{B1ABD518-5488-4293-B6C0-C71B03B6AF56}" sibTransId="{37780A13-9DBE-40D2-A59C-F824643BDD9D}"/>
    <dgm:cxn modelId="{B00151EA-B417-48B7-A1CB-AFCA0795F1D8}" srcId="{DB558913-1A90-4934-B3C4-F3576302FFB0}" destId="{67FF2F59-CCF1-4CC3-97F7-6C8145C1278A}" srcOrd="1" destOrd="0" parTransId="{E6F48B2B-BB82-4096-819D-8622CFD4392E}" sibTransId="{9134277B-C7F3-4737-B304-2EC180BFE94E}"/>
    <dgm:cxn modelId="{0DC94040-2944-4474-81A8-148924CF547F}" type="presOf" srcId="{537F2FFE-2FBE-451F-8E1C-C77B1C5B2769}" destId="{1D46F74A-4192-4F80-909F-9F9337FEB9AA}" srcOrd="0" destOrd="0" presId="urn:microsoft.com/office/officeart/2005/8/layout/lProcess2"/>
    <dgm:cxn modelId="{EDB06A06-BF2B-4516-9216-03BED3A3D284}" type="presOf" srcId="{5000BF9D-847D-438E-8E26-CB10ECA3CE0B}" destId="{A3F6D3B8-48FE-402A-8C12-11F016D1BE98}" srcOrd="1" destOrd="0" presId="urn:microsoft.com/office/officeart/2005/8/layout/lProcess2"/>
    <dgm:cxn modelId="{392EDEDC-D260-4701-8834-6A43C05A3990}" type="presOf" srcId="{FA1CDA8F-D0DE-4D91-A211-DA2686DF4D12}" destId="{C1426B1D-D6D1-40B9-AA41-C8614E8072FC}" srcOrd="0" destOrd="0" presId="urn:microsoft.com/office/officeart/2005/8/layout/lProcess2"/>
    <dgm:cxn modelId="{F06E17E2-270E-471C-83A6-E283CFE37331}" srcId="{537F2FFE-2FBE-451F-8E1C-C77B1C5B2769}" destId="{FB89FD41-81B2-450E-AE22-9DEE6B124B37}" srcOrd="5" destOrd="0" parTransId="{FF57492C-9590-4EEB-83D6-87BDAA571993}" sibTransId="{E14020AB-C7AF-4975-8B49-48DBB256CDFD}"/>
    <dgm:cxn modelId="{01104938-0EAF-4747-981E-7222875E2AE9}" srcId="{5000BF9D-847D-438E-8E26-CB10ECA3CE0B}" destId="{D8294449-6D64-42B3-B945-4D2E5AF18C8D}" srcOrd="4" destOrd="0" parTransId="{36B1B753-8781-4F2F-910A-16CDEAD1AF0F}" sibTransId="{0F5AF06E-2526-488D-8CA6-C800D44DF5A4}"/>
    <dgm:cxn modelId="{224BCCF5-01EA-413B-A6E7-A57D71956EF6}" srcId="{537F2FFE-2FBE-451F-8E1C-C77B1C5B2769}" destId="{AB6BD5F8-ACB1-4511-AFB1-F98D5CEB2607}" srcOrd="0" destOrd="0" parTransId="{A3694A0D-5C69-4D2F-8EFF-4FCAE6FFE617}" sibTransId="{5FE699C1-0480-446E-9912-1402A09FD41C}"/>
    <dgm:cxn modelId="{9F245D4B-C277-46C2-A725-B89DA5963DDE}" type="presOf" srcId="{B8574016-65C3-4190-B935-C10CAE0E964B}" destId="{3FA606E2-DC90-4E70-8427-63DBC091A65A}" srcOrd="0" destOrd="0" presId="urn:microsoft.com/office/officeart/2005/8/layout/lProcess2"/>
    <dgm:cxn modelId="{F3C8EE6F-7200-49D7-9D56-23E3C45E21CF}" srcId="{5000BF9D-847D-438E-8E26-CB10ECA3CE0B}" destId="{BEBB8417-240A-4DD3-852C-708256270995}" srcOrd="7" destOrd="0" parTransId="{CBDBD50C-57B6-4CFC-8B7A-725322D4F87F}" sibTransId="{75C99EBC-F465-41F6-B631-3D040FF571A4}"/>
    <dgm:cxn modelId="{4F8B5761-35A9-487D-909F-C67E3D94CF48}" srcId="{DB558913-1A90-4934-B3C4-F3576302FFB0}" destId="{CDE9E8E5-D516-4675-BD45-4817E0B87186}" srcOrd="0" destOrd="0" parTransId="{3E729AC2-EB6D-4B04-976B-36442F7E728E}" sibTransId="{CEC3B899-BF03-4D2B-871D-B7BAF0BEA856}"/>
    <dgm:cxn modelId="{2EF03746-758B-4277-A779-340912B89636}" srcId="{DB558913-1A90-4934-B3C4-F3576302FFB0}" destId="{5677B32E-E3FE-419B-91EA-8AEE41F05E93}" srcOrd="3" destOrd="0" parTransId="{B8D71841-1B3B-45C2-BCBA-CD4558D8EAC2}" sibTransId="{E859CCB5-B5D4-4988-B6EC-E0AD9885AA8B}"/>
    <dgm:cxn modelId="{6AF232DE-E1BC-4D32-B1C4-41034480BF47}" type="presOf" srcId="{DB558913-1A90-4934-B3C4-F3576302FFB0}" destId="{F439C290-A177-42E1-A11A-817571F3B5EC}" srcOrd="0" destOrd="0" presId="urn:microsoft.com/office/officeart/2005/8/layout/lProcess2"/>
    <dgm:cxn modelId="{CA87B789-53FF-456E-ADC0-AFF4E1E8E51A}" type="presOf" srcId="{DB558913-1A90-4934-B3C4-F3576302FFB0}" destId="{77866D72-3C56-450C-A5E9-826729D0E2CA}" srcOrd="1" destOrd="0" presId="urn:microsoft.com/office/officeart/2005/8/layout/lProcess2"/>
    <dgm:cxn modelId="{1DFD08FB-8172-4AB6-8EEC-6F1D1466ADCC}" type="presOf" srcId="{CE75729D-7308-4533-9138-4EE2451F0F29}" destId="{078171B6-E22C-41CA-BECF-E96F0A5D7211}" srcOrd="0" destOrd="0" presId="urn:microsoft.com/office/officeart/2005/8/layout/lProcess2"/>
    <dgm:cxn modelId="{7B629333-328B-45EE-BC7E-6DA37A34AAB4}" type="presOf" srcId="{702BFA04-3EFC-4409-AD78-08C31C892477}" destId="{C64D7C5F-CB62-4EC9-8643-6B9EDFD2A578}" srcOrd="0" destOrd="0" presId="urn:microsoft.com/office/officeart/2005/8/layout/lProcess2"/>
    <dgm:cxn modelId="{E2167043-8BCB-4216-956D-C07BC00B38E4}" type="presOf" srcId="{537F2FFE-2FBE-451F-8E1C-C77B1C5B2769}" destId="{F4EEC6B4-5635-474F-A209-93DA0D491544}" srcOrd="1" destOrd="0" presId="urn:microsoft.com/office/officeart/2005/8/layout/lProcess2"/>
    <dgm:cxn modelId="{2E0DFA8E-81CE-4862-B9B7-916CF598F868}" type="presOf" srcId="{ED7C89A2-07A7-4840-A90A-AF58C128250E}" destId="{E075D0DD-3102-4BFB-87AF-93EBFB3660E3}" srcOrd="0" destOrd="0" presId="urn:microsoft.com/office/officeart/2005/8/layout/lProcess2"/>
    <dgm:cxn modelId="{85D0A5E0-FCCD-4345-9810-5D8665AE57B4}" srcId="{5000BF9D-847D-438E-8E26-CB10ECA3CE0B}" destId="{702BFA04-3EFC-4409-AD78-08C31C892477}" srcOrd="0" destOrd="0" parTransId="{1CEDB1BB-AB5F-4922-A906-1FB5AB0C9232}" sibTransId="{95E0065E-5E5A-4A77-938E-8024844F72B9}"/>
    <dgm:cxn modelId="{903EBCB1-D784-46E9-B658-0753901FFCEC}" type="presOf" srcId="{B0DE6BE9-FCB1-462C-A72A-B10C9F906D77}" destId="{5A0312DF-FF86-480F-A90C-6F2D92F7D4AB}" srcOrd="0" destOrd="0" presId="urn:microsoft.com/office/officeart/2005/8/layout/lProcess2"/>
    <dgm:cxn modelId="{4284300C-2973-49B7-B2E7-CB483C64C150}" type="presOf" srcId="{88C2A955-F46A-4E98-A7E9-4A97D4EAE405}" destId="{AF3D0907-1B78-48A0-85E1-B2E4269A3F2C}" srcOrd="0" destOrd="0" presId="urn:microsoft.com/office/officeart/2005/8/layout/lProcess2"/>
    <dgm:cxn modelId="{67DEF579-1AF3-4E98-B872-3D0225EA5BDC}" type="presParOf" srcId="{B5D85577-96E6-4A0F-AFCE-978EE1C69D76}" destId="{0F1B01A6-08B6-4811-AA66-AA02055CB4F6}" srcOrd="0" destOrd="0" presId="urn:microsoft.com/office/officeart/2005/8/layout/lProcess2"/>
    <dgm:cxn modelId="{B34AB171-1C1C-4BD9-AF1C-F1AF1FBE2BB3}" type="presParOf" srcId="{0F1B01A6-08B6-4811-AA66-AA02055CB4F6}" destId="{1D46F74A-4192-4F80-909F-9F9337FEB9AA}" srcOrd="0" destOrd="0" presId="urn:microsoft.com/office/officeart/2005/8/layout/lProcess2"/>
    <dgm:cxn modelId="{7459E086-E5DF-4BFC-A491-88B9245F031F}" type="presParOf" srcId="{0F1B01A6-08B6-4811-AA66-AA02055CB4F6}" destId="{F4EEC6B4-5635-474F-A209-93DA0D491544}" srcOrd="1" destOrd="0" presId="urn:microsoft.com/office/officeart/2005/8/layout/lProcess2"/>
    <dgm:cxn modelId="{A298FA3E-069A-417C-8448-A16FC043A577}" type="presParOf" srcId="{0F1B01A6-08B6-4811-AA66-AA02055CB4F6}" destId="{CDA1297D-A6F2-430A-9CEC-F80B4DFF93A2}" srcOrd="2" destOrd="0" presId="urn:microsoft.com/office/officeart/2005/8/layout/lProcess2"/>
    <dgm:cxn modelId="{DF25F510-13EA-4389-A706-11737F69C587}" type="presParOf" srcId="{CDA1297D-A6F2-430A-9CEC-F80B4DFF93A2}" destId="{2182E836-EBFF-4262-B12D-EDBFA870FA70}" srcOrd="0" destOrd="0" presId="urn:microsoft.com/office/officeart/2005/8/layout/lProcess2"/>
    <dgm:cxn modelId="{E735EC43-D6B4-4375-B819-0E9C95FDA9D6}" type="presParOf" srcId="{2182E836-EBFF-4262-B12D-EDBFA870FA70}" destId="{EC31E237-58DE-4BAC-B0BD-9369AA93FE2B}" srcOrd="0" destOrd="0" presId="urn:microsoft.com/office/officeart/2005/8/layout/lProcess2"/>
    <dgm:cxn modelId="{73EB09D0-B18B-495D-9E9E-E22B00274B97}" type="presParOf" srcId="{2182E836-EBFF-4262-B12D-EDBFA870FA70}" destId="{5D9D5962-8E81-4769-ABCD-87098AE2F5CB}" srcOrd="1" destOrd="0" presId="urn:microsoft.com/office/officeart/2005/8/layout/lProcess2"/>
    <dgm:cxn modelId="{F01733E0-E90F-4AB6-BFFC-C7653DDA559A}" type="presParOf" srcId="{2182E836-EBFF-4262-B12D-EDBFA870FA70}" destId="{078171B6-E22C-41CA-BECF-E96F0A5D7211}" srcOrd="2" destOrd="0" presId="urn:microsoft.com/office/officeart/2005/8/layout/lProcess2"/>
    <dgm:cxn modelId="{392F252C-4B8E-427C-96C8-9E223C00D250}" type="presParOf" srcId="{2182E836-EBFF-4262-B12D-EDBFA870FA70}" destId="{B239BFB6-7193-4EA4-994F-E13463719634}" srcOrd="3" destOrd="0" presId="urn:microsoft.com/office/officeart/2005/8/layout/lProcess2"/>
    <dgm:cxn modelId="{E60713CC-CB28-479A-A212-A24BA4271E18}" type="presParOf" srcId="{2182E836-EBFF-4262-B12D-EDBFA870FA70}" destId="{50D0E816-0680-405C-8746-5A97CBA1D644}" srcOrd="4" destOrd="0" presId="urn:microsoft.com/office/officeart/2005/8/layout/lProcess2"/>
    <dgm:cxn modelId="{A837A3C5-491B-4302-B27D-9CF2CCE1024F}" type="presParOf" srcId="{2182E836-EBFF-4262-B12D-EDBFA870FA70}" destId="{4B3ADE67-2E16-4A3E-AE8A-D59BCF63286F}" srcOrd="5" destOrd="0" presId="urn:microsoft.com/office/officeart/2005/8/layout/lProcess2"/>
    <dgm:cxn modelId="{C5BD91E4-43DE-4D6F-94D5-04CBE69DA0C1}" type="presParOf" srcId="{2182E836-EBFF-4262-B12D-EDBFA870FA70}" destId="{88C000AF-6522-4AB8-B33F-7EBEBFE7286C}" srcOrd="6" destOrd="0" presId="urn:microsoft.com/office/officeart/2005/8/layout/lProcess2"/>
    <dgm:cxn modelId="{B0C0EAA4-A7F1-455E-816B-F4298E43880C}" type="presParOf" srcId="{2182E836-EBFF-4262-B12D-EDBFA870FA70}" destId="{C419217F-A8CF-4D45-98A6-D9C14C455B7B}" srcOrd="7" destOrd="0" presId="urn:microsoft.com/office/officeart/2005/8/layout/lProcess2"/>
    <dgm:cxn modelId="{48F4E8DC-3ADE-4ABC-A5E6-4A12FE4ADC73}" type="presParOf" srcId="{2182E836-EBFF-4262-B12D-EDBFA870FA70}" destId="{28527660-E347-4400-BA30-EA8AE1E7F004}" srcOrd="8" destOrd="0" presId="urn:microsoft.com/office/officeart/2005/8/layout/lProcess2"/>
    <dgm:cxn modelId="{62C84675-3958-4C73-841E-24D2415F18C7}" type="presParOf" srcId="{2182E836-EBFF-4262-B12D-EDBFA870FA70}" destId="{B11A59F3-0656-4490-B339-16F6CCACE64F}" srcOrd="9" destOrd="0" presId="urn:microsoft.com/office/officeart/2005/8/layout/lProcess2"/>
    <dgm:cxn modelId="{E086FB56-BDA5-4BC1-92E6-42D6DDE8B343}" type="presParOf" srcId="{2182E836-EBFF-4262-B12D-EDBFA870FA70}" destId="{D887372D-BB3F-42F8-83EB-78FE3144B047}" srcOrd="10" destOrd="0" presId="urn:microsoft.com/office/officeart/2005/8/layout/lProcess2"/>
    <dgm:cxn modelId="{2B8BC081-23D0-4B19-AB4C-F3A8EB106338}" type="presParOf" srcId="{2182E836-EBFF-4262-B12D-EDBFA870FA70}" destId="{A3882D30-BCDE-4970-9F24-501EEEDC0266}" srcOrd="11" destOrd="0" presId="urn:microsoft.com/office/officeart/2005/8/layout/lProcess2"/>
    <dgm:cxn modelId="{6AA5A417-B51A-438E-9AA6-53781FA5ED2E}" type="presParOf" srcId="{2182E836-EBFF-4262-B12D-EDBFA870FA70}" destId="{5A0312DF-FF86-480F-A90C-6F2D92F7D4AB}" srcOrd="12" destOrd="0" presId="urn:microsoft.com/office/officeart/2005/8/layout/lProcess2"/>
    <dgm:cxn modelId="{2A4FD1E2-696F-4A83-ABBA-29694297DFCC}" type="presParOf" srcId="{2182E836-EBFF-4262-B12D-EDBFA870FA70}" destId="{9862B63A-3DDF-4B73-B976-5B53D2A85BC7}" srcOrd="13" destOrd="0" presId="urn:microsoft.com/office/officeart/2005/8/layout/lProcess2"/>
    <dgm:cxn modelId="{209FA986-FEBA-4AB8-93FB-1297D9A4D374}" type="presParOf" srcId="{2182E836-EBFF-4262-B12D-EDBFA870FA70}" destId="{87D65564-C0FC-45B9-8790-50BB6713A2E1}" srcOrd="14" destOrd="0" presId="urn:microsoft.com/office/officeart/2005/8/layout/lProcess2"/>
    <dgm:cxn modelId="{A6566087-4ADA-477B-ABD0-AF936BF2E8BE}" type="presParOf" srcId="{B5D85577-96E6-4A0F-AFCE-978EE1C69D76}" destId="{90CCE336-8057-4F07-87D3-0323B6B2AC4E}" srcOrd="1" destOrd="0" presId="urn:microsoft.com/office/officeart/2005/8/layout/lProcess2"/>
    <dgm:cxn modelId="{FAB6018E-179C-4587-BC7A-4286F259BD13}" type="presParOf" srcId="{B5D85577-96E6-4A0F-AFCE-978EE1C69D76}" destId="{0A32BA30-706D-4EDF-9CE1-DD37E386CC1C}" srcOrd="2" destOrd="0" presId="urn:microsoft.com/office/officeart/2005/8/layout/lProcess2"/>
    <dgm:cxn modelId="{CFFDF2F6-6944-42A9-971B-DD471A753D55}" type="presParOf" srcId="{0A32BA30-706D-4EDF-9CE1-DD37E386CC1C}" destId="{B193819B-1090-4C70-A251-27E13A8FD448}" srcOrd="0" destOrd="0" presId="urn:microsoft.com/office/officeart/2005/8/layout/lProcess2"/>
    <dgm:cxn modelId="{F08EA2DE-62F0-49A9-9A28-95DC046E5B0B}" type="presParOf" srcId="{0A32BA30-706D-4EDF-9CE1-DD37E386CC1C}" destId="{A3F6D3B8-48FE-402A-8C12-11F016D1BE98}" srcOrd="1" destOrd="0" presId="urn:microsoft.com/office/officeart/2005/8/layout/lProcess2"/>
    <dgm:cxn modelId="{1ADB5A7B-1A75-450D-8F70-B95572120023}" type="presParOf" srcId="{0A32BA30-706D-4EDF-9CE1-DD37E386CC1C}" destId="{2B37C946-E0E1-486E-9BEE-DEC801A7E430}" srcOrd="2" destOrd="0" presId="urn:microsoft.com/office/officeart/2005/8/layout/lProcess2"/>
    <dgm:cxn modelId="{CABC3B32-EC07-41B8-B77C-6D972C24129B}" type="presParOf" srcId="{2B37C946-E0E1-486E-9BEE-DEC801A7E430}" destId="{DF7B5722-59B0-4FC1-A7A8-6CBC9A5EC593}" srcOrd="0" destOrd="0" presId="urn:microsoft.com/office/officeart/2005/8/layout/lProcess2"/>
    <dgm:cxn modelId="{AE978D09-A520-4BEA-B6C0-7D57D934F2CC}" type="presParOf" srcId="{DF7B5722-59B0-4FC1-A7A8-6CBC9A5EC593}" destId="{C64D7C5F-CB62-4EC9-8643-6B9EDFD2A578}" srcOrd="0" destOrd="0" presId="urn:microsoft.com/office/officeart/2005/8/layout/lProcess2"/>
    <dgm:cxn modelId="{1A709533-90D1-408D-B972-3CDC41AE1D6F}" type="presParOf" srcId="{DF7B5722-59B0-4FC1-A7A8-6CBC9A5EC593}" destId="{4BC6E5B4-AC61-4B60-9C6F-C20342FA9D72}" srcOrd="1" destOrd="0" presId="urn:microsoft.com/office/officeart/2005/8/layout/lProcess2"/>
    <dgm:cxn modelId="{21501929-D377-4E05-A653-77EC9B4D2517}" type="presParOf" srcId="{DF7B5722-59B0-4FC1-A7A8-6CBC9A5EC593}" destId="{AF3D0907-1B78-48A0-85E1-B2E4269A3F2C}" srcOrd="2" destOrd="0" presId="urn:microsoft.com/office/officeart/2005/8/layout/lProcess2"/>
    <dgm:cxn modelId="{08E24C31-9E7F-4048-9555-84F7886FC55B}" type="presParOf" srcId="{DF7B5722-59B0-4FC1-A7A8-6CBC9A5EC593}" destId="{6B0BF022-091C-4A9B-B03C-E4E370FC40DB}" srcOrd="3" destOrd="0" presId="urn:microsoft.com/office/officeart/2005/8/layout/lProcess2"/>
    <dgm:cxn modelId="{0D359635-9330-47F8-A4EE-270D6930C946}" type="presParOf" srcId="{DF7B5722-59B0-4FC1-A7A8-6CBC9A5EC593}" destId="{3FA606E2-DC90-4E70-8427-63DBC091A65A}" srcOrd="4" destOrd="0" presId="urn:microsoft.com/office/officeart/2005/8/layout/lProcess2"/>
    <dgm:cxn modelId="{2FE74CDC-3ADE-41F8-8B7F-62DDE27D57E6}" type="presParOf" srcId="{DF7B5722-59B0-4FC1-A7A8-6CBC9A5EC593}" destId="{0879E097-A119-46B0-84B5-1029670A2F95}" srcOrd="5" destOrd="0" presId="urn:microsoft.com/office/officeart/2005/8/layout/lProcess2"/>
    <dgm:cxn modelId="{96E16F8B-D4E1-4EC1-9DAD-99E7A5BE10A2}" type="presParOf" srcId="{DF7B5722-59B0-4FC1-A7A8-6CBC9A5EC593}" destId="{99CE386E-9FFF-4A2D-BA8F-90CEFC4750CD}" srcOrd="6" destOrd="0" presId="urn:microsoft.com/office/officeart/2005/8/layout/lProcess2"/>
    <dgm:cxn modelId="{EDB525BD-8FF5-49B5-839C-5EAB2198574E}" type="presParOf" srcId="{DF7B5722-59B0-4FC1-A7A8-6CBC9A5EC593}" destId="{1C99E4FF-4496-4C85-85FC-4801F71EA0D9}" srcOrd="7" destOrd="0" presId="urn:microsoft.com/office/officeart/2005/8/layout/lProcess2"/>
    <dgm:cxn modelId="{9399F4B8-F0DD-4049-93DB-949645AFC96E}" type="presParOf" srcId="{DF7B5722-59B0-4FC1-A7A8-6CBC9A5EC593}" destId="{A2784BF8-3ABA-4605-A548-CA5B01571FFF}" srcOrd="8" destOrd="0" presId="urn:microsoft.com/office/officeart/2005/8/layout/lProcess2"/>
    <dgm:cxn modelId="{6E6982EC-EBE1-43FC-B967-49426A52AA7C}" type="presParOf" srcId="{DF7B5722-59B0-4FC1-A7A8-6CBC9A5EC593}" destId="{75DC7AB5-B3F9-41A9-A779-0E98037EA72B}" srcOrd="9" destOrd="0" presId="urn:microsoft.com/office/officeart/2005/8/layout/lProcess2"/>
    <dgm:cxn modelId="{E48D9C5A-4063-40DF-A5AD-3D728CF8C7E4}" type="presParOf" srcId="{DF7B5722-59B0-4FC1-A7A8-6CBC9A5EC593}" destId="{C1426B1D-D6D1-40B9-AA41-C8614E8072FC}" srcOrd="10" destOrd="0" presId="urn:microsoft.com/office/officeart/2005/8/layout/lProcess2"/>
    <dgm:cxn modelId="{57155ADD-7773-4289-99EC-166D0C005AA8}" type="presParOf" srcId="{DF7B5722-59B0-4FC1-A7A8-6CBC9A5EC593}" destId="{4CF47CFB-13AC-4DDA-9CEF-C09EB9761B9F}" srcOrd="11" destOrd="0" presId="urn:microsoft.com/office/officeart/2005/8/layout/lProcess2"/>
    <dgm:cxn modelId="{E8B1E744-2B32-4AB6-B6CC-82D83F49C1C3}" type="presParOf" srcId="{DF7B5722-59B0-4FC1-A7A8-6CBC9A5EC593}" destId="{18642513-E833-4ACD-BBF6-3F1E4C73EE27}" srcOrd="12" destOrd="0" presId="urn:microsoft.com/office/officeart/2005/8/layout/lProcess2"/>
    <dgm:cxn modelId="{7BF7FB07-DF35-4AFD-9371-A485607D0942}" type="presParOf" srcId="{DF7B5722-59B0-4FC1-A7A8-6CBC9A5EC593}" destId="{7D3CCD1F-8D93-4B9B-B03F-AE9A0148362D}" srcOrd="13" destOrd="0" presId="urn:microsoft.com/office/officeart/2005/8/layout/lProcess2"/>
    <dgm:cxn modelId="{D13F9ABD-5C85-4F80-A344-E316FD447906}" type="presParOf" srcId="{DF7B5722-59B0-4FC1-A7A8-6CBC9A5EC593}" destId="{9DDA8698-8A5B-4832-959B-3E32FE15CE21}" srcOrd="14" destOrd="0" presId="urn:microsoft.com/office/officeart/2005/8/layout/lProcess2"/>
    <dgm:cxn modelId="{B54B1554-8786-4FB5-8488-D8C141A504FA}" type="presParOf" srcId="{B5D85577-96E6-4A0F-AFCE-978EE1C69D76}" destId="{D7990E70-4DDE-4D8A-8AF2-71BD9463352A}" srcOrd="3" destOrd="0" presId="urn:microsoft.com/office/officeart/2005/8/layout/lProcess2"/>
    <dgm:cxn modelId="{04257487-337B-4B79-8ED8-161B7DBEAB00}" type="presParOf" srcId="{B5D85577-96E6-4A0F-AFCE-978EE1C69D76}" destId="{7D8DDEA5-D20C-4594-B9C3-8F5247646D4B}" srcOrd="4" destOrd="0" presId="urn:microsoft.com/office/officeart/2005/8/layout/lProcess2"/>
    <dgm:cxn modelId="{DB47CB19-2DB0-441B-94AE-DFF6609D9D3F}" type="presParOf" srcId="{7D8DDEA5-D20C-4594-B9C3-8F5247646D4B}" destId="{F439C290-A177-42E1-A11A-817571F3B5EC}" srcOrd="0" destOrd="0" presId="urn:microsoft.com/office/officeart/2005/8/layout/lProcess2"/>
    <dgm:cxn modelId="{21B5DA06-DC82-46D1-A57C-A8ECC351F4F9}" type="presParOf" srcId="{7D8DDEA5-D20C-4594-B9C3-8F5247646D4B}" destId="{77866D72-3C56-450C-A5E9-826729D0E2CA}" srcOrd="1" destOrd="0" presId="urn:microsoft.com/office/officeart/2005/8/layout/lProcess2"/>
    <dgm:cxn modelId="{D2538B0F-A709-402B-B639-991164B8EB0C}" type="presParOf" srcId="{7D8DDEA5-D20C-4594-B9C3-8F5247646D4B}" destId="{FD6893DA-A270-457F-81EE-106F05F07FF3}" srcOrd="2" destOrd="0" presId="urn:microsoft.com/office/officeart/2005/8/layout/lProcess2"/>
    <dgm:cxn modelId="{80D8AF68-F4CE-4ADC-9135-D7F2886E6AFE}" type="presParOf" srcId="{FD6893DA-A270-457F-81EE-106F05F07FF3}" destId="{CB92E49F-09D2-46FE-9C31-BD4712FC0E15}" srcOrd="0" destOrd="0" presId="urn:microsoft.com/office/officeart/2005/8/layout/lProcess2"/>
    <dgm:cxn modelId="{63122363-1A7B-4626-B8C7-7B152C583C38}" type="presParOf" srcId="{CB92E49F-09D2-46FE-9C31-BD4712FC0E15}" destId="{F7BB5E4D-6C47-45EE-BED3-13B3775901A2}" srcOrd="0" destOrd="0" presId="urn:microsoft.com/office/officeart/2005/8/layout/lProcess2"/>
    <dgm:cxn modelId="{D908F22E-465F-46E1-A8F6-04FFA6F6433A}" type="presParOf" srcId="{CB92E49F-09D2-46FE-9C31-BD4712FC0E15}" destId="{6DE48050-E9F6-4B13-AE86-82CFA9AF6CD4}" srcOrd="1" destOrd="0" presId="urn:microsoft.com/office/officeart/2005/8/layout/lProcess2"/>
    <dgm:cxn modelId="{FD933B47-8CA3-4E14-9966-ADBEBBBCD80D}" type="presParOf" srcId="{CB92E49F-09D2-46FE-9C31-BD4712FC0E15}" destId="{59F9E01C-5FD8-4352-ADBC-BCA2C68CA9D3}" srcOrd="2" destOrd="0" presId="urn:microsoft.com/office/officeart/2005/8/layout/lProcess2"/>
    <dgm:cxn modelId="{BF014910-6939-4ADF-8E70-8EB1AD1A9676}" type="presParOf" srcId="{CB92E49F-09D2-46FE-9C31-BD4712FC0E15}" destId="{D13FF2EE-7577-4A6D-9C59-0D4B5AA1A70C}" srcOrd="3" destOrd="0" presId="urn:microsoft.com/office/officeart/2005/8/layout/lProcess2"/>
    <dgm:cxn modelId="{ECD02B96-20A0-44FB-A3C4-16D3AC1B5B33}" type="presParOf" srcId="{CB92E49F-09D2-46FE-9C31-BD4712FC0E15}" destId="{4DF84A8D-6ECB-4889-A9B8-C46932319C90}" srcOrd="4" destOrd="0" presId="urn:microsoft.com/office/officeart/2005/8/layout/lProcess2"/>
    <dgm:cxn modelId="{293B23B0-7861-41E6-BFB5-7BF3A9D4CA62}" type="presParOf" srcId="{CB92E49F-09D2-46FE-9C31-BD4712FC0E15}" destId="{02686B0F-883C-46D4-B1FB-F5D0AB237219}" srcOrd="5" destOrd="0" presId="urn:microsoft.com/office/officeart/2005/8/layout/lProcess2"/>
    <dgm:cxn modelId="{D986B0C9-B9DF-4B84-9AFE-FAC2FACA3592}" type="presParOf" srcId="{CB92E49F-09D2-46FE-9C31-BD4712FC0E15}" destId="{709173EF-3100-4EE8-A858-44008A8B60BA}" srcOrd="6" destOrd="0" presId="urn:microsoft.com/office/officeart/2005/8/layout/lProcess2"/>
    <dgm:cxn modelId="{054D3737-B51C-42DF-B542-202E8189038F}" type="presParOf" srcId="{CB92E49F-09D2-46FE-9C31-BD4712FC0E15}" destId="{5EC37529-AD46-4082-A7CE-6AB381C83023}" srcOrd="7" destOrd="0" presId="urn:microsoft.com/office/officeart/2005/8/layout/lProcess2"/>
    <dgm:cxn modelId="{9A3E4686-EF27-4837-853D-366E1DF7C843}" type="presParOf" srcId="{CB92E49F-09D2-46FE-9C31-BD4712FC0E15}" destId="{E075D0DD-3102-4BFB-87AF-93EBFB3660E3}" srcOrd="8" destOrd="0" presId="urn:microsoft.com/office/officeart/2005/8/layout/lProcess2"/>
    <dgm:cxn modelId="{55FE72C9-39F0-4D3C-BB02-9605F003BC1D}" type="presParOf" srcId="{CB92E49F-09D2-46FE-9C31-BD4712FC0E15}" destId="{F9464188-5A91-4D60-A71B-C01C9F71EEB3}" srcOrd="9" destOrd="0" presId="urn:microsoft.com/office/officeart/2005/8/layout/lProcess2"/>
    <dgm:cxn modelId="{F278C07F-0976-4337-B6E0-A47B4EE166BA}" type="presParOf" srcId="{CB92E49F-09D2-46FE-9C31-BD4712FC0E15}" destId="{7D4E7A99-6408-4E80-89E5-7E510312AE3F}" srcOrd="10" destOrd="0" presId="urn:microsoft.com/office/officeart/2005/8/layout/lProcess2"/>
    <dgm:cxn modelId="{AD7A3954-CDE6-4009-B19D-1E20E7B56836}" type="presParOf" srcId="{CB92E49F-09D2-46FE-9C31-BD4712FC0E15}" destId="{F95E050B-589D-408B-8529-CCE746116E2E}" srcOrd="11" destOrd="0" presId="urn:microsoft.com/office/officeart/2005/8/layout/lProcess2"/>
    <dgm:cxn modelId="{9A27DAB1-C06B-4EAD-B7EE-65CA05954E2B}" type="presParOf" srcId="{CB92E49F-09D2-46FE-9C31-BD4712FC0E15}" destId="{86F12DB4-7E7D-4586-A3E1-047612095D6F}" srcOrd="12" destOrd="0" presId="urn:microsoft.com/office/officeart/2005/8/layout/lProcess2"/>
    <dgm:cxn modelId="{FCDC0842-FAAB-4C61-B3C5-3ED1C43395C6}" type="presParOf" srcId="{CB92E49F-09D2-46FE-9C31-BD4712FC0E15}" destId="{93D57779-8291-4DB0-A8FA-87627D7583D7}" srcOrd="13" destOrd="0" presId="urn:microsoft.com/office/officeart/2005/8/layout/lProcess2"/>
    <dgm:cxn modelId="{DB9B0417-B1A9-451A-9E33-9801636A14B2}" type="presParOf" srcId="{CB92E49F-09D2-46FE-9C31-BD4712FC0E15}" destId="{D31260E0-F8CB-4AAD-A27B-CE131B88883D}" srcOrd="14" destOrd="0" presId="urn:microsoft.com/office/officeart/2005/8/layout/lProcess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46F74A-4192-4F80-909F-9F9337FEB9AA}">
      <dsp:nvSpPr>
        <dsp:cNvPr id="0" name=""/>
        <dsp:cNvSpPr/>
      </dsp:nvSpPr>
      <dsp:spPr>
        <a:xfrm>
          <a:off x="2654" y="0"/>
          <a:ext cx="3032675" cy="3762375"/>
        </a:xfrm>
        <a:prstGeom prst="roundRect">
          <a:avLst>
            <a:gd name="adj" fmla="val 10000"/>
          </a:avLst>
        </a:prstGeom>
        <a:solidFill>
          <a:schemeClr val="bg1"/>
        </a:solidFill>
        <a:ln>
          <a:solidFill>
            <a:srgbClr val="0F5494"/>
          </a:solidFill>
        </a:ln>
        <a:effectLst/>
      </dsp:spPr>
      <dsp:style>
        <a:lnRef idx="0">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US" sz="2200" b="1" u="sng" kern="1200" dirty="0" smtClean="0">
              <a:solidFill>
                <a:srgbClr val="0070C0"/>
              </a:solidFill>
            </a:rPr>
            <a:t>ACTIONS</a:t>
          </a:r>
          <a:endParaRPr lang="en-US" sz="2200" b="1" u="sng" kern="1200" dirty="0">
            <a:solidFill>
              <a:srgbClr val="0070C0"/>
            </a:solidFill>
          </a:endParaRPr>
        </a:p>
      </dsp:txBody>
      <dsp:txXfrm>
        <a:off x="2654" y="0"/>
        <a:ext cx="3032675" cy="1128712"/>
      </dsp:txXfrm>
    </dsp:sp>
    <dsp:sp modelId="{EC31E237-58DE-4BAC-B0BD-9369AA93FE2B}">
      <dsp:nvSpPr>
        <dsp:cNvPr id="0" name=""/>
        <dsp:cNvSpPr/>
      </dsp:nvSpPr>
      <dsp:spPr>
        <a:xfrm>
          <a:off x="305921" y="1130594"/>
          <a:ext cx="2426140" cy="269009"/>
        </a:xfrm>
        <a:prstGeom prst="roundRect">
          <a:avLst>
            <a:gd name="adj" fmla="val 10000"/>
          </a:avLst>
        </a:prstGeom>
        <a:solidFill>
          <a:schemeClr val="accent3">
            <a:lumMod val="40000"/>
            <a:lumOff val="60000"/>
          </a:schemeClr>
        </a:solidFill>
        <a:ln w="12700" cap="flat" cmpd="sng" algn="ctr">
          <a:solidFill>
            <a:srgbClr val="0F549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smtClean="0">
              <a:solidFill>
                <a:srgbClr val="0F5494"/>
              </a:solidFill>
            </a:rPr>
            <a:t>IT-1: Legacy 2020</a:t>
          </a:r>
          <a:endParaRPr lang="en-US" sz="1050" b="0" kern="1200" dirty="0">
            <a:solidFill>
              <a:srgbClr val="0F5494"/>
            </a:solidFill>
          </a:endParaRPr>
        </a:p>
      </dsp:txBody>
      <dsp:txXfrm>
        <a:off x="313800" y="1138473"/>
        <a:ext cx="2410382" cy="253251"/>
      </dsp:txXfrm>
    </dsp:sp>
    <dsp:sp modelId="{078171B6-E22C-41CA-BECF-E96F0A5D7211}">
      <dsp:nvSpPr>
        <dsp:cNvPr id="0" name=""/>
        <dsp:cNvSpPr/>
      </dsp:nvSpPr>
      <dsp:spPr>
        <a:xfrm>
          <a:off x="305921" y="1440990"/>
          <a:ext cx="2426140" cy="269009"/>
        </a:xfrm>
        <a:prstGeom prst="roundRect">
          <a:avLst>
            <a:gd name="adj" fmla="val 10000"/>
          </a:avLst>
        </a:prstGeom>
        <a:solidFill>
          <a:schemeClr val="accent3">
            <a:lumMod val="40000"/>
            <a:lumOff val="60000"/>
          </a:schemeClr>
        </a:solidFill>
        <a:ln w="12700" cap="flat" cmpd="sng" algn="ctr">
          <a:solidFill>
            <a:srgbClr val="0F549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smtClean="0">
              <a:solidFill>
                <a:srgbClr val="0F5494"/>
              </a:solidFill>
            </a:rPr>
            <a:t>IT-2: New projects</a:t>
          </a:r>
          <a:endParaRPr lang="en-US" sz="1050" b="0" kern="1200" dirty="0">
            <a:solidFill>
              <a:srgbClr val="0F5494"/>
            </a:solidFill>
          </a:endParaRPr>
        </a:p>
      </dsp:txBody>
      <dsp:txXfrm>
        <a:off x="313800" y="1448869"/>
        <a:ext cx="2410382" cy="253251"/>
      </dsp:txXfrm>
    </dsp:sp>
    <dsp:sp modelId="{50D0E816-0680-405C-8746-5A97CBA1D644}">
      <dsp:nvSpPr>
        <dsp:cNvPr id="0" name=""/>
        <dsp:cNvSpPr/>
      </dsp:nvSpPr>
      <dsp:spPr>
        <a:xfrm>
          <a:off x="305921" y="1751386"/>
          <a:ext cx="2426140" cy="269009"/>
        </a:xfrm>
        <a:prstGeom prst="roundRect">
          <a:avLst>
            <a:gd name="adj" fmla="val 10000"/>
          </a:avLst>
        </a:prstGeom>
        <a:solidFill>
          <a:schemeClr val="accent3">
            <a:lumMod val="40000"/>
            <a:lumOff val="60000"/>
          </a:schemeClr>
        </a:solidFill>
        <a:ln w="12700" cap="flat" cmpd="sng" algn="ctr">
          <a:solidFill>
            <a:srgbClr val="0F549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smtClean="0">
              <a:solidFill>
                <a:srgbClr val="0F5494"/>
              </a:solidFill>
            </a:rPr>
            <a:t>IT-3: Innovation</a:t>
          </a:r>
          <a:endParaRPr lang="en-US" sz="1050" b="0" kern="1200" dirty="0">
            <a:solidFill>
              <a:srgbClr val="0F5494"/>
            </a:solidFill>
          </a:endParaRPr>
        </a:p>
      </dsp:txBody>
      <dsp:txXfrm>
        <a:off x="313800" y="1759265"/>
        <a:ext cx="2410382" cy="253251"/>
      </dsp:txXfrm>
    </dsp:sp>
    <dsp:sp modelId="{88C000AF-6522-4AB8-B33F-7EBEBFE7286C}">
      <dsp:nvSpPr>
        <dsp:cNvPr id="0" name=""/>
        <dsp:cNvSpPr/>
      </dsp:nvSpPr>
      <dsp:spPr>
        <a:xfrm>
          <a:off x="305921" y="2061781"/>
          <a:ext cx="2426140" cy="269009"/>
        </a:xfrm>
        <a:prstGeom prst="roundRect">
          <a:avLst>
            <a:gd name="adj" fmla="val 10000"/>
          </a:avLst>
        </a:prstGeom>
        <a:solidFill>
          <a:schemeClr val="accent6">
            <a:lumMod val="60000"/>
            <a:lumOff val="40000"/>
          </a:schemeClr>
        </a:solidFill>
        <a:ln w="12700" cap="flat" cmpd="sng" algn="ctr">
          <a:solidFill>
            <a:srgbClr val="0F549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smtClean="0">
              <a:solidFill>
                <a:srgbClr val="0F5494"/>
              </a:solidFill>
            </a:rPr>
            <a:t>JA-1: Basic joint actions</a:t>
          </a:r>
          <a:endParaRPr lang="en-US" sz="1050" b="0" kern="1200" dirty="0">
            <a:solidFill>
              <a:srgbClr val="0F5494"/>
            </a:solidFill>
          </a:endParaRPr>
        </a:p>
      </dsp:txBody>
      <dsp:txXfrm>
        <a:off x="313800" y="2069660"/>
        <a:ext cx="2410382" cy="253251"/>
      </dsp:txXfrm>
    </dsp:sp>
    <dsp:sp modelId="{28527660-E347-4400-BA30-EA8AE1E7F004}">
      <dsp:nvSpPr>
        <dsp:cNvPr id="0" name=""/>
        <dsp:cNvSpPr/>
      </dsp:nvSpPr>
      <dsp:spPr>
        <a:xfrm>
          <a:off x="305921" y="2372177"/>
          <a:ext cx="2426140" cy="269009"/>
        </a:xfrm>
        <a:prstGeom prst="roundRect">
          <a:avLst>
            <a:gd name="adj" fmla="val 10000"/>
          </a:avLst>
        </a:prstGeom>
        <a:solidFill>
          <a:schemeClr val="accent6">
            <a:lumMod val="60000"/>
            <a:lumOff val="40000"/>
          </a:schemeClr>
        </a:solidFill>
        <a:ln w="12700" cap="flat" cmpd="sng" algn="ctr">
          <a:solidFill>
            <a:srgbClr val="0F549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smtClean="0">
              <a:solidFill>
                <a:srgbClr val="0F5494"/>
              </a:solidFill>
            </a:rPr>
            <a:t>JA-2: Enhanced operational cooperation</a:t>
          </a:r>
          <a:endParaRPr lang="en-US" sz="1050" b="0" kern="1200" dirty="0">
            <a:solidFill>
              <a:srgbClr val="0F5494"/>
            </a:solidFill>
          </a:endParaRPr>
        </a:p>
      </dsp:txBody>
      <dsp:txXfrm>
        <a:off x="313800" y="2380056"/>
        <a:ext cx="2410382" cy="253251"/>
      </dsp:txXfrm>
    </dsp:sp>
    <dsp:sp modelId="{D887372D-BB3F-42F8-83EB-78FE3144B047}">
      <dsp:nvSpPr>
        <dsp:cNvPr id="0" name=""/>
        <dsp:cNvSpPr/>
      </dsp:nvSpPr>
      <dsp:spPr>
        <a:xfrm>
          <a:off x="305921" y="2682573"/>
          <a:ext cx="2426140" cy="269009"/>
        </a:xfrm>
        <a:prstGeom prst="roundRect">
          <a:avLst>
            <a:gd name="adj" fmla="val 10000"/>
          </a:avLst>
        </a:prstGeom>
        <a:solidFill>
          <a:schemeClr val="accent2">
            <a:lumMod val="60000"/>
            <a:lumOff val="40000"/>
          </a:schemeClr>
        </a:solidFill>
        <a:ln w="12700" cap="flat" cmpd="sng" algn="ctr">
          <a:solidFill>
            <a:srgbClr val="0F549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smtClean="0">
              <a:solidFill>
                <a:srgbClr val="0F5494"/>
              </a:solidFill>
            </a:rPr>
            <a:t>Human capacity building</a:t>
          </a:r>
          <a:endParaRPr lang="en-US" sz="1050" b="0" kern="1200" dirty="0">
            <a:solidFill>
              <a:srgbClr val="0F5494"/>
            </a:solidFill>
          </a:endParaRPr>
        </a:p>
      </dsp:txBody>
      <dsp:txXfrm>
        <a:off x="313800" y="2690452"/>
        <a:ext cx="2410382" cy="253251"/>
      </dsp:txXfrm>
    </dsp:sp>
    <dsp:sp modelId="{5A0312DF-FF86-480F-A90C-6F2D92F7D4AB}">
      <dsp:nvSpPr>
        <dsp:cNvPr id="0" name=""/>
        <dsp:cNvSpPr/>
      </dsp:nvSpPr>
      <dsp:spPr>
        <a:xfrm>
          <a:off x="296007" y="2992968"/>
          <a:ext cx="2445969" cy="269009"/>
        </a:xfrm>
        <a:prstGeom prst="roundRect">
          <a:avLst>
            <a:gd name="adj" fmla="val 10000"/>
          </a:avLst>
        </a:prstGeom>
        <a:solidFill>
          <a:schemeClr val="accent1">
            <a:lumMod val="60000"/>
            <a:lumOff val="40000"/>
          </a:schemeClr>
        </a:solidFill>
        <a:ln w="12700" cap="flat" cmpd="sng" algn="ctr">
          <a:solidFill>
            <a:srgbClr val="0F549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a:solidFill>
                <a:srgbClr val="0F5494"/>
              </a:solidFill>
            </a:rPr>
            <a:t>International cooperation</a:t>
          </a:r>
        </a:p>
      </dsp:txBody>
      <dsp:txXfrm>
        <a:off x="303886" y="3000847"/>
        <a:ext cx="2430211" cy="253251"/>
      </dsp:txXfrm>
    </dsp:sp>
    <dsp:sp modelId="{87D65564-C0FC-45B9-8790-50BB6713A2E1}">
      <dsp:nvSpPr>
        <dsp:cNvPr id="0" name=""/>
        <dsp:cNvSpPr/>
      </dsp:nvSpPr>
      <dsp:spPr>
        <a:xfrm>
          <a:off x="305921" y="3303364"/>
          <a:ext cx="2426140" cy="269009"/>
        </a:xfrm>
        <a:prstGeom prst="roundRect">
          <a:avLst>
            <a:gd name="adj" fmla="val 10000"/>
          </a:avLst>
        </a:prstGeom>
        <a:solidFill>
          <a:schemeClr val="accent4">
            <a:lumMod val="60000"/>
            <a:lumOff val="40000"/>
          </a:schemeClr>
        </a:solidFill>
        <a:ln w="12700" cap="flat" cmpd="sng" algn="ctr">
          <a:solidFill>
            <a:srgbClr val="0F549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err="1" smtClean="0">
              <a:solidFill>
                <a:srgbClr val="0F5494"/>
              </a:solidFill>
            </a:rPr>
            <a:t>Centralisation</a:t>
          </a:r>
          <a:endParaRPr lang="en-US" sz="1050" b="0" kern="1200" dirty="0">
            <a:solidFill>
              <a:srgbClr val="0F5494"/>
            </a:solidFill>
          </a:endParaRPr>
        </a:p>
      </dsp:txBody>
      <dsp:txXfrm>
        <a:off x="313800" y="3311243"/>
        <a:ext cx="2410382" cy="253251"/>
      </dsp:txXfrm>
    </dsp:sp>
    <dsp:sp modelId="{B193819B-1090-4C70-A251-27E13A8FD448}">
      <dsp:nvSpPr>
        <dsp:cNvPr id="0" name=""/>
        <dsp:cNvSpPr/>
      </dsp:nvSpPr>
      <dsp:spPr>
        <a:xfrm>
          <a:off x="3163269" y="0"/>
          <a:ext cx="1705867" cy="3762375"/>
        </a:xfrm>
        <a:prstGeom prst="roundRect">
          <a:avLst>
            <a:gd name="adj" fmla="val 10000"/>
          </a:avLst>
        </a:prstGeom>
        <a:solidFill>
          <a:srgbClr val="0070C0"/>
        </a:solidFill>
        <a:ln>
          <a:noFill/>
        </a:ln>
        <a:effectLst/>
      </dsp:spPr>
      <dsp:style>
        <a:lnRef idx="0">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US" sz="2200" kern="1200" dirty="0" smtClean="0">
              <a:solidFill>
                <a:schemeClr val="bg1"/>
              </a:solidFill>
            </a:rPr>
            <a:t>Current 2020 </a:t>
          </a:r>
          <a:r>
            <a:rPr lang="en-US" sz="2200" kern="1200" dirty="0" err="1" smtClean="0">
              <a:solidFill>
                <a:schemeClr val="bg1"/>
              </a:solidFill>
            </a:rPr>
            <a:t>programme</a:t>
          </a:r>
          <a:endParaRPr lang="en-US" sz="2200" kern="1200" dirty="0">
            <a:solidFill>
              <a:schemeClr val="bg1"/>
            </a:solidFill>
          </a:endParaRPr>
        </a:p>
      </dsp:txBody>
      <dsp:txXfrm>
        <a:off x="3163269" y="0"/>
        <a:ext cx="1705867" cy="1128712"/>
      </dsp:txXfrm>
    </dsp:sp>
    <dsp:sp modelId="{C64D7C5F-CB62-4EC9-8643-6B9EDFD2A578}">
      <dsp:nvSpPr>
        <dsp:cNvPr id="0" name=""/>
        <dsp:cNvSpPr/>
      </dsp:nvSpPr>
      <dsp:spPr>
        <a:xfrm>
          <a:off x="3333856" y="1129401"/>
          <a:ext cx="1364694" cy="269272"/>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smtClean="0">
              <a:solidFill>
                <a:srgbClr val="0F5494"/>
              </a:solidFill>
            </a:rPr>
            <a:t>+++</a:t>
          </a:r>
          <a:endParaRPr lang="en-US" sz="1050" b="0" kern="1200" dirty="0">
            <a:solidFill>
              <a:srgbClr val="0F5494"/>
            </a:solidFill>
          </a:endParaRPr>
        </a:p>
      </dsp:txBody>
      <dsp:txXfrm>
        <a:off x="3341743" y="1137288"/>
        <a:ext cx="1348920" cy="253498"/>
      </dsp:txXfrm>
    </dsp:sp>
    <dsp:sp modelId="{AF3D0907-1B78-48A0-85E1-B2E4269A3F2C}">
      <dsp:nvSpPr>
        <dsp:cNvPr id="0" name=""/>
        <dsp:cNvSpPr/>
      </dsp:nvSpPr>
      <dsp:spPr>
        <a:xfrm>
          <a:off x="3333856" y="1440100"/>
          <a:ext cx="1364694" cy="269272"/>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smtClean="0">
              <a:solidFill>
                <a:srgbClr val="0F5494"/>
              </a:solidFill>
            </a:rPr>
            <a:t>+++</a:t>
          </a:r>
          <a:endParaRPr lang="en-US" sz="1050" b="0" kern="1200" dirty="0">
            <a:solidFill>
              <a:srgbClr val="0F5494"/>
            </a:solidFill>
          </a:endParaRPr>
        </a:p>
      </dsp:txBody>
      <dsp:txXfrm>
        <a:off x="3341743" y="1447987"/>
        <a:ext cx="1348920" cy="253498"/>
      </dsp:txXfrm>
    </dsp:sp>
    <dsp:sp modelId="{3FA606E2-DC90-4E70-8427-63DBC091A65A}">
      <dsp:nvSpPr>
        <dsp:cNvPr id="0" name=""/>
        <dsp:cNvSpPr/>
      </dsp:nvSpPr>
      <dsp:spPr>
        <a:xfrm>
          <a:off x="3333856" y="1750799"/>
          <a:ext cx="1364694" cy="269272"/>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a:solidFill>
                <a:srgbClr val="0F5494"/>
              </a:solidFill>
            </a:rPr>
            <a:t>0</a:t>
          </a:r>
        </a:p>
      </dsp:txBody>
      <dsp:txXfrm>
        <a:off x="3341743" y="1758686"/>
        <a:ext cx="1348920" cy="253498"/>
      </dsp:txXfrm>
    </dsp:sp>
    <dsp:sp modelId="{99CE386E-9FFF-4A2D-BA8F-90CEFC4750CD}">
      <dsp:nvSpPr>
        <dsp:cNvPr id="0" name=""/>
        <dsp:cNvSpPr/>
      </dsp:nvSpPr>
      <dsp:spPr>
        <a:xfrm>
          <a:off x="3333856" y="2061498"/>
          <a:ext cx="1364694" cy="269272"/>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smtClean="0">
              <a:solidFill>
                <a:srgbClr val="0F5494"/>
              </a:solidFill>
            </a:rPr>
            <a:t>+++</a:t>
          </a:r>
          <a:endParaRPr lang="en-US" sz="1050" b="0" kern="1200" dirty="0">
            <a:solidFill>
              <a:srgbClr val="0F5494"/>
            </a:solidFill>
          </a:endParaRPr>
        </a:p>
      </dsp:txBody>
      <dsp:txXfrm>
        <a:off x="3341743" y="2069385"/>
        <a:ext cx="1348920" cy="253498"/>
      </dsp:txXfrm>
    </dsp:sp>
    <dsp:sp modelId="{A2784BF8-3ABA-4605-A548-CA5B01571FFF}">
      <dsp:nvSpPr>
        <dsp:cNvPr id="0" name=""/>
        <dsp:cNvSpPr/>
      </dsp:nvSpPr>
      <dsp:spPr>
        <a:xfrm>
          <a:off x="3333856" y="2372197"/>
          <a:ext cx="1364694" cy="269272"/>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smtClean="0">
              <a:solidFill>
                <a:srgbClr val="0F5494"/>
              </a:solidFill>
            </a:rPr>
            <a:t>++</a:t>
          </a:r>
          <a:endParaRPr lang="en-US" sz="1050" b="0" kern="1200" dirty="0">
            <a:solidFill>
              <a:srgbClr val="0F5494"/>
            </a:solidFill>
          </a:endParaRPr>
        </a:p>
      </dsp:txBody>
      <dsp:txXfrm>
        <a:off x="3341743" y="2380084"/>
        <a:ext cx="1348920" cy="253498"/>
      </dsp:txXfrm>
    </dsp:sp>
    <dsp:sp modelId="{C1426B1D-D6D1-40B9-AA41-C8614E8072FC}">
      <dsp:nvSpPr>
        <dsp:cNvPr id="0" name=""/>
        <dsp:cNvSpPr/>
      </dsp:nvSpPr>
      <dsp:spPr>
        <a:xfrm>
          <a:off x="3333856" y="2682896"/>
          <a:ext cx="1364694" cy="269272"/>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smtClean="0">
              <a:solidFill>
                <a:srgbClr val="0F5494"/>
              </a:solidFill>
            </a:rPr>
            <a:t>+++</a:t>
          </a:r>
          <a:endParaRPr lang="en-US" sz="1050" b="0" kern="1200" dirty="0">
            <a:solidFill>
              <a:srgbClr val="0F5494"/>
            </a:solidFill>
          </a:endParaRPr>
        </a:p>
      </dsp:txBody>
      <dsp:txXfrm>
        <a:off x="3341743" y="2690783"/>
        <a:ext cx="1348920" cy="253498"/>
      </dsp:txXfrm>
    </dsp:sp>
    <dsp:sp modelId="{18642513-E833-4ACD-BBF6-3F1E4C73EE27}">
      <dsp:nvSpPr>
        <dsp:cNvPr id="0" name=""/>
        <dsp:cNvSpPr/>
      </dsp:nvSpPr>
      <dsp:spPr>
        <a:xfrm>
          <a:off x="3333856" y="2993595"/>
          <a:ext cx="1364694" cy="269272"/>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a:solidFill>
                <a:srgbClr val="0F5494"/>
              </a:solidFill>
            </a:rPr>
            <a:t>+</a:t>
          </a:r>
        </a:p>
      </dsp:txBody>
      <dsp:txXfrm>
        <a:off x="3341743" y="3001482"/>
        <a:ext cx="1348920" cy="253498"/>
      </dsp:txXfrm>
    </dsp:sp>
    <dsp:sp modelId="{9DDA8698-8A5B-4832-959B-3E32FE15CE21}">
      <dsp:nvSpPr>
        <dsp:cNvPr id="0" name=""/>
        <dsp:cNvSpPr/>
      </dsp:nvSpPr>
      <dsp:spPr>
        <a:xfrm>
          <a:off x="3333856" y="3304294"/>
          <a:ext cx="1364694" cy="269272"/>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a:solidFill>
                <a:srgbClr val="0F5494"/>
              </a:solidFill>
            </a:rPr>
            <a:t>0</a:t>
          </a:r>
        </a:p>
      </dsp:txBody>
      <dsp:txXfrm>
        <a:off x="3341743" y="3312181"/>
        <a:ext cx="1348920" cy="253498"/>
      </dsp:txXfrm>
    </dsp:sp>
    <dsp:sp modelId="{F439C290-A177-42E1-A11A-817571F3B5EC}">
      <dsp:nvSpPr>
        <dsp:cNvPr id="0" name=""/>
        <dsp:cNvSpPr/>
      </dsp:nvSpPr>
      <dsp:spPr>
        <a:xfrm>
          <a:off x="4997077" y="0"/>
          <a:ext cx="1705867" cy="3762375"/>
        </a:xfrm>
        <a:prstGeom prst="roundRect">
          <a:avLst>
            <a:gd name="adj" fmla="val 10000"/>
          </a:avLst>
        </a:prstGeom>
        <a:solidFill>
          <a:srgbClr val="00B050"/>
        </a:solidFill>
        <a:ln>
          <a:noFill/>
        </a:ln>
        <a:effectLst/>
      </dsp:spPr>
      <dsp:style>
        <a:lnRef idx="0">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US" sz="2200" b="1" u="sng" kern="1200" dirty="0" smtClean="0">
              <a:solidFill>
                <a:schemeClr val="bg1"/>
              </a:solidFill>
            </a:rPr>
            <a:t>OPTION 3</a:t>
          </a:r>
          <a:r>
            <a:rPr lang="en-US" sz="2200" kern="1200" dirty="0" smtClean="0">
              <a:solidFill>
                <a:schemeClr val="bg1"/>
              </a:solidFill>
            </a:rPr>
            <a:t> Continuity “plus”</a:t>
          </a:r>
          <a:endParaRPr lang="en-US" sz="2200" kern="1200" dirty="0">
            <a:solidFill>
              <a:schemeClr val="bg1"/>
            </a:solidFill>
          </a:endParaRPr>
        </a:p>
      </dsp:txBody>
      <dsp:txXfrm>
        <a:off x="4997077" y="0"/>
        <a:ext cx="1705867" cy="1128712"/>
      </dsp:txXfrm>
    </dsp:sp>
    <dsp:sp modelId="{F7BB5E4D-6C47-45EE-BED3-13B3775901A2}">
      <dsp:nvSpPr>
        <dsp:cNvPr id="0" name=""/>
        <dsp:cNvSpPr/>
      </dsp:nvSpPr>
      <dsp:spPr>
        <a:xfrm>
          <a:off x="5167664" y="1129401"/>
          <a:ext cx="1364694" cy="269272"/>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smtClean="0">
              <a:solidFill>
                <a:srgbClr val="0F5494"/>
              </a:solidFill>
            </a:rPr>
            <a:t>+++</a:t>
          </a:r>
          <a:endParaRPr lang="en-US" sz="1050" b="0" kern="1200" dirty="0">
            <a:solidFill>
              <a:srgbClr val="0F5494"/>
            </a:solidFill>
          </a:endParaRPr>
        </a:p>
      </dsp:txBody>
      <dsp:txXfrm>
        <a:off x="5175551" y="1137288"/>
        <a:ext cx="1348920" cy="253498"/>
      </dsp:txXfrm>
    </dsp:sp>
    <dsp:sp modelId="{59F9E01C-5FD8-4352-ADBC-BCA2C68CA9D3}">
      <dsp:nvSpPr>
        <dsp:cNvPr id="0" name=""/>
        <dsp:cNvSpPr/>
      </dsp:nvSpPr>
      <dsp:spPr>
        <a:xfrm>
          <a:off x="5167664" y="1440100"/>
          <a:ext cx="1364694" cy="269272"/>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smtClean="0">
              <a:solidFill>
                <a:srgbClr val="0F5494"/>
              </a:solidFill>
            </a:rPr>
            <a:t>+++</a:t>
          </a:r>
          <a:endParaRPr lang="en-US" sz="1050" b="0" kern="1200" dirty="0">
            <a:solidFill>
              <a:srgbClr val="0F5494"/>
            </a:solidFill>
          </a:endParaRPr>
        </a:p>
      </dsp:txBody>
      <dsp:txXfrm>
        <a:off x="5175551" y="1447987"/>
        <a:ext cx="1348920" cy="253498"/>
      </dsp:txXfrm>
    </dsp:sp>
    <dsp:sp modelId="{4DF84A8D-6ECB-4889-A9B8-C46932319C90}">
      <dsp:nvSpPr>
        <dsp:cNvPr id="0" name=""/>
        <dsp:cNvSpPr/>
      </dsp:nvSpPr>
      <dsp:spPr>
        <a:xfrm>
          <a:off x="5167664" y="1750799"/>
          <a:ext cx="1364694" cy="269272"/>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smtClean="0">
              <a:solidFill>
                <a:srgbClr val="0F5494"/>
              </a:solidFill>
            </a:rPr>
            <a:t>+</a:t>
          </a:r>
          <a:endParaRPr lang="en-US" sz="1050" b="0" kern="1200" dirty="0">
            <a:solidFill>
              <a:srgbClr val="0F5494"/>
            </a:solidFill>
          </a:endParaRPr>
        </a:p>
      </dsp:txBody>
      <dsp:txXfrm>
        <a:off x="5175551" y="1758686"/>
        <a:ext cx="1348920" cy="253498"/>
      </dsp:txXfrm>
    </dsp:sp>
    <dsp:sp modelId="{709173EF-3100-4EE8-A858-44008A8B60BA}">
      <dsp:nvSpPr>
        <dsp:cNvPr id="0" name=""/>
        <dsp:cNvSpPr/>
      </dsp:nvSpPr>
      <dsp:spPr>
        <a:xfrm>
          <a:off x="5167664" y="2061498"/>
          <a:ext cx="1364694" cy="269272"/>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smtClean="0">
              <a:solidFill>
                <a:srgbClr val="0F5494"/>
              </a:solidFill>
            </a:rPr>
            <a:t>+++</a:t>
          </a:r>
          <a:endParaRPr lang="en-US" sz="1050" b="0" kern="1200" dirty="0">
            <a:solidFill>
              <a:srgbClr val="0F5494"/>
            </a:solidFill>
          </a:endParaRPr>
        </a:p>
      </dsp:txBody>
      <dsp:txXfrm>
        <a:off x="5175551" y="2069385"/>
        <a:ext cx="1348920" cy="253498"/>
      </dsp:txXfrm>
    </dsp:sp>
    <dsp:sp modelId="{E075D0DD-3102-4BFB-87AF-93EBFB3660E3}">
      <dsp:nvSpPr>
        <dsp:cNvPr id="0" name=""/>
        <dsp:cNvSpPr/>
      </dsp:nvSpPr>
      <dsp:spPr>
        <a:xfrm>
          <a:off x="5167664" y="2372197"/>
          <a:ext cx="1364694" cy="269272"/>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smtClean="0">
              <a:solidFill>
                <a:srgbClr val="0F5494"/>
              </a:solidFill>
            </a:rPr>
            <a:t>++</a:t>
          </a:r>
          <a:endParaRPr lang="en-US" sz="1050" b="0" kern="1200" dirty="0">
            <a:solidFill>
              <a:srgbClr val="0F5494"/>
            </a:solidFill>
          </a:endParaRPr>
        </a:p>
      </dsp:txBody>
      <dsp:txXfrm>
        <a:off x="5175551" y="2380084"/>
        <a:ext cx="1348920" cy="253498"/>
      </dsp:txXfrm>
    </dsp:sp>
    <dsp:sp modelId="{7D4E7A99-6408-4E80-89E5-7E510312AE3F}">
      <dsp:nvSpPr>
        <dsp:cNvPr id="0" name=""/>
        <dsp:cNvSpPr/>
      </dsp:nvSpPr>
      <dsp:spPr>
        <a:xfrm>
          <a:off x="5167664" y="2682896"/>
          <a:ext cx="1364694" cy="269272"/>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smtClean="0">
              <a:solidFill>
                <a:srgbClr val="0F5494"/>
              </a:solidFill>
            </a:rPr>
            <a:t>++</a:t>
          </a:r>
          <a:endParaRPr lang="en-US" sz="1050" b="0" kern="1200" dirty="0">
            <a:solidFill>
              <a:srgbClr val="0F5494"/>
            </a:solidFill>
          </a:endParaRPr>
        </a:p>
      </dsp:txBody>
      <dsp:txXfrm>
        <a:off x="5175551" y="2690783"/>
        <a:ext cx="1348920" cy="253498"/>
      </dsp:txXfrm>
    </dsp:sp>
    <dsp:sp modelId="{86F12DB4-7E7D-4586-A3E1-047612095D6F}">
      <dsp:nvSpPr>
        <dsp:cNvPr id="0" name=""/>
        <dsp:cNvSpPr/>
      </dsp:nvSpPr>
      <dsp:spPr>
        <a:xfrm>
          <a:off x="5167664" y="2993595"/>
          <a:ext cx="1364694" cy="269272"/>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a:solidFill>
                <a:srgbClr val="0F5494"/>
              </a:solidFill>
            </a:rPr>
            <a:t>++</a:t>
          </a:r>
        </a:p>
      </dsp:txBody>
      <dsp:txXfrm>
        <a:off x="5175551" y="3001482"/>
        <a:ext cx="1348920" cy="253498"/>
      </dsp:txXfrm>
    </dsp:sp>
    <dsp:sp modelId="{D31260E0-F8CB-4AAD-A27B-CE131B88883D}">
      <dsp:nvSpPr>
        <dsp:cNvPr id="0" name=""/>
        <dsp:cNvSpPr/>
      </dsp:nvSpPr>
      <dsp:spPr>
        <a:xfrm>
          <a:off x="5167664" y="3304294"/>
          <a:ext cx="1364694" cy="269272"/>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US" sz="1050" b="0" kern="1200" dirty="0">
              <a:solidFill>
                <a:srgbClr val="0F5494"/>
              </a:solidFill>
            </a:rPr>
            <a:t>0</a:t>
          </a:r>
        </a:p>
      </dsp:txBody>
      <dsp:txXfrm>
        <a:off x="5175551" y="3312181"/>
        <a:ext cx="1348920" cy="25349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B29732916DF4D831BB0FCE0DA1F47" ma:contentTypeVersion="0" ma:contentTypeDescription="Create a new document." ma:contentTypeScope="" ma:versionID="5e87b6185a4559021c2d2dd44491d6dc">
  <xsd:schema xmlns:xsd="http://www.w3.org/2001/XMLSchema" xmlns:xs="http://www.w3.org/2001/XMLSchema" xmlns:p="http://schemas.microsoft.com/office/2006/metadata/properties" targetNamespace="http://schemas.microsoft.com/office/2006/metadata/properties" ma:root="true" ma:fieldsID="520aa71ebba3a1c4bc292c1729accc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CDCD1-38B1-4AFD-BE56-C374B58B2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1F500B-2207-4104-8638-C6C01E3FF366}">
  <ds:schemaRefs>
    <ds:schemaRef ds:uri="http://schemas.microsoft.com/sharepoint/v3/contenttype/forms"/>
  </ds:schemaRefs>
</ds:datastoreItem>
</file>

<file path=customXml/itemProps3.xml><?xml version="1.0" encoding="utf-8"?>
<ds:datastoreItem xmlns:ds="http://schemas.openxmlformats.org/officeDocument/2006/customXml" ds:itemID="{8E2DD67C-A720-4848-B3CF-E31FAEB7DCE5}">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597C834-A379-4ECF-9920-39033A57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11637</Words>
  <Characters>65895</Characters>
  <Application>Microsoft Office Word</Application>
  <DocSecurity>0</DocSecurity>
  <Lines>1194</Lines>
  <Paragraphs>357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VERMAELEN Hilde (SG)</dc:creator>
  <cp:lastModifiedBy>KITRIMI Efstathia (SG)</cp:lastModifiedBy>
  <cp:revision>3</cp:revision>
  <cp:lastPrinted>2018-06-08T07:10:00Z</cp:lastPrinted>
  <dcterms:created xsi:type="dcterms:W3CDTF">2018-06-08T07:11:00Z</dcterms:created>
  <dcterms:modified xsi:type="dcterms:W3CDTF">2018-06-08T08:15:00Z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Level of sensitivity">
    <vt:lpwstr>Standard treatment</vt:lpwstr>
  </property>
  <property fmtid="{D5CDD505-2E9C-101B-9397-08002B2CF9AE}" pid="5" name="DocStatus">
    <vt:lpwstr>Green</vt:lpwstr>
  </property>
  <property fmtid="{D5CDD505-2E9C-101B-9397-08002B2CF9AE}" pid="6" name="ContentTypeId">
    <vt:lpwstr>0x010100676B29732916DF4D831BB0FCE0DA1F47</vt:lpwstr>
  </property>
  <property fmtid="{D5CDD505-2E9C-101B-9397-08002B2CF9AE}" pid="7" name="IsMyDocuments">
    <vt:bool>true</vt:bool>
  </property>
</Properties>
</file>