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C1AF7F1-46CA-4A54-A7BD-18162802BC03" style="width:450.45pt;height:383.6pt">
            <v:imagedata r:id="rId11" o:title=""/>
          </v:shape>
        </w:pict>
      </w:r>
    </w:p>
    <w:p>
      <w:pPr>
        <w:rPr>
          <w:noProof/>
        </w:rPr>
        <w:sectPr>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1</w:t>
      </w:r>
    </w:p>
    <w:p>
      <w:pPr>
        <w:spacing w:before="0" w:after="200" w:line="276" w:lineRule="auto"/>
        <w:jc w:val="center"/>
        <w:rPr>
          <w:b/>
          <w:noProof/>
        </w:rPr>
      </w:pPr>
      <w:r>
        <w:rPr>
          <w:b/>
          <w:noProof/>
        </w:rPr>
        <w:t xml:space="preserve">Non-exhaustive list of possible forms of actions </w:t>
      </w:r>
      <w:r>
        <w:rPr>
          <w:b/>
          <w:noProof/>
        </w:rPr>
        <w:br/>
        <w:t>referred to in points (a), (b) and (d) of the first sub-paragraph of Article 7(3)</w:t>
      </w:r>
    </w:p>
    <w:p>
      <w:pPr>
        <w:spacing w:before="0" w:after="200" w:line="276" w:lineRule="auto"/>
        <w:jc w:val="left"/>
        <w:rPr>
          <w:noProof/>
        </w:rPr>
      </w:pPr>
      <w:r>
        <w:rPr>
          <w:noProof/>
        </w:rPr>
        <w:t xml:space="preserve">Actions referred to in points (a), (b) and (d) of the first sub-paragraph of Article 7(3) may take the forms, among others, of: </w:t>
      </w:r>
    </w:p>
    <w:p>
      <w:pPr>
        <w:rPr>
          <w:noProof/>
        </w:rPr>
      </w:pPr>
      <w:r>
        <w:rPr>
          <w:noProof/>
        </w:rPr>
        <w:t>(a)</w:t>
      </w:r>
      <w:r>
        <w:rPr>
          <w:noProof/>
        </w:rPr>
        <w:tab/>
        <w:t>As regards meetings and similar ad-hoc events:</w:t>
      </w:r>
    </w:p>
    <w:p>
      <w:pPr>
        <w:pStyle w:val="Tiret1"/>
        <w:numPr>
          <w:ilvl w:val="0"/>
          <w:numId w:val="9"/>
        </w:numPr>
        <w:rPr>
          <w:noProof/>
        </w:rPr>
      </w:pPr>
      <w:r>
        <w:rPr>
          <w:noProof/>
        </w:rPr>
        <w:t>Seminar and workshop, generally attended by all countries and at which presentations are made and participants engage in intensive discussion and activity on a particular subject;</w:t>
      </w:r>
    </w:p>
    <w:p>
      <w:pPr>
        <w:pStyle w:val="Tiret1"/>
        <w:rPr>
          <w:noProof/>
        </w:rPr>
      </w:pPr>
      <w:r>
        <w:rPr>
          <w:noProof/>
        </w:rPr>
        <w:t xml:space="preserve">Working visit, organised to enable officials to acquire or increase their expertise or knowledge in customs matters; </w:t>
      </w:r>
    </w:p>
    <w:p>
      <w:pPr>
        <w:rPr>
          <w:noProof/>
        </w:rPr>
      </w:pPr>
      <w:r>
        <w:rPr>
          <w:noProof/>
        </w:rPr>
        <w:t>(b)</w:t>
      </w:r>
      <w:r>
        <w:rPr>
          <w:noProof/>
        </w:rPr>
        <w:tab/>
        <w:t xml:space="preserve">As regards project-based structured collaboration: </w:t>
      </w:r>
    </w:p>
    <w:p>
      <w:pPr>
        <w:pStyle w:val="Tiret1"/>
        <w:rPr>
          <w:noProof/>
        </w:rPr>
      </w:pPr>
      <w:r>
        <w:rPr>
          <w:noProof/>
        </w:rPr>
        <w:t xml:space="preserve">Project group, generally composed of a limited number of countries, operational during a limited period of time to pursue a predefined objective with a precisely defined outcome, including coordination or benchmarking; </w:t>
      </w:r>
    </w:p>
    <w:p>
      <w:pPr>
        <w:pStyle w:val="Tiret1"/>
        <w:rPr>
          <w:noProof/>
        </w:rPr>
      </w:pPr>
      <w:r>
        <w:rPr>
          <w:noProof/>
        </w:rPr>
        <w:t>Task force, namely structured forms of cooperation, with a non-permanent or permanent character, pooling expertise to perform tasks in specific domains or carry out operational activities, possibly with the support of online collaboration services, administrative assistance and infrastructure and equipment facilities;</w:t>
      </w:r>
    </w:p>
    <w:p>
      <w:pPr>
        <w:pStyle w:val="Tiret1"/>
        <w:rPr>
          <w:noProof/>
        </w:rPr>
      </w:pPr>
      <w:r>
        <w:rPr>
          <w:noProof/>
        </w:rPr>
        <w:t>Monitoring activity, carried out by joint teams made up of Commission officials and officials of the eligible authorities to analyse customs practices, identify any difficulties in implementing rules and, where appropriate, make suggestions for the adaptation of Union rules and working methods;</w:t>
      </w:r>
    </w:p>
    <w:p>
      <w:pPr>
        <w:rPr>
          <w:noProof/>
        </w:rPr>
      </w:pPr>
      <w:r>
        <w:rPr>
          <w:noProof/>
        </w:rPr>
        <w:t>(d)</w:t>
      </w:r>
      <w:r>
        <w:rPr>
          <w:noProof/>
        </w:rPr>
        <w:tab/>
        <w:t xml:space="preserve">As regards human competency and capacity building actions: </w:t>
      </w:r>
    </w:p>
    <w:p>
      <w:pPr>
        <w:pStyle w:val="Tiret1"/>
        <w:rPr>
          <w:noProof/>
        </w:rPr>
      </w:pPr>
      <w:r>
        <w:rPr>
          <w:noProof/>
        </w:rPr>
        <w:t>Common training or development of eLearning to support the build-up of the necessary professional skills and knowledge relating to customs;</w:t>
      </w:r>
    </w:p>
    <w:p>
      <w:pPr>
        <w:pStyle w:val="Tiret1"/>
        <w:rPr>
          <w:noProof/>
        </w:rPr>
      </w:pPr>
      <w:r>
        <w:rPr>
          <w:noProof/>
        </w:rPr>
        <w:t xml:space="preserve">Technical support, aimed at improving administrative procedures, enhancing administrative capacity and improving customs authorities’ functioning and operations by initiating and sharing good practices. </w:t>
      </w:r>
    </w:p>
    <w:p>
      <w:pPr>
        <w:spacing w:before="0" w:after="200" w:line="276" w:lineRule="auto"/>
        <w:jc w:val="left"/>
        <w:rPr>
          <w:noProof/>
        </w:rPr>
      </w:pPr>
      <w:r>
        <w:rPr>
          <w:noProof/>
        </w:rPr>
        <w:br w:type="page"/>
      </w:r>
    </w:p>
    <w:p>
      <w:pPr>
        <w:pStyle w:val="Annexetitre"/>
        <w:rPr>
          <w:noProof/>
        </w:rPr>
      </w:pPr>
      <w:r>
        <w:rPr>
          <w:noProof/>
        </w:rPr>
        <w:t>ANNEX 2</w:t>
      </w:r>
    </w:p>
    <w:p>
      <w:pPr>
        <w:spacing w:before="0" w:after="200" w:line="276" w:lineRule="auto"/>
        <w:jc w:val="center"/>
        <w:rPr>
          <w:noProof/>
        </w:rPr>
      </w:pPr>
      <w:r>
        <w:rPr>
          <w:b/>
          <w:noProof/>
        </w:rPr>
        <w:t xml:space="preserve">Indicators </w:t>
      </w:r>
    </w:p>
    <w:p>
      <w:pPr>
        <w:spacing w:before="0" w:after="200" w:line="276" w:lineRule="auto"/>
        <w:rPr>
          <w:noProof/>
        </w:rPr>
      </w:pPr>
      <w:r>
        <w:rPr>
          <w:noProof/>
        </w:rPr>
        <w:t>Specific objective: Support the preparation and uniform implementation of customs legislation and policy as well as customs cooperation and administrative capacity building, including human competency and the development and operation of the European electronic systems for customs.</w:t>
      </w:r>
    </w:p>
    <w:p>
      <w:pPr>
        <w:spacing w:before="0" w:after="200" w:line="276" w:lineRule="auto"/>
        <w:rPr>
          <w:b/>
          <w:bCs/>
          <w:noProof/>
          <w:u w:val="single"/>
        </w:rPr>
      </w:pPr>
      <w:r>
        <w:rPr>
          <w:b/>
          <w:bCs/>
          <w:noProof/>
          <w:u w:val="single"/>
        </w:rPr>
        <w:t>1. Capacity Building (administrative, human and IT capacity):</w:t>
      </w:r>
    </w:p>
    <w:p>
      <w:pPr>
        <w:pStyle w:val="NumPar1"/>
        <w:numPr>
          <w:ilvl w:val="0"/>
          <w:numId w:val="25"/>
        </w:numPr>
        <w:rPr>
          <w:noProof/>
        </w:rPr>
      </w:pPr>
      <w:r>
        <w:rPr>
          <w:noProof/>
        </w:rPr>
        <w:t>Union Law and Policy Application and Implementation Index (Number of actions under the Programme organised in this area and recommendations issued following those actions)</w:t>
      </w:r>
    </w:p>
    <w:p>
      <w:pPr>
        <w:pStyle w:val="NumPar1"/>
        <w:rPr>
          <w:noProof/>
        </w:rPr>
      </w:pPr>
      <w:r>
        <w:rPr>
          <w:noProof/>
        </w:rPr>
        <w:t>Learning Index (Learning modules used; number of officials trained; quality score by participants)</w:t>
      </w:r>
    </w:p>
    <w:p>
      <w:pPr>
        <w:pStyle w:val="NumPar1"/>
        <w:rPr>
          <w:noProof/>
        </w:rPr>
      </w:pPr>
      <w:r>
        <w:rPr>
          <w:noProof/>
        </w:rPr>
        <w:t>Availability of European electronic systems (in time percentage terms)</w:t>
      </w:r>
    </w:p>
    <w:p>
      <w:pPr>
        <w:pStyle w:val="NumPar1"/>
        <w:rPr>
          <w:noProof/>
        </w:rPr>
      </w:pPr>
      <w:r>
        <w:rPr>
          <w:noProof/>
        </w:rPr>
        <w:t>Availability of the Common Communication Network (in time percentage terms)</w:t>
      </w:r>
    </w:p>
    <w:p>
      <w:pPr>
        <w:pStyle w:val="NumPar1"/>
        <w:rPr>
          <w:noProof/>
        </w:rPr>
      </w:pPr>
      <w:r>
        <w:rPr>
          <w:noProof/>
        </w:rPr>
        <w:t>Use of key European electronic systems aimed at increasing interconnectivity and moving to a paper-free Customs Union (number of messages exchanged and consultations carried out)</w:t>
      </w:r>
    </w:p>
    <w:p>
      <w:pPr>
        <w:pStyle w:val="NumPar1"/>
        <w:rPr>
          <w:bCs/>
          <w:noProof/>
          <w:u w:val="single"/>
        </w:rPr>
      </w:pPr>
      <w:r>
        <w:rPr>
          <w:noProof/>
        </w:rPr>
        <w:t>UCC completion rate (percentage of milestones reached for implementing UCC systems)</w:t>
      </w:r>
    </w:p>
    <w:p>
      <w:pPr>
        <w:spacing w:before="0" w:after="200" w:line="276" w:lineRule="auto"/>
        <w:rPr>
          <w:b/>
          <w:bCs/>
          <w:noProof/>
          <w:u w:val="single"/>
        </w:rPr>
      </w:pPr>
      <w:r>
        <w:rPr>
          <w:b/>
          <w:bCs/>
          <w:noProof/>
          <w:u w:val="single"/>
        </w:rPr>
        <w:t>2. Knowledge sharing and networking:</w:t>
      </w:r>
    </w:p>
    <w:p>
      <w:pPr>
        <w:pStyle w:val="NumPar1"/>
        <w:numPr>
          <w:ilvl w:val="0"/>
          <w:numId w:val="10"/>
        </w:numPr>
        <w:rPr>
          <w:noProof/>
        </w:rPr>
      </w:pPr>
      <w:r>
        <w:rPr>
          <w:noProof/>
        </w:rPr>
        <w:t>Collaboration Robustness Index (degree of networking generated, number of face-to-face meetings, number of on-line collaboration groups)</w:t>
      </w:r>
    </w:p>
    <w:p>
      <w:pPr>
        <w:pStyle w:val="NumPar1"/>
        <w:rPr>
          <w:noProof/>
        </w:rPr>
      </w:pPr>
      <w:r>
        <w:rPr>
          <w:noProof/>
        </w:rPr>
        <w:t>Best Practices and Guideline Index (number of actions under the Programme organised in this area; percentage of participants that made use of a working practice/guideline developed with the support of the Programme)</w:t>
      </w:r>
    </w:p>
    <w:p>
      <w:pPr>
        <w:rPr>
          <w:noProof/>
        </w:rPr>
      </w:pPr>
    </w:p>
    <w:sectPr>
      <w:footerReference w:type="defaul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37CD2D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3CE445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81E4E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D98063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85497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E38B3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048860E"/>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6C3D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MOULIN Pierre-Yves (TAXUD)">
    <w15:presenceInfo w15:providerId="None" w15:userId="DEMOULIN Pierre-Yves (TAX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isplayBackgroundShape/>
  <w:hideSpellingErrors/>
  <w:hideGrammaticalErrors/>
  <w:attachedTemplate r:id="rId1"/>
  <w:revisionView w:markup="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8 08:54:5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to the Proposal for a"/>
    <w:docVar w:name="LW_ACCOMPAGNANT.CP" w:val="to the Proposal for a"/>
    <w:docVar w:name="LW_ANNEX_NBR_FIRST" w:val="1"/>
    <w:docVar w:name="LW_ANNEX_NBR_LAST" w:val="2"/>
    <w:docVar w:name="LW_ANNEX_UNIQUE" w:val="0"/>
    <w:docVar w:name="LW_CORRIGENDUM" w:val="&lt;UNUSED&gt;"/>
    <w:docVar w:name="LW_COVERPAGE_EXISTS" w:val="True"/>
    <w:docVar w:name="LW_COVERPAGE_GUID" w:val="1C1AF7F1-46CA-4A54-A7BD-18162802BC03"/>
    <w:docVar w:name="LW_COVERPAGE_TYPE" w:val="1"/>
    <w:docVar w:name="LW_CROSSREFERENCE" w:val="{SEC(2018) 295 final}_x000b_{SWD(2018) 321 final}_x000b_{SWD(2018) 322 final}"/>
    <w:docVar w:name="LW_DocType" w:val="ANNEX"/>
    <w:docVar w:name="LW_EMISSION" w:val="8.6.2018"/>
    <w:docVar w:name="LW_EMISSION_ISODATE" w:val="2018-06-08"/>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establishing the 'Customs' programme for cooperation in the field of customs"/>
    <w:docVar w:name="LW_OBJETACTEPRINCIPAL.CP" w:val="establishing the 'Customs' programme for cooperation in the field of customs"/>
    <w:docVar w:name="LW_PART_NBR" w:val="&lt;UNUSED&gt;"/>
    <w:docVar w:name="LW_PART_NBR_TOTAL" w:val="&lt;UNUSED&gt;"/>
    <w:docVar w:name="LW_REF.INST.NEW" w:val="COM"/>
    <w:docVar w:name="LW_REF.INST.NEW_ADOPTED" w:val="final"/>
    <w:docVar w:name="LW_REF.INST.NEW_TEXT" w:val="(2018) 4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REGULATION OF THE EUROPEAN PARLIAMENT AND OF THE COUNCIL"/>
    <w:docVar w:name="LW_TYPEACTEPRINCIPAL.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87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6B29732916DF4D831BB0FCE0DA1F47" ma:contentTypeVersion="0" ma:contentTypeDescription="Create a new document." ma:contentTypeScope="" ma:versionID="5e87b6185a4559021c2d2dd44491d6dc">
  <xsd:schema xmlns:xsd="http://www.w3.org/2001/XMLSchema" xmlns:xs="http://www.w3.org/2001/XMLSchema" xmlns:p="http://schemas.microsoft.com/office/2006/metadata/properties" targetNamespace="http://schemas.microsoft.com/office/2006/metadata/properties" ma:root="true" ma:fieldsID="520aa71ebba3a1c4bc292c1729accc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F92C8-0112-4553-A5FA-179C2003E681}">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66E0759E-AF00-4DF5-B5D6-AF9F24E7B6FF}">
  <ds:schemaRefs>
    <ds:schemaRef ds:uri="http://schemas.microsoft.com/sharepoint/v3/contenttype/forms"/>
  </ds:schemaRefs>
</ds:datastoreItem>
</file>

<file path=customXml/itemProps3.xml><?xml version="1.0" encoding="utf-8"?>
<ds:datastoreItem xmlns:ds="http://schemas.openxmlformats.org/officeDocument/2006/customXml" ds:itemID="{88F07431-4EEC-4D63-A7AB-BFAE1F016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3</Pages>
  <Words>469</Words>
  <Characters>2891</Characters>
  <Application>Microsoft Office Word</Application>
  <DocSecurity>0</DocSecurity>
  <Lines>57</Lines>
  <Paragraphs>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DEMOULIN Pierre-Yves (TAXUD)</dc:creator>
  <cp:lastModifiedBy>DIGIT/A3</cp:lastModifiedBy>
  <cp:revision>8</cp:revision>
  <cp:lastPrinted>2018-05-22T14:55:00Z</cp:lastPrinted>
  <dcterms:created xsi:type="dcterms:W3CDTF">2018-06-05T17:34:00Z</dcterms:created>
  <dcterms:modified xsi:type="dcterms:W3CDTF">2018-06-08T06:54:00Z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IsMyDocuments">
    <vt:bool>true</vt:bool>
  </property>
  <property fmtid="{D5CDD505-2E9C-101B-9397-08002B2CF9AE}" pid="14" name="ContentTypeId">
    <vt:lpwstr>0x010100676B29732916DF4D831BB0FCE0DA1F47</vt:lpwstr>
  </property>
  <property fmtid="{D5CDD505-2E9C-101B-9397-08002B2CF9AE}" pid="15" name="DQCStatus">
    <vt:lpwstr>Green (DQC version 03)</vt:lpwstr>
  </property>
</Properties>
</file>