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33" w:rsidRPr="00031EF1" w:rsidRDefault="005B55C5" w:rsidP="005B55C5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69AF149F-AB7B-4ACA-B022-B810F0C8EEC8" style="width:450.9pt;height:437.9pt">
            <v:imagedata r:id="rId9" o:title=""/>
          </v:shape>
        </w:pict>
      </w:r>
    </w:p>
    <w:p w:rsidR="00CC6C33" w:rsidRPr="00031EF1" w:rsidRDefault="00CC6C33" w:rsidP="00CC6C33">
      <w:pPr>
        <w:sectPr w:rsidR="00CC6C33" w:rsidRPr="00031EF1" w:rsidSect="005B55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C6C33" w:rsidRPr="00031EF1" w:rsidRDefault="00CC6C33" w:rsidP="00CC6C33">
      <w:pPr>
        <w:pStyle w:val="Annexetitre"/>
      </w:pPr>
      <w:bookmarkStart w:id="0" w:name="_GoBack"/>
      <w:bookmarkEnd w:id="0"/>
      <w:r w:rsidRPr="00031EF1">
        <w:lastRenderedPageBreak/>
        <w:t>ПРИЛОЖЕНИЕ I</w:t>
      </w:r>
    </w:p>
    <w:p w:rsidR="00CC6C33" w:rsidRPr="00031EF1" w:rsidRDefault="00CC6C33" w:rsidP="00CC6C33">
      <w:pPr>
        <w:pStyle w:val="Annexetitreexpos"/>
        <w:rPr>
          <w:strike/>
        </w:rPr>
      </w:pPr>
      <w:r w:rsidRPr="00031EF1">
        <w:t>Допълнителна информация относно дейностите, които да бъдат финансирани</w:t>
      </w:r>
    </w:p>
    <w:p w:rsidR="00CC6C33" w:rsidRPr="00031EF1" w:rsidRDefault="00CC6C33" w:rsidP="00F55459">
      <w:pPr>
        <w:pStyle w:val="Heading1"/>
        <w:numPr>
          <w:ilvl w:val="0"/>
          <w:numId w:val="17"/>
        </w:numPr>
      </w:pPr>
      <w:r w:rsidRPr="00031EF1">
        <w:t>НАПРАВЛЕНИЕ „КУЛТУРА“</w:t>
      </w:r>
    </w:p>
    <w:p w:rsidR="00CC6C33" w:rsidRPr="00031EF1" w:rsidRDefault="00CC6C33" w:rsidP="00CC6C33">
      <w:r w:rsidRPr="00031EF1">
        <w:t>Приоритетите на направление „КУЛТУРА“ на програмата, посочени в член 4, се изпълняват посредством следните действия:</w:t>
      </w:r>
    </w:p>
    <w:p w:rsidR="00CC6C33" w:rsidRPr="00031EF1" w:rsidRDefault="00CC6C33" w:rsidP="00CC6C33">
      <w:pPr>
        <w:rPr>
          <w:rFonts w:cstheme="minorBidi"/>
          <w:b/>
          <w:sz w:val="22"/>
        </w:rPr>
      </w:pPr>
      <w:r w:rsidRPr="00031EF1">
        <w:rPr>
          <w:b/>
          <w:sz w:val="22"/>
        </w:rPr>
        <w:t>Хоризонтални действия:</w:t>
      </w:r>
    </w:p>
    <w:p w:rsidR="00CC6C33" w:rsidRPr="00031EF1" w:rsidRDefault="00493EF6" w:rsidP="00493EF6">
      <w:pPr>
        <w:pStyle w:val="Point1"/>
      </w:pPr>
      <w:r>
        <w:t>а)</w:t>
      </w:r>
      <w:r w:rsidRPr="00493EF6">
        <w:tab/>
      </w:r>
      <w:r w:rsidR="00FC03D3" w:rsidRPr="00031EF1">
        <w:t>проекти за сътрудничество;</w:t>
      </w:r>
    </w:p>
    <w:p w:rsidR="00CC6C33" w:rsidRPr="00031EF1" w:rsidRDefault="00493EF6" w:rsidP="00493EF6">
      <w:pPr>
        <w:pStyle w:val="Point1"/>
      </w:pPr>
      <w:r>
        <w:t>б)</w:t>
      </w:r>
      <w:r w:rsidRPr="00493EF6">
        <w:tab/>
      </w:r>
      <w:r w:rsidR="00CC6C33" w:rsidRPr="00031EF1">
        <w:t>европейски мрежи на културни и творчески организации от различни държави;</w:t>
      </w:r>
    </w:p>
    <w:p w:rsidR="00CC6C33" w:rsidRPr="00031EF1" w:rsidRDefault="00493EF6" w:rsidP="00493EF6">
      <w:pPr>
        <w:pStyle w:val="Point1"/>
      </w:pPr>
      <w:r>
        <w:t>в)</w:t>
      </w:r>
      <w:r w:rsidRPr="00493EF6">
        <w:tab/>
      </w:r>
      <w:r w:rsidR="00CC6C33" w:rsidRPr="00031EF1">
        <w:t>паневропейски платформи за култура и творчество;</w:t>
      </w:r>
    </w:p>
    <w:p w:rsidR="00CC6C33" w:rsidRPr="00031EF1" w:rsidRDefault="00493EF6" w:rsidP="00493EF6">
      <w:pPr>
        <w:pStyle w:val="Point1"/>
      </w:pPr>
      <w:r>
        <w:t>г)</w:t>
      </w:r>
      <w:r w:rsidRPr="00493EF6">
        <w:tab/>
      </w:r>
      <w:r w:rsidR="00CC6C33" w:rsidRPr="00031EF1">
        <w:t>мобилност на хората на изкуството и културните деятели и творците;</w:t>
      </w:r>
    </w:p>
    <w:p w:rsidR="00CC6C33" w:rsidRPr="00031EF1" w:rsidRDefault="00493EF6" w:rsidP="00493EF6">
      <w:pPr>
        <w:pStyle w:val="Point1"/>
      </w:pPr>
      <w:r>
        <w:t>д)</w:t>
      </w:r>
      <w:r w:rsidRPr="00493EF6">
        <w:tab/>
      </w:r>
      <w:r w:rsidR="00BF768F" w:rsidRPr="00031EF1">
        <w:t>подкрепа за културните и творческите организации да извършват дейност в международен план;</w:t>
      </w:r>
    </w:p>
    <w:p w:rsidR="00133B69" w:rsidRPr="00031EF1" w:rsidRDefault="00493EF6" w:rsidP="00493EF6">
      <w:pPr>
        <w:pStyle w:val="Point1"/>
      </w:pPr>
      <w:r>
        <w:t>е)</w:t>
      </w:r>
      <w:r w:rsidRPr="00493EF6">
        <w:tab/>
      </w:r>
      <w:r w:rsidR="00133B69" w:rsidRPr="00031EF1">
        <w:t>изготвяне на политики, развитие на сътрудничество и изпълнение на дейности в областта на културата, включително чрез предоставянето на данни и обмен на най-добри практики или пилотни проекти.</w:t>
      </w:r>
    </w:p>
    <w:p w:rsidR="00CC6C33" w:rsidRPr="00031EF1" w:rsidRDefault="00CC6C33" w:rsidP="00CC6C33">
      <w:pPr>
        <w:rPr>
          <w:szCs w:val="24"/>
        </w:rPr>
      </w:pPr>
      <w:r w:rsidRPr="00031EF1">
        <w:rPr>
          <w:b/>
        </w:rPr>
        <w:t>Секторни действия</w:t>
      </w:r>
      <w:r w:rsidRPr="00031EF1">
        <w:t>:</w:t>
      </w:r>
    </w:p>
    <w:p w:rsidR="00CC6C33" w:rsidRPr="00031EF1" w:rsidRDefault="00493EF6" w:rsidP="00493EF6">
      <w:pPr>
        <w:pStyle w:val="Point1"/>
      </w:pPr>
      <w:r>
        <w:t>а)</w:t>
      </w:r>
      <w:r w:rsidRPr="00493EF6">
        <w:tab/>
      </w:r>
      <w:r w:rsidR="00CC6C33" w:rsidRPr="00031EF1">
        <w:t>подкрепа за музикалния сектор: насърчаване на многообразието, творчеството и иновациите в музикалната сфера, по-специално разпространението на музикални репертоари в Европа и извън нея, дейностите за обучение и привличане на публика за европейския репертоар, както и подкрепа за събирането на данни и анализ;</w:t>
      </w:r>
    </w:p>
    <w:p w:rsidR="00CC6C33" w:rsidRPr="00031EF1" w:rsidRDefault="00493EF6" w:rsidP="00493EF6">
      <w:pPr>
        <w:pStyle w:val="Point1"/>
      </w:pPr>
      <w:r>
        <w:t>б)</w:t>
      </w:r>
      <w:r w:rsidRPr="00493EF6">
        <w:tab/>
      </w:r>
      <w:r w:rsidR="00CC6C33" w:rsidRPr="00031EF1">
        <w:t>подкрепа за книжния и издателския сектор: целенасочени действия за насърчаване на многообразието, творчеството и иновациите, по-специално на превода и популяризирането на европейските литературни произведения в Европа и извън нея, обучението и обмена на специалисти в сектора, автори и преводачи, както и транснационални проекти за сътрудничество, иновации и развойна дейност в сектора;</w:t>
      </w:r>
    </w:p>
    <w:p w:rsidR="00CC6C33" w:rsidRPr="00031EF1" w:rsidRDefault="00493EF6" w:rsidP="00493EF6">
      <w:pPr>
        <w:pStyle w:val="Point1"/>
      </w:pPr>
      <w:r>
        <w:t>в)</w:t>
      </w:r>
      <w:r w:rsidRPr="00493EF6">
        <w:tab/>
      </w:r>
      <w:r w:rsidR="00CC6C33" w:rsidRPr="00031EF1">
        <w:t>подкрепа за секторите на архитектурата и културното наследство: целенасочени действия за мобилност на работещите в сферата, изграждане на капацитет, привличане на публика и интернационализация на секторите на културното наследство и архитектурата, насърчаване на културата на висококачествено застроената среда (т.нар. „</w:t>
      </w:r>
      <w:proofErr w:type="spellStart"/>
      <w:r w:rsidR="00CC6C33" w:rsidRPr="00031EF1">
        <w:t>Baukultur</w:t>
      </w:r>
      <w:proofErr w:type="spellEnd"/>
      <w:r w:rsidR="00CC6C33" w:rsidRPr="00031EF1">
        <w:t>“), подкрепа за опазването, консервацията и развитието на културното наследство и неговите ценности чрез повишаване на осведомеността, изграждане на мрежи и дейности по взаимно обучение;</w:t>
      </w:r>
    </w:p>
    <w:p w:rsidR="00CC6C33" w:rsidRPr="00031EF1" w:rsidRDefault="00493EF6" w:rsidP="00493EF6">
      <w:pPr>
        <w:pStyle w:val="Point1"/>
      </w:pPr>
      <w:r>
        <w:t>г)</w:t>
      </w:r>
      <w:r w:rsidRPr="00493EF6">
        <w:tab/>
      </w:r>
      <w:r w:rsidR="00CC6C33" w:rsidRPr="00031EF1">
        <w:t>подкрепа за други сектори: целенасочени действия в полза на развитието на творческите аспекти на сектора на дизайна и модния дизайн и културния туризъм, както и за тяхното популяризиране и представяне извън територията на Европейския съюз.</w:t>
      </w:r>
    </w:p>
    <w:p w:rsidR="00CC6C33" w:rsidRPr="00031EF1" w:rsidRDefault="00CC6C33" w:rsidP="00CC6C33">
      <w:pPr>
        <w:rPr>
          <w:b/>
          <w:szCs w:val="24"/>
        </w:rPr>
      </w:pPr>
      <w:r w:rsidRPr="00031EF1">
        <w:rPr>
          <w:b/>
        </w:rPr>
        <w:t xml:space="preserve">Специални действия, целящи да направят европейското културно многообразие и наследство видими и осезаеми и да създадат благоприятна среда за </w:t>
      </w:r>
      <w:proofErr w:type="spellStart"/>
      <w:r w:rsidRPr="00031EF1">
        <w:rPr>
          <w:b/>
        </w:rPr>
        <w:t>междукултурен</w:t>
      </w:r>
      <w:proofErr w:type="spellEnd"/>
      <w:r w:rsidRPr="00031EF1">
        <w:rPr>
          <w:b/>
        </w:rPr>
        <w:t xml:space="preserve"> диалог:</w:t>
      </w:r>
    </w:p>
    <w:p w:rsidR="00CC6C33" w:rsidRPr="00031EF1" w:rsidRDefault="00493EF6" w:rsidP="00493EF6">
      <w:pPr>
        <w:pStyle w:val="Point1"/>
      </w:pPr>
      <w:r>
        <w:lastRenderedPageBreak/>
        <w:t>а)</w:t>
      </w:r>
      <w:r w:rsidRPr="00493EF6">
        <w:tab/>
      </w:r>
      <w:r w:rsidR="00CC6C33" w:rsidRPr="00031EF1">
        <w:t>действие „Европейски столици на културата“, чрез което се осигурява финансова подкрепа за Решение № 445/2014/ЕС на Европейския парламент и на Съвета</w:t>
      </w:r>
      <w:r w:rsidR="00CC6C33" w:rsidRPr="00031EF1">
        <w:rPr>
          <w:rStyle w:val="FootnoteReference"/>
        </w:rPr>
        <w:footnoteReference w:id="1"/>
      </w:r>
      <w:r w:rsidR="00CC6C33" w:rsidRPr="00031EF1">
        <w:t>;</w:t>
      </w:r>
    </w:p>
    <w:p w:rsidR="00CC6C33" w:rsidRPr="00031EF1" w:rsidRDefault="00493EF6" w:rsidP="00493EF6">
      <w:pPr>
        <w:pStyle w:val="Point1"/>
      </w:pPr>
      <w:r>
        <w:t>б)</w:t>
      </w:r>
      <w:r w:rsidRPr="00493EF6">
        <w:tab/>
      </w:r>
      <w:r w:rsidR="00CC6C33" w:rsidRPr="00031EF1">
        <w:t>действие „Знак за европейско наследство“, чрез което се осигурява финансова подкрепа за Решение № 1194/2011/ЕС на Европейския парламент и на Съвета</w:t>
      </w:r>
      <w:r w:rsidR="00CC6C33" w:rsidRPr="00031EF1">
        <w:rPr>
          <w:rStyle w:val="FootnoteReference"/>
        </w:rPr>
        <w:footnoteReference w:id="2"/>
      </w:r>
      <w:r w:rsidR="00CC6C33" w:rsidRPr="00031EF1">
        <w:t>;</w:t>
      </w:r>
    </w:p>
    <w:p w:rsidR="00CC6C33" w:rsidRPr="00031EF1" w:rsidRDefault="00493EF6" w:rsidP="00493EF6">
      <w:pPr>
        <w:pStyle w:val="Point1"/>
      </w:pPr>
      <w:r>
        <w:t>в)</w:t>
      </w:r>
      <w:r w:rsidRPr="00493EF6">
        <w:tab/>
      </w:r>
      <w:r w:rsidR="00CC6C33" w:rsidRPr="00031EF1">
        <w:t xml:space="preserve">награди на ЕС за постижения в сферата на културата; </w:t>
      </w:r>
    </w:p>
    <w:p w:rsidR="00CC6C33" w:rsidRPr="00031EF1" w:rsidRDefault="00493EF6" w:rsidP="00493EF6">
      <w:pPr>
        <w:pStyle w:val="Point1"/>
      </w:pPr>
      <w:r>
        <w:t>г)</w:t>
      </w:r>
      <w:r w:rsidRPr="00493EF6">
        <w:tab/>
      </w:r>
      <w:r w:rsidR="00CC6C33" w:rsidRPr="00031EF1">
        <w:t>Европейски дни на наследството;</w:t>
      </w:r>
    </w:p>
    <w:p w:rsidR="00CC6C33" w:rsidRPr="00031EF1" w:rsidRDefault="00493EF6" w:rsidP="00493EF6">
      <w:pPr>
        <w:pStyle w:val="Point1"/>
      </w:pPr>
      <w:r>
        <w:t>д)</w:t>
      </w:r>
      <w:r w:rsidRPr="00493EF6">
        <w:tab/>
      </w:r>
      <w:r w:rsidR="00CC6C33" w:rsidRPr="00031EF1">
        <w:t>подкрепа за тези европейски културни институции, които се стремят да предоставят директно на европейските граждани услуги с голям географски обхват в сферата на културата.</w:t>
      </w:r>
    </w:p>
    <w:p w:rsidR="00CC6C33" w:rsidRPr="00031EF1" w:rsidRDefault="00CC6C33" w:rsidP="00063932">
      <w:pPr>
        <w:pStyle w:val="Heading1"/>
      </w:pPr>
      <w:r w:rsidRPr="00031EF1">
        <w:t>НАПРАВЛЕНИЕ „МЕДИА“</w:t>
      </w:r>
    </w:p>
    <w:p w:rsidR="00CC6C33" w:rsidRPr="00031EF1" w:rsidRDefault="00CC6C33" w:rsidP="00CC6C33">
      <w:r w:rsidRPr="00031EF1">
        <w:t>С приоритетите на направление „МЕДИА“ на програмата, посочени в член 5, се отчитат различията между отделните държави по отношение на реализацията и разпространението на аудио-визуално съдържание и достъпа до него, както и размерите и особеностите на съответните пазари, и се изпълняват, наред с другото, посредством:</w:t>
      </w:r>
    </w:p>
    <w:p w:rsidR="00CC6C33" w:rsidRPr="00031EF1" w:rsidRDefault="00493EF6" w:rsidP="00493EF6">
      <w:pPr>
        <w:pStyle w:val="Point1"/>
      </w:pPr>
      <w:r>
        <w:t>а)</w:t>
      </w:r>
      <w:r w:rsidRPr="00493EF6">
        <w:tab/>
      </w:r>
      <w:r w:rsidR="00CC6C33" w:rsidRPr="00031EF1">
        <w:t>създаване на аудио-визуални произведения;</w:t>
      </w:r>
    </w:p>
    <w:p w:rsidR="00517488" w:rsidRPr="00031EF1" w:rsidRDefault="00493EF6" w:rsidP="00493EF6">
      <w:pPr>
        <w:pStyle w:val="Point1"/>
      </w:pPr>
      <w:r>
        <w:t>б)</w:t>
      </w:r>
      <w:r w:rsidRPr="00493EF6">
        <w:tab/>
      </w:r>
      <w:r w:rsidR="00CC6C33" w:rsidRPr="00031EF1">
        <w:t>продукция на новаторско телевизионно съдържание и телевизионни сериали;</w:t>
      </w:r>
    </w:p>
    <w:p w:rsidR="00CC6C33" w:rsidRPr="00031EF1" w:rsidRDefault="00493EF6" w:rsidP="00493EF6">
      <w:pPr>
        <w:pStyle w:val="Point1"/>
      </w:pPr>
      <w:r>
        <w:t>в)</w:t>
      </w:r>
      <w:r w:rsidRPr="00493EF6">
        <w:tab/>
      </w:r>
      <w:r w:rsidR="00CC6C33" w:rsidRPr="00031EF1">
        <w:t>рекламни и маркетингови инструменти, включително онлайн и чрез анализ на данни, с цел повишаване на известността, видимостта, трансграничния достъп за европейските произведения и достигането им до публика;</w:t>
      </w:r>
    </w:p>
    <w:p w:rsidR="00CC6C33" w:rsidRPr="00031EF1" w:rsidRDefault="00493EF6" w:rsidP="00493EF6">
      <w:pPr>
        <w:pStyle w:val="Point1"/>
      </w:pPr>
      <w:r>
        <w:t>г)</w:t>
      </w:r>
      <w:r w:rsidRPr="00493EF6">
        <w:tab/>
      </w:r>
      <w:r w:rsidR="00CC6C33" w:rsidRPr="00031EF1">
        <w:t>подкрепа за международните продажби и разпространение на ненационални европейски произведения на всички платформи за разпространение, включително чрез координирани стратегии за разпространение, обхващащи няколко държави;</w:t>
      </w:r>
    </w:p>
    <w:p w:rsidR="00CC6C33" w:rsidRPr="00031EF1" w:rsidRDefault="00493EF6" w:rsidP="00493EF6">
      <w:pPr>
        <w:pStyle w:val="Point1"/>
      </w:pPr>
      <w:r>
        <w:t>д)</w:t>
      </w:r>
      <w:r w:rsidRPr="00493EF6">
        <w:tab/>
      </w:r>
      <w:r w:rsidR="00CC6C33" w:rsidRPr="00031EF1">
        <w:t>подкрепа на обмена между предприятията и на дейностите за изграждане на мрежи с цел способстване за европейските и международните съвместни продукции;</w:t>
      </w:r>
    </w:p>
    <w:p w:rsidR="00CC6C33" w:rsidRPr="00031EF1" w:rsidRDefault="00493EF6" w:rsidP="00493EF6">
      <w:pPr>
        <w:pStyle w:val="Point1"/>
      </w:pPr>
      <w:r>
        <w:t>е)</w:t>
      </w:r>
      <w:r w:rsidRPr="00493EF6">
        <w:tab/>
      </w:r>
      <w:r w:rsidR="00E81D94" w:rsidRPr="00031EF1">
        <w:t>популяризиране на европейските произведения на мероприятията и панаирите на индустрията в Европа и извън нея;</w:t>
      </w:r>
    </w:p>
    <w:p w:rsidR="00CC6C33" w:rsidRPr="00031EF1" w:rsidRDefault="00493EF6" w:rsidP="00493EF6">
      <w:pPr>
        <w:pStyle w:val="Point1"/>
      </w:pPr>
      <w:r>
        <w:t>ж)</w:t>
      </w:r>
      <w:r w:rsidRPr="00493EF6">
        <w:tab/>
      </w:r>
      <w:r w:rsidR="00CC6C33" w:rsidRPr="00031EF1">
        <w:t>инициативи, поощряващи привличането на публика и филмовото образование, насочени по-специално към младите хора;</w:t>
      </w:r>
    </w:p>
    <w:p w:rsidR="00CC6C33" w:rsidRPr="00031EF1" w:rsidRDefault="00493EF6" w:rsidP="00493EF6">
      <w:pPr>
        <w:pStyle w:val="Point1"/>
      </w:pPr>
      <w:r>
        <w:t>з)</w:t>
      </w:r>
      <w:r w:rsidRPr="00493EF6">
        <w:tab/>
      </w:r>
      <w:r w:rsidR="00CC6C33" w:rsidRPr="00031EF1">
        <w:t>дейности по обучение и наставничество с цел увеличаване на капацитета на аудио-визуалните оператори да се адаптират към новите пазарни развития и цифровите технологии;</w:t>
      </w:r>
    </w:p>
    <w:p w:rsidR="00CC6C33" w:rsidRPr="00031EF1" w:rsidRDefault="00493EF6" w:rsidP="00493EF6">
      <w:pPr>
        <w:pStyle w:val="Point1"/>
      </w:pPr>
      <w:r>
        <w:lastRenderedPageBreak/>
        <w:t>и)</w:t>
      </w:r>
      <w:r w:rsidRPr="00493EF6">
        <w:tab/>
      </w:r>
      <w:r w:rsidR="00CC6C33" w:rsidRPr="00031EF1">
        <w:t xml:space="preserve">европейска мрежа от оператори на канали за видео по заявка, в чиято програма е включен значителен дял ненационални европейски филми; </w:t>
      </w:r>
    </w:p>
    <w:p w:rsidR="00CC6C33" w:rsidRPr="00031EF1" w:rsidRDefault="00493EF6" w:rsidP="00493EF6">
      <w:pPr>
        <w:pStyle w:val="Point1"/>
      </w:pPr>
      <w:r>
        <w:t>й)</w:t>
      </w:r>
      <w:r w:rsidRPr="00493EF6">
        <w:tab/>
      </w:r>
      <w:r w:rsidR="00CC6C33" w:rsidRPr="00031EF1">
        <w:t>европейска(и) мрежа(и) на фестивали, в чиято програма е включен значителен дял ненационални европейски филми;</w:t>
      </w:r>
    </w:p>
    <w:p w:rsidR="00CC6C33" w:rsidRPr="00031EF1" w:rsidRDefault="00493EF6" w:rsidP="00493EF6">
      <w:pPr>
        <w:pStyle w:val="Point1"/>
      </w:pPr>
      <w:r>
        <w:t>к)</w:t>
      </w:r>
      <w:r w:rsidRPr="00493EF6">
        <w:tab/>
      </w:r>
      <w:r w:rsidR="00CC6C33" w:rsidRPr="00031EF1">
        <w:t>европейска мрежа от оператори на киносалони, в чиято програма е включен значителен дял ненационални европейски филми;</w:t>
      </w:r>
    </w:p>
    <w:p w:rsidR="00CC6C33" w:rsidRPr="00031EF1" w:rsidRDefault="00493EF6" w:rsidP="00493EF6">
      <w:pPr>
        <w:pStyle w:val="Point1"/>
      </w:pPr>
      <w:r>
        <w:t>л)</w:t>
      </w:r>
      <w:r w:rsidRPr="00493EF6">
        <w:tab/>
      </w:r>
      <w:r w:rsidR="00CC6C33" w:rsidRPr="00031EF1">
        <w:t>специфични мерки, целящи по-балансираното участие на половете в аудио-визуалния сектор;</w:t>
      </w:r>
    </w:p>
    <w:p w:rsidR="00E4281C" w:rsidRPr="00031EF1" w:rsidRDefault="00493EF6" w:rsidP="00493EF6">
      <w:pPr>
        <w:pStyle w:val="Point1"/>
      </w:pPr>
      <w:r>
        <w:t>м)</w:t>
      </w:r>
      <w:r w:rsidRPr="00493EF6">
        <w:tab/>
      </w:r>
      <w:r w:rsidR="00E4281C" w:rsidRPr="00031EF1">
        <w:t>подкрепа за политическия диалог, новаторските мерки на политиката и обмена на най-добри практики, включително чрез аналитични дейности и предоставяне на надеждни данни;</w:t>
      </w:r>
    </w:p>
    <w:p w:rsidR="00E4281C" w:rsidRPr="00031EF1" w:rsidRDefault="00493EF6" w:rsidP="00493EF6">
      <w:pPr>
        <w:pStyle w:val="Point1"/>
      </w:pPr>
      <w:r>
        <w:t>н)</w:t>
      </w:r>
      <w:r w:rsidRPr="00493EF6">
        <w:tab/>
      </w:r>
      <w:r w:rsidR="00E4281C" w:rsidRPr="00031EF1">
        <w:t xml:space="preserve">транснационален обмен на опит и </w:t>
      </w:r>
      <w:proofErr w:type="spellStart"/>
      <w:r w:rsidR="00E4281C" w:rsidRPr="00031EF1">
        <w:t>ноу-хау</w:t>
      </w:r>
      <w:proofErr w:type="spellEnd"/>
      <w:r w:rsidR="00E4281C" w:rsidRPr="00031EF1">
        <w:t>, дейности за взаимно обучение и създаване на мрежи между аудиовизуалния сектор и създателите на политики.</w:t>
      </w:r>
    </w:p>
    <w:p w:rsidR="00CC6C33" w:rsidRPr="00031EF1" w:rsidRDefault="00CC6C33" w:rsidP="00CC6C33"/>
    <w:p w:rsidR="00CC6C33" w:rsidRPr="00031EF1" w:rsidRDefault="00CC6C33" w:rsidP="00063932">
      <w:pPr>
        <w:pStyle w:val="Heading1"/>
      </w:pPr>
      <w:r w:rsidRPr="00031EF1">
        <w:t xml:space="preserve">МЕЖДУСЕКТОРНО НАПРАВЛЕНИЕ </w:t>
      </w:r>
    </w:p>
    <w:p w:rsidR="00CC6C33" w:rsidRPr="00031EF1" w:rsidRDefault="00CC6C33" w:rsidP="00CC6C33">
      <w:r w:rsidRPr="00031EF1">
        <w:t xml:space="preserve">Приоритетите на </w:t>
      </w:r>
      <w:proofErr w:type="spellStart"/>
      <w:r w:rsidRPr="00031EF1">
        <w:t>междусекторното</w:t>
      </w:r>
      <w:proofErr w:type="spellEnd"/>
      <w:r w:rsidRPr="00031EF1">
        <w:t xml:space="preserve"> направление на програмата, посочени в член 6, се изпълняват по-конкретно посредством:</w:t>
      </w:r>
    </w:p>
    <w:p w:rsidR="00CC6C33" w:rsidRPr="00031EF1" w:rsidRDefault="00CC6C33" w:rsidP="00CC6C33">
      <w:r w:rsidRPr="00031EF1">
        <w:rPr>
          <w:b/>
        </w:rPr>
        <w:t>Сътрудничество в областта на политиката и влияние</w:t>
      </w:r>
      <w:r w:rsidRPr="00031EF1">
        <w:t>:</w:t>
      </w:r>
    </w:p>
    <w:p w:rsidR="00CC6C33" w:rsidRPr="00031EF1" w:rsidRDefault="00493EF6" w:rsidP="00493EF6">
      <w:pPr>
        <w:pStyle w:val="Point1"/>
      </w:pPr>
      <w:r>
        <w:t>а)</w:t>
      </w:r>
      <w:r w:rsidRPr="00493EF6">
        <w:tab/>
      </w:r>
      <w:r w:rsidR="00CC6C33" w:rsidRPr="00031EF1">
        <w:tab/>
        <w:t xml:space="preserve">разработване на политики, транснационален обмен на опит и </w:t>
      </w:r>
      <w:proofErr w:type="spellStart"/>
      <w:r w:rsidR="00CC6C33" w:rsidRPr="00031EF1">
        <w:t>ноу-хау</w:t>
      </w:r>
      <w:proofErr w:type="spellEnd"/>
      <w:r w:rsidR="00CC6C33" w:rsidRPr="00031EF1">
        <w:t xml:space="preserve">, дейности за взаимно обучение и създаване на мрежи между културните и творческите организации и създателите на политики с </w:t>
      </w:r>
      <w:proofErr w:type="spellStart"/>
      <w:r w:rsidR="00CC6C33" w:rsidRPr="00031EF1">
        <w:t>междусекторен</w:t>
      </w:r>
      <w:proofErr w:type="spellEnd"/>
      <w:r w:rsidR="00CC6C33" w:rsidRPr="00031EF1">
        <w:t xml:space="preserve"> характер;</w:t>
      </w:r>
    </w:p>
    <w:p w:rsidR="00CC6C33" w:rsidRPr="00031EF1" w:rsidRDefault="00493EF6" w:rsidP="00493EF6">
      <w:pPr>
        <w:pStyle w:val="Point1"/>
      </w:pPr>
      <w:r>
        <w:t>б)</w:t>
      </w:r>
      <w:r w:rsidRPr="00493EF6">
        <w:tab/>
      </w:r>
      <w:r w:rsidR="00383D6B" w:rsidRPr="00031EF1">
        <w:t xml:space="preserve">аналитични </w:t>
      </w:r>
      <w:proofErr w:type="spellStart"/>
      <w:r w:rsidR="00383D6B" w:rsidRPr="00031EF1">
        <w:t>междусекторни</w:t>
      </w:r>
      <w:proofErr w:type="spellEnd"/>
      <w:r w:rsidR="00383D6B" w:rsidRPr="00031EF1">
        <w:t xml:space="preserve"> дейности;</w:t>
      </w:r>
    </w:p>
    <w:p w:rsidR="00CC6C33" w:rsidRPr="00031EF1" w:rsidRDefault="00493EF6" w:rsidP="00493EF6">
      <w:pPr>
        <w:pStyle w:val="Point1"/>
      </w:pPr>
      <w:r>
        <w:t>в)</w:t>
      </w:r>
      <w:r w:rsidRPr="00493EF6">
        <w:tab/>
      </w:r>
      <w:r w:rsidR="00CC6C33" w:rsidRPr="00031EF1">
        <w:t>подкрепа за действия, насочени към стимулирането на трансграничното сътрудничество в областта на политиката и разработването на политики относно ролята на социалното приобщаване чрез културата;</w:t>
      </w:r>
    </w:p>
    <w:p w:rsidR="006F68D7" w:rsidRPr="00031EF1" w:rsidRDefault="00493EF6" w:rsidP="00493EF6">
      <w:pPr>
        <w:pStyle w:val="Point1"/>
      </w:pPr>
      <w:r>
        <w:t>г)</w:t>
      </w:r>
      <w:r w:rsidRPr="00493EF6">
        <w:tab/>
      </w:r>
      <w:r w:rsidR="006F68D7" w:rsidRPr="00031EF1">
        <w:t xml:space="preserve">подобряване на запознатостта с програмата и обхванатите от нея теми, насърчаване на работата с граждани на терен и подпомагане на </w:t>
      </w:r>
      <w:proofErr w:type="spellStart"/>
      <w:r w:rsidR="006F68D7" w:rsidRPr="00031EF1">
        <w:t>прехвърлимостта</w:t>
      </w:r>
      <w:proofErr w:type="spellEnd"/>
      <w:r w:rsidR="006F68D7" w:rsidRPr="00031EF1">
        <w:t xml:space="preserve"> на резултатите.</w:t>
      </w:r>
    </w:p>
    <w:p w:rsidR="00CC6C33" w:rsidRPr="00031EF1" w:rsidRDefault="00CC6C33" w:rsidP="00CC6C33">
      <w:pPr>
        <w:spacing w:before="0"/>
        <w:rPr>
          <w:b/>
        </w:rPr>
      </w:pPr>
      <w:r w:rsidRPr="00031EF1">
        <w:rPr>
          <w:b/>
        </w:rPr>
        <w:t>Лаборатория за творчески иновации:</w:t>
      </w:r>
    </w:p>
    <w:p w:rsidR="00CC6C33" w:rsidRPr="00031EF1" w:rsidRDefault="00493EF6" w:rsidP="00493EF6">
      <w:pPr>
        <w:pStyle w:val="Point1"/>
      </w:pPr>
      <w:r>
        <w:t>а)</w:t>
      </w:r>
      <w:r w:rsidRPr="00493EF6">
        <w:tab/>
      </w:r>
      <w:r w:rsidR="00CC6C33" w:rsidRPr="00031EF1">
        <w:t>насърчаване на нови форми на създаване на кръстопътя между различните сектори на културата и творчеството, например чрез използването на иновативни технологии;</w:t>
      </w:r>
    </w:p>
    <w:p w:rsidR="00CC6C33" w:rsidRPr="00031EF1" w:rsidRDefault="00493EF6" w:rsidP="00493EF6">
      <w:pPr>
        <w:pStyle w:val="Point1"/>
      </w:pPr>
      <w:r>
        <w:t>б)</w:t>
      </w:r>
      <w:r w:rsidRPr="00493EF6">
        <w:tab/>
      </w:r>
      <w:r w:rsidR="00CC6C33" w:rsidRPr="00031EF1">
        <w:t xml:space="preserve">стимулиране на новаторски </w:t>
      </w:r>
      <w:proofErr w:type="spellStart"/>
      <w:r w:rsidR="00CC6C33" w:rsidRPr="00031EF1">
        <w:t>междусекторни</w:t>
      </w:r>
      <w:proofErr w:type="spellEnd"/>
      <w:r w:rsidR="00CC6C33" w:rsidRPr="00031EF1">
        <w:t xml:space="preserve"> подходи и инструменти за улесняване на достъпа до, разпространението и рекламата на и печалбата от културата и творчеството, включително културното наследство. </w:t>
      </w:r>
    </w:p>
    <w:p w:rsidR="00CC6C33" w:rsidRPr="00031EF1" w:rsidRDefault="00CC6C33" w:rsidP="00CC6C33">
      <w:pPr>
        <w:spacing w:before="0"/>
        <w:rPr>
          <w:b/>
        </w:rPr>
      </w:pPr>
      <w:r w:rsidRPr="00031EF1">
        <w:rPr>
          <w:b/>
        </w:rPr>
        <w:t>Бюра на програмата:</w:t>
      </w:r>
    </w:p>
    <w:p w:rsidR="00CC6C33" w:rsidRPr="00031EF1" w:rsidRDefault="00493EF6" w:rsidP="00493EF6">
      <w:pPr>
        <w:pStyle w:val="Point1"/>
      </w:pPr>
      <w:r>
        <w:t>а)</w:t>
      </w:r>
      <w:r w:rsidRPr="00493EF6">
        <w:tab/>
      </w:r>
      <w:r w:rsidR="00CC6C33" w:rsidRPr="00031EF1">
        <w:t>популяризиране на програмата на национално равнище и предоставяне на информация за различните видове финансова подкрепа по линия на политиката на Съюза;</w:t>
      </w:r>
    </w:p>
    <w:p w:rsidR="00CC6C33" w:rsidRPr="00031EF1" w:rsidRDefault="00493EF6" w:rsidP="00493EF6">
      <w:pPr>
        <w:pStyle w:val="Point1"/>
      </w:pPr>
      <w:r>
        <w:lastRenderedPageBreak/>
        <w:t>б)</w:t>
      </w:r>
      <w:r w:rsidRPr="00493EF6">
        <w:tab/>
      </w:r>
      <w:r w:rsidR="00CC6C33" w:rsidRPr="00031EF1">
        <w:t>стимулиране на трансграничното сътрудничество между професионалистите, институциите, платформите и мрежите в рамките на и между областите на политиката и секторите, обхванати от програмата;</w:t>
      </w:r>
    </w:p>
    <w:p w:rsidR="00CC6C33" w:rsidRPr="00031EF1" w:rsidRDefault="00493EF6" w:rsidP="00493EF6">
      <w:pPr>
        <w:pStyle w:val="Point1"/>
      </w:pPr>
      <w:r>
        <w:t>в)</w:t>
      </w:r>
      <w:r w:rsidRPr="00493EF6">
        <w:tab/>
      </w:r>
      <w:r w:rsidR="00CC6C33" w:rsidRPr="00031EF1">
        <w:t>подпомагане на Комисията при осигуряването на адекватна комуникационна дейност и разпространение на информация сред гражданите относно резултатите от програмата;</w:t>
      </w:r>
    </w:p>
    <w:p w:rsidR="00CC6C33" w:rsidRPr="00031EF1" w:rsidRDefault="00CC6C33" w:rsidP="00CC6C33">
      <w:pPr>
        <w:spacing w:before="0"/>
        <w:rPr>
          <w:b/>
        </w:rPr>
      </w:pPr>
      <w:r w:rsidRPr="00031EF1">
        <w:rPr>
          <w:b/>
        </w:rPr>
        <w:t>Хоризонтални дейности в подкрепа на сектора на новинарските медии:</w:t>
      </w:r>
    </w:p>
    <w:p w:rsidR="00CC6C33" w:rsidRPr="00031EF1" w:rsidRDefault="00493EF6" w:rsidP="00493EF6">
      <w:pPr>
        <w:pStyle w:val="Point1"/>
      </w:pPr>
      <w:r>
        <w:t>а)</w:t>
      </w:r>
      <w:r w:rsidRPr="00493EF6">
        <w:tab/>
      </w:r>
      <w:r w:rsidR="00A638F1" w:rsidRPr="00031EF1">
        <w:t>справяне със структурните промени, пред които е изправен медийният сектор, чрез поощряване и мониторинг на разнообразието и плурализма на медийната среда;</w:t>
      </w:r>
    </w:p>
    <w:p w:rsidR="00CC6C33" w:rsidRPr="00031EF1" w:rsidRDefault="00493EF6" w:rsidP="00493EF6">
      <w:pPr>
        <w:pStyle w:val="Point1"/>
      </w:pPr>
      <w:r>
        <w:t>б)</w:t>
      </w:r>
      <w:r w:rsidRPr="00493EF6">
        <w:tab/>
      </w:r>
      <w:r w:rsidR="00CC6C33" w:rsidRPr="00031EF1">
        <w:t xml:space="preserve">подкрепа за високите стандарти в медийното производство чрез насърчаване на сътрудничеството, трансграничната </w:t>
      </w:r>
      <w:proofErr w:type="spellStart"/>
      <w:r w:rsidR="00CC6C33" w:rsidRPr="00031EF1">
        <w:t>колаборативна</w:t>
      </w:r>
      <w:proofErr w:type="spellEnd"/>
      <w:r w:rsidR="00CC6C33" w:rsidRPr="00031EF1">
        <w:t xml:space="preserve"> журналистика и качественото съдържание;</w:t>
      </w:r>
    </w:p>
    <w:p w:rsidR="00CC6C33" w:rsidRPr="00031EF1" w:rsidRDefault="00493EF6" w:rsidP="00493EF6">
      <w:pPr>
        <w:pStyle w:val="Point1"/>
      </w:pPr>
      <w:r>
        <w:t>в)</w:t>
      </w:r>
      <w:r w:rsidRPr="00493EF6">
        <w:tab/>
      </w:r>
      <w:r w:rsidR="00CC6C33" w:rsidRPr="00031EF1">
        <w:t>насърчаване на медийната грамотност, за да могат гражданите да развият критично разбиране на медиите.</w:t>
      </w:r>
    </w:p>
    <w:p w:rsidR="0078185C" w:rsidRPr="00031EF1" w:rsidRDefault="0078185C" w:rsidP="00CC6C33">
      <w:pPr>
        <w:sectPr w:rsidR="0078185C" w:rsidRPr="00031EF1" w:rsidSect="005B55C5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CC6C33" w:rsidRPr="00031EF1" w:rsidRDefault="00CC6C33" w:rsidP="00CC6C33">
      <w:pPr>
        <w:pStyle w:val="Annexetitre"/>
      </w:pPr>
      <w:r w:rsidRPr="00031EF1">
        <w:lastRenderedPageBreak/>
        <w:t>ПРИЛОЖЕНИЕ II</w:t>
      </w:r>
    </w:p>
    <w:p w:rsidR="00CC6C33" w:rsidRPr="00031EF1" w:rsidRDefault="00CC6C33" w:rsidP="00CC6C33">
      <w:pPr>
        <w:pStyle w:val="Annexetitreexpos"/>
      </w:pPr>
      <w:r w:rsidRPr="00031EF1">
        <w:t>Показатели</w:t>
      </w:r>
    </w:p>
    <w:p w:rsidR="00CC6C33" w:rsidRPr="00031EF1" w:rsidRDefault="00CC6C33" w:rsidP="00CC6C33">
      <w:pPr>
        <w:pStyle w:val="Annexetitreexpos"/>
        <w:rPr>
          <w:rFonts w:ascii="Calibri" w:hAnsi="Calibri"/>
          <w:sz w:val="8"/>
          <w:szCs w:val="8"/>
        </w:rPr>
      </w:pPr>
      <w:r w:rsidRPr="00031EF1">
        <w:t>НАПРАВЛЕНИЕ „КУЛТУРА“:</w:t>
      </w:r>
    </w:p>
    <w:tbl>
      <w:tblPr>
        <w:tblW w:w="918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C6C33" w:rsidRPr="00031EF1" w:rsidTr="000613B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33" w:rsidRPr="00031EF1" w:rsidRDefault="00CC6C33" w:rsidP="00517488">
            <w:pPr>
              <w:spacing w:line="276" w:lineRule="auto"/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и мащаб на транснационалните партньорства, установени с подкрепата на програмата</w:t>
            </w:r>
          </w:p>
        </w:tc>
      </w:tr>
      <w:tr w:rsidR="00CC6C33" w:rsidRPr="00031EF1" w:rsidTr="000613B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33" w:rsidRPr="00031EF1" w:rsidRDefault="00CC6C33" w:rsidP="00426774">
            <w:pPr>
              <w:spacing w:line="276" w:lineRule="auto"/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на хората на изкуството и културните деятели и/или творците, (географски) мобилни отвъд националните граници благодарение на подкрепата на програмата, по държава на произход</w:t>
            </w:r>
          </w:p>
        </w:tc>
      </w:tr>
      <w:tr w:rsidR="00CC6C33" w:rsidRPr="00031EF1" w:rsidTr="000613B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33" w:rsidRPr="00031EF1" w:rsidRDefault="00CC6C33" w:rsidP="00426774">
            <w:pPr>
              <w:spacing w:line="276" w:lineRule="auto"/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на хората, които имат достъп до европейски културни и творчески произведения, създадени с помощта на програмата, включително произведения от държави, различни от собствената им държава;</w:t>
            </w:r>
          </w:p>
        </w:tc>
      </w:tr>
      <w:tr w:rsidR="00517488" w:rsidRPr="00031EF1" w:rsidTr="000613B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88" w:rsidRPr="00031EF1" w:rsidRDefault="00517488" w:rsidP="00517488">
            <w:pPr>
              <w:spacing w:line="276" w:lineRule="auto"/>
              <w:rPr>
                <w:sz w:val="18"/>
                <w:szCs w:val="18"/>
              </w:rPr>
            </w:pPr>
            <w:r w:rsidRPr="00031EF1">
              <w:rPr>
                <w:sz w:val="18"/>
              </w:rPr>
              <w:t xml:space="preserve">Брой на проектите, подкрепени от програмата, насочени към групи от хора в неравностойно положение, а именно безработни младежи и </w:t>
            </w:r>
            <w:proofErr w:type="spellStart"/>
            <w:r w:rsidRPr="00031EF1">
              <w:rPr>
                <w:sz w:val="18"/>
              </w:rPr>
              <w:t>мигранти</w:t>
            </w:r>
            <w:proofErr w:type="spellEnd"/>
          </w:p>
        </w:tc>
      </w:tr>
      <w:tr w:rsidR="00517488" w:rsidRPr="00031EF1" w:rsidTr="000613B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88" w:rsidRPr="00031EF1" w:rsidRDefault="00517488" w:rsidP="00517488">
            <w:pPr>
              <w:spacing w:line="276" w:lineRule="auto"/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на проектите, осъществявани с подкрепата на програмата, в които участват организации от трети държави</w:t>
            </w:r>
          </w:p>
        </w:tc>
      </w:tr>
    </w:tbl>
    <w:p w:rsidR="00CC6C33" w:rsidRPr="00031EF1" w:rsidRDefault="00CC6C33" w:rsidP="00CC6C33">
      <w:pPr>
        <w:pStyle w:val="Annexetitreexpos"/>
      </w:pPr>
      <w:r w:rsidRPr="00031EF1">
        <w:t>НАПРАВЛЕНИЕ „МЕДИА“:</w:t>
      </w:r>
    </w:p>
    <w:tbl>
      <w:tblPr>
        <w:tblW w:w="9180" w:type="dxa"/>
        <w:tblInd w:w="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67CF7" w:rsidRPr="00031EF1" w:rsidTr="000613B7">
        <w:tc>
          <w:tcPr>
            <w:tcW w:w="9180" w:type="dxa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A67CF7" w:rsidRPr="00031EF1" w:rsidRDefault="00A67CF7" w:rsidP="00517488">
            <w:pPr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на хората, които имат достъп до европейски аудио-визуални произведения от държави, различни от собствената им държава, с подкрепата на програмата</w:t>
            </w:r>
          </w:p>
        </w:tc>
      </w:tr>
      <w:tr w:rsidR="00A67CF7" w:rsidRPr="00031EF1" w:rsidTr="000613B7">
        <w:tc>
          <w:tcPr>
            <w:tcW w:w="9180" w:type="dxa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A67CF7" w:rsidRPr="00031EF1" w:rsidRDefault="00A67CF7" w:rsidP="00517488">
            <w:pPr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на участниците в обучителни дейности, подкрепяни от програмата, които смятат, че благодарение на тези дейности са подобрили своите умения и са повишили своята пригодност за заетост</w:t>
            </w:r>
          </w:p>
        </w:tc>
      </w:tr>
      <w:tr w:rsidR="00A67CF7" w:rsidRPr="00031EF1" w:rsidTr="000613B7">
        <w:tc>
          <w:tcPr>
            <w:tcW w:w="9180" w:type="dxa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A67CF7" w:rsidRPr="00031EF1" w:rsidRDefault="00A67CF7" w:rsidP="00517488">
            <w:pPr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и бюджет на съвместните продукции, разработени и създадени с подкрепата на програмата</w:t>
            </w:r>
          </w:p>
        </w:tc>
      </w:tr>
      <w:tr w:rsidR="00A67CF7" w:rsidRPr="00031EF1" w:rsidTr="000613B7">
        <w:tc>
          <w:tcPr>
            <w:tcW w:w="9180" w:type="dxa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A67CF7" w:rsidRPr="00031EF1" w:rsidRDefault="00A67CF7" w:rsidP="00DF10A6">
            <w:pPr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на лицата, до които достигат рекламните дейности между предприятия на основни пазари</w:t>
            </w:r>
          </w:p>
        </w:tc>
      </w:tr>
    </w:tbl>
    <w:p w:rsidR="00A67CF7" w:rsidRPr="00031EF1" w:rsidRDefault="00A67CF7" w:rsidP="001637D8">
      <w:pPr>
        <w:jc w:val="center"/>
        <w:rPr>
          <w:b/>
        </w:rPr>
      </w:pPr>
      <w:r w:rsidRPr="00031EF1">
        <w:rPr>
          <w:b/>
          <w:u w:val="single"/>
        </w:rPr>
        <w:t>МЕЖДУСЕКТОРНО НАПРАВЛЕНИЕ</w:t>
      </w:r>
      <w:r w:rsidRPr="00031EF1">
        <w:rPr>
          <w:b/>
        </w:rPr>
        <w:t>:</w:t>
      </w:r>
    </w:p>
    <w:tbl>
      <w:tblPr>
        <w:tblW w:w="9180" w:type="dxa"/>
        <w:tblInd w:w="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67CF7" w:rsidRPr="00031EF1" w:rsidTr="000613B7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09D" w:rsidRPr="00031EF1" w:rsidRDefault="00E4009D" w:rsidP="00614195">
            <w:pPr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и мащаб на установените транснационални партньорства (съставен показател за лабораториите за творчески иновации и действията за новинарските медии)</w:t>
            </w:r>
          </w:p>
        </w:tc>
      </w:tr>
      <w:tr w:rsidR="00A67CF7" w:rsidRPr="00031EF1" w:rsidTr="000613B7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F7" w:rsidRPr="00031EF1" w:rsidRDefault="00A67CF7" w:rsidP="00517488">
            <w:pPr>
              <w:rPr>
                <w:sz w:val="18"/>
                <w:szCs w:val="18"/>
              </w:rPr>
            </w:pPr>
            <w:r w:rsidRPr="00031EF1">
              <w:rPr>
                <w:sz w:val="18"/>
              </w:rPr>
              <w:t>Брой мероприятия, популяризиращи програмата, организирани от бюрата за подкрепа на програмата</w:t>
            </w:r>
          </w:p>
        </w:tc>
      </w:tr>
    </w:tbl>
    <w:p w:rsidR="00CC6C33" w:rsidRPr="00031EF1" w:rsidRDefault="00CC6C33" w:rsidP="00CC6C33">
      <w:pPr>
        <w:jc w:val="center"/>
        <w:rPr>
          <w:highlight w:val="yellow"/>
        </w:rPr>
      </w:pPr>
    </w:p>
    <w:sectPr w:rsidR="00CC6C33" w:rsidRPr="00031EF1" w:rsidSect="005B55C5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41BB2" w15:done="0"/>
  <w15:commentEx w15:paraId="15622287" w15:done="0"/>
  <w15:commentEx w15:paraId="60D2AC42" w15:done="0"/>
  <w15:commentEx w15:paraId="5D2A6968" w15:done="0"/>
  <w15:commentEx w15:paraId="1594928C" w15:done="0"/>
  <w15:commentEx w15:paraId="3E2CF080" w15:done="0"/>
  <w15:commentEx w15:paraId="5EFC127B" w15:done="0"/>
  <w15:commentEx w15:paraId="5FDDB6AF" w15:done="0"/>
  <w15:commentEx w15:paraId="31C1D9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33" w:rsidRDefault="00CC6C33" w:rsidP="00CC6C33">
      <w:pPr>
        <w:spacing w:before="0" w:after="0"/>
      </w:pPr>
      <w:r>
        <w:separator/>
      </w:r>
    </w:p>
  </w:endnote>
  <w:endnote w:type="continuationSeparator" w:id="0">
    <w:p w:rsidR="00CC6C33" w:rsidRDefault="00CC6C33" w:rsidP="00CC6C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C5" w:rsidRPr="005B55C5" w:rsidRDefault="005B55C5" w:rsidP="005B5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F1" w:rsidRPr="005B55C5" w:rsidRDefault="005B55C5" w:rsidP="005B55C5">
    <w:pPr>
      <w:pStyle w:val="Footer"/>
      <w:rPr>
        <w:rFonts w:ascii="Arial" w:hAnsi="Arial" w:cs="Arial"/>
        <w:b/>
        <w:sz w:val="48"/>
      </w:rPr>
    </w:pPr>
    <w:r w:rsidRPr="005B55C5">
      <w:rPr>
        <w:rFonts w:ascii="Arial" w:hAnsi="Arial" w:cs="Arial"/>
        <w:b/>
        <w:sz w:val="48"/>
      </w:rPr>
      <w:t>BG</w:t>
    </w:r>
    <w:r w:rsidRPr="005B55C5">
      <w:rPr>
        <w:rFonts w:ascii="Arial" w:hAnsi="Arial" w:cs="Arial"/>
        <w:b/>
        <w:sz w:val="48"/>
      </w:rPr>
      <w:tab/>
    </w:r>
    <w:r w:rsidRPr="005B55C5">
      <w:rPr>
        <w:rFonts w:ascii="Arial" w:hAnsi="Arial" w:cs="Arial"/>
        <w:b/>
        <w:sz w:val="48"/>
      </w:rPr>
      <w:tab/>
    </w:r>
    <w:r w:rsidRPr="005B55C5">
      <w:tab/>
    </w:r>
    <w:proofErr w:type="spellStart"/>
    <w:r w:rsidRPr="005B55C5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C5" w:rsidRPr="005B55C5" w:rsidRDefault="005B55C5" w:rsidP="005B55C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BE" w:rsidRPr="005B55C5" w:rsidRDefault="005B55C5" w:rsidP="005B55C5">
    <w:pPr>
      <w:pStyle w:val="Footer"/>
      <w:rPr>
        <w:rFonts w:ascii="Arial" w:hAnsi="Arial" w:cs="Arial"/>
        <w:b/>
        <w:sz w:val="48"/>
      </w:rPr>
    </w:pPr>
    <w:r w:rsidRPr="005B55C5">
      <w:rPr>
        <w:rFonts w:ascii="Arial" w:hAnsi="Arial" w:cs="Arial"/>
        <w:b/>
        <w:sz w:val="48"/>
      </w:rPr>
      <w:t>BG</w:t>
    </w:r>
    <w:r w:rsidRPr="005B55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 w:rsidRPr="005B55C5">
      <w:tab/>
    </w:r>
    <w:r w:rsidRPr="005B55C5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C5" w:rsidRPr="005B55C5" w:rsidRDefault="005B55C5" w:rsidP="005B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33" w:rsidRDefault="00CC6C33" w:rsidP="00CC6C33">
      <w:pPr>
        <w:spacing w:before="0" w:after="0"/>
      </w:pPr>
      <w:r>
        <w:separator/>
      </w:r>
    </w:p>
  </w:footnote>
  <w:footnote w:type="continuationSeparator" w:id="0">
    <w:p w:rsidR="00CC6C33" w:rsidRDefault="00CC6C33" w:rsidP="00CC6C33">
      <w:pPr>
        <w:spacing w:before="0" w:after="0"/>
      </w:pPr>
      <w:r>
        <w:continuationSeparator/>
      </w:r>
    </w:p>
  </w:footnote>
  <w:footnote w:id="1">
    <w:p w:rsidR="002B7A57" w:rsidRDefault="002B7A57">
      <w:pPr>
        <w:pStyle w:val="FootnoteText"/>
      </w:pPr>
      <w:r>
        <w:rPr>
          <w:rStyle w:val="FootnoteReference"/>
        </w:rPr>
        <w:footnoteRef/>
      </w:r>
      <w:r>
        <w:tab/>
        <w:t>Решение № 445/2014/ЕС на Европейския парламент и на Съвета от 16 април 2014 г. за установяване на действие на Съюза „Европейски столици на културата“ за годините 2020 — 2033 и за отмяна на Решение № 1622/2006/ЕО (OВ L 132, 3.5.2014 г., стр. 1).</w:t>
      </w:r>
    </w:p>
  </w:footnote>
  <w:footnote w:id="2">
    <w:p w:rsidR="002B7A57" w:rsidRDefault="002B7A57">
      <w:pPr>
        <w:pStyle w:val="FootnoteText"/>
      </w:pPr>
      <w:r>
        <w:rPr>
          <w:rStyle w:val="FootnoteReference"/>
        </w:rPr>
        <w:footnoteRef/>
      </w:r>
      <w:r>
        <w:tab/>
        <w:t>Решение № 1194/2011/ЕС на Европейския парламент и на Съвета от 16 ноември 2011 г. за предприемане на действие от страна на Европейския съюз за Знака за европейско наследство (ОВ L 303, 22.11.2011 г., стр.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C5" w:rsidRPr="005B55C5" w:rsidRDefault="005B55C5" w:rsidP="005B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C5" w:rsidRPr="005B55C5" w:rsidRDefault="005B55C5" w:rsidP="005B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C5" w:rsidRPr="005B55C5" w:rsidRDefault="005B55C5" w:rsidP="005B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A3AC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F16DF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0C228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ECAEE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FA28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77A36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59E1E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FB66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18"/>
  </w:num>
  <w:num w:numId="34">
    <w:abstractNumId w:val="12"/>
  </w:num>
  <w:num w:numId="35">
    <w:abstractNumId w:val="20"/>
  </w:num>
  <w:num w:numId="36">
    <w:abstractNumId w:val="11"/>
  </w:num>
  <w:num w:numId="37">
    <w:abstractNumId w:val="13"/>
  </w:num>
  <w:num w:numId="38">
    <w:abstractNumId w:val="9"/>
  </w:num>
  <w:num w:numId="39">
    <w:abstractNumId w:val="19"/>
  </w:num>
  <w:num w:numId="40">
    <w:abstractNumId w:val="8"/>
  </w:num>
  <w:num w:numId="41">
    <w:abstractNumId w:val="14"/>
  </w:num>
  <w:num w:numId="42">
    <w:abstractNumId w:val="16"/>
  </w:num>
  <w:num w:numId="43">
    <w:abstractNumId w:val="17"/>
  </w:num>
  <w:num w:numId="44">
    <w:abstractNumId w:val="10"/>
  </w:num>
  <w:num w:numId="45">
    <w:abstractNumId w:val="15"/>
  </w:num>
  <w:num w:numId="46">
    <w:abstractNumId w:val="21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RTOLLI Gabriele (CNECT)">
    <w15:presenceInfo w15:providerId="None" w15:userId="BERTOLLI Gabriele (CNEC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4 10:48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69AF149F-AB7B-4ACA-B022-B810F0C8EEC8"/>
    <w:docVar w:name="LW_COVERPAGE_TYPE" w:val="1"/>
    <w:docVar w:name="LW_CROSSREFERENCE" w:val="&lt;UNUSED&gt;"/>
    <w:docVar w:name="LW_DocType" w:val="ANNEX"/>
    <w:docVar w:name="LW_EMISSION" w:val="30.5.2018"/>
    <w:docVar w:name="LW_EMISSION_ISODATE" w:val="2018-05-30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_x000b_\u1079?\u1072? \u1089?\u1098?\u1079?\u1076?\u1072?\u1074?\u1072?\u1085?\u1077? \u1085?\u1072? \u1087?\u1088?\u1086?\u1075?\u1088?\u1072?\u1084?\u1072? \u8222?\u1058?\u1074?\u1086?\u1088?\u1095?\u1077?\u1089?\u1082?\u1072? \u1045?\u1074?\u1088?\u1086?\u1087?\u1072?\u8220? (2021\u8212?2027&lt;LWCR:NBS&gt;\u1075?.) \u1080? \u1079?\u1072? \u1086?\u1090?\u1084?\u1103?\u1085?\u1072? \u1085?\u1072? \u1056?\u1077?\u1075?\u1083?\u1072?\u1084?\u1077?\u1085?\u1090? (\u1045?\u1057?) \u8470?&lt;LWCR:NBS&gt;1295/2013_x000b__x000b_"/>
    <w:docVar w:name="LW_OBJETACTEPRINCIPAL.CP" w:val="_x000b_\u1079?\u1072? \u1089?\u1098?\u1079?\u1076?\u1072?\u1074?\u1072?\u1085?\u1077? \u1085?\u1072? \u1087?\u1088?\u1086?\u1075?\u1088?\u1072?\u1084?\u1072? \u8222?\u1058?\u1074?\u1086?\u1088?\u1095?\u1077?\u1089?\u1082?\u1072? \u1045?\u1074?\u1088?\u1086?\u1087?\u1072?\u8220? (2021\u8212?2027 \u1075?.) \u1080? \u1079?\u1072? \u1086?\u1090?\u1084?\u1103?\u1085?\u1072? \u1085?\u1072? \u1056?\u1077?\u1075?\u1083?\u1072?\u1084?\u1077?\u1085?\u1090? (\u1045?\u1057?) \u8470? 1295/2013_x000b__x000b_"/>
    <w:docVar w:name="LW_PART_NBR" w:val="&lt;UNUSED&gt;"/>
    <w:docVar w:name="LW_PART_NBR_TOTAL" w:val="&lt;UNUSED&gt;"/>
    <w:docVar w:name="LW_REF.INST.NEW" w:val="COM"/>
    <w:docVar w:name="LW_REF.INST.NEW_ADOPTED" w:val="&lt;EMPTY&gt;"/>
    <w:docVar w:name="LW_REF.INST.NEW_TEXT" w:val="(2018) 366 final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CC6C33"/>
    <w:rsid w:val="00031EF1"/>
    <w:rsid w:val="000613B7"/>
    <w:rsid w:val="00063932"/>
    <w:rsid w:val="000A2253"/>
    <w:rsid w:val="000B5D4C"/>
    <w:rsid w:val="000C252D"/>
    <w:rsid w:val="000D59AD"/>
    <w:rsid w:val="000D5CE3"/>
    <w:rsid w:val="0010089C"/>
    <w:rsid w:val="0010465E"/>
    <w:rsid w:val="00133B69"/>
    <w:rsid w:val="00151BBD"/>
    <w:rsid w:val="00153C0B"/>
    <w:rsid w:val="001637D8"/>
    <w:rsid w:val="001A5C62"/>
    <w:rsid w:val="001C4417"/>
    <w:rsid w:val="001E51C7"/>
    <w:rsid w:val="00247775"/>
    <w:rsid w:val="00252B1A"/>
    <w:rsid w:val="002A10A1"/>
    <w:rsid w:val="002B7A57"/>
    <w:rsid w:val="002D1EED"/>
    <w:rsid w:val="002E68DB"/>
    <w:rsid w:val="002E69E7"/>
    <w:rsid w:val="00334C0B"/>
    <w:rsid w:val="003436CE"/>
    <w:rsid w:val="00365562"/>
    <w:rsid w:val="00383D6B"/>
    <w:rsid w:val="00392FC6"/>
    <w:rsid w:val="00394972"/>
    <w:rsid w:val="003A52E9"/>
    <w:rsid w:val="003B57D4"/>
    <w:rsid w:val="003C78FD"/>
    <w:rsid w:val="003D75AC"/>
    <w:rsid w:val="003D7ED9"/>
    <w:rsid w:val="003E4CF5"/>
    <w:rsid w:val="004257E5"/>
    <w:rsid w:val="004340C2"/>
    <w:rsid w:val="004343B0"/>
    <w:rsid w:val="00450F5F"/>
    <w:rsid w:val="00451F6D"/>
    <w:rsid w:val="00471AF5"/>
    <w:rsid w:val="0047385F"/>
    <w:rsid w:val="00484992"/>
    <w:rsid w:val="00493EF6"/>
    <w:rsid w:val="004E6E35"/>
    <w:rsid w:val="004F1798"/>
    <w:rsid w:val="004F3EF4"/>
    <w:rsid w:val="00517488"/>
    <w:rsid w:val="00534347"/>
    <w:rsid w:val="00582B9E"/>
    <w:rsid w:val="0059559A"/>
    <w:rsid w:val="005B28D8"/>
    <w:rsid w:val="005B55C5"/>
    <w:rsid w:val="005C2119"/>
    <w:rsid w:val="005C6116"/>
    <w:rsid w:val="005F3BAA"/>
    <w:rsid w:val="005F7313"/>
    <w:rsid w:val="00614195"/>
    <w:rsid w:val="006209EC"/>
    <w:rsid w:val="00623AC9"/>
    <w:rsid w:val="006261C7"/>
    <w:rsid w:val="00635674"/>
    <w:rsid w:val="006410A0"/>
    <w:rsid w:val="00643597"/>
    <w:rsid w:val="0064639D"/>
    <w:rsid w:val="00665915"/>
    <w:rsid w:val="00677F66"/>
    <w:rsid w:val="00686B6D"/>
    <w:rsid w:val="00695570"/>
    <w:rsid w:val="006A2585"/>
    <w:rsid w:val="006A61F5"/>
    <w:rsid w:val="006B2DAC"/>
    <w:rsid w:val="006B6A4D"/>
    <w:rsid w:val="006E0315"/>
    <w:rsid w:val="006F0FD7"/>
    <w:rsid w:val="006F68D7"/>
    <w:rsid w:val="00702D4B"/>
    <w:rsid w:val="00714D49"/>
    <w:rsid w:val="00717262"/>
    <w:rsid w:val="00721913"/>
    <w:rsid w:val="00726424"/>
    <w:rsid w:val="007420DB"/>
    <w:rsid w:val="0078185C"/>
    <w:rsid w:val="0078526B"/>
    <w:rsid w:val="007A3254"/>
    <w:rsid w:val="007B0B1A"/>
    <w:rsid w:val="007B4DA1"/>
    <w:rsid w:val="008008C5"/>
    <w:rsid w:val="0082161C"/>
    <w:rsid w:val="0084534A"/>
    <w:rsid w:val="008620CD"/>
    <w:rsid w:val="00865309"/>
    <w:rsid w:val="008670BE"/>
    <w:rsid w:val="00871A80"/>
    <w:rsid w:val="008771BE"/>
    <w:rsid w:val="008831F1"/>
    <w:rsid w:val="008A2326"/>
    <w:rsid w:val="008A2623"/>
    <w:rsid w:val="008F4E11"/>
    <w:rsid w:val="009536AE"/>
    <w:rsid w:val="00957DA1"/>
    <w:rsid w:val="00960219"/>
    <w:rsid w:val="009651DE"/>
    <w:rsid w:val="009818D3"/>
    <w:rsid w:val="00983F9A"/>
    <w:rsid w:val="009A4DCF"/>
    <w:rsid w:val="009B3FE0"/>
    <w:rsid w:val="00A03702"/>
    <w:rsid w:val="00A25FF5"/>
    <w:rsid w:val="00A35FD4"/>
    <w:rsid w:val="00A405E2"/>
    <w:rsid w:val="00A43BC8"/>
    <w:rsid w:val="00A55BDB"/>
    <w:rsid w:val="00A55F19"/>
    <w:rsid w:val="00A638F1"/>
    <w:rsid w:val="00A67CF7"/>
    <w:rsid w:val="00A716A1"/>
    <w:rsid w:val="00A97612"/>
    <w:rsid w:val="00AA70A2"/>
    <w:rsid w:val="00AC5C07"/>
    <w:rsid w:val="00AD29D5"/>
    <w:rsid w:val="00B10790"/>
    <w:rsid w:val="00B369B8"/>
    <w:rsid w:val="00B706B8"/>
    <w:rsid w:val="00B83F6B"/>
    <w:rsid w:val="00B928D6"/>
    <w:rsid w:val="00BC33E8"/>
    <w:rsid w:val="00BD6606"/>
    <w:rsid w:val="00BD6E0E"/>
    <w:rsid w:val="00BF768F"/>
    <w:rsid w:val="00C12A55"/>
    <w:rsid w:val="00C1543C"/>
    <w:rsid w:val="00C16632"/>
    <w:rsid w:val="00C1755D"/>
    <w:rsid w:val="00C36E0D"/>
    <w:rsid w:val="00C4128F"/>
    <w:rsid w:val="00C525BA"/>
    <w:rsid w:val="00C74857"/>
    <w:rsid w:val="00C81142"/>
    <w:rsid w:val="00C8327F"/>
    <w:rsid w:val="00CA4C70"/>
    <w:rsid w:val="00CC1A3D"/>
    <w:rsid w:val="00CC6C33"/>
    <w:rsid w:val="00CD77C1"/>
    <w:rsid w:val="00CE0AB8"/>
    <w:rsid w:val="00D3134F"/>
    <w:rsid w:val="00D43018"/>
    <w:rsid w:val="00D50234"/>
    <w:rsid w:val="00D52C37"/>
    <w:rsid w:val="00D54C11"/>
    <w:rsid w:val="00D8569F"/>
    <w:rsid w:val="00DC2A55"/>
    <w:rsid w:val="00DD78AE"/>
    <w:rsid w:val="00DE3511"/>
    <w:rsid w:val="00E00F3A"/>
    <w:rsid w:val="00E01E36"/>
    <w:rsid w:val="00E30929"/>
    <w:rsid w:val="00E349FF"/>
    <w:rsid w:val="00E4009D"/>
    <w:rsid w:val="00E4217F"/>
    <w:rsid w:val="00E4281C"/>
    <w:rsid w:val="00E44B3F"/>
    <w:rsid w:val="00E46A01"/>
    <w:rsid w:val="00E54608"/>
    <w:rsid w:val="00E81D94"/>
    <w:rsid w:val="00E87551"/>
    <w:rsid w:val="00EA3CF2"/>
    <w:rsid w:val="00EB618F"/>
    <w:rsid w:val="00ED020E"/>
    <w:rsid w:val="00F07C18"/>
    <w:rsid w:val="00F07C9E"/>
    <w:rsid w:val="00F36109"/>
    <w:rsid w:val="00F42FCF"/>
    <w:rsid w:val="00F4370B"/>
    <w:rsid w:val="00F46F40"/>
    <w:rsid w:val="00F55459"/>
    <w:rsid w:val="00F614DE"/>
    <w:rsid w:val="00F70E8F"/>
    <w:rsid w:val="00F8292B"/>
    <w:rsid w:val="00F844DB"/>
    <w:rsid w:val="00FC03D3"/>
    <w:rsid w:val="00FF3F0F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3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3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3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3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18"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913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21913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721913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913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913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913"/>
    <w:pPr>
      <w:numPr>
        <w:numId w:val="12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721913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913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913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913"/>
    <w:pPr>
      <w:numPr>
        <w:numId w:val="1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608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608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E5460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706B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B55C5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B55C5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B55C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55C5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B55C5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5B55C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B55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5B55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33"/>
      </w:numPr>
    </w:pPr>
  </w:style>
  <w:style w:type="paragraph" w:customStyle="1" w:styleId="Tiret1">
    <w:name w:val="Tiret 1"/>
    <w:basedOn w:val="Point1"/>
    <w:rsid w:val="00471AF5"/>
    <w:pPr>
      <w:numPr>
        <w:numId w:val="34"/>
      </w:numPr>
    </w:pPr>
  </w:style>
  <w:style w:type="paragraph" w:customStyle="1" w:styleId="Tiret2">
    <w:name w:val="Tiret 2"/>
    <w:basedOn w:val="Point2"/>
    <w:rsid w:val="00471AF5"/>
    <w:pPr>
      <w:numPr>
        <w:numId w:val="35"/>
      </w:numPr>
    </w:pPr>
  </w:style>
  <w:style w:type="paragraph" w:customStyle="1" w:styleId="Tiret3">
    <w:name w:val="Tiret 3"/>
    <w:basedOn w:val="Point3"/>
    <w:rsid w:val="00471AF5"/>
    <w:pPr>
      <w:numPr>
        <w:numId w:val="36"/>
      </w:numPr>
    </w:pPr>
  </w:style>
  <w:style w:type="paragraph" w:customStyle="1" w:styleId="Tiret4">
    <w:name w:val="Tiret 4"/>
    <w:basedOn w:val="Point4"/>
    <w:rsid w:val="00471AF5"/>
    <w:pPr>
      <w:numPr>
        <w:numId w:val="37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38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38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38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38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40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40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40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40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40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40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40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40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40"/>
      </w:numPr>
    </w:pPr>
  </w:style>
  <w:style w:type="paragraph" w:customStyle="1" w:styleId="Bullet0">
    <w:name w:val="Bullet 0"/>
    <w:basedOn w:val="Normal"/>
    <w:rsid w:val="00471AF5"/>
    <w:pPr>
      <w:numPr>
        <w:numId w:val="41"/>
      </w:numPr>
    </w:pPr>
  </w:style>
  <w:style w:type="paragraph" w:customStyle="1" w:styleId="Bullet1">
    <w:name w:val="Bullet 1"/>
    <w:basedOn w:val="Normal"/>
    <w:rsid w:val="00471AF5"/>
    <w:pPr>
      <w:numPr>
        <w:numId w:val="42"/>
      </w:numPr>
    </w:pPr>
  </w:style>
  <w:style w:type="paragraph" w:customStyle="1" w:styleId="Bullet2">
    <w:name w:val="Bullet 2"/>
    <w:basedOn w:val="Normal"/>
    <w:rsid w:val="00471AF5"/>
    <w:pPr>
      <w:numPr>
        <w:numId w:val="43"/>
      </w:numPr>
    </w:pPr>
  </w:style>
  <w:style w:type="paragraph" w:customStyle="1" w:styleId="Bullet3">
    <w:name w:val="Bullet 3"/>
    <w:basedOn w:val="Normal"/>
    <w:rsid w:val="00471AF5"/>
    <w:pPr>
      <w:numPr>
        <w:numId w:val="44"/>
      </w:numPr>
    </w:pPr>
  </w:style>
  <w:style w:type="paragraph" w:customStyle="1" w:styleId="Bullet4">
    <w:name w:val="Bullet 4"/>
    <w:basedOn w:val="Normal"/>
    <w:rsid w:val="00471AF5"/>
    <w:pPr>
      <w:numPr>
        <w:numId w:val="45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46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3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3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3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3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18"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913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21913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721913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913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913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913"/>
    <w:pPr>
      <w:numPr>
        <w:numId w:val="12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721913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913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913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913"/>
    <w:pPr>
      <w:numPr>
        <w:numId w:val="1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608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608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E5460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706B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B55C5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B55C5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B55C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55C5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B55C5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5B55C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B55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5B55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33"/>
      </w:numPr>
    </w:pPr>
  </w:style>
  <w:style w:type="paragraph" w:customStyle="1" w:styleId="Tiret1">
    <w:name w:val="Tiret 1"/>
    <w:basedOn w:val="Point1"/>
    <w:rsid w:val="00471AF5"/>
    <w:pPr>
      <w:numPr>
        <w:numId w:val="34"/>
      </w:numPr>
    </w:pPr>
  </w:style>
  <w:style w:type="paragraph" w:customStyle="1" w:styleId="Tiret2">
    <w:name w:val="Tiret 2"/>
    <w:basedOn w:val="Point2"/>
    <w:rsid w:val="00471AF5"/>
    <w:pPr>
      <w:numPr>
        <w:numId w:val="35"/>
      </w:numPr>
    </w:pPr>
  </w:style>
  <w:style w:type="paragraph" w:customStyle="1" w:styleId="Tiret3">
    <w:name w:val="Tiret 3"/>
    <w:basedOn w:val="Point3"/>
    <w:rsid w:val="00471AF5"/>
    <w:pPr>
      <w:numPr>
        <w:numId w:val="36"/>
      </w:numPr>
    </w:pPr>
  </w:style>
  <w:style w:type="paragraph" w:customStyle="1" w:styleId="Tiret4">
    <w:name w:val="Tiret 4"/>
    <w:basedOn w:val="Point4"/>
    <w:rsid w:val="00471AF5"/>
    <w:pPr>
      <w:numPr>
        <w:numId w:val="37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38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38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38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38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40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40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40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40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40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40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40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40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40"/>
      </w:numPr>
    </w:pPr>
  </w:style>
  <w:style w:type="paragraph" w:customStyle="1" w:styleId="Bullet0">
    <w:name w:val="Bullet 0"/>
    <w:basedOn w:val="Normal"/>
    <w:rsid w:val="00471AF5"/>
    <w:pPr>
      <w:numPr>
        <w:numId w:val="41"/>
      </w:numPr>
    </w:pPr>
  </w:style>
  <w:style w:type="paragraph" w:customStyle="1" w:styleId="Bullet1">
    <w:name w:val="Bullet 1"/>
    <w:basedOn w:val="Normal"/>
    <w:rsid w:val="00471AF5"/>
    <w:pPr>
      <w:numPr>
        <w:numId w:val="42"/>
      </w:numPr>
    </w:pPr>
  </w:style>
  <w:style w:type="paragraph" w:customStyle="1" w:styleId="Bullet2">
    <w:name w:val="Bullet 2"/>
    <w:basedOn w:val="Normal"/>
    <w:rsid w:val="00471AF5"/>
    <w:pPr>
      <w:numPr>
        <w:numId w:val="43"/>
      </w:numPr>
    </w:pPr>
  </w:style>
  <w:style w:type="paragraph" w:customStyle="1" w:styleId="Bullet3">
    <w:name w:val="Bullet 3"/>
    <w:basedOn w:val="Normal"/>
    <w:rsid w:val="00471AF5"/>
    <w:pPr>
      <w:numPr>
        <w:numId w:val="44"/>
      </w:numPr>
    </w:pPr>
  </w:style>
  <w:style w:type="paragraph" w:customStyle="1" w:styleId="Bullet4">
    <w:name w:val="Bullet 4"/>
    <w:basedOn w:val="Normal"/>
    <w:rsid w:val="00471AF5"/>
    <w:pPr>
      <w:numPr>
        <w:numId w:val="45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46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C2C69F1-3585-47F7-92F1-70EB591F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</Pages>
  <Words>1210</Words>
  <Characters>7813</Characters>
  <Application>Microsoft Office Word</Application>
  <DocSecurity>0</DocSecurity>
  <Lines>161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WESTERLUND Ella (EAC)</dc:creator>
  <cp:lastModifiedBy>PAGANELI Erifili (SG)</cp:lastModifiedBy>
  <cp:revision>5</cp:revision>
  <cp:lastPrinted>2018-05-29T10:27:00Z</cp:lastPrinted>
  <dcterms:created xsi:type="dcterms:W3CDTF">2018-06-04T08:48:00Z</dcterms:created>
  <dcterms:modified xsi:type="dcterms:W3CDTF">2018-06-08T08:29:00Z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