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6072" w:rsidRPr="00D136FB" w:rsidRDefault="00377BF1" w:rsidP="00377BF1">
      <w:pPr>
        <w:pStyle w:val="Pagedecouverture"/>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4558C8BD-DFE3-4596-984E-A0BD35BFF6CF" style="width:450.75pt;height:408.75pt">
            <v:imagedata r:id="rId12" o:title=""/>
          </v:shape>
        </w:pict>
      </w:r>
    </w:p>
    <w:p w:rsidR="00371400" w:rsidRPr="00D136FB" w:rsidRDefault="00371400" w:rsidP="00371400">
      <w:pPr>
        <w:sectPr w:rsidR="00371400" w:rsidRPr="00D136FB" w:rsidSect="00377BF1">
          <w:headerReference w:type="even" r:id="rId13"/>
          <w:headerReference w:type="default" r:id="rId14"/>
          <w:footerReference w:type="even" r:id="rId15"/>
          <w:footerReference w:type="default" r:id="rId16"/>
          <w:headerReference w:type="first" r:id="rId17"/>
          <w:footerReference w:type="first" r:id="rId18"/>
          <w:pgSz w:w="11907" w:h="16839"/>
          <w:pgMar w:top="1134" w:right="1417" w:bottom="1134" w:left="1417" w:header="709" w:footer="709" w:gutter="0"/>
          <w:pgNumType w:start="1"/>
          <w:cols w:space="720"/>
          <w:docGrid w:linePitch="360"/>
        </w:sectPr>
      </w:pPr>
    </w:p>
    <w:p w:rsidR="003D1E4F" w:rsidRPr="00D136FB" w:rsidRDefault="003D1E4F" w:rsidP="003D1E4F">
      <w:pPr>
        <w:pStyle w:val="Exposdesmotifstitre"/>
      </w:pPr>
      <w:bookmarkStart w:id="0" w:name="_GoBack"/>
      <w:bookmarkEnd w:id="0"/>
      <w:r w:rsidRPr="00D136FB">
        <w:lastRenderedPageBreak/>
        <w:t>ОБЯСНИТЕЛЕН МЕМОРАНДУМ</w:t>
      </w:r>
    </w:p>
    <w:p w:rsidR="003D1E4F" w:rsidRPr="00D136FB" w:rsidRDefault="003D1E4F" w:rsidP="003D1E4F">
      <w:pPr>
        <w:pStyle w:val="ManualHeading1"/>
      </w:pPr>
      <w:r w:rsidRPr="00D136FB">
        <w:t>1.</w:t>
      </w:r>
      <w:r w:rsidRPr="00D136FB">
        <w:tab/>
        <w:t>КОНТЕКСТ НА ПРЕДЛОЖЕНИЕТО</w:t>
      </w:r>
    </w:p>
    <w:p w:rsidR="003D1E4F" w:rsidRPr="00D136FB" w:rsidRDefault="003D1E4F" w:rsidP="003D1E4F">
      <w:pPr>
        <w:pStyle w:val="ManualHeading2"/>
        <w:rPr>
          <w:rFonts w:eastAsia="Arial Unicode MS"/>
        </w:rPr>
      </w:pPr>
      <w:r w:rsidRPr="00D136FB">
        <w:tab/>
        <w:t xml:space="preserve">Основания и цели </w:t>
      </w:r>
    </w:p>
    <w:p w:rsidR="003D1E4F" w:rsidRPr="00D136FB" w:rsidRDefault="003D1E4F" w:rsidP="003D1E4F">
      <w:r w:rsidRPr="00D136FB">
        <w:t>Богатото културно наследство на Европа и нейните динамични сектори на културата и творчеството са част от европейската идентичност. Културата и културните изяви присъстват осезаемо в ежедневието на гражданите на Съюза и могат да допринасят за благосъстоянието, активното гражданство, общите ценности, социалното приобщаване и воденето на междукултурни диалози, както и за свободата, плурализма и разнообразието на медийната среда. Секторите на културата и творчеството допринасят пълноценно за икономическото развитие на Съюза, като създават работни места и растеж, поради което са от съществено значение за бъдещето на Европа.</w:t>
      </w:r>
    </w:p>
    <w:p w:rsidR="003D1E4F" w:rsidRPr="00D136FB" w:rsidRDefault="003D1E4F" w:rsidP="003D1E4F">
      <w:r w:rsidRPr="00D136FB">
        <w:t>Освен това тези сектори са в състояние да оформят нашите въжделения и връзките ни с другите и със света, както и местата и пейзажите, в които живеем, а също и начина ни на живот. Те насърчават европейските високи постижения на световната сцена, засилвайки позицията на Съюза в световен мащаб.</w:t>
      </w:r>
    </w:p>
    <w:p w:rsidR="003D1E4F" w:rsidRPr="00D136FB" w:rsidRDefault="003D1E4F" w:rsidP="003D1E4F">
      <w:r w:rsidRPr="00D136FB">
        <w:t>Европейската подкрепа за културния и аудио-визуалния сектор се предоставя чрез различни програми за финансиране в продължение вече на много години. Програма „Творческа Европа“ за периода 2014—2020 г. представлява единствена по рода си платформа за координирана и конструктивна подкрепа за тези сектори по целия континент. Настоящото предложение се основава на натрупания опит и има за цел да запази и подсили добре работещите елементи, включително чрез по-голям бюджет, който отразява ангажимента на Европейския съюз към тези сектори и признаването на тяхната първостепенна роля в нашия Съюз. Чрез многобройните дейности и проекти, които ще финансира, предложението ще бъде ключов фактор за засилване на ролята на европейските сектори на културата и творчеството и за разгръщане на пълния им потенциал в икономически, социален и международен план.</w:t>
      </w:r>
    </w:p>
    <w:p w:rsidR="003D1E4F" w:rsidRPr="00D136FB" w:rsidRDefault="003D1E4F" w:rsidP="003D1E4F">
      <w:r w:rsidRPr="00D136FB">
        <w:t>Член 3 от Договора за Европейския съюз гласи, че „Съюзът има за цел да насърчава мира, ценностите си и благоденствието на своите народи“, като наред с другото „той зачита богатството на своето културно и езиково многообразие и следи за опазването и развитието на европейското културно наследство.“ В същия дух в своя документ за размисъл относно бъдещето на финансите на ЕС Комисията посочва, че „ бюджетът на ЕС подкрепя тази цел съвместно с националните бюджети и в допълнение към другите усилия на европейско и национално равнище.“</w:t>
      </w:r>
    </w:p>
    <w:p w:rsidR="003D1E4F" w:rsidRPr="00D136FB" w:rsidRDefault="003D1E4F" w:rsidP="003D1E4F">
      <w:r w:rsidRPr="00D136FB">
        <w:t>За насърчаването на конкурентоспособността и културното и езиковото многообразие на аудио-визуалната индустрия ЕС използва няколко инструмента, съчетаващи законодателство, подкрепа чрез политики и финансиране. В Стратегията за цифров единен пазар за Европа се призовава за модернизиране на правната уредба, което на свой ред изисква адаптиране на финансовата подкрепа от ЕС за аудио-визуалната индустрия, за да бъдат отразени новите тенденции на пазара, променящите се потребителски модели и все по-голямото сближаване между линейните и нелинейните медийни услуги.</w:t>
      </w:r>
    </w:p>
    <w:p w:rsidR="003D1E4F" w:rsidRPr="00D136FB" w:rsidRDefault="003D1E4F" w:rsidP="003D1E4F">
      <w:pPr>
        <w:spacing w:after="240"/>
      </w:pPr>
      <w:r w:rsidRPr="00D136FB">
        <w:t>Въпреки това секторите на културата и творчеството са изправени пред редица предизвикателства.</w:t>
      </w:r>
    </w:p>
    <w:p w:rsidR="003D1E4F" w:rsidRPr="00D136FB" w:rsidRDefault="003D1E4F" w:rsidP="003D1E4F">
      <w:r w:rsidRPr="00D136FB">
        <w:t xml:space="preserve">На първо място, секторите на културата и творчеството в Европа се сблъскват с все по-голяма конкуренция от страна на нови и силни световни играчи като интернет търсачки и уеб базирани социални платформи. Това прави необходимо разработването на нови бизнес модели и </w:t>
      </w:r>
      <w:r w:rsidRPr="00D136FB">
        <w:lastRenderedPageBreak/>
        <w:t>реализирането на потенциала за растеж чрез използването на цифровите технологии, за да могат да бъдат конкурентоспособни на световния пазар.</w:t>
      </w:r>
    </w:p>
    <w:p w:rsidR="003D1E4F" w:rsidRPr="00D136FB" w:rsidRDefault="003D1E4F" w:rsidP="003D1E4F">
      <w:r w:rsidRPr="00D136FB">
        <w:t>Второ, цифровата трансформация води до промяна в парадигмата, оказва огромно въздействие върху начина, по който културните продукти се създават, управляват, разпространяват, предоставят за достъп, потребяват и се реализират икономически, което променя стойностната перспектива, която преобладаваше в аналоговата епоха. Цифровизацията улесни разпространяването на културното и творческото съдържание и услуги, но тя също така засили трансграничната конкуренция между видовете съдържание в световен мащаб.</w:t>
      </w:r>
    </w:p>
    <w:p w:rsidR="003D1E4F" w:rsidRPr="00D136FB" w:rsidRDefault="003D1E4F" w:rsidP="003D1E4F">
      <w:r w:rsidRPr="00D136FB">
        <w:t>Трето, пазарът на културните и творческите произведения е силно фрагментиран, което се дължи до голяма степен на културното и езиковото многообразие в Европа, което от своя страна води до разпокъсаност на секторите на културата и творческите сектори по езиков и национален признак, както и до липсата на критична маса. Това многообразие е част от културното богатство на Европа.</w:t>
      </w:r>
    </w:p>
    <w:p w:rsidR="003D1E4F" w:rsidRPr="00D136FB" w:rsidRDefault="003D1E4F" w:rsidP="003D1E4F">
      <w:r w:rsidRPr="00D136FB">
        <w:t>Същевременно транснационалното разпространение на произведения остава ограничено. Поради това е важно да се стимулират транснационалното разпространение на произведения и съвместните продукции отвъд националните граници и да се разработят по-ефективни решения за достигане до публика отвъд граница.</w:t>
      </w:r>
    </w:p>
    <w:p w:rsidR="003D1E4F" w:rsidRPr="00D136FB" w:rsidRDefault="003D1E4F" w:rsidP="003D1E4F">
      <w:r w:rsidRPr="00D136FB">
        <w:t xml:space="preserve">Четвърто, пазарната концентрация буди все по-голяма тревога. В някои сфери на културата и творчеството се очертава тенденцията ограничен брой крупни играчи да осъществяват голяма част от световните продажби. </w:t>
      </w:r>
    </w:p>
    <w:p w:rsidR="003D1E4F" w:rsidRPr="00D136FB" w:rsidRDefault="003D1E4F" w:rsidP="003D1E4F">
      <w:r w:rsidRPr="00D136FB">
        <w:t>Пето, европейският аудио-визуален сектор е международно признат, но не е достатъчно конкурентоспособен в рамките на цифровия единен пазар. 80 % от европейските филми са национални продукции, но съвместните продукции жънат по-големи успехи от националните филми. В някои страни е необходимо професионалистите в аудио-визуалната сфера да подсилят капацитета си за работа.</w:t>
      </w:r>
    </w:p>
    <w:p w:rsidR="003D1E4F" w:rsidRPr="00D136FB" w:rsidRDefault="003D1E4F" w:rsidP="003D1E4F">
      <w:r w:rsidRPr="00D136FB">
        <w:t>Накрая, дезинформацията става все по-често явление. Секторите за аудио-визуално съдържание, и по-специално секторът на новинарските медии са в центъра на борбата за поддържане на култура на здравословни демократични дебати. Творческата свобода и разнообразието и свободата на медиите са жизненоважни за представянето на различаващи се мнения и гледни точки. Те допринасят за плуралистичните общества, в които гражданите могат да правят информиран избор, включително в контекста на политическите избори.</w:t>
      </w:r>
    </w:p>
    <w:p w:rsidR="003D1E4F" w:rsidRPr="00D136FB" w:rsidRDefault="003D1E4F" w:rsidP="003D1E4F">
      <w:pPr>
        <w:rPr>
          <w:rFonts w:eastAsia="Arial Unicode MS"/>
        </w:rPr>
      </w:pPr>
      <w:r w:rsidRPr="00D136FB">
        <w:t xml:space="preserve">Тези предизвикателства от транснационално естество изискват целенасочен европейски подход за оптимизиране на потенциала на тези сектори да допринасят за създаването на работни места, растеж и социално приобщаване, включително за най-необлагодетелстваните и трудни за достигане групи. Те са общи за всички държави — членки на ЕС, и имат трансгранични измерения. </w:t>
      </w:r>
      <w:r w:rsidRPr="00D136FB">
        <w:rPr>
          <w:color w:val="000000"/>
        </w:rPr>
        <w:t>В действителност, въпреки че действията на национално равнище са важни, отделните държави членки сами по себе си не разполагат с достатъчно средства, за да се справят с тези предизвикателства.</w:t>
      </w:r>
    </w:p>
    <w:p w:rsidR="003D1E4F" w:rsidRPr="00D136FB" w:rsidRDefault="003D1E4F" w:rsidP="003D1E4F">
      <w:r w:rsidRPr="00D136FB">
        <w:t xml:space="preserve">Целта на настоящата инициатива е да се надгражда върху постиженията на програма „Творческа Европа“ и да се увеличат усилията с оглед на постигането на целите, поставени във връзка с последните политически развития. Новата програма „Творческа Европа“ има за цел да предложи възможности за работещите в секторите да разработват новаторски в технологично и художествено отношение европейски трансгранични инициативи, чиято цел са обменът, съвместното творчество, съвместните продукции и разпространението на европейски произведения, както и да направят тези произведения достъпни за широка и разнообразна публика. С програмата ще се активизира изпробването на нови стопански модели, позволяващи </w:t>
      </w:r>
      <w:r w:rsidRPr="00D136FB">
        <w:lastRenderedPageBreak/>
        <w:t>на творците да се възползват по най-добрия начин от цифровите технологии за творене и привличане на публика.</w:t>
      </w:r>
    </w:p>
    <w:p w:rsidR="003D1E4F" w:rsidRPr="00D136FB" w:rsidRDefault="003D1E4F" w:rsidP="003D1E4F">
      <w:r w:rsidRPr="00D136FB">
        <w:t xml:space="preserve">Предвид на все по-голямата конкуренция на международните пазари, новата програма ще подпомага трансгранични партньорства и мрежи, както и нови модели на сътрудничество, за да се насърчи разрастването на европейските сектори на културата и творчеството. Това ще укрепи позициите на европейските участници на европейските и световните пазари, например чрез подпомагане на тяхното присъствие, маркетинг и популяризиране на международната сцена. Програмата ще инвестира в развитието на творческите способности на хората на изкуството и на професионалистите в сектора, тъй като ще им позволи да си сътрудничат през границите. Тя ще подкрепя инициативи, които дават възможност на повече хора да участват в културата, като по този начин ще допринесе за това европейското общество да стане по-приобщаващо в социално отношение. </w:t>
      </w:r>
    </w:p>
    <w:p w:rsidR="003D1E4F" w:rsidRPr="00D136FB" w:rsidRDefault="003D1E4F" w:rsidP="003D1E4F">
      <w:r w:rsidRPr="00D136FB">
        <w:t>Изменената директива за аудио-визуалните медийни услуги ще предостави допълнителни възможности за популяризиране на европейските творби, но са необходими съпътстващи мерки за подкрепа, за да станат европейските ненационални творби по-широко достъпни в Европа и извън нея. Новата програма ще се занимае с предизвикателствата, пред които е изправен аудио-визуалният сектор, включително цифровата трансформация, чрез насърчаване на сътрудничеството по цялата верига на добавената стойност — от ранните етапи на продукцията до разпространението и представянето пред публика. По-конкретно тя ще подкрепя проекти с голям потенциал за разпространение и глобален пазарен подход и с достъп до съдържание чрез всички платформи.</w:t>
      </w:r>
    </w:p>
    <w:p w:rsidR="003D1E4F" w:rsidRPr="00D136FB" w:rsidRDefault="003D1E4F" w:rsidP="003D1E4F">
      <w:r w:rsidRPr="00D136FB">
        <w:t>Новата програма ще подпомага и действия, насочени към укрепването на европейския сектор на новинарските медии, журналистическата свобода, многообразието и плурализма на журналистическото съдържание, както и критичния подход към медийното съдържание чрез медийна грамотност.</w:t>
      </w:r>
    </w:p>
    <w:p w:rsidR="003D1E4F" w:rsidRPr="00D136FB" w:rsidRDefault="003D1E4F" w:rsidP="003D1E4F">
      <w:pPr>
        <w:spacing w:before="0" w:after="240"/>
        <w:rPr>
          <w:rFonts w:eastAsia="Arial Unicode MS"/>
        </w:rPr>
      </w:pPr>
      <w:r w:rsidRPr="00D136FB">
        <w:t>Настоящото предложение предвижда датата му на прилагане да бъде 1 януари 2021 г. и е представено за Съюз от 27 държави членки в съответствие с уведомлението от страна на Обединеното кралство за намерението му да се оттегли от Европейския съюз и от Евратом на основание член 50 от Договора за Европейския съюз, получено от Европейския съвет на 29 март 2017 г.</w:t>
      </w:r>
    </w:p>
    <w:p w:rsidR="003D1E4F" w:rsidRPr="00D136FB" w:rsidRDefault="003D1E4F" w:rsidP="003D1E4F">
      <w:pPr>
        <w:pStyle w:val="ManualHeading2"/>
        <w:rPr>
          <w:rFonts w:eastAsia="Arial Unicode MS"/>
          <w:bdr w:val="none" w:sz="0" w:space="0" w:color="auto" w:frame="1"/>
        </w:rPr>
      </w:pPr>
      <w:r w:rsidRPr="00D136FB">
        <w:tab/>
        <w:t>Съгласуваност с действащите разпоредби в тази област на политиката</w:t>
      </w:r>
    </w:p>
    <w:p w:rsidR="003D1E4F" w:rsidRPr="00D136FB" w:rsidRDefault="003D1E4F" w:rsidP="003D1E4F">
      <w:pPr>
        <w:spacing w:after="240"/>
        <w:rPr>
          <w:rFonts w:eastAsia="Calibri"/>
        </w:rPr>
      </w:pPr>
      <w:r w:rsidRPr="00D136FB">
        <w:t>Настоящата инициатива допринася към изразената през март 2017 г. в Рим амбиция на 27-те държави членки и на институциите на ЕС за Съюз, „в който гражданите да имат нови възможности за културно и социално развитие и икономически растеж. [...] Съюз, който съхранява нашето културно наследство и насърчава културното многообразие“</w:t>
      </w:r>
      <w:r w:rsidRPr="00D136FB">
        <w:rPr>
          <w:rStyle w:val="FootnoteReference"/>
        </w:rPr>
        <w:footnoteReference w:id="2"/>
      </w:r>
      <w:r w:rsidRPr="00D136FB">
        <w:t>.</w:t>
      </w:r>
      <w:r w:rsidRPr="00D136FB">
        <w:rPr>
          <w:i/>
        </w:rPr>
        <w:t xml:space="preserve"> </w:t>
      </w:r>
      <w:r w:rsidRPr="00D136FB">
        <w:t>Тази амбиция бе потвърдена на срещата на високо равнище в Гьотеборг през ноември 2017 г. и на Европейския съвет през декември 2017 г., на който бе подчертано, че определената за Европейска година на културното наследство 2018 г.</w:t>
      </w:r>
      <w:bookmarkStart w:id="1" w:name="_Ref508719289"/>
      <w:r w:rsidRPr="00D136FB">
        <w:rPr>
          <w:rStyle w:val="FootnoteReference"/>
        </w:rPr>
        <w:footnoteReference w:id="3"/>
      </w:r>
      <w:bookmarkEnd w:id="1"/>
      <w:r w:rsidRPr="00D136FB">
        <w:t xml:space="preserve"> е изключителна възможност за повишаване на осведомеността относно социалното и икономическото значение на културното и историческото наследство.</w:t>
      </w:r>
    </w:p>
    <w:p w:rsidR="003D1E4F" w:rsidRPr="00D136FB" w:rsidRDefault="003D1E4F" w:rsidP="003D1E4F">
      <w:pPr>
        <w:spacing w:after="240"/>
        <w:rPr>
          <w:rFonts w:eastAsia="Calibri"/>
          <w:szCs w:val="24"/>
        </w:rPr>
      </w:pPr>
      <w:r w:rsidRPr="00D136FB">
        <w:lastRenderedPageBreak/>
        <w:t>Това е в съответствие със Съобщението относно укрепването на европейската идентичност чрез образование и култура</w:t>
      </w:r>
      <w:r w:rsidRPr="00D136FB">
        <w:rPr>
          <w:rStyle w:val="FootnoteReference"/>
        </w:rPr>
        <w:footnoteReference w:id="4"/>
      </w:r>
      <w:r w:rsidRPr="00D136FB">
        <w:t>, в което Комисията посочва, че е „в интерес на всички държави членки е да се използва напълно потенциалът на образованието и културата като движеща сила за създаването на работни места, социална справедливост и активно гражданско участие, както и като начин да изживеем европейската си идентичност в цялото ѝ многообразие“.</w:t>
      </w:r>
    </w:p>
    <w:p w:rsidR="003D1E4F" w:rsidRPr="00D136FB" w:rsidRDefault="003D1E4F" w:rsidP="003D1E4F">
      <w:pPr>
        <w:spacing w:before="0" w:after="240"/>
        <w:rPr>
          <w:rFonts w:eastAsia="Calibri"/>
          <w:szCs w:val="24"/>
        </w:rPr>
      </w:pPr>
      <w:r w:rsidRPr="00D136FB">
        <w:t>Инициативата е в съответствие със Съобщението на Комисията от 2018 г. относно новата европейска програма за култура</w:t>
      </w:r>
      <w:r w:rsidRPr="00D136FB">
        <w:rPr>
          <w:rStyle w:val="FootnoteReference"/>
        </w:rPr>
        <w:footnoteReference w:id="5"/>
      </w:r>
      <w:r w:rsidRPr="00D136FB">
        <w:t>, Съвместното съобщение на ЕСВД и Комисията „Към стратегия на ЕС за международните културни отношения“</w:t>
      </w:r>
      <w:r w:rsidRPr="00D136FB">
        <w:rPr>
          <w:rStyle w:val="FootnoteReference"/>
        </w:rPr>
        <w:footnoteReference w:id="6"/>
      </w:r>
      <w:r w:rsidRPr="00D136FB">
        <w:t xml:space="preserve"> и Съобщението на Комисията от 2014 г. за интегриран подход към културното наследство на Европа</w:t>
      </w:r>
      <w:r w:rsidRPr="00D136FB">
        <w:rPr>
          <w:rStyle w:val="FootnoteReference"/>
        </w:rPr>
        <w:footnoteReference w:id="7"/>
      </w:r>
      <w:r w:rsidRPr="00D136FB">
        <w:t>, в които се призовава за по-силна роля на културата в бъдещото социално, икономическо и международно развитие на Съюза.</w:t>
      </w:r>
    </w:p>
    <w:p w:rsidR="003D1E4F" w:rsidRPr="00D136FB" w:rsidRDefault="003D1E4F" w:rsidP="003D1E4F">
      <w:pPr>
        <w:spacing w:before="0" w:after="240"/>
        <w:rPr>
          <w:rFonts w:eastAsia="Calibri"/>
          <w:szCs w:val="24"/>
        </w:rPr>
      </w:pPr>
      <w:r w:rsidRPr="00D136FB">
        <w:t>Инициативата е в съответствие със Съобщението на Комисията от 2018 г. относно европейския подход за борба с дезинформацията, разпространявана онлайн</w:t>
      </w:r>
      <w:r w:rsidRPr="00D136FB">
        <w:rPr>
          <w:rStyle w:val="FootnoteReference"/>
        </w:rPr>
        <w:footnoteReference w:id="8"/>
      </w:r>
      <w:r w:rsidRPr="00D136FB">
        <w:t>, и по-специално с неговата обща цел да се насърчава „информационното многообразие, за да могат гражданите да вземат информирани решения, основаващи се на критично мислене, като се осигури подкрепа за висококачествените журналистически материали и медийната грамотност и като се възстанови равновесието в отношенията между авторите и разпространителите на информация.“</w:t>
      </w:r>
    </w:p>
    <w:p w:rsidR="003D1E4F" w:rsidRPr="00D136FB" w:rsidRDefault="003D1E4F" w:rsidP="003D1E4F">
      <w:pPr>
        <w:spacing w:before="0" w:after="240"/>
        <w:rPr>
          <w:rFonts w:eastAsia="Arial Unicode MS"/>
        </w:rPr>
      </w:pPr>
      <w:r w:rsidRPr="00D136FB">
        <w:t>Накрая, в инициатива се взема предвид и обновената стратегия за промишлената политика на ЕС, приета през септември 2017 г.</w:t>
      </w:r>
      <w:r w:rsidRPr="00D136FB">
        <w:rPr>
          <w:rStyle w:val="FootnoteReference"/>
        </w:rPr>
        <w:footnoteReference w:id="9"/>
      </w:r>
      <w:r w:rsidRPr="00D136FB">
        <w:t>, в която се подчертава нуждата от модернизиране на европейската промишленост за ерата на цифровите технологии чрез подкрепа за иновациите и творчеството, подпомагане на развитието на умения и осигуряване на благоприятна среда за предприемачеството и за разрастването на динамични малки и средни предприятия.</w:t>
      </w:r>
    </w:p>
    <w:p w:rsidR="003D1E4F" w:rsidRPr="00D136FB" w:rsidRDefault="003D1E4F" w:rsidP="003D1E4F">
      <w:pPr>
        <w:spacing w:before="0" w:after="240"/>
        <w:rPr>
          <w:rFonts w:eastAsia="Arial Unicode MS"/>
        </w:rPr>
      </w:pPr>
      <w:r w:rsidRPr="00D136FB">
        <w:t>По-конкретно що се отнася до аудио-визуалния сектор, направление „МЕДИА“ ще придружава политиките на ЕС за цифровия единен пазар. Те включват по-специално предложенията за модернизиране на уредбата в областта на авторското право, както и преразгледаната директива за аудио-визуалните медийни услуги. С нея ще се увеличи капацитетът на европейските участници в аудио-визуалния сектор да финансират, реализират и разпространяват произведения, които да са достатъчно видими в различни медии (като например телевизията, киното или видеото по заявка) и да са привлекателни за публиката във все по-отворения и конкурентен пазар в Европа и извън нея. Подкрепата трябва да се увеличи, за да се отразят последните развития на пазара, включително по-силната позиция на глобалните платформи за разпространение в сравнение с националните радио- и телевизионни оператори, традиционно инвестиращи в производството на европейски произведения.</w:t>
      </w:r>
    </w:p>
    <w:p w:rsidR="003D1E4F" w:rsidRPr="00D136FB" w:rsidRDefault="003D1E4F" w:rsidP="003D1E4F">
      <w:pPr>
        <w:spacing w:before="0" w:after="240"/>
        <w:rPr>
          <w:rFonts w:eastAsia="Arial Unicode MS"/>
        </w:rPr>
      </w:pPr>
      <w:r w:rsidRPr="00D136FB">
        <w:t>В предложението на Комисията за многогодишна финансова рамка за периода 2021—2027 г. се залага по-амбициозна цел за включване на мерките срещу изменението на климата във всички програми на ЕС, като общата цел е 25 % от разходите на ЕС да допринасят за постигане на целите, свързани с изменението на климата. Приносът на настоящата програма за постигането на тази обща цел ще бъде следен чрез системата на ЕС за маркиране на действията, свързани с климата, на съответното равнище на дезагрегация на данните, включително използването на по-</w:t>
      </w:r>
      <w:r w:rsidRPr="00D136FB">
        <w:lastRenderedPageBreak/>
        <w:t>точни методологии, когато такива са на разположение. Комисията ще продължи да представя информацията за всяка година по отношение на бюджетните кредити за поети задължения в контекста на годишния проектобюджет.</w:t>
      </w:r>
    </w:p>
    <w:p w:rsidR="003D1E4F" w:rsidRPr="00D136FB" w:rsidRDefault="003D1E4F" w:rsidP="003D1E4F">
      <w:pPr>
        <w:spacing w:before="0" w:after="240"/>
        <w:rPr>
          <w:rFonts w:eastAsia="Arial Unicode MS"/>
        </w:rPr>
      </w:pPr>
      <w:r w:rsidRPr="00D136FB">
        <w:t>За да се подкрепи цялостното използване на потенциала на програмата да допринася за целите, свързани с изменението на климата, Комисията ще се стреми да идентифицира съответните действия по време на подготовката, изпълнението, прегледа и оценяването на програмата.</w:t>
      </w:r>
    </w:p>
    <w:p w:rsidR="003D1E4F" w:rsidRPr="00D136FB" w:rsidRDefault="003D1E4F" w:rsidP="003D1E4F">
      <w:pPr>
        <w:spacing w:before="0" w:after="240"/>
        <w:rPr>
          <w:rFonts w:eastAsia="Arial Unicode MS"/>
        </w:rPr>
      </w:pPr>
      <w:r w:rsidRPr="00D136FB">
        <w:t>Програмата ще насърчава равенството между половете и ще допринася за постигането на по-балансирано участие на жените и мъжете в културните и творческите индустрии.</w:t>
      </w:r>
    </w:p>
    <w:p w:rsidR="003D1E4F" w:rsidRPr="00D136FB" w:rsidRDefault="003D1E4F" w:rsidP="003D1E4F">
      <w:pPr>
        <w:pStyle w:val="ManualHeading2"/>
        <w:rPr>
          <w:rFonts w:eastAsia="Arial Unicode MS"/>
        </w:rPr>
      </w:pPr>
      <w:r w:rsidRPr="00D136FB">
        <w:tab/>
        <w:t>Съгласуваност с други политики и програми на Съюза</w:t>
      </w:r>
    </w:p>
    <w:p w:rsidR="003D1E4F" w:rsidRPr="00D136FB" w:rsidRDefault="003D1E4F" w:rsidP="003D1E4F">
      <w:pPr>
        <w:spacing w:before="0" w:after="240"/>
      </w:pPr>
      <w:r w:rsidRPr="00D136FB">
        <w:t>Програмата ще бъде в съответствие с други инструменти на Съюза и ще ги допълва, като това са по-специално програма „Еразъм+“, фондовете, уредени с Регламент (...) [Регламента за общоприложимите разпоредби], в това число Европейския социален фонд и Европейския фонд за регионално развитие, програма „Хоризонт Европа“, както и инструментите за външно финансиране. Въз основа на разпоредбата от Договора относно включването и новия политически подход, основан на взаимодействието между секторите на културата, както е посочено в новата европейска програма за култура, програмата има за цел засилването на синергиите с изброените по-долу области на политиката.</w:t>
      </w:r>
    </w:p>
    <w:p w:rsidR="003D1E4F" w:rsidRPr="00D136FB" w:rsidRDefault="003D1E4F" w:rsidP="003D1E4F">
      <w:pPr>
        <w:pStyle w:val="Point0number"/>
        <w:numPr>
          <w:ilvl w:val="0"/>
          <w:numId w:val="6"/>
        </w:numPr>
      </w:pPr>
      <w:bookmarkStart w:id="2" w:name="_Toc509424702"/>
      <w:r w:rsidRPr="00D136FB">
        <w:t xml:space="preserve">Синергии с политиките в сферата на </w:t>
      </w:r>
      <w:r w:rsidRPr="00D136FB">
        <w:rPr>
          <w:b/>
        </w:rPr>
        <w:t>образованието и младежта</w:t>
      </w:r>
    </w:p>
    <w:p w:rsidR="003D1E4F" w:rsidRPr="00D136FB" w:rsidRDefault="003D1E4F" w:rsidP="003D1E4F">
      <w:r w:rsidRPr="00D136FB">
        <w:t>Бъдещата програма „Еразъм“ ще бъде важно допълнение към програма „Творческа Европа“. Сътрудничеството между институциите и организациите, работещи в сферата на образованието, обучението и младежта, подкрепяно по линия на „Еразъм+“, ще помогне на хората да се сдобият със знанията, уменията и компетентностите, които са необходими за справянето със социалните и икономическите предизвикателства, както и да реализират своя потенциал за иновации, творчество и предприемачество, по-специално в цифровата икономика. Дейностите, свързани с укрепването на всички творчески аспекти в образованието и с подобряването на индивидуалните ключови компетенции, ще представляват основната връзка между двете програми. Освен това в рамките на Европейския корпус за солидарност ще има повече възможности за привличане на млади хора, посветили се на възстановяването или опазването на обекти на културното наследство.</w:t>
      </w:r>
    </w:p>
    <w:p w:rsidR="003D1E4F" w:rsidRPr="00D136FB" w:rsidRDefault="003D1E4F" w:rsidP="003D1E4F">
      <w:pPr>
        <w:pStyle w:val="Point0number"/>
        <w:numPr>
          <w:ilvl w:val="0"/>
          <w:numId w:val="6"/>
        </w:numPr>
      </w:pPr>
      <w:r w:rsidRPr="00D136FB">
        <w:t xml:space="preserve">Синергии с програма </w:t>
      </w:r>
      <w:r w:rsidRPr="00D136FB">
        <w:rPr>
          <w:b/>
        </w:rPr>
        <w:t>„Права и ценности“</w:t>
      </w:r>
    </w:p>
    <w:p w:rsidR="003D1E4F" w:rsidRPr="00D136FB" w:rsidRDefault="003D1E4F" w:rsidP="003D1E4F">
      <w:r w:rsidRPr="00D136FB">
        <w:t>Съществуват силни връзки — по-специално в областта на плурализма на медиите, европейската идентичност, ценности и културно наследство — между програма „Творческа Европа“ и програма „Права и ценности“, която ще осигури на гражданите по-голямо поле за действие чрез насърчаването и защитата на правата, ценностите и равенство и чрез създаване на възможности за ангажираност, участие и съхраняване на паметта за миналото.</w:t>
      </w:r>
    </w:p>
    <w:p w:rsidR="003D1E4F" w:rsidRPr="00D136FB" w:rsidRDefault="003D1E4F" w:rsidP="003D1E4F">
      <w:pPr>
        <w:pStyle w:val="Point0number"/>
        <w:numPr>
          <w:ilvl w:val="0"/>
          <w:numId w:val="6"/>
        </w:numPr>
      </w:pPr>
      <w:r w:rsidRPr="00D136FB">
        <w:t xml:space="preserve">Синергии със </w:t>
      </w:r>
      <w:r w:rsidRPr="00D136FB">
        <w:rPr>
          <w:b/>
        </w:rPr>
        <w:t>социалните и трудовите политики</w:t>
      </w:r>
      <w:bookmarkEnd w:id="2"/>
    </w:p>
    <w:p w:rsidR="003D1E4F" w:rsidRPr="00D136FB" w:rsidRDefault="003D1E4F" w:rsidP="003D1E4F">
      <w:r w:rsidRPr="00D136FB">
        <w:t xml:space="preserve">Бъдещият „Европейски социален фонд+“ ще бъде основен градивен елемент на клъстер „Инвестиране в хората, социалното сближаване и ценностите“. Той ще предоставя подкрепа на гражданите чрез инвестиране в човешкия капитал, подпомагане на заетостта (на младежите), социалните иновации, придобиването на основни цифрови умения и интегрирането на мигранти, а също и чрез подпомагане на най-нуждаещите се (социално приобщаване). Ето защо той е тясно свързан с целите на програма „Творческа Европа“.  Културното и езиковото многообразие, което програма „Творческа Европа“ има за цел да укрепи, например чрез подобряване на трансграничното разпространение на европейски културни и аудио-визуални произведения, е важен аспект на приобщаващите общества, тъй като то допринася за </w:t>
      </w:r>
      <w:r w:rsidRPr="00D136FB">
        <w:lastRenderedPageBreak/>
        <w:t>междукултурния диалог. Освен това чрез засилване на конкурентоспособността на секторите на културата и творчеството програмата благоприятства създаването на работни места в тези сектори.</w:t>
      </w:r>
    </w:p>
    <w:p w:rsidR="003D1E4F" w:rsidRPr="00D136FB" w:rsidRDefault="003D1E4F" w:rsidP="003D1E4F">
      <w:pPr>
        <w:pStyle w:val="Point0number"/>
        <w:numPr>
          <w:ilvl w:val="0"/>
          <w:numId w:val="6"/>
        </w:numPr>
      </w:pPr>
      <w:r w:rsidRPr="00D136FB">
        <w:t xml:space="preserve">Синергии с </w:t>
      </w:r>
      <w:r w:rsidRPr="00D136FB">
        <w:rPr>
          <w:b/>
        </w:rPr>
        <w:t>регионалните политики и политиките за градската среда и селските райони</w:t>
      </w:r>
    </w:p>
    <w:p w:rsidR="003D1E4F" w:rsidRPr="00D136FB" w:rsidRDefault="003D1E4F" w:rsidP="003D1E4F">
      <w:pPr>
        <w:autoSpaceDE w:val="0"/>
        <w:autoSpaceDN w:val="0"/>
        <w:adjustRightInd w:val="0"/>
        <w:rPr>
          <w:szCs w:val="24"/>
        </w:rPr>
      </w:pPr>
      <w:r w:rsidRPr="00D136FB">
        <w:t>Регионалните политики и политиките за градската среда и развитието на селските райони, провеждани от ЕС, способстват за възстановяването на културното наследство и подкрепят културните и творческите индустрии. Ще има потенциални синергии за увеличаване на взаимното допълване между тези инструменти и програма „Творческа Европа“, което може да подкрепи взаимното обучение относно съдържателните дългосрочни инвестиционни културни планове за творческите индустрии, туризма, социалното приобщаване, културното наследство, възстановяването съгласно стандартите за качество за реставриране на културното наследство, с което да се увеличи техният принос за постигането на целите на регионалното и градското развитие и финансовата самостоятелност на културните проекти.</w:t>
      </w:r>
    </w:p>
    <w:p w:rsidR="003D1E4F" w:rsidRPr="00D136FB" w:rsidRDefault="003D1E4F" w:rsidP="003D1E4F">
      <w:pPr>
        <w:pStyle w:val="Point0number"/>
        <w:numPr>
          <w:ilvl w:val="0"/>
          <w:numId w:val="6"/>
        </w:numPr>
      </w:pPr>
      <w:bookmarkStart w:id="3" w:name="_Toc509424704"/>
      <w:r w:rsidRPr="00D136FB">
        <w:t xml:space="preserve">Синергии с </w:t>
      </w:r>
      <w:r w:rsidRPr="00D136FB">
        <w:rPr>
          <w:b/>
        </w:rPr>
        <w:t>единния пазар</w:t>
      </w:r>
      <w:bookmarkEnd w:id="3"/>
    </w:p>
    <w:p w:rsidR="003D1E4F" w:rsidRPr="00D136FB" w:rsidRDefault="003D1E4F" w:rsidP="003D1E4F">
      <w:pPr>
        <w:spacing w:before="0" w:after="240"/>
      </w:pPr>
      <w:r w:rsidRPr="00D136FB">
        <w:t>Програма „Творческа Европа“ ще допълва дейностите, финансирани по линия на бъдещата програма за единния пазар, когато са засегнати аспектите на предоставянето на по-голямо поле за действие на хората и стимулирането на творческите таланти в съответните сектори. Синергии може да има също така с туризма, който има културно измерение и може да се разглежда като начин за подобряване на взаимното разбирателство между хората. Интервенциите по линия на програма „Творческа Европа“ ще се съсредоточат по целесъобразност върху творческите и културните елементи на някои творчески индустрии (като дизайна и модата), като се концентрират върху популяризирането или развитието на умения, трансграничното сътрудничество и мобилността. Взаимното допълване ще бъде гарантирано и с действията за подкрепа на туристическия сектор.</w:t>
      </w:r>
    </w:p>
    <w:p w:rsidR="003D1E4F" w:rsidRPr="00D136FB" w:rsidRDefault="003D1E4F" w:rsidP="003D1E4F">
      <w:pPr>
        <w:pStyle w:val="Point0number"/>
        <w:numPr>
          <w:ilvl w:val="0"/>
          <w:numId w:val="6"/>
        </w:numPr>
        <w:rPr>
          <w:rFonts w:eastAsiaTheme="majorEastAsia"/>
        </w:rPr>
      </w:pPr>
      <w:bookmarkStart w:id="4" w:name="_Toc509424705"/>
      <w:r w:rsidRPr="00D136FB">
        <w:t>Синергии с</w:t>
      </w:r>
      <w:bookmarkEnd w:id="4"/>
      <w:r w:rsidRPr="00D136FB">
        <w:t xml:space="preserve"> програма „</w:t>
      </w:r>
      <w:r w:rsidRPr="00D136FB">
        <w:rPr>
          <w:b/>
        </w:rPr>
        <w:t>Цифрова</w:t>
      </w:r>
      <w:r w:rsidRPr="00D136FB">
        <w:t xml:space="preserve"> Европа“</w:t>
      </w:r>
    </w:p>
    <w:p w:rsidR="003D1E4F" w:rsidRPr="00D136FB" w:rsidRDefault="003D1E4F" w:rsidP="003D1E4F">
      <w:r w:rsidRPr="00D136FB">
        <w:t>В рамките на програма „Цифрова Европа“ с два водещи проекта ще се гарантира продължаването на дейностите по разгръщане, свързани със стратегията за цифровите технологии в културата #Digital4Culture. Водещият проект относно цифровата трансформация на сектора на културното наследство ще продължи да оказва подкрепа на европейските инициативи, започнати през обявената за Европейска година на културното наследство 2018 г. Частта от програмата, акцентираща върху цифровите умения, има синергии с въпросите на медийната грамотност и филмовото образование.</w:t>
      </w:r>
    </w:p>
    <w:p w:rsidR="003D1E4F" w:rsidRPr="00D136FB" w:rsidRDefault="003D1E4F" w:rsidP="003D1E4F">
      <w:pPr>
        <w:pStyle w:val="Point0number"/>
        <w:numPr>
          <w:ilvl w:val="0"/>
          <w:numId w:val="6"/>
        </w:numPr>
      </w:pPr>
      <w:r w:rsidRPr="00D136FB">
        <w:t xml:space="preserve">Синергии с програма </w:t>
      </w:r>
      <w:r w:rsidRPr="00D136FB">
        <w:rPr>
          <w:b/>
        </w:rPr>
        <w:t>„Научни изследвания и иновации“</w:t>
      </w:r>
    </w:p>
    <w:p w:rsidR="003D1E4F" w:rsidRPr="00D136FB" w:rsidRDefault="003D1E4F" w:rsidP="003D1E4F">
      <w:pPr>
        <w:autoSpaceDE w:val="0"/>
        <w:autoSpaceDN w:val="0"/>
        <w:adjustRightInd w:val="0"/>
        <w:spacing w:before="0" w:after="0"/>
      </w:pPr>
      <w:r w:rsidRPr="00D136FB">
        <w:t xml:space="preserve">Обединяването на ресурси с цел да се използват най-новите технологии и да се стимулират нови научни подходи може значително да подобри разбирането, съхранението и разпространението на информация за културното наследство и секторите на културата и творчеството като цяло. Възможните синергии ще трябва да бъдат подсилени, за да се увеличи взаимното допълване между тези инструменти и програма „Творческа Европа“, така че секторите на културата и творчеството да се възползват изцяло от напредъка на европейските научни изследвания. </w:t>
      </w:r>
    </w:p>
    <w:p w:rsidR="003D1E4F" w:rsidRPr="00D136FB" w:rsidRDefault="003D1E4F" w:rsidP="003D1E4F">
      <w:r w:rsidRPr="00D136FB">
        <w:t>В програма „Хоризонт Европа“ клъстерът „Приобщаващи, устойчиви и сигурни общества“ включва подкрепа за научноизследователската и иновационната дейност , целяща разработването на информационни и комуникационни технологии за цифровизацията и съхранението на материалното и нематериалното културно наследство.</w:t>
      </w:r>
    </w:p>
    <w:p w:rsidR="003D1E4F" w:rsidRPr="00D136FB" w:rsidRDefault="003D1E4F" w:rsidP="003D1E4F">
      <w:pPr>
        <w:spacing w:before="0" w:after="240"/>
      </w:pPr>
      <w:r w:rsidRPr="00D136FB">
        <w:lastRenderedPageBreak/>
        <w:t>Клъстерът „Цифрова индустрия“ предвижда в рамките на интервенциите в областта на интернет от следващо поколение научноизследователски дейности, които са тясно свързани с културните и творческите индустрии, например разширена реалност/виртуална реалност, илюзорни среди, интерфейси човек-компютър, нови (социални) медии. Предвидено е да продължат усилията за постигане на взаимодействия между творческите сектори, и по-специално в областта на изкуствата, както и иновациите в индустрията и обществото чрез програма S + T + ARTS (наука + технологии + изкуства).</w:t>
      </w:r>
    </w:p>
    <w:p w:rsidR="003D1E4F" w:rsidRPr="00D136FB" w:rsidRDefault="003D1E4F" w:rsidP="003D1E4F">
      <w:pPr>
        <w:pStyle w:val="Point0number"/>
        <w:numPr>
          <w:ilvl w:val="0"/>
          <w:numId w:val="6"/>
        </w:numPr>
      </w:pPr>
      <w:r w:rsidRPr="00D136FB">
        <w:t xml:space="preserve">Синергии с политиките за </w:t>
      </w:r>
      <w:r w:rsidRPr="00D136FB">
        <w:rPr>
          <w:b/>
        </w:rPr>
        <w:t>външната дейност</w:t>
      </w:r>
    </w:p>
    <w:p w:rsidR="003D1E4F" w:rsidRPr="00D136FB" w:rsidRDefault="003D1E4F" w:rsidP="003D1E4F">
      <w:pPr>
        <w:spacing w:before="0" w:after="240"/>
        <w:rPr>
          <w:rFonts w:eastAsia="Arial Unicode MS"/>
        </w:rPr>
      </w:pPr>
      <w:r w:rsidRPr="00D136FB">
        <w:t>Програма „Творческа Европа“ и дейностите за международно сътрудничество, финансирани чрез програмите на Съюза за външна дейност, ще се допълват взаимно.</w:t>
      </w:r>
    </w:p>
    <w:p w:rsidR="003D1E4F" w:rsidRPr="00D136FB" w:rsidRDefault="003D1E4F" w:rsidP="003D1E4F">
      <w:pPr>
        <w:autoSpaceDE w:val="0"/>
        <w:autoSpaceDN w:val="0"/>
        <w:adjustRightInd w:val="0"/>
        <w:spacing w:before="0" w:after="0"/>
        <w:rPr>
          <w:rFonts w:eastAsia="Arial Unicode MS"/>
        </w:rPr>
      </w:pPr>
      <w:r w:rsidRPr="00D136FB">
        <w:t>По направление „КУЛТУРА“ намерението е да се изпробват схеми за наблюдение на работата и други инициативи за обмен с трети държави за инициативата „Европейски столици на културата“ или да се отворят схемите за мрежите и платформите или участието в конкурса за наградите на ЕС з за постижения в сферата на културата в ограничена степен за държави извън ЕС, за да се създадат стимули за включването на партньори от трети държави в проекти, ръководени от организации от ЕС, и да се подкрепят усилията за популяризиране на стратегически важните пазари и фестивали извън държавите — членки на ЕС, за което понастоящем не съществува специален бюджет.</w:t>
      </w:r>
    </w:p>
    <w:p w:rsidR="003D1E4F" w:rsidRPr="00D136FB" w:rsidRDefault="003D1E4F" w:rsidP="003D1E4F">
      <w:pPr>
        <w:pStyle w:val="ManualHeading1"/>
      </w:pPr>
      <w:r w:rsidRPr="00D136FB">
        <w:t>2.</w:t>
      </w:r>
      <w:r w:rsidRPr="00D136FB">
        <w:tab/>
        <w:t>ПРАВНО ОСНОВАНИЕ, СУБСИДИАРНОСТ И ПРОПОРЦИОНАЛНОСТ</w:t>
      </w:r>
    </w:p>
    <w:p w:rsidR="003D1E4F" w:rsidRPr="00D136FB" w:rsidRDefault="003D1E4F" w:rsidP="003D1E4F">
      <w:pPr>
        <w:pStyle w:val="ManualHeading2"/>
        <w:rPr>
          <w:rFonts w:eastAsia="Arial Unicode MS"/>
          <w:bdr w:val="none" w:sz="0" w:space="0" w:color="auto" w:frame="1"/>
        </w:rPr>
      </w:pPr>
      <w:r w:rsidRPr="00D136FB">
        <w:tab/>
        <w:t>Правно основание</w:t>
      </w:r>
    </w:p>
    <w:p w:rsidR="003D1E4F" w:rsidRPr="00D136FB" w:rsidRDefault="003D1E4F" w:rsidP="003D1E4F">
      <w:pPr>
        <w:spacing w:before="0" w:after="240"/>
        <w:rPr>
          <w:rFonts w:eastAsia="Arial Unicode MS"/>
        </w:rPr>
      </w:pPr>
      <w:r w:rsidRPr="00D136FB">
        <w:t>Инициативата се основава на членове 167 и 173 от ДФЕС. В член 167 от ДФЕС се определят правомощията на Съюза в сферата на културата и се отправя призив за действие на Европейския съюз, който следва да допринесе за разцвета на културите на държавите членки, зачитайки тяхното национално и регионално многообразие, като същевременно извежда на преден план общото културно наследство, и ако е необходимо, подкрепя и допълва действията на държавите членки в областите, изброени в посочената разпоредба. В член 173 от ДФЕС се посочва, че Съюзът и държавите членки гарантират съществуването на условията, необходими за конкурентоспособността на промишлеността в Съюза, включително чрез действия за поощряване на благоприятна среда за инициативността и за развитието на предприятията.</w:t>
      </w:r>
    </w:p>
    <w:p w:rsidR="003D1E4F" w:rsidRPr="00D136FB" w:rsidRDefault="003D1E4F" w:rsidP="003D1E4F">
      <w:pPr>
        <w:pStyle w:val="ManualHeading2"/>
        <w:rPr>
          <w:rFonts w:eastAsia="Arial Unicode MS"/>
          <w:bdr w:val="none" w:sz="0" w:space="0" w:color="auto" w:frame="1"/>
        </w:rPr>
      </w:pPr>
      <w:r w:rsidRPr="00D136FB">
        <w:tab/>
        <w:t xml:space="preserve">Субсидиарност (при неизключителна компетентност) </w:t>
      </w:r>
    </w:p>
    <w:p w:rsidR="003D1E4F" w:rsidRPr="00D136FB" w:rsidRDefault="003D1E4F" w:rsidP="003D1E4F">
      <w:r w:rsidRPr="00D136FB">
        <w:t>Основната добавена стойност от ЕС идва от силното транснационално измерение на програмата, както вече беше доказано с програма „Творческа Европа“ за периода 2014—2020 г. При междинната оценка беше установено, че целите и приоритетите на програмата са като цяло съгласувани и допълващи се с тези на националните политики и програми, с което се спазва принципът на субсидиарност.</w:t>
      </w:r>
    </w:p>
    <w:p w:rsidR="003D1E4F" w:rsidRPr="00D136FB" w:rsidRDefault="003D1E4F" w:rsidP="003D1E4F">
      <w:r w:rsidRPr="00D136FB">
        <w:t>По-специално, многостранният транснационален характер на програма „Творческа Европа“ предоставя по-обширни възможности, каквито рядко присъстват при националното финансиране, което има тенденция да се съсредоточава в по-голяма степен върху дейностите на национално равнище и — в по-малка степен — върху двустранното транснационално сътрудничество. Този многостранен транснационален акцент се цени високо от заинтересованите страни и бенефициерите като единствен по рода си елемент на програма „Творческа Европа“.  Само няколко други действащи международни фондове подкрепят транснационалното сътрудничество в секторите на културата и творчеството и то в значително по-малки мащаби.</w:t>
      </w:r>
    </w:p>
    <w:p w:rsidR="003D1E4F" w:rsidRPr="00D136FB" w:rsidRDefault="003D1E4F" w:rsidP="003D1E4F">
      <w:pPr>
        <w:rPr>
          <w:sz w:val="22"/>
        </w:rPr>
      </w:pPr>
      <w:r w:rsidRPr="00D136FB">
        <w:lastRenderedPageBreak/>
        <w:t>Елементите на програмата с добавена стойност от ЕС са:</w:t>
      </w:r>
    </w:p>
    <w:p w:rsidR="003D1E4F" w:rsidRPr="00D136FB" w:rsidRDefault="003D1E4F" w:rsidP="00F13A66">
      <w:pPr>
        <w:pStyle w:val="Bullet0"/>
        <w:numPr>
          <w:ilvl w:val="0"/>
          <w:numId w:val="18"/>
        </w:numPr>
      </w:pPr>
      <w:r w:rsidRPr="00D136FB">
        <w:t>трансграничното разпространение на културни и творчески произведения, по-специално аудио-визуални произведения, достигащи до по-широка и по-разнообразна публика в Съюза и извън него, което отразява разнообразието в Европа;</w:t>
      </w:r>
    </w:p>
    <w:p w:rsidR="003D1E4F" w:rsidRPr="00D136FB" w:rsidRDefault="003D1E4F" w:rsidP="00F13A66">
      <w:pPr>
        <w:pStyle w:val="Bullet0"/>
        <w:numPr>
          <w:ilvl w:val="0"/>
          <w:numId w:val="18"/>
        </w:numPr>
      </w:pPr>
      <w:r w:rsidRPr="00D136FB">
        <w:t>икономиите от мащаба и натрупването на критична маса, улеснявани от подкрепата от ЕС, които създават ефект на ливъридж за привличането на допълнителни средства; ефектът върху репутацията на бенефициерите на програмата, увеличаващ потенциалния интерес от страна на партньори и финансови посредници и тяхното доверие във финансираните проекти, което улеснява достъпа до допълнително финансиране; създаването на трансгранични партньорства и мрежи, които представляват основните и най-дълготрайни структурни елементи на програма „Творческа Европа“ и са в подкрепа на цялостния капацитет на деятелите;</w:t>
      </w:r>
    </w:p>
    <w:p w:rsidR="003D1E4F" w:rsidRPr="00D136FB" w:rsidRDefault="003D1E4F" w:rsidP="00F13A66">
      <w:pPr>
        <w:pStyle w:val="Bullet0"/>
        <w:numPr>
          <w:ilvl w:val="0"/>
          <w:numId w:val="18"/>
        </w:numPr>
      </w:pPr>
      <w:r w:rsidRPr="00D136FB">
        <w:t>транснационалните мрежи увеличават капацитета на културните деятели и творците като цяло и особено на работещите в нишови области и в тези държави членки, където този капацитет е по-слабо развит;</w:t>
      </w:r>
    </w:p>
    <w:p w:rsidR="003D1E4F" w:rsidRPr="00D136FB" w:rsidRDefault="003D1E4F" w:rsidP="00F13A66">
      <w:pPr>
        <w:pStyle w:val="Bullet0"/>
        <w:numPr>
          <w:ilvl w:val="0"/>
          <w:numId w:val="18"/>
        </w:numPr>
      </w:pPr>
      <w:r w:rsidRPr="00D136FB">
        <w:t>ориентираната към постигане на резултати трансгранична мобилност на културните деятели и творците води до развитие на умения и повишаване на капацитета на секторите;</w:t>
      </w:r>
    </w:p>
    <w:p w:rsidR="003D1E4F" w:rsidRPr="00D136FB" w:rsidRDefault="003D1E4F" w:rsidP="00F13A66">
      <w:pPr>
        <w:pStyle w:val="Bullet0"/>
        <w:numPr>
          <w:ilvl w:val="0"/>
          <w:numId w:val="18"/>
        </w:numPr>
      </w:pPr>
      <w:r w:rsidRPr="00D136FB">
        <w:t>намаляването на риска за културните и творческите организации, което им позволява да участват в проекти с европейско измерение и по този начин допринася за общата им икономическа мощ;</w:t>
      </w:r>
    </w:p>
    <w:p w:rsidR="003D1E4F" w:rsidRPr="00D136FB" w:rsidRDefault="003D1E4F" w:rsidP="00F13A66">
      <w:pPr>
        <w:pStyle w:val="Bullet0"/>
        <w:numPr>
          <w:ilvl w:val="0"/>
          <w:numId w:val="18"/>
        </w:numPr>
        <w:rPr>
          <w:rFonts w:eastAsia="Arial Unicode MS"/>
          <w:szCs w:val="24"/>
          <w:bdr w:val="none" w:sz="0" w:space="0" w:color="auto" w:frame="1"/>
        </w:rPr>
      </w:pPr>
      <w:r w:rsidRPr="00D136FB">
        <w:t>програмата има силен обществен акцент; като подкрепя културното и езиковото многообразие, художествената и творческата свобода, както и развитието на свободата, плурализма и разнообразието на медийната среда, тя допринася за европейското социално благосъстояние и за споделената европейска идентичност;</w:t>
      </w:r>
    </w:p>
    <w:p w:rsidR="003D1E4F" w:rsidRPr="00D136FB" w:rsidRDefault="003D1E4F" w:rsidP="00F13A66">
      <w:pPr>
        <w:pStyle w:val="Bullet0"/>
        <w:numPr>
          <w:ilvl w:val="0"/>
          <w:numId w:val="18"/>
        </w:numPr>
        <w:rPr>
          <w:rFonts w:eastAsia="Arial Unicode MS"/>
          <w:szCs w:val="24"/>
          <w:bdr w:val="none" w:sz="0" w:space="0" w:color="auto" w:frame="1"/>
        </w:rPr>
      </w:pPr>
      <w:r w:rsidRPr="00D136FB">
        <w:t>докато схемите за подпомагане на филмовата индустрия на национално равнище се съсредоточават основно върху продукцията на произведения, подкрепата на ЕС се насочва предимно върху действия нагоре по веригата (обучение, развитие) и надолу по веригата (разпространение, реклама, представяне пред публика) с цел да се гарантира, че европейските произведения се разпространяват по-добре през граница. По този начин програмата поощрява свободното движение на аудио-визуални медийни услуги, за което способства и Директивата за аудио-визуални медийни услуги.</w:t>
      </w:r>
    </w:p>
    <w:p w:rsidR="003D1E4F" w:rsidRPr="00D136FB" w:rsidRDefault="003D1E4F" w:rsidP="003D1E4F">
      <w:pPr>
        <w:pStyle w:val="ManualHeading2"/>
        <w:rPr>
          <w:rFonts w:eastAsia="Arial Unicode MS"/>
          <w:bdr w:val="none" w:sz="0" w:space="0" w:color="auto" w:frame="1"/>
        </w:rPr>
      </w:pPr>
      <w:r w:rsidRPr="00D136FB">
        <w:tab/>
        <w:t>Пропорционалност</w:t>
      </w:r>
    </w:p>
    <w:p w:rsidR="003D1E4F" w:rsidRPr="00D136FB" w:rsidRDefault="003D1E4F" w:rsidP="003D1E4F">
      <w:pPr>
        <w:spacing w:before="0" w:after="240"/>
        <w:rPr>
          <w:rFonts w:eastAsia="Arial Unicode MS"/>
        </w:rPr>
      </w:pPr>
      <w:r w:rsidRPr="00D136FB">
        <w:t>Предложението е в съответствие с принципа на пропорционалност, тъй като не излиза извън минимума, необходим за постигането на заявената цел на европейско равнище, и на необходимото за тази цел.</w:t>
      </w:r>
    </w:p>
    <w:p w:rsidR="003D1E4F" w:rsidRPr="00D136FB" w:rsidRDefault="003D1E4F" w:rsidP="003D1E4F">
      <w:pPr>
        <w:pStyle w:val="ManualHeading2"/>
        <w:rPr>
          <w:rFonts w:eastAsia="Arial Unicode MS"/>
          <w:bdr w:val="none" w:sz="0" w:space="0" w:color="auto" w:frame="1"/>
        </w:rPr>
      </w:pPr>
      <w:r w:rsidRPr="00D136FB">
        <w:tab/>
        <w:t>Избор на инструмент</w:t>
      </w:r>
    </w:p>
    <w:p w:rsidR="003D1E4F" w:rsidRPr="00D136FB" w:rsidRDefault="003D1E4F" w:rsidP="003D1E4F">
      <w:pPr>
        <w:spacing w:before="0" w:after="240"/>
      </w:pPr>
      <w:r w:rsidRPr="00D136FB">
        <w:t>Новата програма „Творческа Европа“ за периода 2021—2027 г. се основава на действащата програма „Творческа Европа“ (2014—2020 г.), която обединява две независими подпрограми („МЕДИА „и „Култура“) в единна рамка. С това се отчитат специфичните характеристики на различните сектори, техните различни целеви групи и конкретните им потребности. Това засяга по-специално до възможностите за общо междусекторно направление, което ще се съсредоточи върху иновациите и експерименталната дейност.</w:t>
      </w:r>
    </w:p>
    <w:p w:rsidR="003D1E4F" w:rsidRPr="00D136FB" w:rsidRDefault="003D1E4F" w:rsidP="003D1E4F">
      <w:pPr>
        <w:spacing w:before="0" w:after="240"/>
      </w:pPr>
      <w:r w:rsidRPr="00D136FB">
        <w:lastRenderedPageBreak/>
        <w:t>Запазването на добре установения отличителен знак на програма „Творческа Европа“, включително знака на подпрограма „МЕДИА“, ще спомогне за осигуряването на трайността на ангажимента и на видимостта на подкрепата на ЕС.</w:t>
      </w:r>
    </w:p>
    <w:p w:rsidR="003D1E4F" w:rsidRPr="00D136FB" w:rsidRDefault="003D1E4F" w:rsidP="003D1E4F">
      <w:pPr>
        <w:pStyle w:val="ManualHeading1"/>
      </w:pPr>
      <w:r w:rsidRPr="00D136FB">
        <w:t>3.</w:t>
      </w:r>
      <w:r w:rsidRPr="00D136FB">
        <w:tab/>
        <w:t>РЕЗУЛТАТИ ОТ РЕТРОСПЕКТИВНИТЕ ОЦЕНКИ, КОНСУЛТАЦИИТЕ СЪС ЗАИНТЕРЕСОВАНИТЕ СТРАНИ И ОЦЕНКИТЕ НА ВЪЗДЕЙСТВИЕТО</w:t>
      </w:r>
    </w:p>
    <w:p w:rsidR="003D1E4F" w:rsidRPr="00D136FB" w:rsidRDefault="003D1E4F" w:rsidP="003D1E4F">
      <w:pPr>
        <w:pStyle w:val="ManualHeading2"/>
        <w:rPr>
          <w:rFonts w:eastAsia="Arial Unicode MS"/>
          <w:bdr w:val="none" w:sz="0" w:space="0" w:color="auto" w:frame="1"/>
        </w:rPr>
      </w:pPr>
      <w:r w:rsidRPr="00D136FB">
        <w:tab/>
        <w:t>Ретроспективни оценки/проверки за пригодност на действащото законодателство</w:t>
      </w:r>
    </w:p>
    <w:p w:rsidR="003D1E4F" w:rsidRPr="00D136FB" w:rsidRDefault="003D1E4F" w:rsidP="003D1E4F">
      <w:r w:rsidRPr="00D136FB">
        <w:t>Междинната оценка на програма „Творческа Европа“ и последващата оценка на трите предшестващи я програми — „Култура“, „МЕДИА 2007“ и MEDIA Mundus — бяха поръчани от Европейската комисия през 2016 г. и предоставени в периода от май 2016 г. до август 2017 г. Оценките на програма „Творческа Европа“ и предшестващите я програми имаха следните цели:</w:t>
      </w:r>
    </w:p>
    <w:p w:rsidR="003D1E4F" w:rsidRPr="00D136FB" w:rsidRDefault="003D1E4F" w:rsidP="00F13A66">
      <w:pPr>
        <w:pStyle w:val="Bullet0"/>
        <w:numPr>
          <w:ilvl w:val="0"/>
          <w:numId w:val="18"/>
        </w:numPr>
      </w:pPr>
      <w:r w:rsidRPr="00D136FB">
        <w:t>да се оценят значението, съгласуваността, ефективността, ефикасността, устойчивостта и европейската добавена стойност (наричани по-долу „критериите за оценка“) на програма „Творческа Европа“ и предшестващите я програми;</w:t>
      </w:r>
    </w:p>
    <w:p w:rsidR="003D1E4F" w:rsidRPr="00D136FB" w:rsidRDefault="003D1E4F" w:rsidP="00F13A66">
      <w:pPr>
        <w:pStyle w:val="Bullet0"/>
        <w:numPr>
          <w:ilvl w:val="0"/>
          <w:numId w:val="18"/>
        </w:numPr>
      </w:pPr>
      <w:r w:rsidRPr="00D136FB">
        <w:t>да се оцени приносът на програма „Творческа Европа“ за интелигентния, устойчив и приобщаващ растеж, за новите приоритети на Комисията и секторните стратегии;</w:t>
      </w:r>
    </w:p>
    <w:p w:rsidR="003D1E4F" w:rsidRPr="00D136FB" w:rsidRDefault="003D1E4F" w:rsidP="00F13A66">
      <w:pPr>
        <w:pStyle w:val="Bullet0"/>
        <w:numPr>
          <w:ilvl w:val="0"/>
          <w:numId w:val="18"/>
        </w:numPr>
      </w:pPr>
      <w:r w:rsidRPr="00D136FB">
        <w:t>да се оценят дългосрочните резултати и въздействието на предшестващите я програми.</w:t>
      </w:r>
    </w:p>
    <w:p w:rsidR="003D1E4F" w:rsidRPr="00D136FB" w:rsidRDefault="003D1E4F" w:rsidP="003D1E4F">
      <w:pPr>
        <w:spacing w:before="0" w:after="240"/>
      </w:pPr>
      <w:r w:rsidRPr="00D136FB">
        <w:t>Оценката установи, че програма „Творческа Европа“ отговаря както на вече съществуващите, така и на нововъзникващите потребности на секторите на културата и творчеството. С подходяща подкрепа по линия на програмата бенефициерите от секторите на културата и творчеството в цяла Европа могат да предприемат действия в отговор на цифровата трансформация, за да показват своите творби на международната сцена в духа на културното многообразие, по-специално чрез иновации и разработване на нови бизнес модели за повишаване на своята конкурентоспособност.</w:t>
      </w:r>
    </w:p>
    <w:p w:rsidR="003D1E4F" w:rsidRPr="00D136FB" w:rsidRDefault="003D1E4F" w:rsidP="003D1E4F">
      <w:pPr>
        <w:spacing w:before="0" w:after="240"/>
      </w:pPr>
      <w:r w:rsidRPr="00D136FB">
        <w:t>Освен това програма „Творческа Европа“ е до голяма степен съгласувана с другите приоритети на ЕС и с другите механизми на ЕС за финансиране и подпомагане от значение за секторите на културата и творчеството, включително както със специфичните за сектора възможности, така и с общото финансиране и стопанската и икономическа подкрепа за МСП.</w:t>
      </w:r>
    </w:p>
    <w:p w:rsidR="003D1E4F" w:rsidRPr="00D136FB" w:rsidRDefault="003D1E4F" w:rsidP="003D1E4F">
      <w:pPr>
        <w:spacing w:before="0" w:after="240"/>
      </w:pPr>
      <w:r w:rsidRPr="00D136FB">
        <w:t>Установено беше също така, че програма „Творческа Европа“ постига резултати по стратегическите приоритети на ЕС: програмата допринася съществено за постигането на целта за равнището на заетост, заложена в стратегията „Европа 2020“, и за приоритетите на сега действащата Комисия — стимулиране на инвестиции с оглед създаването на работни места и по-задълбочен и по-справедлив вътрешен пазар със засилена промишлена база, както и за секторните стратегии на равнище ЕС, като например целите на цифровия единен пазар.</w:t>
      </w:r>
    </w:p>
    <w:p w:rsidR="003D1E4F" w:rsidRPr="00D136FB" w:rsidRDefault="003D1E4F" w:rsidP="003D1E4F">
      <w:pPr>
        <w:spacing w:before="0" w:after="240"/>
      </w:pPr>
      <w:r w:rsidRPr="00D136FB">
        <w:t>В оценката се стига до заключението, че като се имат предвид мащабът и обхватът на секторите на културата и творчеството на европейско равнище и географските райони, обхванати от оценяваните програми, размерът на бюджетите за програма „Творческа Европа“ и предшестващите я програми не е бил достатъчен, за да се постигне голям ефект в европейски мащаб и/или на секторно равнище.</w:t>
      </w:r>
    </w:p>
    <w:p w:rsidR="003D1E4F" w:rsidRPr="00D136FB" w:rsidRDefault="003D1E4F" w:rsidP="003D1E4F">
      <w:pPr>
        <w:spacing w:before="0" w:after="240"/>
        <w:rPr>
          <w:rFonts w:eastAsia="Arial Unicode MS"/>
        </w:rPr>
      </w:pPr>
      <w:r w:rsidRPr="00D136FB">
        <w:t>Оценката показа също така, че подпрограма „МЕДИА“ е допринесла ефективно за задълбочаването на вътрешния пазар. В същото време с течение на годините обхватът на подпрограма „МЕДИА“ се е разраснал, без бюджетът ѝ да бъде съответно увеличен. Това е довело до разпределянето на малко средства за прекалено много приоритети, което е отслабило потенциалното въздействие на подпрограмата.</w:t>
      </w:r>
    </w:p>
    <w:p w:rsidR="003D1E4F" w:rsidRPr="00D136FB" w:rsidRDefault="003D1E4F" w:rsidP="003D1E4F">
      <w:pPr>
        <w:pStyle w:val="ManualHeading2"/>
        <w:rPr>
          <w:bdr w:val="none" w:sz="0" w:space="0" w:color="auto" w:frame="1"/>
        </w:rPr>
      </w:pPr>
      <w:r w:rsidRPr="00D136FB">
        <w:lastRenderedPageBreak/>
        <w:tab/>
        <w:t>Консултации със заинтересованите страни</w:t>
      </w:r>
    </w:p>
    <w:p w:rsidR="003D1E4F" w:rsidRPr="00D136FB" w:rsidRDefault="003D1E4F" w:rsidP="003D1E4F">
      <w:pPr>
        <w:pStyle w:val="ManualHeading1"/>
      </w:pPr>
      <w:r w:rsidRPr="00D136FB">
        <w:t>Обществената консултация относно средствата от ЕС в областта на ценностите и мобилността</w:t>
      </w:r>
    </w:p>
    <w:p w:rsidR="003D1E4F" w:rsidRPr="00D136FB" w:rsidRDefault="003D1E4F" w:rsidP="003D1E4F">
      <w:r w:rsidRPr="00D136FB">
        <w:t>Целта на обществената консултация относно средствата от ЕС в областта на ценностите и мобилността беше да се получат становища от всички заинтересовани страни за това как да се извлече максимална полза от всяко евро от бюджета на ЕС. Консултациите се проведоха в контекста на оценките на съществуващите програми на ЕС за финансиране, обхващащи няколко области на политиката, включително във връзка с текущите резултати от провежданите дейности и бъдещите предизвикателства.</w:t>
      </w:r>
    </w:p>
    <w:p w:rsidR="003D1E4F" w:rsidRPr="00D136FB" w:rsidRDefault="003D1E4F" w:rsidP="003D1E4F">
      <w:r w:rsidRPr="00D136FB">
        <w:t>По-долу са посочени някои от основните резултати от консултацията:</w:t>
      </w:r>
    </w:p>
    <w:p w:rsidR="003D1E4F" w:rsidRPr="00D136FB" w:rsidRDefault="003D1E4F" w:rsidP="00F13A66">
      <w:pPr>
        <w:pStyle w:val="Point0number"/>
        <w:numPr>
          <w:ilvl w:val="0"/>
          <w:numId w:val="20"/>
        </w:numPr>
      </w:pPr>
      <w:r w:rsidRPr="00D136FB">
        <w:t>Според респондентите „насърчаването на европейската идентичност и общите ценности“, както и „насърчаването на правата и равенството“ са важни общи политически предизвикателства, на които трябва да бъде отделено внимание в тези програми. За програма „Творческа Европа“ икономическите предизвикателства и културното многообразие са по-важни от „насърчаването на социалното приобщаване и справедливостта“.</w:t>
      </w:r>
    </w:p>
    <w:p w:rsidR="003D1E4F" w:rsidRPr="00D136FB" w:rsidRDefault="003D1E4F" w:rsidP="00BC7B31">
      <w:pPr>
        <w:pStyle w:val="Point0number"/>
        <w:numPr>
          <w:ilvl w:val="0"/>
          <w:numId w:val="6"/>
        </w:numPr>
        <w:tabs>
          <w:tab w:val="clear" w:pos="850"/>
          <w:tab w:val="left" w:pos="851"/>
        </w:tabs>
      </w:pPr>
      <w:r w:rsidRPr="00D136FB">
        <w:t>Според над половината от респондентите „подкрепата за иновациите“, „насърчаването на европейското културно многообразие и културно наследство“, „насърчаването на европейската идентичност и общите ценности“ се считат за политики, които напълно или сравнително добре отговарят на съществуващите предизвикателства. Освен това 52 % от респондентите</w:t>
      </w:r>
      <w:r w:rsidRPr="00D136FB">
        <w:rPr>
          <w:rStyle w:val="FootnoteReference"/>
        </w:rPr>
        <w:footnoteReference w:id="10"/>
      </w:r>
      <w:r w:rsidRPr="00D136FB">
        <w:t>, които имат опит с програма „Творческа Европа“, считат, че политиката за „подкрепа на конкурентоспособността на европейските сектори на културата и творчеството“ отговаря изцяло или сравнително добре на предизвикателствата.</w:t>
      </w:r>
    </w:p>
    <w:p w:rsidR="003D1E4F" w:rsidRPr="00D136FB" w:rsidRDefault="003D1E4F" w:rsidP="00BC7B31">
      <w:pPr>
        <w:pStyle w:val="Point0number"/>
        <w:numPr>
          <w:ilvl w:val="0"/>
          <w:numId w:val="6"/>
        </w:numPr>
        <w:tabs>
          <w:tab w:val="clear" w:pos="850"/>
          <w:tab w:val="left" w:pos="851"/>
        </w:tabs>
      </w:pPr>
      <w:r w:rsidRPr="00D136FB">
        <w:t xml:space="preserve">Около 80 % от респондентите, имащи някакъв вид опит с горепосочените програми на ЕС, са съгласни, че тези програми имат в голяма степен или в сравнително добра степен добавена стойност спрямо това, което държавите членки биха могли да постигнат на национално, регионално и/или местно равнище. </w:t>
      </w:r>
    </w:p>
    <w:p w:rsidR="003D1E4F" w:rsidRPr="00D136FB" w:rsidRDefault="003D1E4F" w:rsidP="00BC7B31">
      <w:pPr>
        <w:pStyle w:val="Point0number"/>
        <w:numPr>
          <w:ilvl w:val="0"/>
          <w:numId w:val="6"/>
        </w:numPr>
        <w:tabs>
          <w:tab w:val="clear" w:pos="850"/>
          <w:tab w:val="left" w:pos="851"/>
        </w:tabs>
      </w:pPr>
      <w:r w:rsidRPr="00D136FB">
        <w:t>Основните препятствия, посочени от респондентите, които биха могли да попречат на действащите програми/фондове да постигнат своите цели, са много сходни, независимо от въпросната програма: „липса на бюджет за програмите спрямо търсенето“; „недостатъчна подкрепа за малките заинтересовани страни“; „липса на подкрепа за кандидатстващите за пръв път“ са трите основни пречки, които бяха посочени.</w:t>
      </w:r>
    </w:p>
    <w:p w:rsidR="003D1E4F" w:rsidRPr="00D136FB" w:rsidRDefault="003D1E4F" w:rsidP="00BC7B31">
      <w:pPr>
        <w:pStyle w:val="Point0number"/>
        <w:numPr>
          <w:ilvl w:val="0"/>
          <w:numId w:val="6"/>
        </w:numPr>
        <w:tabs>
          <w:tab w:val="clear" w:pos="850"/>
          <w:tab w:val="left" w:pos="851"/>
        </w:tabs>
      </w:pPr>
      <w:r w:rsidRPr="00D136FB">
        <w:t>Респондентите, имащи известен опит с една или повече от програмите на ЕС, са съгласни, че „опростяването на формулярите за кандидатстване“, „способстването за структурирана мрежа и партньорства“, „улесняването на финансирането на дейности, обхващащи няколко сектора на действие“, както и „по-добрата координация между различните програми/фондове“ са основните стъпки, които трябва да бъдат предприети с оглед на опростяването и намаляването на административната тежест за бенефициерите.</w:t>
      </w:r>
    </w:p>
    <w:p w:rsidR="003D1E4F" w:rsidRPr="00D136FB" w:rsidRDefault="003D1E4F" w:rsidP="003D1E4F">
      <w:pPr>
        <w:pStyle w:val="ManualHeading1"/>
      </w:pPr>
      <w:r w:rsidRPr="00D136FB">
        <w:lastRenderedPageBreak/>
        <w:t>Други открити обществени консултации</w:t>
      </w:r>
    </w:p>
    <w:p w:rsidR="003D1E4F" w:rsidRPr="00D136FB" w:rsidRDefault="003D1E4F" w:rsidP="003D1E4F">
      <w:pPr>
        <w:spacing w:before="0" w:after="240"/>
        <w:rPr>
          <w:rFonts w:eastAsia="Arial Unicode MS"/>
        </w:rPr>
      </w:pPr>
      <w:r w:rsidRPr="00D136FB">
        <w:t>Като част от междинната оценка на програма „Творческа Европа“ от 23 януари до 24 април 2017 г. беше проведена открита обществена консултация. В нея се съдържаха ориентирани към бъдещето въпроси относно евентуалната програма приемник на програма „Творческа Европа“ след 2020 г. По отношение на подпрограми „Култура“ и „МЕДИА“ на програма „Творческа Европа“ съответно 90 % и 80 % от респондентите заявиха, че повечето от техните приоритети са все още актуални или от изключително значение, а над половината от респондентите са съгласни, че подкрепата по линия на подпрограма „Култура“ изцяло или частично допълва националното, европейското или международното финансиране. Най-важните възможности, посочени от респондентите на проучването, са споделените културни ценности, подкрепата за образованието в областта на културата, насърчаването на културното многообразие, подкрепата за интернационализацията и популяризирането на значението на културата в обществото.</w:t>
      </w:r>
    </w:p>
    <w:p w:rsidR="003D1E4F" w:rsidRPr="00D136FB" w:rsidRDefault="003D1E4F" w:rsidP="003D1E4F">
      <w:pPr>
        <w:pStyle w:val="ManualHeading2"/>
        <w:rPr>
          <w:rFonts w:eastAsia="Arial Unicode MS"/>
          <w:bdr w:val="none" w:sz="0" w:space="0" w:color="auto" w:frame="1"/>
        </w:rPr>
      </w:pPr>
      <w:r w:rsidRPr="00D136FB">
        <w:tab/>
        <w:t>Външни експертни становища</w:t>
      </w:r>
    </w:p>
    <w:p w:rsidR="003D1E4F" w:rsidRPr="00D136FB" w:rsidRDefault="003D1E4F" w:rsidP="003D1E4F">
      <w:pPr>
        <w:spacing w:before="0" w:after="240"/>
        <w:rPr>
          <w:rFonts w:eastAsia="Arial Unicode MS"/>
        </w:rPr>
      </w:pPr>
      <w:r w:rsidRPr="00D136FB">
        <w:t>Освен резултатите от обществената консултация Комисията взе предвид резултатите от междинната оценка на текущата програма „Творческа Европа“, извършена в периода 2017—2018 г., обратната информация, получена от различни заинтересовани страни, по-специално в контекста на Европейския филмов форум</w:t>
      </w:r>
      <w:r w:rsidRPr="00D136FB">
        <w:rPr>
          <w:rStyle w:val="FootnoteReference"/>
        </w:rPr>
        <w:footnoteReference w:id="11"/>
      </w:r>
      <w:r w:rsidRPr="00D136FB">
        <w:t xml:space="preserve"> и поредицата от тематични срещи със заинтересованите страни от музикалния бранш, резултатите от независими проучвания, както и препоръките, направени от експерти от държавите членки в рамките на отворения метод на координация в областта на културата и на разпространението на европейски филми, както и структурирания диалог със сектора в периода 2014—2018 г.</w:t>
      </w:r>
    </w:p>
    <w:p w:rsidR="003D1E4F" w:rsidRPr="00D136FB" w:rsidRDefault="003D1E4F" w:rsidP="003D1E4F">
      <w:pPr>
        <w:spacing w:before="0" w:after="240"/>
        <w:rPr>
          <w:rFonts w:eastAsia="Arial Unicode MS"/>
        </w:rPr>
      </w:pPr>
      <w:r w:rsidRPr="00D136FB">
        <w:t>Тези различни източници откроиха редицата ползи от програма „Творческа Европа“, но също така посочиха областите, нуждаещи се от подобряване и опростяване. Макар че общите цели на програмата (насърчаването на културното и езиковото многообразие, укрепването на конкурентоспособността на секторите на културата и творчеството) остават като цяло валидни, съществува необходимост от известна по-нататъшна интеграция и разширяване, за да може програмата да отговори по-добре на установените потребности и пропуски, които са се изострили през последните години:</w:t>
      </w:r>
    </w:p>
    <w:p w:rsidR="003D1E4F" w:rsidRPr="00D136FB" w:rsidRDefault="003D1E4F" w:rsidP="00F13A66">
      <w:pPr>
        <w:pStyle w:val="Point0number"/>
        <w:numPr>
          <w:ilvl w:val="0"/>
          <w:numId w:val="21"/>
        </w:numPr>
      </w:pPr>
      <w:r w:rsidRPr="00D136FB">
        <w:t>Увеличеният натиск върху европейското културно многообразие и наследство, в съчетание с нарастващото господство и разпространение на творби от трети държави, по-специално САЩ;</w:t>
      </w:r>
    </w:p>
    <w:p w:rsidR="003D1E4F" w:rsidRPr="00D136FB" w:rsidRDefault="003D1E4F" w:rsidP="003D1E4F">
      <w:pPr>
        <w:pStyle w:val="Point0number"/>
        <w:numPr>
          <w:ilvl w:val="0"/>
          <w:numId w:val="6"/>
        </w:numPr>
      </w:pPr>
      <w:r w:rsidRPr="00D136FB">
        <w:t>Недостатъчното разпространение и достигане до публика на европейските произведения;</w:t>
      </w:r>
    </w:p>
    <w:p w:rsidR="003D1E4F" w:rsidRPr="00D136FB" w:rsidRDefault="003D1E4F" w:rsidP="003D1E4F">
      <w:pPr>
        <w:pStyle w:val="Point0number"/>
        <w:numPr>
          <w:ilvl w:val="0"/>
          <w:numId w:val="6"/>
        </w:numPr>
      </w:pPr>
      <w:r w:rsidRPr="00D136FB">
        <w:t>Незадоволителната и крехка конкурентоспособност на секторите на културата и творчеството;</w:t>
      </w:r>
    </w:p>
    <w:p w:rsidR="003D1E4F" w:rsidRPr="00D136FB" w:rsidRDefault="003D1E4F" w:rsidP="003D1E4F">
      <w:pPr>
        <w:pStyle w:val="Point0number"/>
        <w:numPr>
          <w:ilvl w:val="0"/>
          <w:numId w:val="6"/>
        </w:numPr>
      </w:pPr>
      <w:r w:rsidRPr="00D136FB">
        <w:t>Липсата на възможности за обучение и мобилност за хората на изкуството и творците;</w:t>
      </w:r>
    </w:p>
    <w:p w:rsidR="003D1E4F" w:rsidRPr="00D136FB" w:rsidRDefault="003D1E4F" w:rsidP="003D1E4F">
      <w:pPr>
        <w:pStyle w:val="Point0number"/>
        <w:numPr>
          <w:ilvl w:val="0"/>
          <w:numId w:val="6"/>
        </w:numPr>
      </w:pPr>
      <w:r w:rsidRPr="00D136FB">
        <w:t>Липсата на интернационализация на европейската култура;</w:t>
      </w:r>
    </w:p>
    <w:p w:rsidR="003D1E4F" w:rsidRPr="00D136FB" w:rsidRDefault="003D1E4F" w:rsidP="003D1E4F">
      <w:pPr>
        <w:pStyle w:val="Point0number"/>
        <w:numPr>
          <w:ilvl w:val="0"/>
          <w:numId w:val="6"/>
        </w:numPr>
      </w:pPr>
      <w:r w:rsidRPr="00D136FB">
        <w:t>Трудностите при достигането до публика и гарантирането на социалното приобщаване;</w:t>
      </w:r>
    </w:p>
    <w:p w:rsidR="003D1E4F" w:rsidRPr="00D136FB" w:rsidRDefault="003D1E4F" w:rsidP="003D1E4F">
      <w:pPr>
        <w:pStyle w:val="Point0number"/>
        <w:numPr>
          <w:ilvl w:val="0"/>
          <w:numId w:val="6"/>
        </w:numPr>
      </w:pPr>
      <w:r w:rsidRPr="00D136FB">
        <w:t>Ограниченото приспособяване и готовност за цифровата трансформация.</w:t>
      </w:r>
    </w:p>
    <w:p w:rsidR="003D1E4F" w:rsidRPr="00D136FB" w:rsidRDefault="003D1E4F" w:rsidP="003D1E4F">
      <w:pPr>
        <w:pStyle w:val="Point0number"/>
        <w:numPr>
          <w:ilvl w:val="0"/>
          <w:numId w:val="6"/>
        </w:numPr>
      </w:pPr>
      <w:r w:rsidRPr="00D136FB">
        <w:t>Липсата на изграждане на капацитет на специалистите и професионализирането на лицата;</w:t>
      </w:r>
    </w:p>
    <w:p w:rsidR="003D1E4F" w:rsidRPr="00D136FB" w:rsidRDefault="003D1E4F" w:rsidP="003D1E4F">
      <w:pPr>
        <w:pStyle w:val="Point0number"/>
        <w:numPr>
          <w:ilvl w:val="0"/>
          <w:numId w:val="6"/>
        </w:numPr>
      </w:pPr>
      <w:r w:rsidRPr="00D136FB">
        <w:lastRenderedPageBreak/>
        <w:t>Специфичните предизвикателства за аудио-визуалния сектор в контекста на все по-интегрирания цифров единен пазар;</w:t>
      </w:r>
    </w:p>
    <w:p w:rsidR="003D1E4F" w:rsidRPr="00D136FB" w:rsidRDefault="003D1E4F" w:rsidP="003D1E4F">
      <w:pPr>
        <w:pStyle w:val="Point0number"/>
        <w:numPr>
          <w:ilvl w:val="0"/>
          <w:numId w:val="6"/>
        </w:numPr>
      </w:pPr>
      <w:r w:rsidRPr="00D136FB">
        <w:t>Специфичните секторни предизвикателства, по-специално за музикалния сектор, книжния и издателския сектор и сектора на архитектурата и наследството.</w:t>
      </w:r>
    </w:p>
    <w:p w:rsidR="003D1E4F" w:rsidRPr="00D136FB" w:rsidRDefault="003D1E4F" w:rsidP="003D1E4F">
      <w:pPr>
        <w:pStyle w:val="ManualHeading2"/>
        <w:rPr>
          <w:rFonts w:eastAsia="Arial Unicode MS"/>
          <w:bdr w:val="none" w:sz="0" w:space="0" w:color="auto" w:frame="1"/>
        </w:rPr>
      </w:pPr>
      <w:r w:rsidRPr="00D136FB">
        <w:tab/>
        <w:t>Оценка на въздействието</w:t>
      </w:r>
    </w:p>
    <w:p w:rsidR="003D1E4F" w:rsidRPr="00D136FB" w:rsidRDefault="003D1E4F" w:rsidP="003D1E4F">
      <w:pPr>
        <w:rPr>
          <w:iCs/>
          <w:szCs w:val="24"/>
        </w:rPr>
      </w:pPr>
      <w:r w:rsidRPr="00D136FB">
        <w:t>Изготвена беше оценка на въздействието в подкрепа на програми „Творческа Европа“, „Права и ценности“ и „Правосъдие“. Въпреки че Комисията реши, че е по-уместно работата в тази сфера да продължи чрез две отделни програми, констатациите от комбинираната оценка на въздействието продължават да са актуални и са приложими както за подпрограма „Култура“, така и за подпрограма „МЕДИА“.</w:t>
      </w:r>
    </w:p>
    <w:p w:rsidR="003D1E4F" w:rsidRPr="00D136FB" w:rsidRDefault="003D1E4F" w:rsidP="003D1E4F">
      <w:pPr>
        <w:rPr>
          <w:iCs/>
          <w:szCs w:val="24"/>
        </w:rPr>
      </w:pPr>
      <w:r w:rsidRPr="00D136FB">
        <w:t>На 20 април 2018 г. Комитетът за регулаторен контрол даде положително становище за оценката на въздействието. Същевременно той подчерта, че връзките между констатациите от оценките, становищата на заинтересованите страни, различните цели и обосновката за структурата на програмата следва да бъдат обяснени по-добре. Комитетът посочи освен това необходимостта от допълнителни гаранции, че рамката за мониторинг и оценка ще даде възможност за солидна и обективна оценка за успеха на програмата.</w:t>
      </w:r>
    </w:p>
    <w:p w:rsidR="003D1E4F" w:rsidRPr="00D136FB" w:rsidRDefault="003D1E4F" w:rsidP="003D1E4F">
      <w:pPr>
        <w:rPr>
          <w:iCs/>
          <w:szCs w:val="24"/>
        </w:rPr>
      </w:pPr>
      <w:r w:rsidRPr="00D136FB">
        <w:t>В настоящата инициатива се вземат предвид коментарите на Комитета. Тя се основава на съществуващата структура на програма „Творческа Европа“ и отразява по-добре обратната информация, получена от заинтересованите страни. Например, в отговор на искането за по-голяма мащабируемост новото направление „МЕДИА“ ще осигури възможността да се разработват координирани действия, свързващи различните части на веригата на стойността в аудио-визуалния сектор.</w:t>
      </w:r>
    </w:p>
    <w:p w:rsidR="003D1E4F" w:rsidRPr="00D136FB" w:rsidRDefault="003D1E4F" w:rsidP="003D1E4F">
      <w:pPr>
        <w:rPr>
          <w:iCs/>
          <w:szCs w:val="24"/>
        </w:rPr>
      </w:pPr>
      <w:r w:rsidRPr="00D136FB">
        <w:t>Освен това системата за мониторинг и оценка за цялата програма ще бъде подсилена с подходящите показатели за въздействието и крайните продукти.</w:t>
      </w:r>
    </w:p>
    <w:p w:rsidR="003D1E4F" w:rsidRPr="00D136FB" w:rsidRDefault="003D1E4F" w:rsidP="003D1E4F">
      <w:pPr>
        <w:pStyle w:val="ManualHeading2"/>
        <w:rPr>
          <w:rFonts w:eastAsia="Arial Unicode MS"/>
          <w:bdr w:val="none" w:sz="0" w:space="0" w:color="auto" w:frame="1"/>
        </w:rPr>
      </w:pPr>
      <w:r w:rsidRPr="00D136FB">
        <w:tab/>
        <w:t>Опростяване</w:t>
      </w:r>
    </w:p>
    <w:p w:rsidR="003D1E4F" w:rsidRPr="00D136FB" w:rsidRDefault="003D1E4F" w:rsidP="003D1E4F">
      <w:r w:rsidRPr="00D136FB">
        <w:t>С цел да се опрости бъдещата програма в сравнение с текущата програма „Творческа Европа“:</w:t>
      </w:r>
    </w:p>
    <w:p w:rsidR="003D1E4F" w:rsidRPr="00D136FB" w:rsidRDefault="003D1E4F" w:rsidP="00F13A66">
      <w:pPr>
        <w:pStyle w:val="Bullet0"/>
        <w:numPr>
          <w:ilvl w:val="0"/>
          <w:numId w:val="18"/>
        </w:numPr>
      </w:pPr>
      <w:r w:rsidRPr="00D136FB">
        <w:t>в програмата ще бъде предвидена по-голяма гъвкавост, така че да се адаптират работните програми за непредвидени обстоятелства или нови технологични или обществени развития и за да се поощри изпълнението;</w:t>
      </w:r>
    </w:p>
    <w:p w:rsidR="003D1E4F" w:rsidRPr="00D136FB" w:rsidRDefault="003D1E4F" w:rsidP="00F13A66">
      <w:pPr>
        <w:pStyle w:val="Bullet0"/>
        <w:numPr>
          <w:ilvl w:val="0"/>
          <w:numId w:val="18"/>
        </w:numPr>
      </w:pPr>
      <w:r w:rsidRPr="00D136FB">
        <w:t>ще се търсят повече ефективност и ефикасност посредством по-честото използване на рамкови споразумения за партньорство и на безвъзмездни средства, предоставяни на каскаден принцип, така че да се осигури финансова стабилност и да се улесни достъпът на по-малките участници. Допълнително ще се усъвършенстват доказалият своя успех обмен за обучение по време на изпълнението на проектите и разпространението на резултатите от това обучение;</w:t>
      </w:r>
    </w:p>
    <w:p w:rsidR="003D1E4F" w:rsidRPr="00D136FB" w:rsidRDefault="003D1E4F" w:rsidP="00F13A66">
      <w:pPr>
        <w:pStyle w:val="Bullet0"/>
        <w:numPr>
          <w:ilvl w:val="0"/>
          <w:numId w:val="18"/>
        </w:numPr>
      </w:pPr>
      <w:r w:rsidRPr="00D136FB">
        <w:t>по направление „МЕДИА“ ще се въведат стимули за възнаграждаване на резултатите, свързани по-специално с капацитета за достигане до широката публика (напр. аудио-визуални проекти, които отбелязват добри постъпления от продажбата на билети);</w:t>
      </w:r>
    </w:p>
    <w:p w:rsidR="003D1E4F" w:rsidRPr="00D136FB" w:rsidRDefault="003D1E4F" w:rsidP="00F13A66">
      <w:pPr>
        <w:pStyle w:val="Bullet0"/>
        <w:numPr>
          <w:ilvl w:val="0"/>
          <w:numId w:val="18"/>
        </w:numPr>
      </w:pPr>
      <w:r w:rsidRPr="00D136FB">
        <w:t>бъдещите действия в музикалния сектор, както и схемата за литературни преводи ще включват критерии за възлагане, които възнаграждават пазарния успех и усилията за достигане до публика;</w:t>
      </w:r>
    </w:p>
    <w:p w:rsidR="003D1E4F" w:rsidRPr="00D136FB" w:rsidRDefault="003D1E4F" w:rsidP="00F13A66">
      <w:pPr>
        <w:pStyle w:val="Bullet0"/>
        <w:numPr>
          <w:ilvl w:val="0"/>
          <w:numId w:val="18"/>
        </w:numPr>
      </w:pPr>
      <w:r w:rsidRPr="00D136FB">
        <w:t>ще бъдат разработени ефективни преходни договорености, така че да се улесни асоциирането към новата програма на трети държави, които преди това са били асоциирани с програма „Творческа Европа“ в периода 2014—2020 г.;</w:t>
      </w:r>
    </w:p>
    <w:p w:rsidR="003D1E4F" w:rsidRPr="00D136FB" w:rsidRDefault="003D1E4F" w:rsidP="00F13A66">
      <w:pPr>
        <w:pStyle w:val="Bullet0"/>
        <w:numPr>
          <w:ilvl w:val="0"/>
          <w:numId w:val="18"/>
        </w:numPr>
      </w:pPr>
      <w:r w:rsidRPr="00D136FB">
        <w:lastRenderedPageBreak/>
        <w:t>ще бъде внесена по-голяма яснота в насоките за програмата, а процесите и процедурите ще включват системното използване на електронни формуляри и електронни отчети, както и не толкова строги изисквания за отчитането на дейността. Ще бъде въведен съгласуван набор от правила (единен наръчник), като същевременно ще бъде оставено поле за диференцирани подходи, когато са необходими.</w:t>
      </w:r>
    </w:p>
    <w:p w:rsidR="003D1E4F" w:rsidRPr="00D136FB" w:rsidRDefault="003D1E4F" w:rsidP="003D1E4F">
      <w:r w:rsidRPr="00D136FB">
        <w:t>В други програми вече бяха успешно въведени съществени мерки за опростяване като използването на еднократни суми, единични разходи и единни ставки, които могат да бъдат въведени в новата програма „Творческа Европа“. Спецификата на сектора на културата и индивидуалният характер на подпомаганите действия затрудняват изчисляването и прилагането на еднократни суми и единни ставки (извън схемата за литературни преводи), но когато основата за изчисляване може да бъде олекотена, това намаляване на административната тежест ще бъде приветствано от бенефициерите. Еднократните суми ще продължат да се използват по направление „МЕДИА“, за да се опрости финансовото управление, когато това е целесъобразно. Методиката за изчисляване на еднократните суми ще предвижда редовен мониторинг, за да се гарантира привеждането в съответствие с реалните разходи.</w:t>
      </w:r>
    </w:p>
    <w:p w:rsidR="003D1E4F" w:rsidRPr="00D136FB" w:rsidRDefault="003D1E4F" w:rsidP="003D1E4F">
      <w:pPr>
        <w:spacing w:before="0" w:after="240"/>
      </w:pPr>
      <w:r w:rsidRPr="00D136FB">
        <w:t>Сложността на правилата за финансиране на текущите програми, както и тяхната разнородност представляват пречка за кандидатите. Важна роля за опростяване на достъпа до програмата играе използването на „едно гише“ за външните потребители, които участват в цикъла на безвъзмездните средства (т.е. портал за участниците), включително цялостна система за управление на безвъзмездните средства. Подкрепата по направление „МЕДИА“ ще стане по-ефективна, като се рационализират дейностите и съответстващите им финансови операции, докато направление „КУЛТУРА“ ще продължи да е съсредоточено върху успешните дейности и премахването на нововъзникващи пазарни дефекти чрез целенасочена секторна дейност. Като цяло заинтересованите страни от секторите на културата и творчеството ще могат да се възползват от подхода на „обслужване на едно гише“.</w:t>
      </w:r>
    </w:p>
    <w:p w:rsidR="003D1E4F" w:rsidRPr="00D136FB" w:rsidRDefault="003D1E4F" w:rsidP="003D1E4F">
      <w:pPr>
        <w:pStyle w:val="ManualHeading2"/>
        <w:rPr>
          <w:rFonts w:eastAsia="Arial Unicode MS"/>
          <w:bdr w:val="none" w:sz="0" w:space="0" w:color="auto" w:frame="1"/>
        </w:rPr>
      </w:pPr>
      <w:r w:rsidRPr="00D136FB">
        <w:tab/>
        <w:t>Основни права</w:t>
      </w:r>
    </w:p>
    <w:p w:rsidR="003D1E4F" w:rsidRPr="00D136FB" w:rsidRDefault="003D1E4F" w:rsidP="003D1E4F">
      <w:pPr>
        <w:spacing w:before="0" w:after="240"/>
        <w:rPr>
          <w:rFonts w:eastAsia="Arial Unicode MS"/>
        </w:rPr>
      </w:pPr>
      <w:r w:rsidRPr="00D136FB">
        <w:t>Настоящото предложение е изцяло в съзвучие с Хартата на основните права на ЕС. По-специално в настоящото предложение се вземат изцяло предвид член 11 (свобода на изразяване на мнение), член 13 (свобода на изкуствата и науките), член 15 (свобода при избор на професия и право на труд), член 21 (недискриминация), член 22 (културно многообразие), член 23 (равенство между жените и мъжете) и член 31 (справедливи и равни условия на труд) от Хартата.</w:t>
      </w:r>
    </w:p>
    <w:p w:rsidR="003D1E4F" w:rsidRPr="00D136FB" w:rsidRDefault="003D1E4F" w:rsidP="003D1E4F">
      <w:pPr>
        <w:pStyle w:val="ManualHeading1"/>
      </w:pPr>
      <w:r w:rsidRPr="00D136FB">
        <w:t>4.</w:t>
      </w:r>
      <w:r w:rsidRPr="00D136FB">
        <w:tab/>
        <w:t>ОТРАЖЕНИЕ ВЪРХУ БЮДЖЕТА</w:t>
      </w:r>
    </w:p>
    <w:p w:rsidR="003D1E4F" w:rsidRPr="00D136FB" w:rsidRDefault="003D1E4F" w:rsidP="003D1E4F">
      <w:pPr>
        <w:spacing w:before="0" w:after="240"/>
      </w:pPr>
      <w:r w:rsidRPr="00D136FB">
        <w:t>Финансовият пакет за изпълнението на програма „Творческа Европа“ за периода от 1 януари 2021 г. до 31 декември 2027 г. е на стойност 1 850 000 000 EUR (по текущи цени).</w:t>
      </w:r>
    </w:p>
    <w:p w:rsidR="003D1E4F" w:rsidRPr="00D136FB" w:rsidRDefault="003D1E4F" w:rsidP="003D1E4F">
      <w:pPr>
        <w:spacing w:before="0" w:after="240"/>
      </w:pPr>
      <w:r w:rsidRPr="00D136FB">
        <w:t>Допълнителни подробности за отражението върху бюджета, както и необходимите човешки и административни ресурси са посочени в законодателната финансова обосновка, приложена към настоящото предложение.</w:t>
      </w:r>
    </w:p>
    <w:p w:rsidR="003D1E4F" w:rsidRPr="00D136FB" w:rsidRDefault="003D1E4F" w:rsidP="003D1E4F">
      <w:pPr>
        <w:pStyle w:val="ManualHeading1"/>
      </w:pPr>
      <w:r w:rsidRPr="00D136FB">
        <w:t>5.</w:t>
      </w:r>
      <w:r w:rsidRPr="00D136FB">
        <w:tab/>
        <w:t>ДРУГИ ЕЛЕМЕНТИ</w:t>
      </w:r>
    </w:p>
    <w:p w:rsidR="003D1E4F" w:rsidRPr="00D136FB" w:rsidRDefault="003D1E4F" w:rsidP="003D1E4F">
      <w:pPr>
        <w:pStyle w:val="ManualHeading2"/>
        <w:rPr>
          <w:rFonts w:eastAsia="Arial Unicode MS"/>
          <w:bdr w:val="none" w:sz="0" w:space="0" w:color="auto" w:frame="1"/>
        </w:rPr>
      </w:pPr>
      <w:r w:rsidRPr="00D136FB">
        <w:tab/>
        <w:t>Планове за изпълнение и механизми за мониторинг, оценка и докладване</w:t>
      </w:r>
    </w:p>
    <w:p w:rsidR="003D1E4F" w:rsidRPr="00D136FB" w:rsidRDefault="003D1E4F" w:rsidP="003D1E4F">
      <w:r w:rsidRPr="00D136FB">
        <w:t xml:space="preserve">Съществуващите програми за финансиране, с изключение на дейностите в областта на новинарските медии, се осъществяват предимно чрез пряко управление от Изпълнителната агенция за образование, аудиовизия и култура (EACEA), тъй като това е ефективно от гледна </w:t>
      </w:r>
      <w:r w:rsidRPr="00D136FB">
        <w:lastRenderedPageBreak/>
        <w:t>точка на разходите, както бе потвърдено от междинната оценка. Според съществуващите оценки няма нужда от промяна на начина на управление.</w:t>
      </w:r>
    </w:p>
    <w:p w:rsidR="003D1E4F" w:rsidRPr="00D136FB" w:rsidRDefault="003D1E4F" w:rsidP="00F13A66">
      <w:pPr>
        <w:pStyle w:val="Bullet0"/>
        <w:numPr>
          <w:ilvl w:val="0"/>
          <w:numId w:val="18"/>
        </w:numPr>
        <w:rPr>
          <w:bdr w:val="none" w:sz="0" w:space="0" w:color="auto" w:frame="1"/>
        </w:rPr>
      </w:pPr>
      <w:r w:rsidRPr="00D136FB">
        <w:t>Изпълнението на подпрограма „МЕДИА“ ще бъде опростено и рационализирано, например чрез групиране на бенефициери и намаляване на броя на съответните им договори за безвъзмездна помощ и платежни операции. Въз основа на текущото рационализиране на схемите за разпространение, които представляват 30 % от бюджета на подпрограма „МЕДИА“, целта ще бъде да се намали общият брой операции по подпрограма „МЕДИА“ с 30 %, като по този начин се намалят административните разходи и се повиши ефективността на програмата.</w:t>
      </w:r>
    </w:p>
    <w:p w:rsidR="003D1E4F" w:rsidRPr="00D136FB" w:rsidRDefault="003D1E4F" w:rsidP="00F13A66">
      <w:pPr>
        <w:pStyle w:val="Bullet0"/>
        <w:numPr>
          <w:ilvl w:val="0"/>
          <w:numId w:val="18"/>
        </w:numPr>
        <w:rPr>
          <w:bdr w:val="none" w:sz="0" w:space="0" w:color="auto" w:frame="1"/>
        </w:rPr>
      </w:pPr>
      <w:r w:rsidRPr="00D136FB">
        <w:t>Финансовите инструменти, които предоставят гаранции, и когато е необходимо, капиталовият вид подкрепа за МСП в секторите на културата и творчеството, ще се изпълняват чрез Фонда за инвестиции в ЕС в режим на непряко управление посредством споразумения за финансов принос с партньорите по изпълнението в съответствие с Финансовия регламент.</w:t>
      </w:r>
    </w:p>
    <w:p w:rsidR="003D1E4F" w:rsidRPr="00D136FB" w:rsidRDefault="003D1E4F" w:rsidP="003D1E4F">
      <w:pPr>
        <w:spacing w:before="0" w:after="200"/>
        <w:rPr>
          <w:rFonts w:eastAsia="Arial Unicode MS"/>
        </w:rPr>
      </w:pPr>
      <w:r w:rsidRPr="00D136FB">
        <w:t>Ще се извършват оценки в съответствие с точки 22 и 23 от Междуинституционалното споразумение от 13 април 2016 г.</w:t>
      </w:r>
      <w:r w:rsidRPr="00D136FB">
        <w:rPr>
          <w:rStyle w:val="FootnoteReference"/>
        </w:rPr>
        <w:footnoteReference w:id="12"/>
      </w:r>
      <w:r w:rsidRPr="00D136FB">
        <w:t>, с което трите институции потвърдиха, че оценките на действащото законодателство и политика следва да служат като основа за оценките на въздействието на вариантите за по-нататъшни действия. Оценките ще разглеждат ефектите от програмата на място въз основа на програмните показатели/цели и подробен анализ на степента, в която програмата може да се счита за целесъобразна, ефективна, ефикасна, осигуряваща достатъчна добавена стойност от ЕС и съгласувана с други политики на ЕС. Те ще включват извлечените поуки, така че да се установят евентуални пропуски/проблеми или потенциал за по-нататъшно подобряване на дейностите или резултатите от тях, както и да се спомогне за максималното повишаване на тяхното използване/въздействие. Работата по мониторинга и оценката ще се основава на преразгледаната рамка за мониторинг на изпълнението, разработени за програма „Творческа Европа“ за периода 2014—2020 г. Тази рамка ще обединява данните за проектите и бенефициерите (събрани посредством електронни формуляри и електронни отчети) с допълнителни контекстуални данни от Европейската аудио-визуална обсерватория или целеви проучвания. Показателите ще отразяват реалистично наличната информация за всяко от направленията. Мониторингът на програмата ще се осъществява както постоянно (с оглед на своевременното реагиране на непредвидени събития или извънредни нужди), така и на редовни планирани интервали (за да се отчитат основни събития, като например покани за представяне на предложения, прегледи на проекти, прояви за координация или разпространение). Резултатите от този мониторинг ще бъдат включени след това във:</w:t>
      </w:r>
    </w:p>
    <w:p w:rsidR="003D1E4F" w:rsidRPr="00D136FB" w:rsidRDefault="003D1E4F" w:rsidP="00F13A66">
      <w:pPr>
        <w:pStyle w:val="Bullet1"/>
        <w:numPr>
          <w:ilvl w:val="0"/>
          <w:numId w:val="19"/>
        </w:numPr>
      </w:pPr>
      <w:r w:rsidRPr="00D136FB">
        <w:t>годишен мониторингов доклад, съдържащ обзор на напредъка в постигането на целите на програмата;</w:t>
      </w:r>
    </w:p>
    <w:p w:rsidR="003D1E4F" w:rsidRPr="00D136FB" w:rsidRDefault="003D1E4F" w:rsidP="00F13A66">
      <w:pPr>
        <w:pStyle w:val="Bullet1"/>
        <w:numPr>
          <w:ilvl w:val="0"/>
          <w:numId w:val="19"/>
        </w:numPr>
      </w:pPr>
      <w:r w:rsidRPr="00D136FB">
        <w:t>междинна оценка (извършва се не по-късно от четири години след началото на изпълнението на програмата);</w:t>
      </w:r>
    </w:p>
    <w:p w:rsidR="003D1E4F" w:rsidRPr="00D136FB" w:rsidRDefault="003D1E4F" w:rsidP="00F13A66">
      <w:pPr>
        <w:pStyle w:val="Bullet1"/>
        <w:numPr>
          <w:ilvl w:val="0"/>
          <w:numId w:val="19"/>
        </w:numPr>
      </w:pPr>
      <w:r w:rsidRPr="00D136FB">
        <w:t>окончателна оценка, която да се извърши се не по-късно от две години след края на програмния период.</w:t>
      </w:r>
    </w:p>
    <w:p w:rsidR="003D1E4F" w:rsidRPr="00D136FB" w:rsidRDefault="003D1E4F" w:rsidP="003D1E4F">
      <w:pPr>
        <w:spacing w:before="0" w:after="200"/>
        <w:rPr>
          <w:rFonts w:eastAsia="Arial Unicode MS"/>
        </w:rPr>
      </w:pPr>
      <w:r w:rsidRPr="00D136FB">
        <w:t xml:space="preserve">Тези ретроспективни оценки ще се извършват в съответствие с най-новата приложима версия на Насоките за по-добро регулиране (като се използва техният инструментариум от насоки и </w:t>
      </w:r>
      <w:r w:rsidRPr="00D136FB">
        <w:lastRenderedPageBreak/>
        <w:t>най-добри практики). В тях ще се оценява изпълнението на програмата въз основа на ключовите програмни показатели/цели и на подробен анализ на степента, в която програмата може да се счита за целесъобразна, ефективна, ефикасна, осигуряваща достатъчна добавена стойност от ЕС и съгласувана с други политики на ЕС. Те ще включват препоръки за отстраняване на евентуални пропуски/проблеми или за потенциалното по-нататъшно подобряване на дейностите или резултатите от тях, както и за спомагане за максималното повишаване на тяхното използване/въздействие.</w:t>
      </w:r>
    </w:p>
    <w:p w:rsidR="003D1E4F" w:rsidRPr="00D136FB" w:rsidRDefault="003D1E4F" w:rsidP="003D1E4F">
      <w:pPr>
        <w:rPr>
          <w:rFonts w:eastAsia="Arial Unicode MS"/>
          <w:i/>
        </w:rPr>
      </w:pPr>
      <w:r w:rsidRPr="00D136FB">
        <w:t>Докладването пред Европейския парламент, Съвета и всички други съответни институции на ЕС ще става на редовни интервали чрез основните доклади за мониторинг и оценка и публично информационно табло за ключовите показатели на програмата.</w:t>
      </w:r>
    </w:p>
    <w:p w:rsidR="003D1E4F" w:rsidRPr="00D136FB" w:rsidRDefault="003D1E4F" w:rsidP="003D1E4F">
      <w:pPr>
        <w:rPr>
          <w:rFonts w:eastAsia="Arial Unicode MS"/>
          <w:i/>
        </w:rPr>
      </w:pPr>
      <w:r w:rsidRPr="00D136FB">
        <w:t>В зависимост от резултата от анализа на разходите и ползите, който ще бъде извършен на централно равнище, през следващия програмен период значителна част от програмата вероятно ще се изпълнява от Изпълнителната агенция за образование, аудио-визия и култура, под надзора на генералните дирекции, отговарящи за програмата.</w:t>
      </w:r>
    </w:p>
    <w:p w:rsidR="003D1E4F" w:rsidRPr="00D136FB" w:rsidRDefault="003D1E4F" w:rsidP="003D1E4F">
      <w:pPr>
        <w:pStyle w:val="ManualHeading2"/>
        <w:rPr>
          <w:rFonts w:eastAsia="Arial Unicode MS"/>
          <w:bdr w:val="none" w:sz="0" w:space="0" w:color="auto" w:frame="1"/>
        </w:rPr>
      </w:pPr>
      <w:r w:rsidRPr="00D136FB">
        <w:tab/>
        <w:t>Подробно разяснение на отделните разпоредби на предложението</w:t>
      </w:r>
    </w:p>
    <w:p w:rsidR="003D1E4F" w:rsidRPr="00D136FB" w:rsidRDefault="003D1E4F" w:rsidP="003D1E4F">
      <w:pPr>
        <w:spacing w:before="0" w:after="240"/>
      </w:pPr>
      <w:r w:rsidRPr="00D136FB">
        <w:t>Настоящото предложение се основава на и следва съществуващата структура на програма „Творческа Европа“ и нейните направления „Култура“ и „МЕДИА“, както и засиленото междусекторно направление, което ще даде възможност за новаторски действия, когато междусекторната дейност осигурява добавена стойност. Структурата и целите на програма „Творческа Европа“ бяха потвърдени в междинната оценка</w:t>
      </w:r>
      <w:r w:rsidRPr="00D136FB">
        <w:rPr>
          <w:rStyle w:val="FootnoteReference"/>
        </w:rPr>
        <w:footnoteReference w:id="13"/>
      </w:r>
      <w:r w:rsidRPr="00D136FB">
        <w:t xml:space="preserve"> и друга обратна информация. Въпреки това са необходими някои адаптации с оглед на икономическите, технологичните, социалните и политическите развития, както е обяснено по-горе.</w:t>
      </w:r>
    </w:p>
    <w:p w:rsidR="003D1E4F" w:rsidRPr="00D136FB" w:rsidRDefault="003D1E4F" w:rsidP="003D1E4F">
      <w:pPr>
        <w:spacing w:before="0" w:after="240"/>
      </w:pPr>
      <w:r w:rsidRPr="00D136FB">
        <w:t xml:space="preserve">Така например в новата програма са включени по-целенасочени подходи за съществуващите действия, но също и нови елементи. </w:t>
      </w:r>
    </w:p>
    <w:p w:rsidR="003D1E4F" w:rsidRPr="00D136FB" w:rsidRDefault="003D1E4F" w:rsidP="003D1E4F">
      <w:pPr>
        <w:spacing w:before="0" w:after="240"/>
      </w:pPr>
      <w:r w:rsidRPr="00D136FB">
        <w:t>С направление „КУЛТУРА“ ще продължи предоставянето на подкрепа за транснационални партньорства, мрежи и платформи и ще се разработват специфични за сектора инициативи, ще се подкрепят културните деятели и творците в усилията им да достигнат до публика в Европа и извън нея и ще се разработват елементи, които допринасят за конкретните социални ползи от културата за отделните хора и най-вече за обществото. С него ще бъдат усъвършенствани съществуващите специални действия като инициативата „Европейски столици на културата“ и Знака за европейско наследство</w:t>
      </w:r>
    </w:p>
    <w:p w:rsidR="003D1E4F" w:rsidRPr="00D136FB" w:rsidRDefault="003D1E4F" w:rsidP="003D1E4F">
      <w:pPr>
        <w:spacing w:before="0" w:after="240"/>
      </w:pPr>
      <w:r w:rsidRPr="00D136FB">
        <w:t xml:space="preserve">Направление „МЕДИА“ ще има за цел да стимулира сътрудничеството и иновациите в създаването и продукцията на европейски аудио-визуални произведения, включително чрез създаването на благоприятна среда за развитието на таланти в Европа. То ще се стреми към подобряване на театралното и онлайн разпространение и към осигуряване на по-широк достъп през граница до европейските аудио-визуални произведения, включително чрез новаторски бизнес модели. По това направление ще се популяризират европейските аудио-визуални произведения и ще се съдейства за привличането на публика в цяла Европа и извън нея. Тези приоритети ще намерят своето изражение в подкрепата за създаването, популяризирането, достъпа и разпространението на европейски произведения с потенциал да достигнат до широка публика в рамките на Европа и извън нея, като по този начин се спомага за изпълнението на Директивата за аудио-визуалните медийни услуги. Освен това в направление „МЕДИА“ ще се предвижда по-гъвкав подход, който дава възможност за по-тясно сътрудничество между </w:t>
      </w:r>
      <w:r w:rsidRPr="00D136FB">
        <w:lastRenderedPageBreak/>
        <w:t>различните части на веригата на стойността. Чрез него ще се насърчи също така установяването на структурирани партньорства и мрежи за засилване на цялостната конкурентоспособност на европейския аудио-визуален сектор и за намаляване на административните разходи, свързани с управлението на програмата.</w:t>
      </w:r>
    </w:p>
    <w:p w:rsidR="003D1E4F" w:rsidRPr="00D136FB" w:rsidRDefault="003D1E4F" w:rsidP="003D1E4F">
      <w:pPr>
        <w:spacing w:before="0" w:after="240"/>
      </w:pPr>
      <w:r w:rsidRPr="00D136FB">
        <w:t>С МЕЖДУСЕКТОРНОТО направление ще се насърчават хоризонталните дейности, свързани едновременно с аудио-визуалния сектор и другите сектори на културата и творчеството. С него ще се насърчава запознатостта с програмата и ще се способства за прехвърляемостта на резултатите. То ще поощрява също новаторските подходи в секторите на културата и творчеството към създаването на съдържание, достъпа, разпространението и популяризирането. С това направление ще се насърчават хоризонталните дейности, обхващащи няколко сектора и имащи за цел коригирането на структурните промени, пред които е изправен медийният сектор, по-специално по отношение на свободата и плурализма на медийната среда, качеството на журналистиката и медийната грамотност. Накрая, чрез него ще се създадат и бюра за подкрепа на програмата, които ще предоставят информация за нея и ще я популяризират в своята държава и които ще стимулират трансграничното сътрудничество в секторите на културата и творчеството.</w:t>
      </w:r>
    </w:p>
    <w:p w:rsidR="003D1E4F" w:rsidRPr="00D136FB" w:rsidRDefault="003D1E4F" w:rsidP="003D1E4F">
      <w:pPr>
        <w:spacing w:before="0" w:after="200" w:line="276" w:lineRule="auto"/>
        <w:jc w:val="left"/>
      </w:pPr>
      <w:r w:rsidRPr="00D136FB">
        <w:br w:type="page"/>
      </w:r>
    </w:p>
    <w:p w:rsidR="003D1E4F" w:rsidRPr="00D136FB" w:rsidRDefault="00377BF1" w:rsidP="00377BF1">
      <w:pPr>
        <w:pStyle w:val="Rfrenceinterinstitutionnelle"/>
      </w:pPr>
      <w:r w:rsidRPr="00377BF1">
        <w:lastRenderedPageBreak/>
        <w:t>2018/0190 (COD)</w:t>
      </w:r>
    </w:p>
    <w:p w:rsidR="003D1E4F" w:rsidRPr="00D136FB" w:rsidRDefault="00377BF1" w:rsidP="00377BF1">
      <w:pPr>
        <w:pStyle w:val="Statut"/>
      </w:pPr>
      <w:r w:rsidRPr="00377BF1">
        <w:t>Предложение за</w:t>
      </w:r>
    </w:p>
    <w:p w:rsidR="003D1E4F" w:rsidRPr="00D136FB" w:rsidRDefault="00377BF1" w:rsidP="00377BF1">
      <w:pPr>
        <w:pStyle w:val="Typedudocument"/>
      </w:pPr>
      <w:r w:rsidRPr="00377BF1">
        <w:t>РЕГЛАМЕНТ НА ЕВРОПЕЙСКИЯ ПАРЛАМЕНТ И НА СЪВЕТА</w:t>
      </w:r>
    </w:p>
    <w:p w:rsidR="003D1E4F" w:rsidRPr="00D136FB" w:rsidRDefault="00377BF1" w:rsidP="00377BF1">
      <w:pPr>
        <w:pStyle w:val="Titreobjet"/>
      </w:pPr>
      <w:r w:rsidRPr="00377BF1">
        <w:t>за създаване на програма „Творческа Европа“ (2021—2027 г.) и за отмяна на Регламент (ЕС) № 1295/2013</w:t>
      </w:r>
    </w:p>
    <w:p w:rsidR="003D1E4F" w:rsidRPr="00D136FB" w:rsidRDefault="00377BF1" w:rsidP="00377BF1">
      <w:pPr>
        <w:pStyle w:val="IntrtEEE"/>
      </w:pPr>
      <w:r w:rsidRPr="00377BF1">
        <w:t>(текст от значение за ЕИП)</w:t>
      </w:r>
    </w:p>
    <w:p w:rsidR="003D1E4F" w:rsidRPr="00D136FB" w:rsidRDefault="003D1E4F" w:rsidP="003D1E4F">
      <w:pPr>
        <w:pStyle w:val="Institutionquiagit"/>
      </w:pPr>
      <w:r w:rsidRPr="00D136FB">
        <w:t>ЕВРОПЕЙСКИЯТ ПАРЛАМЕНТ И СЪВЕТЪТ НА ЕВРОПЕЙСКИЯ СЪЮЗ,</w:t>
      </w:r>
    </w:p>
    <w:p w:rsidR="003D1E4F" w:rsidRPr="00D136FB" w:rsidRDefault="003D1E4F" w:rsidP="003D1E4F">
      <w:r w:rsidRPr="00D136FB">
        <w:t>като взеха предвид Договора за функционирането на Европейския съюз, и по-специално член 167, параграф 5 и член 173, параграф 3 от него,</w:t>
      </w:r>
    </w:p>
    <w:p w:rsidR="003D1E4F" w:rsidRPr="00D136FB" w:rsidRDefault="003D1E4F" w:rsidP="003D1E4F">
      <w:r w:rsidRPr="00D136FB">
        <w:t>като взеха предвид предложението на Европейската комисия,</w:t>
      </w:r>
    </w:p>
    <w:p w:rsidR="003D1E4F" w:rsidRPr="00D136FB" w:rsidRDefault="003D1E4F" w:rsidP="003D1E4F">
      <w:r w:rsidRPr="00D136FB">
        <w:t>след предаване на проекта на законодателния акт на националните парламенти,</w:t>
      </w:r>
    </w:p>
    <w:p w:rsidR="003D1E4F" w:rsidRPr="00D136FB" w:rsidRDefault="003D1E4F" w:rsidP="003D1E4F">
      <w:pPr>
        <w:rPr>
          <w:i/>
        </w:rPr>
      </w:pPr>
      <w:r w:rsidRPr="00D136FB">
        <w:t>като взеха предвид становището на Европейския икономически и социален комитет</w:t>
      </w:r>
      <w:r w:rsidRPr="00D136FB">
        <w:rPr>
          <w:rStyle w:val="FootnoteReference"/>
        </w:rPr>
        <w:footnoteReference w:id="14"/>
      </w:r>
      <w:r w:rsidRPr="00D136FB">
        <w:t>,</w:t>
      </w:r>
    </w:p>
    <w:p w:rsidR="003D1E4F" w:rsidRPr="00D136FB" w:rsidRDefault="003D1E4F" w:rsidP="003D1E4F">
      <w:r w:rsidRPr="00D136FB">
        <w:t>като взеха предвид становището на Комитета на регионите</w:t>
      </w:r>
      <w:r w:rsidRPr="00D136FB">
        <w:rPr>
          <w:rStyle w:val="FootnoteReference"/>
        </w:rPr>
        <w:footnoteReference w:id="15"/>
      </w:r>
      <w:r w:rsidRPr="00D136FB">
        <w:t>,</w:t>
      </w:r>
    </w:p>
    <w:p w:rsidR="003D1E4F" w:rsidRPr="00D136FB" w:rsidRDefault="003D1E4F" w:rsidP="003D1E4F">
      <w:r w:rsidRPr="00D136FB">
        <w:t>в съответствие с обикновената законодателна процедура,</w:t>
      </w:r>
    </w:p>
    <w:p w:rsidR="003D1E4F" w:rsidRPr="00D136FB" w:rsidRDefault="003D1E4F" w:rsidP="003D1E4F">
      <w:pPr>
        <w:rPr>
          <w:sz w:val="28"/>
        </w:rPr>
      </w:pPr>
      <w:r w:rsidRPr="00D136FB">
        <w:t>като имат предвид, че:</w:t>
      </w:r>
    </w:p>
    <w:p w:rsidR="003D1E4F" w:rsidRPr="00D136FB" w:rsidRDefault="003D1E4F" w:rsidP="00EF7A5B">
      <w:pPr>
        <w:pStyle w:val="Considrant"/>
        <w:numPr>
          <w:ilvl w:val="0"/>
          <w:numId w:val="12"/>
        </w:numPr>
      </w:pPr>
      <w:r w:rsidRPr="00D136FB">
        <w:t>Културата, културното наследство и културното многообразие са изключително ценни за европейското общество от културна, екологична, социална и икономическа гледна точка и следва да бъдат насърчавани и подкрепяни. В Римската декларация от 25 март 2017 г., както и на Европейския съвет през декември 2017 г. бе посочено, че образованието и културата имат решаващо значение за изграждането на приобщаващи и сплотени общества и за поддържането на европейската конкурентоспособност.</w:t>
      </w:r>
    </w:p>
    <w:p w:rsidR="003D1E4F" w:rsidRPr="00D136FB" w:rsidRDefault="003D1E4F" w:rsidP="00EF7A5B">
      <w:pPr>
        <w:pStyle w:val="Considrant"/>
        <w:numPr>
          <w:ilvl w:val="0"/>
          <w:numId w:val="12"/>
        </w:numPr>
      </w:pPr>
      <w:r w:rsidRPr="00D136FB">
        <w:t>Съгласно член 2 от Договора за Европейския съюз (ДЕС) Съюзът се основава на ценностите на зачитане на човешкото достойнство, на свободата, демокрацията, равенството, правовата държава, както и на зачитането на правата на човека, включително правата на лицата, които принадлежат към малцинства. Тези ценности са общи за държавите членки в общество, в което преобладават плурализмът, недискриминацията, толерантността, справедливостта, солидарността и равенството между жените и мъжете. Тези ценности се потвърждават допълнително и намират своето отражение в правата, свободите и принципите, залегнали в Хартата на основните права на Европейския съюз, която има същата правна стойност като Договорите, както е посочено в член 6 от ДЕС.</w:t>
      </w:r>
    </w:p>
    <w:p w:rsidR="003D1E4F" w:rsidRPr="00D136FB" w:rsidRDefault="003D1E4F" w:rsidP="00EF7A5B">
      <w:pPr>
        <w:pStyle w:val="Considrant"/>
        <w:numPr>
          <w:ilvl w:val="0"/>
          <w:numId w:val="12"/>
        </w:numPr>
      </w:pPr>
      <w:r w:rsidRPr="00D136FB">
        <w:t>В член 3 от ДЕС се уточнява освен това, че Съюзът има за цел да насърчава мира, ценностите си и благоденствието на своите народи, като наред с другото той зачита богатството на своето културно и езиково многообразие и следи за опазването и развитието на европейското културно наследство.</w:t>
      </w:r>
    </w:p>
    <w:p w:rsidR="003D1E4F" w:rsidRPr="00D136FB" w:rsidRDefault="003D1E4F" w:rsidP="00EF7A5B">
      <w:pPr>
        <w:pStyle w:val="Considrant"/>
        <w:numPr>
          <w:ilvl w:val="0"/>
          <w:numId w:val="12"/>
        </w:numPr>
      </w:pPr>
      <w:r w:rsidRPr="00D136FB">
        <w:lastRenderedPageBreak/>
        <w:t>В Съобщението на Комисията относно новата европейска програма за култура</w:t>
      </w:r>
      <w:r w:rsidRPr="00D136FB">
        <w:rPr>
          <w:rStyle w:val="FootnoteReference"/>
        </w:rPr>
        <w:footnoteReference w:id="16"/>
      </w:r>
      <w:r w:rsidRPr="00D136FB">
        <w:t xml:space="preserve"> допълнително се посочват целите на Съюза в секторите на културата и творчеството. Целта му е да се оползотвори потенциалът на културата и културното многообразие за постигане на социално сближаване и благосъстояние, като се стимулира трансграничното измерение на секторите на културата и творчеството, подкрепя се способността им да се развиват и се насърчава основаното на култура творчество в образованието и иновациите, както и техният потенциал за създаване на работни места и растеж и за укрепване на международните отношения в сферата на културата. Програма „Творческа Европа“, заедно с други програми на Съюза, следва да способства за осъществяването на новата европейска програма за култура. Това е също така в съответствие с Конвенцията на ЮНЕСКО от 2005 г. за опазване и насърчаване на многообразието от форми на културно изразяване, която влезе в сила на 18 март 2007 г. и по която Съюзът е страна.</w:t>
      </w:r>
    </w:p>
    <w:p w:rsidR="003D1E4F" w:rsidRPr="00D136FB" w:rsidRDefault="003D1E4F" w:rsidP="00EF7A5B">
      <w:pPr>
        <w:pStyle w:val="Considrant"/>
        <w:numPr>
          <w:ilvl w:val="0"/>
          <w:numId w:val="12"/>
        </w:numPr>
      </w:pPr>
      <w:r w:rsidRPr="00D136FB">
        <w:t>Популяризирането на европейското културно многообразие зависи от съществуването на процъфтяващи и устойчиви сектори на културата и творчеството, които са в състояние да създават, реализират и разпространяват своите произведения сред широка и разнообразна европейска публика. По този начин се разширява техният стопански потенциал и се допринася за устойчивия растеж и за създаването на работни места. Освен това насърчаването на творчеството допринася за засилване на конкурентоспособността и за стимулиране на иновациите в промишлените вериги за създаване на стойност. Въпреки отбелязания напоследък напредък, европейският пазар на културни и творчески произведения продължава да е фрагментиран по национален и езиков признак, което не позволява на секторите на културата и творчеството да се възползват в пълна степен от европейския единен пазар, и по-специално от цифровия единен пазар.</w:t>
      </w:r>
    </w:p>
    <w:p w:rsidR="003D1E4F" w:rsidRPr="00D136FB" w:rsidRDefault="003D1E4F" w:rsidP="00EF7A5B">
      <w:pPr>
        <w:pStyle w:val="Considrant"/>
        <w:numPr>
          <w:ilvl w:val="0"/>
          <w:numId w:val="12"/>
        </w:numPr>
      </w:pPr>
      <w:r w:rsidRPr="00D136FB">
        <w:t>Програмата следва да взема предвид двойствения характер на секторите на културата и творчеството, като отчита присъщата и художествената стойност на културата, от една страна, и икономическата стойност на тези сектори, от друга, включително техния цялостен принос за растежа и конкурентоспособността, творчеството и иновациите. Това изисква силни европейски сектори на културата и творчеството, по-специално жизнена европейска аудио-визуална индустрия с оглед на нейния капацитет да достига до широка публика и нейното икономическо значение, в това число за другите творчески сектори, както и за културния туризъм. Конкуренцията на световните аудио-визуални пазари обаче се засили допълнително с все по-голямото навлизане на цифровите технологии в сектора, като например промените в медийното производство, потреблението и нарастващата роля на глобалните платформи за разпространението на съдържание. Ето защо е необходимо да се увеличи подкрепата за европейската индустрия.</w:t>
      </w:r>
    </w:p>
    <w:p w:rsidR="003D1E4F" w:rsidRPr="00D136FB" w:rsidRDefault="003D1E4F" w:rsidP="00EF7A5B">
      <w:pPr>
        <w:pStyle w:val="Considrant"/>
        <w:numPr>
          <w:ilvl w:val="0"/>
          <w:numId w:val="12"/>
        </w:numPr>
      </w:pPr>
      <w:r w:rsidRPr="00D136FB">
        <w:t>За да бъде ефективна, програмата следва да отчита специфичното естество на различните сектори, техните различни целеви групи и конкретните им потребности чрез прилагане на специфични подходи в рамките на направление, посветено на аудио-визуалния сектор, направление, посветено на другите сектори на културата и творчеството, и междусекторно направление.</w:t>
      </w:r>
    </w:p>
    <w:p w:rsidR="003D1E4F" w:rsidRPr="00D136FB" w:rsidRDefault="003D1E4F" w:rsidP="00EF7A5B">
      <w:pPr>
        <w:pStyle w:val="Considrant"/>
        <w:numPr>
          <w:ilvl w:val="0"/>
          <w:numId w:val="12"/>
        </w:numPr>
      </w:pPr>
      <w:r w:rsidRPr="00D136FB">
        <w:t>Междусекторното направление има за цел да развива потенциала на сътрудничеството между различните сектори на културата и творчеството. От съвместен хоризонтален подход могат да бъдат извлечени ползи от гледна точка на трансфера на знания и административната ефективност.</w:t>
      </w:r>
    </w:p>
    <w:p w:rsidR="003D1E4F" w:rsidRPr="00D136FB" w:rsidRDefault="003D1E4F" w:rsidP="00EF7A5B">
      <w:pPr>
        <w:pStyle w:val="Considrant"/>
        <w:numPr>
          <w:ilvl w:val="0"/>
          <w:numId w:val="12"/>
        </w:numPr>
      </w:pPr>
      <w:r w:rsidRPr="00D136FB">
        <w:lastRenderedPageBreak/>
        <w:t>В аудио-визуалния сектор е необходима намеса на Съюза, която да съпътства политиките на Съюза за цифровия единен пазар. Това се отнася най-вече за модернизирането на уредбата на авторските права и за предложения регламент относно онлайн предаванията на излъчващите организации</w:t>
      </w:r>
      <w:r w:rsidRPr="00D136FB">
        <w:rPr>
          <w:rStyle w:val="FootnoteReference"/>
        </w:rPr>
        <w:footnoteReference w:id="17"/>
      </w:r>
      <w:r w:rsidRPr="00D136FB">
        <w:t>, както и за предложението за изменение на Директива 2010/13/ЕС на Европейския парламент и на Съвета</w:t>
      </w:r>
      <w:r w:rsidRPr="00D136FB">
        <w:rPr>
          <w:rStyle w:val="FootnoteReference"/>
        </w:rPr>
        <w:footnoteReference w:id="18"/>
      </w:r>
      <w:r w:rsidRPr="00D136FB">
        <w:t>. С тях се цели да се увеличи капацитетът на европейските участници в аудио-визуалния сектор да финансират, реализират и разпространяват произведения, които да бъдат достатъчно видими в различните налични медии (като например телевизията, киното или видеото по заявка) и са привлекателни за публиката на все по-отворения и конкурентен пазар в Европа и извън нея. Подкрепата следва да се увеличи, за се отразят последните развития на пазара, най-вече по-силната позиция на глобалните платформи за разпространение в сравнение с националните радио- и телевизионни оператори, традиционно инвестиращи в производството на европейски произведения.</w:t>
      </w:r>
    </w:p>
    <w:p w:rsidR="003D1E4F" w:rsidRPr="00D136FB" w:rsidRDefault="003D1E4F" w:rsidP="00EF7A5B">
      <w:pPr>
        <w:pStyle w:val="Considrant"/>
        <w:numPr>
          <w:ilvl w:val="0"/>
          <w:numId w:val="12"/>
        </w:numPr>
      </w:pPr>
      <w:r w:rsidRPr="00D136FB">
        <w:t>Специалните действия по програма „Творческа Европа“, като например Знака за европейско наследство, Европейските дни на наследството, европейските награди в областта на съвременната музика, рок и поп музиката, литературата, културното наследство и архитектурата, както и инициативата „Европейски столици на културата“ достигат пряко до милиони европейски граждани, доказвайки социалните и икономическите ползи от европейските политики в областта на културата, поради което следва да бъдат запазени и по възможност разширени.</w:t>
      </w:r>
    </w:p>
    <w:p w:rsidR="003D1E4F" w:rsidRPr="00D136FB" w:rsidRDefault="003D1E4F" w:rsidP="00EF7A5B">
      <w:pPr>
        <w:pStyle w:val="Considrant"/>
        <w:numPr>
          <w:ilvl w:val="0"/>
          <w:numId w:val="12"/>
        </w:numPr>
      </w:pPr>
      <w:r w:rsidRPr="00D136FB">
        <w:t>Културата е жизненоважна, за да бъдат общностите по-сплотени и приобщаващи. В контекста на миграционния натиск културата играе важна роля за интеграцията на мигрантите, като спомага те да се почувстват част от приемащото ги общество и да се установят добри отношения между мигрантите и новите общности.</w:t>
      </w:r>
    </w:p>
    <w:p w:rsidR="003D1E4F" w:rsidRPr="00D136FB" w:rsidRDefault="003D1E4F" w:rsidP="00EF7A5B">
      <w:pPr>
        <w:pStyle w:val="Considrant"/>
        <w:numPr>
          <w:ilvl w:val="0"/>
          <w:numId w:val="12"/>
        </w:numPr>
      </w:pPr>
      <w:r w:rsidRPr="00D136FB">
        <w:t>Творческата свобода е в основата на жизнените културни и творчески индустрии, включително в сектора на новинарските медии. Програмата следва да насърчава междусекторните дейности и сътрудничеството между аудио-визуалния сектор и издателския сектор, за да се поощри плурализмът на медийната среда.</w:t>
      </w:r>
    </w:p>
    <w:p w:rsidR="003D1E4F" w:rsidRPr="00D136FB" w:rsidRDefault="003D1E4F" w:rsidP="00EF7A5B">
      <w:pPr>
        <w:pStyle w:val="Considrant"/>
        <w:numPr>
          <w:ilvl w:val="0"/>
          <w:numId w:val="12"/>
        </w:numPr>
      </w:pPr>
      <w:r w:rsidRPr="00D136FB">
        <w:t>В съответствие с членове 8 и 10 от Договора за функционирането на Европейския съюз (ДФЕС) програмата следва да включва във всичките си дейности цели, свързани с интегрирането на принципа на равенство между половете и недопускането на дискриминация, и по целесъобразност тя следва да определя подходящи критерии за баланс между половете.</w:t>
      </w:r>
    </w:p>
    <w:p w:rsidR="003D1E4F" w:rsidRPr="00D136FB" w:rsidRDefault="003D1E4F" w:rsidP="00EF7A5B">
      <w:pPr>
        <w:pStyle w:val="Considrant"/>
        <w:numPr>
          <w:ilvl w:val="0"/>
          <w:numId w:val="12"/>
        </w:numPr>
        <w:rPr>
          <w:bCs/>
        </w:rPr>
      </w:pPr>
      <w:r w:rsidRPr="00D136FB">
        <w:t>В съответствие със Съвместното съобщение „Към стратегия на ЕС за международните културни отношения“, одобрено с резолюция на Европейския парламент от 5 юли 2017 г.</w:t>
      </w:r>
      <w:r w:rsidRPr="00D136FB">
        <w:rPr>
          <w:rStyle w:val="FootnoteReference"/>
        </w:rPr>
        <w:footnoteReference w:id="19"/>
      </w:r>
      <w:r w:rsidRPr="00D136FB">
        <w:t>, в европейските инструменти за финансиране и в частност в настоящата програма следва да се извеждат на преден план значението на културата в международните отношения и нейната роля за популяризирането на европейските ценности чрез съзнателни и целенасочени действия, предвидени така, че да се усеща ясно влиянието на Съюза на световната сцена.</w:t>
      </w:r>
    </w:p>
    <w:p w:rsidR="003D1E4F" w:rsidRPr="00D136FB" w:rsidRDefault="003D1E4F" w:rsidP="00EF7A5B">
      <w:pPr>
        <w:pStyle w:val="Considrant"/>
        <w:numPr>
          <w:ilvl w:val="0"/>
          <w:numId w:val="12"/>
        </w:numPr>
        <w:rPr>
          <w:szCs w:val="24"/>
        </w:rPr>
      </w:pPr>
      <w:r w:rsidRPr="00D136FB">
        <w:t>В съответствие със Съобщението на Комисията за интегриран подход към културното наследство на Европа от 22 юли 2014 г.</w:t>
      </w:r>
      <w:r w:rsidRPr="00D136FB">
        <w:rPr>
          <w:rStyle w:val="FootnoteReference"/>
        </w:rPr>
        <w:footnoteReference w:id="20"/>
      </w:r>
      <w:r w:rsidRPr="00D136FB">
        <w:t xml:space="preserve"> значимите политики и инструменти следва да бъдат мобилизирани за извличане на дългосрочна и устойчива стойност на европейското </w:t>
      </w:r>
      <w:r w:rsidRPr="00D136FB">
        <w:lastRenderedPageBreak/>
        <w:t>културно наследство, както и за развиването на по-интегриран подход към неговото опазване, валоризация и подкрепа.</w:t>
      </w:r>
    </w:p>
    <w:p w:rsidR="003D1E4F" w:rsidRPr="00D136FB" w:rsidRDefault="003D1E4F" w:rsidP="00EF7A5B">
      <w:pPr>
        <w:pStyle w:val="Considrant"/>
        <w:numPr>
          <w:ilvl w:val="0"/>
          <w:numId w:val="12"/>
        </w:numPr>
        <w:rPr>
          <w:szCs w:val="24"/>
        </w:rPr>
      </w:pPr>
      <w:r w:rsidRPr="00D136FB">
        <w:t>В съответствие със Съобщението на Комисията „Инвестиране в интелигентна, иновационна и устойчива промишленост — обновена стратегия на ЕС за индустриалната политика“ от 13 септември 2017 г.</w:t>
      </w:r>
      <w:r w:rsidRPr="00D136FB">
        <w:rPr>
          <w:rStyle w:val="FootnoteReference"/>
        </w:rPr>
        <w:footnoteReference w:id="21"/>
      </w:r>
      <w:r w:rsidRPr="00D136FB">
        <w:t xml:space="preserve"> бъдещите действия следва да допринасят за интегрирането на креативността, дизайна и авангардните технологии с цел създаването на нови промишлени вериги за създаване на стойност и съживяването на традиционните промишлени отрасли.</w:t>
      </w:r>
    </w:p>
    <w:p w:rsidR="003D1E4F" w:rsidRPr="00D136FB" w:rsidRDefault="003D1E4F" w:rsidP="00EF7A5B">
      <w:pPr>
        <w:pStyle w:val="Considrant"/>
        <w:numPr>
          <w:ilvl w:val="0"/>
          <w:numId w:val="12"/>
        </w:numPr>
      </w:pPr>
      <w:r w:rsidRPr="00D136FB">
        <w:t xml:space="preserve">При определени условия програмата следва да бъде отворена за участието на членовете на Европейската асоциация за свободна търговия, присъединяващите се държави, държавите кандидатки и потенциалните кандидати за членство, ползващи се от предприсъединителна стратегия, както и на държавите, обхванати от европейската политика за съседство, и стратегическите партньори на Съюза. </w:t>
      </w:r>
    </w:p>
    <w:p w:rsidR="003D1E4F" w:rsidRPr="00D136FB" w:rsidRDefault="003D1E4F" w:rsidP="00EF7A5B">
      <w:pPr>
        <w:pStyle w:val="Considrant"/>
        <w:numPr>
          <w:ilvl w:val="0"/>
          <w:numId w:val="12"/>
        </w:numPr>
        <w:rPr>
          <w:szCs w:val="24"/>
        </w:rPr>
      </w:pPr>
      <w:r w:rsidRPr="00D136FB">
        <w:t>Третите държави, които са членове на Европейското икономическо пространство (ЕИП), могат да участват в програми на Съюза в рамките на сътрудничеството, установено по силата на Споразумението за ЕИП, което предвижда изпълнението на програмите да става с решение, прието съгласно посоченото споразумение. Трети държави могат да участват също и на основание на други правни инструменти. В настоящия регламент следва да се въведе специална разпоредба, с която на отговорния разпоредител с бюджетни кредити, Европейската служба за борба с измамите (OLAF) и Европейската сметна палата да се предоставят необходимите права и достъп, за да упражняват изцяло съответните си правомощия.</w:t>
      </w:r>
    </w:p>
    <w:p w:rsidR="003D1E4F" w:rsidRPr="00D136FB" w:rsidRDefault="003D1E4F" w:rsidP="00EF7A5B">
      <w:pPr>
        <w:pStyle w:val="Considrant"/>
        <w:numPr>
          <w:ilvl w:val="0"/>
          <w:numId w:val="12"/>
        </w:numPr>
      </w:pPr>
      <w:r w:rsidRPr="00D136FB">
        <w:t>Програмата следва да насърчава сътрудничеството между Съюза и международни организации като Организацията за образование, наука и култура на ООН (ЮНЕСКО), Съвета на Европа, включително Евроимаж и Европейската аудио-визуална обсерватория („Обсерваторията“), Организацията за икономическо сътрудничество и развитие и Световната организация за интелектуална собственост. Настоящата програма следва също така да подкрепя ангажиментите на Съюза по отношение на целите за устойчиво развитие, и по-специално културно измерение на програмата</w:t>
      </w:r>
      <w:r w:rsidRPr="00D136FB">
        <w:rPr>
          <w:rStyle w:val="FootnoteReference"/>
        </w:rPr>
        <w:footnoteReference w:id="22"/>
      </w:r>
      <w:r w:rsidRPr="00D136FB">
        <w:t xml:space="preserve">. Що се отнася до аудио-визуалния сектор, програмата следва да гарантира приноса на Съюза за работата на Европейската аудио-визуална обсерватория. </w:t>
      </w:r>
    </w:p>
    <w:p w:rsidR="003D1E4F" w:rsidRPr="00D136FB" w:rsidRDefault="003D1E4F" w:rsidP="00EF7A5B">
      <w:pPr>
        <w:pStyle w:val="Considrant"/>
        <w:numPr>
          <w:ilvl w:val="0"/>
          <w:numId w:val="12"/>
        </w:numPr>
      </w:pPr>
      <w:r w:rsidRPr="00D136FB">
        <w:t>Като се има предвид значението на действията за справяне с изменението на климата в съответствие с ангажиментите на Съюза за изпълнение на Парижкото споразумение и постигане на целите на ООН за устойчиво развитие, настоящата програма ще допринася за интегрирането на действията в областта на изменението на климата и за постигането на общата цел 25 % от бюджетните разходи на Съюза да са в подкрепа на целите в областта на климата. Съответните действия ще бъдат определени по време на подготовката и изпълнението на програмата и ще бъдат преразгледани в контекста на съответните оценки и процеси на преразглеждане.</w:t>
      </w:r>
    </w:p>
    <w:p w:rsidR="003D1E4F" w:rsidRPr="00D136FB" w:rsidRDefault="003D1E4F" w:rsidP="00EF7A5B">
      <w:pPr>
        <w:pStyle w:val="Considrant"/>
        <w:numPr>
          <w:ilvl w:val="0"/>
          <w:numId w:val="12"/>
        </w:numPr>
      </w:pPr>
      <w:r w:rsidRPr="00D136FB">
        <w:t xml:space="preserve">По отношение на настоящия регламент се прилагат хоризонталните финансови правила, приети от Европейския парламент и от Съвета на основание член 322 от ДФЕС. Тези правила са установени във Финансовия регламент и определят по-специално реда и условията за изготвяне и изпълнение на бюджета чрез безвъзмездни средства, обществени поръчки, награди, непряко управление, а също и контрола върху </w:t>
      </w:r>
      <w:r w:rsidRPr="00D136FB">
        <w:lastRenderedPageBreak/>
        <w:t>отговорността на финансовите оператори. Правилата, приети на основание член 322 от ДФЕС, се отнасят също така до защитата на бюджета на Съюза в случай на всеобщи слабости в прилагането на принципите на правовата държава в държавите членки, тъй като зачитането на принципите на правовата държава е важна предпоставка за добро финансово управление и ефективно финансиране от Съюза.</w:t>
      </w:r>
    </w:p>
    <w:p w:rsidR="003D1E4F" w:rsidRPr="00D136FB" w:rsidRDefault="003D1E4F" w:rsidP="00EF7A5B">
      <w:pPr>
        <w:pStyle w:val="Considrant"/>
        <w:numPr>
          <w:ilvl w:val="0"/>
          <w:numId w:val="12"/>
        </w:numPr>
      </w:pPr>
      <w:r w:rsidRPr="00D136FB">
        <w:t>От самото си създаване Европейската филмова академия е натрупала уникален опит и разполага с единствена по рода си позиция за създаване на паневропейска общност на филмовите творци и професионалисти, за насърчаване и разпространение на европейските филми отвъд националните граници и за разгръщане на една наистина европейска публика. Поради това тя следва да бъде допустима за пряко подпомагане от Съюза.</w:t>
      </w:r>
    </w:p>
    <w:p w:rsidR="003D1E4F" w:rsidRPr="00D136FB" w:rsidRDefault="003D1E4F" w:rsidP="00EF7A5B">
      <w:pPr>
        <w:pStyle w:val="Considrant"/>
        <w:numPr>
          <w:ilvl w:val="0"/>
          <w:numId w:val="12"/>
        </w:numPr>
      </w:pPr>
      <w:r w:rsidRPr="00D136FB">
        <w:t>От самото си създаване Младежкият оркестър на Европейския съюз е натрупал уникален опит в поощряването на междукултурния диалог, взаимното уважение и разбирателството чрез културата. Младежкият оркестър на Европейския съюз се отличава с това, че той е европейски оркестър, който надхвърля културните граници и се състои от млади музиканти, подбрани в съответствие с взискателни художествени критерии чрез стриктен процес на годишно прослушване във всички държави членки. Поради това той следва да бъде допустим за пряко подпомагане от Съюза.</w:t>
      </w:r>
    </w:p>
    <w:p w:rsidR="003D1E4F" w:rsidRPr="00D136FB" w:rsidRDefault="003D1E4F" w:rsidP="00EF7A5B">
      <w:pPr>
        <w:pStyle w:val="Considrant"/>
        <w:numPr>
          <w:ilvl w:val="0"/>
          <w:numId w:val="12"/>
        </w:numPr>
      </w:pPr>
      <w:r w:rsidRPr="00D136FB">
        <w:t xml:space="preserve">Организациите в секторите на културата и творчеството с голям европейски географски обхват, чиято дейност е свързана с директното предоставяне на услуги в сферата на културата на гражданите на Съюза, поради което те имат потенциала да оказват пряко въздействие върху европейската идентичност, следва да бъдат допустими за подпомагане от Съюза. </w:t>
      </w:r>
    </w:p>
    <w:p w:rsidR="003D1E4F" w:rsidRPr="00D136FB" w:rsidRDefault="003D1E4F" w:rsidP="00EF7A5B">
      <w:pPr>
        <w:pStyle w:val="Considrant"/>
        <w:numPr>
          <w:ilvl w:val="0"/>
          <w:numId w:val="12"/>
        </w:numPr>
      </w:pPr>
      <w:r w:rsidRPr="00D136FB">
        <w:t>С цел да се гарантира ефикасното разпределение на средствата от общия бюджет на Съюза e необходимо е да се осигури европейската добавена стойност на всички действия и дейности, извършвани по линия на програмата, тяхното взаимно допълване с дейностите на държавите членки, като същевременно следва да се търсят последователност, взаимно допълване и синергии с програмите за финансиране в подкрепа на областите на политиките с тесни връзки помежду си, както и с хоризонталните политики, като например политиката на Съюза в областта на конкуренцията.</w:t>
      </w:r>
    </w:p>
    <w:p w:rsidR="003D1E4F" w:rsidRPr="00D136FB" w:rsidRDefault="003D1E4F" w:rsidP="00EF7A5B">
      <w:pPr>
        <w:pStyle w:val="Considrant"/>
        <w:numPr>
          <w:ilvl w:val="0"/>
          <w:numId w:val="12"/>
        </w:numPr>
      </w:pPr>
      <w:r w:rsidRPr="00D136FB">
        <w:t>Финансовата подкрепа следва да се използва за преодоляване на случаи на неефективност на пазара или неоптимални инвестиционни ситуации по пропорционален начин, а действията не следва да се дублират, нито да изместват частното финансиране или да нарушават конкуренцията на вътрешния пазар. Действията следва да имат ясна европейска добавена стойност.</w:t>
      </w:r>
    </w:p>
    <w:p w:rsidR="003D1E4F" w:rsidRPr="00D136FB" w:rsidRDefault="003D1E4F" w:rsidP="00EF7A5B">
      <w:pPr>
        <w:pStyle w:val="Considrant"/>
        <w:numPr>
          <w:ilvl w:val="0"/>
          <w:numId w:val="12"/>
        </w:numPr>
      </w:pPr>
      <w:r w:rsidRPr="00D136FB">
        <w:t>Едно от най-големите предизвикателства за секторите на културата и творчеството е достъпът им до финансиране, позволяващо дейностите им да се разгръщат, както и запазването или повишаването на тяхната конкурентоспособност или развитието им в международен план. Политическите цели на настоящата програма следва да се изпълняват също така посредством финансови инструменти и бюджетна гаранция в рамките на компонента(ите) на политиката на фонд InvestEU.</w:t>
      </w:r>
    </w:p>
    <w:p w:rsidR="003D1E4F" w:rsidRPr="00D136FB" w:rsidRDefault="003D1E4F" w:rsidP="00EF7A5B">
      <w:pPr>
        <w:pStyle w:val="Considrant"/>
        <w:numPr>
          <w:ilvl w:val="0"/>
          <w:numId w:val="12"/>
        </w:numPr>
      </w:pPr>
      <w:r w:rsidRPr="00D136FB">
        <w:t xml:space="preserve">Като се има предвид техническият експертен опит, необходим за оценяване на предложенията в рамките на конкретни действия по програмата, следва да се предвиди, когато е уместно, комисиите за оценка да бъдат съставени от външни експерти. </w:t>
      </w:r>
    </w:p>
    <w:p w:rsidR="003D1E4F" w:rsidRPr="00D136FB" w:rsidRDefault="003D1E4F" w:rsidP="00EF7A5B">
      <w:pPr>
        <w:pStyle w:val="Considrant"/>
        <w:numPr>
          <w:ilvl w:val="0"/>
          <w:numId w:val="12"/>
        </w:numPr>
      </w:pPr>
      <w:r w:rsidRPr="00D136FB">
        <w:t xml:space="preserve">Програмата следва да включва реалистична и управляема система от показатели за изпълнението, които да съпътстват нейните действия и чрез които да се осъществява </w:t>
      </w:r>
      <w:r w:rsidRPr="00D136FB">
        <w:lastRenderedPageBreak/>
        <w:t>постоянен мониторинг на изпълнението. Този мониторинг, както и информационните и комуникационните дейности във връзка с програмата и нейните действия следва да се основават на трите направления на програмата.</w:t>
      </w:r>
    </w:p>
    <w:p w:rsidR="003D1E4F" w:rsidRPr="00D136FB" w:rsidRDefault="003D1E4F" w:rsidP="00EF7A5B">
      <w:pPr>
        <w:pStyle w:val="Considrant"/>
        <w:numPr>
          <w:ilvl w:val="0"/>
          <w:numId w:val="12"/>
        </w:numPr>
      </w:pPr>
      <w:r w:rsidRPr="00D136FB">
        <w:t>С настоящия регламент се определя финансов пакет за програма „Творческа Европа“, който представлява основната референтна сума по смисъла на точка 17 от Междуинституционалното споразумение от 2 декември 2013 г. между Европейския парламент, Съвета и Комисията относно бюджетната дисциплина, сътрудничеството по бюджетни въпроси и доброто финансово управление</w:t>
      </w:r>
      <w:r w:rsidRPr="00D136FB">
        <w:rPr>
          <w:rStyle w:val="FootnoteReference"/>
        </w:rPr>
        <w:footnoteReference w:id="23"/>
      </w:r>
      <w:r w:rsidRPr="00D136FB">
        <w:t xml:space="preserve"> за Европейския парламент и за Съвета в рамките на годишната бюджетна процедура.</w:t>
      </w:r>
    </w:p>
    <w:p w:rsidR="003D1E4F" w:rsidRPr="00D136FB" w:rsidRDefault="003D1E4F" w:rsidP="00EF7A5B">
      <w:pPr>
        <w:pStyle w:val="Considrant"/>
        <w:numPr>
          <w:ilvl w:val="0"/>
          <w:numId w:val="12"/>
        </w:numPr>
      </w:pPr>
      <w:r w:rsidRPr="00D136FB">
        <w:t>Към настоящата програма се прилага Регламент (ЕС, Евратом) № [...] („Финансовият регламент“). В него са определени правилата относно изпълнението на бюджета на Съюза, включително правилата относно безвъзмездните средства, в т.ч. отпусканите на трети страни, наградите, обществените поръчки, финансовите инструменти и бюджетните гаранции.</w:t>
      </w:r>
    </w:p>
    <w:p w:rsidR="003D1E4F" w:rsidRPr="00D136FB" w:rsidRDefault="003D1E4F" w:rsidP="00EF7A5B">
      <w:pPr>
        <w:pStyle w:val="Considrant"/>
        <w:numPr>
          <w:ilvl w:val="0"/>
          <w:numId w:val="12"/>
        </w:numPr>
      </w:pPr>
      <w:r w:rsidRPr="00D136FB">
        <w:t>Видовете финансиране и методите на изпълнение съгласно настоящия регламент следва да се избират в зависимост от възможностите за осъществяване на конкретните цели на действията и за постигане на резултати, като се вземат предвид по-специално разходите за контрола, административната тежест и очакваният риск от несъответствие. Това следва да включва разглеждане на възможността за използване на еднократни суми, единни ставки и единични разходи, както и финансиране, което не е свързано с разходи, както е посочено в член 125, параграф 1 от Финансовия регламент.</w:t>
      </w:r>
    </w:p>
    <w:p w:rsidR="003D1E4F" w:rsidRPr="00D136FB" w:rsidRDefault="003D1E4F" w:rsidP="00EF7A5B">
      <w:pPr>
        <w:pStyle w:val="Considrant"/>
        <w:numPr>
          <w:ilvl w:val="0"/>
          <w:numId w:val="12"/>
        </w:numPr>
      </w:pPr>
      <w:r w:rsidRPr="00D136FB">
        <w:t>В съответствие с Финансовия регламент, Регламент (ЕС, Евратом) № 883/2013 на Европейския парламент и на Съвета</w:t>
      </w:r>
      <w:r w:rsidRPr="00D136FB">
        <w:rPr>
          <w:rStyle w:val="FootnoteReference"/>
        </w:rPr>
        <w:footnoteReference w:id="24"/>
      </w:r>
      <w:r w:rsidRPr="00D136FB">
        <w:t>, Регламент (ЕО, Евратом) № 2988/95 на Съвета</w:t>
      </w:r>
      <w:r w:rsidRPr="00D136FB">
        <w:rPr>
          <w:rStyle w:val="FootnoteReference"/>
        </w:rPr>
        <w:footnoteReference w:id="25"/>
      </w:r>
      <w:r w:rsidRPr="00D136FB">
        <w:t>, Регламент (Евратом, ЕО) № 2185/96 на Съвета</w:t>
      </w:r>
      <w:r w:rsidRPr="00D136FB">
        <w:rPr>
          <w:rStyle w:val="FootnoteReference"/>
        </w:rPr>
        <w:footnoteReference w:id="26"/>
      </w:r>
      <w:r w:rsidRPr="00D136FB">
        <w:t xml:space="preserve"> и Регламент (ЕС) 2017/1939 на Съвета</w:t>
      </w:r>
      <w:r w:rsidRPr="00D136FB">
        <w:rPr>
          <w:rStyle w:val="FootnoteReference"/>
        </w:rPr>
        <w:footnoteReference w:id="27"/>
      </w:r>
      <w:r w:rsidRPr="00D136FB">
        <w:t xml:space="preserve"> финансовите интереси на Съюза се защитават посредством пропорционални мерки, включително посредством предотвратяване, разкриване, коригиране и разследване на нередности и измами, събиране на изгубени, недължимо платени или неправилно използвани средства и, когато е целесъобразно, налагане на административни санкции. В съответствие по-специално с Регламент (ЕС, Евратом) № 883/2013 и Регламент (Евратом, ЕО) № 2185/96 Европейската служба за борба с измамите (OLAF) може да извършва административни разследвания, включително проверки и инспекции на място, за да установи дали е налице измама, корупция или друга незаконна дейност, засягаща финансовите интереси на Съюза. В съответствие с Регламент (ЕС) 2017/1939 Европейската прокуратура може да разследва и да преследва по наказателен ред измами и други престъпления, засягащи финансовите интереси на Съюза, както е предвидено в </w:t>
      </w:r>
      <w:r w:rsidRPr="00D136FB">
        <w:lastRenderedPageBreak/>
        <w:t>Директива (ЕС) 2017/1371 на Европейския парламент и на Съвета</w:t>
      </w:r>
      <w:r w:rsidRPr="00D136FB">
        <w:rPr>
          <w:rStyle w:val="FootnoteReference"/>
        </w:rPr>
        <w:footnoteReference w:id="28"/>
      </w:r>
      <w:r w:rsidRPr="00D136FB">
        <w:t>. В съответствие с Финансовия регламент всички лица или субекти, получаващи средства от Съюза, оказват пълно сътрудничество за защита на финансовите интереси на Съюза, предоставят необходимите права и достъп на Комисията, на OLAF, на Европейската прокуратура и на Европейската сметна палата (ЕСП) и гарантират, че всички трети страни, участващи в усвояването на средства от Съюза, предоставят равностойни права.</w:t>
      </w:r>
    </w:p>
    <w:p w:rsidR="003D1E4F" w:rsidRPr="00D136FB" w:rsidRDefault="003D1E4F" w:rsidP="00EF7A5B">
      <w:pPr>
        <w:pStyle w:val="Considrant"/>
        <w:numPr>
          <w:ilvl w:val="0"/>
          <w:numId w:val="12"/>
        </w:numPr>
      </w:pPr>
      <w:r w:rsidRPr="00D136FB">
        <w:t>В съответствие с член 94 от Решение 2013/755/ЕС на Съвета</w:t>
      </w:r>
      <w:r w:rsidRPr="00D136FB">
        <w:rPr>
          <w:rStyle w:val="FootnoteReference"/>
        </w:rPr>
        <w:footnoteReference w:id="29"/>
      </w:r>
      <w:r w:rsidRPr="00D136FB">
        <w:t xml:space="preserve"> физически лица и организации, установени в отвъдморски страни и територии, имат право да получават финансиране при спазване на правилата и целите на програмата и на евентуалните договорености, приложими по отношение на държавата членка, с която е свързана съответната отвъдморска страна или територия. </w:t>
      </w:r>
    </w:p>
    <w:p w:rsidR="003D1E4F" w:rsidRPr="00D136FB" w:rsidRDefault="003D1E4F" w:rsidP="00EF7A5B">
      <w:pPr>
        <w:pStyle w:val="Considrant"/>
        <w:numPr>
          <w:ilvl w:val="0"/>
          <w:numId w:val="12"/>
        </w:numPr>
      </w:pPr>
      <w:r w:rsidRPr="00D136FB">
        <w:t>С цел изменение на несъществени елементи от настоящия регламент, на Комисията следва да бъде делегирано правомощието да приема актове в съответствие с член 290 от Договора за функционирането на Европейския съюз относно показателите, посочени в член 15 и приложение II. По време на своята подготвителна дейност Комисията следва да проведе подходящи консултации, включително на експертно равнище. Тези консултации следва да се провеждат в съответствие с принципите, заложени в Междуинституционалното споразумение за по-добро законотворчество от 13 април 2016 г. По-специално, с цел осигуряване на равностойно участие при подготовката на делегираните актове, Европейският парламент и Съветът следва да получават всички документи едновременно с експертите от държавите членки, като техните експерти следва да получават систематично достъп до заседанията на експертните групи на Комисията, занимаващи се с подготовката на делегираните актове.</w:t>
      </w:r>
    </w:p>
    <w:p w:rsidR="003D1E4F" w:rsidRPr="00D136FB" w:rsidRDefault="003D1E4F" w:rsidP="00EF7A5B">
      <w:pPr>
        <w:pStyle w:val="Considrant"/>
        <w:numPr>
          <w:ilvl w:val="0"/>
          <w:numId w:val="12"/>
        </w:numPr>
      </w:pPr>
      <w:r w:rsidRPr="00D136FB">
        <w:t>За да се гарантира безпроблемното изпълнение на програмата, разходите, направени от бенефициера преди подаването на заявлението за безвъзмездни средства, по-специално разходите, свързани с правата върху интелектуалната собственост, могат да се считат за допустими, при условие че са пряко свързани с изпълнението на ползващите се от подкрепа действия.</w:t>
      </w:r>
    </w:p>
    <w:p w:rsidR="003D1E4F" w:rsidRPr="00D136FB" w:rsidRDefault="003D1E4F" w:rsidP="00EF7A5B">
      <w:pPr>
        <w:pStyle w:val="Considrant"/>
        <w:numPr>
          <w:ilvl w:val="0"/>
          <w:numId w:val="12"/>
        </w:numPr>
      </w:pPr>
      <w:r w:rsidRPr="00D136FB">
        <w:t>Съгласно точки 22 и 23 от Междуинституционалното споразумение за по-добро законотворчество от 13 април 2016 г. е необходимо да се оцени настоящата програма въз основа на информацията, събрана чрез специфични изисквания за мониторинг, като същевременно се избягват излишното регулиране и административната тежест, по-специално за държавите членки. Когато е целесъобразно, тези изисквания могат да включват измерими показатели като основа за оценка на въздействието от програмата по места.</w:t>
      </w:r>
    </w:p>
    <w:p w:rsidR="003D1E4F" w:rsidRPr="00D136FB" w:rsidRDefault="003D1E4F" w:rsidP="00EF7A5B">
      <w:pPr>
        <w:pStyle w:val="Considrant"/>
        <w:numPr>
          <w:ilvl w:val="0"/>
          <w:numId w:val="12"/>
        </w:numPr>
      </w:pPr>
      <w:r w:rsidRPr="00D136FB">
        <w:t xml:space="preserve">За да се гарантират еднакви условия за прилагането на настоящия регламент, на Комисията следва да се предоставят изпълнителни правомощия за приемане на работните програми. Тези правомощия следва да бъдат </w:t>
      </w:r>
      <w:r w:rsidRPr="00D136FB">
        <w:rPr>
          <w:rStyle w:val="italic1"/>
        </w:rPr>
        <w:t>упражнявани</w:t>
      </w:r>
      <w:r w:rsidRPr="00D136FB">
        <w:t xml:space="preserve"> в съответствие с Регламент (ЕС) № 182/2011 на Европейския парламент и на Съвета</w:t>
      </w:r>
      <w:r w:rsidRPr="00D136FB">
        <w:rPr>
          <w:rStyle w:val="FootnoteReference"/>
        </w:rPr>
        <w:footnoteReference w:id="30"/>
      </w:r>
      <w:r w:rsidRPr="00D136FB">
        <w:t xml:space="preserve">. Целесъобразно е да се осигури правилното приключване на предходната програма, по-специално по </w:t>
      </w:r>
      <w:r w:rsidRPr="00D136FB">
        <w:lastRenderedPageBreak/>
        <w:t>отношение на продължаването на многогодишните мерки за управлението ѝ, като например финансирането на техническата и административната помощ. Считано от [1 януари 2021 г.], посредством техническата и административната помощ следва да се гарантира, ако е необходимо, управлението на действия, които още не са завършени в рамките на предходната програма към [31 декември 2020 г.].</w:t>
      </w:r>
    </w:p>
    <w:p w:rsidR="003D1E4F" w:rsidRPr="00D136FB" w:rsidRDefault="003D1E4F" w:rsidP="00EF7A5B">
      <w:pPr>
        <w:pStyle w:val="Considrant"/>
        <w:numPr>
          <w:ilvl w:val="0"/>
          <w:numId w:val="12"/>
        </w:numPr>
      </w:pPr>
      <w:r w:rsidRPr="00D136FB">
        <w:t>Настоящият регламент зачита основните права и съблюдава принципите, признати по-специално от Хартата на основните права на Европейския съюз. По-специално настоящият регламент се стреми да гарантира пълното зачитане на правото на равенство между мъжете и жените и правото на недискриминация въз основа на пол, раса или етнически произход, религия или убеждения, увреждане, възраст или сексуална ориентация, както и да насърчава прилагането на членове 21 и 23 от Хартата на основните права на Европейския съюз. Той е също така в съответствие с Конвенцията на ООН за правата на хората с увреждания.</w:t>
      </w:r>
    </w:p>
    <w:p w:rsidR="003D1E4F" w:rsidRPr="00D136FB" w:rsidRDefault="003D1E4F" w:rsidP="00EF7A5B">
      <w:pPr>
        <w:pStyle w:val="Considrant"/>
        <w:numPr>
          <w:ilvl w:val="0"/>
          <w:numId w:val="12"/>
        </w:numPr>
      </w:pPr>
      <w:r w:rsidRPr="00D136FB">
        <w:t>Тъй като целите на настоящия регламент не могат да бъдат постигнати в достатъчна степен от държавите членки, но могат да бъдат постигнати по-добре на равнището на Съюза поради своя транснационален характер, големия обем и широкия географски обхват на финансираните дейности за мобилност и сътрудничество, своето въздействие върху достъпа до мобилност с учебна цел и по-общо върху интеграцията на Съюза, както и засиленото им международно измерение, Съюзът може да приема мерки в съответствие с принципа на субсидиарност, уреден в член 5 от Договора за Европейския съюз. В съответствие с принципа на пропорционалност, уреден в същия член, настоящият регламент не надхвърля необходимото за постигане на тази цел,</w:t>
      </w:r>
    </w:p>
    <w:p w:rsidR="003D1E4F" w:rsidRPr="00D136FB" w:rsidRDefault="003D1E4F" w:rsidP="00EF7A5B">
      <w:pPr>
        <w:pStyle w:val="Considrant"/>
        <w:numPr>
          <w:ilvl w:val="0"/>
          <w:numId w:val="12"/>
        </w:numPr>
      </w:pPr>
      <w:r w:rsidRPr="00D136FB">
        <w:t>Поради това Регламент (ЕС) № 1295/2013 следва да бъде отменен, считано от [1 януари 2021 г.].</w:t>
      </w:r>
    </w:p>
    <w:p w:rsidR="003D1E4F" w:rsidRPr="00D136FB" w:rsidRDefault="003D1E4F" w:rsidP="00EF7A5B">
      <w:pPr>
        <w:pStyle w:val="Considrant"/>
        <w:numPr>
          <w:ilvl w:val="0"/>
          <w:numId w:val="12"/>
        </w:numPr>
      </w:pPr>
      <w:r w:rsidRPr="00D136FB">
        <w:t>С цел да се осигури непрекъснатост на финансовата подкрепа, предвидена по програмата, настоящият регламент следва да се прилага, считано от [1 януари 2021 г.],</w:t>
      </w:r>
    </w:p>
    <w:p w:rsidR="003D1E4F" w:rsidRPr="00D136FB" w:rsidRDefault="003D1E4F" w:rsidP="003D1E4F">
      <w:pPr>
        <w:spacing w:before="0" w:after="200" w:line="276" w:lineRule="auto"/>
        <w:jc w:val="left"/>
      </w:pPr>
      <w:r w:rsidRPr="00D136FB">
        <w:br w:type="page"/>
      </w:r>
    </w:p>
    <w:p w:rsidR="003D1E4F" w:rsidRPr="00D136FB" w:rsidRDefault="003D1E4F" w:rsidP="003D1E4F">
      <w:pPr>
        <w:pStyle w:val="Formuledadoption"/>
      </w:pPr>
      <w:r w:rsidRPr="00D136FB">
        <w:lastRenderedPageBreak/>
        <w:t>ПРИЕХА НАСТОЯЩИЯ РЕГЛАМЕНТ:</w:t>
      </w:r>
    </w:p>
    <w:p w:rsidR="003D1E4F" w:rsidRPr="00D136FB" w:rsidRDefault="003D1E4F" w:rsidP="003D1E4F">
      <w:pPr>
        <w:pStyle w:val="ChapterTitle"/>
      </w:pPr>
      <w:r w:rsidRPr="00D136FB">
        <w:t>Глава І</w:t>
      </w:r>
      <w:r w:rsidRPr="00D136FB">
        <w:br/>
        <w:t>Общи разпоредби</w:t>
      </w:r>
    </w:p>
    <w:p w:rsidR="003D1E4F" w:rsidRPr="00D136FB" w:rsidRDefault="003D1E4F" w:rsidP="003D1E4F">
      <w:pPr>
        <w:pStyle w:val="Titrearticle"/>
      </w:pPr>
      <w:r w:rsidRPr="00D136FB">
        <w:t>Член 1</w:t>
      </w:r>
      <w:r w:rsidRPr="00D136FB">
        <w:br/>
        <w:t>Предмет</w:t>
      </w:r>
    </w:p>
    <w:p w:rsidR="003D1E4F" w:rsidRPr="00D136FB" w:rsidRDefault="003D1E4F" w:rsidP="003D1E4F">
      <w:r w:rsidRPr="00D136FB">
        <w:t xml:space="preserve">С настоящия регламент се създава програма „Творческа Европа“ („програмата“). </w:t>
      </w:r>
    </w:p>
    <w:p w:rsidR="003D1E4F" w:rsidRPr="00D136FB" w:rsidRDefault="003D1E4F" w:rsidP="003D1E4F">
      <w:r w:rsidRPr="00D136FB">
        <w:t xml:space="preserve">С него се определят целите на програмата, бюджетът за периода 2021—2027 г., формите на финансиране от Съюза и правилата за предоставяне на такова финансиране. </w:t>
      </w:r>
    </w:p>
    <w:p w:rsidR="003D1E4F" w:rsidRPr="00D136FB" w:rsidRDefault="003D1E4F" w:rsidP="003D1E4F">
      <w:pPr>
        <w:pStyle w:val="Titrearticle"/>
      </w:pPr>
      <w:r w:rsidRPr="00D136FB">
        <w:t xml:space="preserve">Член 2 </w:t>
      </w:r>
      <w:r w:rsidRPr="00D136FB">
        <w:br/>
        <w:t>Определения</w:t>
      </w:r>
    </w:p>
    <w:p w:rsidR="003D1E4F" w:rsidRPr="00D136FB" w:rsidRDefault="003D1E4F" w:rsidP="003D1E4F">
      <w:r w:rsidRPr="00D136FB">
        <w:t xml:space="preserve">За целите на настоящия регламент се прилагат следните определения: </w:t>
      </w:r>
    </w:p>
    <w:p w:rsidR="003D1E4F" w:rsidRPr="00D136FB" w:rsidRDefault="003D1E4F" w:rsidP="00F13A66">
      <w:pPr>
        <w:pStyle w:val="Point0number"/>
        <w:numPr>
          <w:ilvl w:val="0"/>
          <w:numId w:val="23"/>
        </w:numPr>
      </w:pPr>
      <w:r w:rsidRPr="00D136FB">
        <w:t xml:space="preserve">„операция за смесено финансиране“ означава действия, подкрепени от бюджета на ЕС, включително в рамките на механизми за смесено финансиране по член 2, параграф 6 от Финансовия регламент, при които се съчетават форми на неподлежаща на връщане подкрепа и/или финансови инструменти от бюджета на ЕС с форми на подлежаща на връщане подкрепа от финансови институции в областта на развитието или от други публични финансови институции, както и от търговски финансови институции и инвеститори; </w:t>
      </w:r>
    </w:p>
    <w:p w:rsidR="003D1E4F" w:rsidRPr="00D136FB" w:rsidRDefault="003D1E4F" w:rsidP="003D1E4F">
      <w:pPr>
        <w:pStyle w:val="Point0number"/>
        <w:numPr>
          <w:ilvl w:val="0"/>
          <w:numId w:val="6"/>
        </w:numPr>
      </w:pPr>
      <w:r w:rsidRPr="00D136FB">
        <w:t xml:space="preserve">„сектори на културата и творчеството“ означава всички сектори, чиито дейности се основават на културни ценности или художествени и други индивидуални или колективни творчески форми на изразяване. Тези дейности може да включват разработването, създаването, производството, разпространението и съхраняването на стоки и услуги, които представляват културни, художествени или други творчески форми на изразяване, както и свързани с тях функции, като образование или управление. Те ще разполагат с потенциал за създаване на иновации и работни места, по-специално от интелектуална собственост. Секторите на културата и творчеството включват архитектура, архиви, библиотеки и музеи, художествени занаяти, аудио-визуална дейност (включително филми, телевизия, видеоигри и мултимедия), материално и нематериално културно наследство, дизайн (включително моден дизайн), фестивали, музика, литература, сценични изкуства, книги и издателска дейност, радио и изобразително изкуство; </w:t>
      </w:r>
    </w:p>
    <w:p w:rsidR="003D1E4F" w:rsidRPr="00D136FB" w:rsidRDefault="003D1E4F" w:rsidP="003D1E4F">
      <w:pPr>
        <w:pStyle w:val="Point0number"/>
        <w:numPr>
          <w:ilvl w:val="0"/>
          <w:numId w:val="6"/>
        </w:numPr>
      </w:pPr>
      <w:r w:rsidRPr="00D136FB">
        <w:t>„малки и средни предприятия (МСП)“ означава микро-, малки и средни предприятия, както са определени в Препоръка 2003/361/ЕО на Комисията</w:t>
      </w:r>
      <w:r w:rsidRPr="00D136FB">
        <w:rPr>
          <w:rStyle w:val="FootnoteReference"/>
        </w:rPr>
        <w:footnoteReference w:id="31"/>
      </w:r>
      <w:r w:rsidRPr="00D136FB">
        <w:t>;</w:t>
      </w:r>
    </w:p>
    <w:p w:rsidR="003D1E4F" w:rsidRPr="00D136FB" w:rsidRDefault="003D1E4F" w:rsidP="003D1E4F">
      <w:pPr>
        <w:pStyle w:val="Point0number"/>
        <w:numPr>
          <w:ilvl w:val="0"/>
          <w:numId w:val="6"/>
        </w:numPr>
      </w:pPr>
      <w:r w:rsidRPr="00D136FB">
        <w:t>„правен субект“ означава физическо лице или юридическо лице, учредено и признато в това си качество съгласно националното право, правото на Съюза или международното право, което има правосубектност и може, действайки от свое име, да упражнява права и да поема задължения или в съответствие с [член 197, параграф 2, буква в)] от Финансовия регламент — субект, който няма правосубектност;</w:t>
      </w:r>
    </w:p>
    <w:p w:rsidR="003D1E4F" w:rsidRPr="00D136FB" w:rsidRDefault="003D1E4F" w:rsidP="003D1E4F">
      <w:pPr>
        <w:pStyle w:val="Point0number"/>
        <w:numPr>
          <w:ilvl w:val="0"/>
          <w:numId w:val="6"/>
        </w:numPr>
      </w:pPr>
      <w:r w:rsidRPr="00D136FB">
        <w:t xml:space="preserve">„печатът за високи постижения“ е знак за високо качество, който се присъжда на проекти, представени в рамките на програма „Творческа Европа“, за които се счита, че заслужават финансиране, но не го получат поради бюджетни ограничения. Той </w:t>
      </w:r>
      <w:r w:rsidRPr="00D136FB">
        <w:lastRenderedPageBreak/>
        <w:t xml:space="preserve">представлява признание за стойността на предложението и подкрепя търсенето на алтернативни източници на финансиране. </w:t>
      </w:r>
    </w:p>
    <w:p w:rsidR="003D1E4F" w:rsidRPr="00D136FB" w:rsidRDefault="003D1E4F" w:rsidP="003D1E4F">
      <w:pPr>
        <w:pStyle w:val="Titrearticle"/>
      </w:pPr>
      <w:r w:rsidRPr="00D136FB">
        <w:t>Член 3</w:t>
      </w:r>
      <w:r w:rsidRPr="00D136FB">
        <w:br/>
        <w:t>Цели на програмата</w:t>
      </w:r>
    </w:p>
    <w:p w:rsidR="003D1E4F" w:rsidRPr="00D136FB" w:rsidRDefault="003D1E4F" w:rsidP="00F13A66">
      <w:pPr>
        <w:pStyle w:val="Point0number"/>
        <w:numPr>
          <w:ilvl w:val="0"/>
          <w:numId w:val="22"/>
        </w:numPr>
      </w:pPr>
      <w:r w:rsidRPr="00D136FB">
        <w:t xml:space="preserve">Общите цели на програмата са: </w:t>
      </w:r>
    </w:p>
    <w:p w:rsidR="003D1E4F" w:rsidRPr="00D136FB" w:rsidRDefault="006A2698" w:rsidP="006A2698">
      <w:pPr>
        <w:pStyle w:val="Point1"/>
      </w:pPr>
      <w:r>
        <w:t>а)</w:t>
      </w:r>
      <w:r w:rsidRPr="006A2698">
        <w:tab/>
      </w:r>
      <w:r w:rsidR="003D1E4F" w:rsidRPr="00D136FB">
        <w:t>да насърчава европейското сътрудничество по въпросите на културното и езиковото многообразие и наследство;</w:t>
      </w:r>
    </w:p>
    <w:p w:rsidR="003D1E4F" w:rsidRPr="00D136FB" w:rsidRDefault="006A2698" w:rsidP="006A2698">
      <w:pPr>
        <w:pStyle w:val="Point1"/>
      </w:pPr>
      <w:r>
        <w:t>б)</w:t>
      </w:r>
      <w:r w:rsidRPr="006A2698">
        <w:tab/>
      </w:r>
      <w:r w:rsidR="003D1E4F" w:rsidRPr="00D136FB">
        <w:t>да повишава конкурентоспособността на секторите на културата и творчеството, и по-специално аудио-визуалния сектор.</w:t>
      </w:r>
    </w:p>
    <w:p w:rsidR="003D1E4F" w:rsidRPr="00D136FB" w:rsidRDefault="003D1E4F" w:rsidP="003D1E4F">
      <w:pPr>
        <w:pStyle w:val="Point0number"/>
        <w:numPr>
          <w:ilvl w:val="0"/>
          <w:numId w:val="6"/>
        </w:numPr>
      </w:pPr>
      <w:r w:rsidRPr="00D136FB">
        <w:t xml:space="preserve">Програмата има следните конкретни цели: </w:t>
      </w:r>
    </w:p>
    <w:p w:rsidR="003D1E4F" w:rsidRPr="00D136FB" w:rsidRDefault="00D3035E" w:rsidP="00D3035E">
      <w:pPr>
        <w:pStyle w:val="Point1"/>
      </w:pPr>
      <w:r>
        <w:t>а)</w:t>
      </w:r>
      <w:r w:rsidRPr="00D3035E">
        <w:tab/>
      </w:r>
      <w:r w:rsidR="003D1E4F" w:rsidRPr="00D136FB">
        <w:t>да подобри икономическото, социалното и външното измерение на сътрудничеството на европейско равнище с цел да се развиват и популяризират културното многообразие и културното наследство на Европа и да засили конкурентоспособността на европейските сектори на културата и творчеството, както и да укрепи международните отношения в сферата на културата;</w:t>
      </w:r>
    </w:p>
    <w:p w:rsidR="003D1E4F" w:rsidRPr="00D136FB" w:rsidRDefault="00D3035E" w:rsidP="00D3035E">
      <w:pPr>
        <w:pStyle w:val="Point1"/>
      </w:pPr>
      <w:r>
        <w:t>б)</w:t>
      </w:r>
      <w:r w:rsidRPr="00D3035E">
        <w:tab/>
      </w:r>
      <w:r w:rsidR="003D1E4F" w:rsidRPr="00D136FB">
        <w:t xml:space="preserve">да насърчи конкурентоспособността и възможностите за разрастване на европейската аудио-визуална индустрия; </w:t>
      </w:r>
    </w:p>
    <w:p w:rsidR="003D1E4F" w:rsidRPr="00D136FB" w:rsidRDefault="00D3035E" w:rsidP="00D3035E">
      <w:pPr>
        <w:pStyle w:val="Point1"/>
      </w:pPr>
      <w:r>
        <w:t>в)</w:t>
      </w:r>
      <w:r w:rsidRPr="00D3035E">
        <w:tab/>
      </w:r>
      <w:r w:rsidR="003D1E4F" w:rsidRPr="00D136FB">
        <w:t>да насърчи сътрудничеството в областта на политиката и новаторските действия в подкрепа на всички направления на програмата, включително поощряването на разнообразието и плурализма на медийната среда, медийната грамотност и социалното приобщаване</w:t>
      </w:r>
      <w:r w:rsidR="003D1E4F" w:rsidRPr="00D136FB">
        <w:rPr>
          <w:b/>
        </w:rPr>
        <w:t xml:space="preserve">. </w:t>
      </w:r>
    </w:p>
    <w:p w:rsidR="003D1E4F" w:rsidRPr="00D136FB" w:rsidRDefault="003D1E4F" w:rsidP="003D1E4F">
      <w:pPr>
        <w:pStyle w:val="Point0number"/>
        <w:numPr>
          <w:ilvl w:val="0"/>
          <w:numId w:val="6"/>
        </w:numPr>
      </w:pPr>
      <w:r w:rsidRPr="00D136FB">
        <w:t xml:space="preserve">Програмата включва следните направления: </w:t>
      </w:r>
    </w:p>
    <w:p w:rsidR="003D1E4F" w:rsidRPr="00D136FB" w:rsidRDefault="00D3035E" w:rsidP="00D3035E">
      <w:pPr>
        <w:pStyle w:val="Point1"/>
      </w:pPr>
      <w:r>
        <w:t>а)</w:t>
      </w:r>
      <w:r w:rsidRPr="00D3035E">
        <w:tab/>
      </w:r>
      <w:r w:rsidR="003D1E4F" w:rsidRPr="00D136FB">
        <w:t>направление „КУЛТУРА“, което обхваща секторите на културата и творчеството, с изключение на аудио-визуалния сектор;</w:t>
      </w:r>
    </w:p>
    <w:p w:rsidR="003D1E4F" w:rsidRPr="00D136FB" w:rsidRDefault="00D3035E" w:rsidP="00D3035E">
      <w:pPr>
        <w:pStyle w:val="Point1"/>
      </w:pPr>
      <w:r>
        <w:t>б)</w:t>
      </w:r>
      <w:r w:rsidRPr="00D3035E">
        <w:tab/>
      </w:r>
      <w:r w:rsidR="003D1E4F" w:rsidRPr="00D136FB">
        <w:t>направление „МЕДИА“, което обхваща аудио-визуалния сектор;</w:t>
      </w:r>
    </w:p>
    <w:p w:rsidR="003D1E4F" w:rsidRPr="00D136FB" w:rsidRDefault="00D3035E" w:rsidP="00D3035E">
      <w:pPr>
        <w:pStyle w:val="Point1"/>
      </w:pPr>
      <w:r>
        <w:t>в)</w:t>
      </w:r>
      <w:r w:rsidRPr="00D3035E">
        <w:tab/>
      </w:r>
      <w:r w:rsidR="003D1E4F" w:rsidRPr="00D136FB">
        <w:t>„МЕЖДУСЕКТОРНО направление“, което обхваща дейности във всички сектори на културата и творчеството.</w:t>
      </w:r>
    </w:p>
    <w:p w:rsidR="003D1E4F" w:rsidRPr="00D136FB" w:rsidRDefault="003D1E4F" w:rsidP="003D1E4F">
      <w:pPr>
        <w:pStyle w:val="Titrearticle"/>
        <w:rPr>
          <w:b/>
        </w:rPr>
      </w:pPr>
      <w:r w:rsidRPr="00D136FB">
        <w:t>Член 4</w:t>
      </w:r>
      <w:r w:rsidRPr="00D136FB">
        <w:br/>
        <w:t>Направление „КУЛТУРА“</w:t>
      </w:r>
    </w:p>
    <w:p w:rsidR="003D1E4F" w:rsidRPr="00D136FB" w:rsidRDefault="003D1E4F" w:rsidP="003D1E4F">
      <w:r w:rsidRPr="00D136FB">
        <w:t>В съответствие с целите, посочени в член 3, направление „КУЛТУРА“ има следните приоритети:</w:t>
      </w:r>
    </w:p>
    <w:p w:rsidR="003D1E4F" w:rsidRPr="00D136FB" w:rsidRDefault="00D3035E" w:rsidP="00D3035E">
      <w:pPr>
        <w:pStyle w:val="Point1"/>
      </w:pPr>
      <w:r>
        <w:t>а)</w:t>
      </w:r>
      <w:r w:rsidRPr="00D3035E">
        <w:tab/>
      </w:r>
      <w:r w:rsidR="003D1E4F" w:rsidRPr="00D136FB">
        <w:t xml:space="preserve">укрепване на трансграничното измерение и движение на европейските културни деятели, творци и творби; </w:t>
      </w:r>
    </w:p>
    <w:p w:rsidR="003D1E4F" w:rsidRPr="00D136FB" w:rsidRDefault="00D3035E" w:rsidP="00D3035E">
      <w:pPr>
        <w:pStyle w:val="Point1"/>
      </w:pPr>
      <w:r>
        <w:t>б)</w:t>
      </w:r>
      <w:r w:rsidRPr="00D3035E">
        <w:tab/>
      </w:r>
      <w:r w:rsidR="003D1E4F" w:rsidRPr="00D136FB">
        <w:t>увеличаване на участието в културни дейности в цяла Европа;</w:t>
      </w:r>
    </w:p>
    <w:p w:rsidR="003D1E4F" w:rsidRPr="00D136FB" w:rsidRDefault="00D3035E" w:rsidP="00D3035E">
      <w:pPr>
        <w:pStyle w:val="Point1"/>
      </w:pPr>
      <w:r>
        <w:t>в)</w:t>
      </w:r>
      <w:r w:rsidRPr="00D3035E">
        <w:tab/>
      </w:r>
      <w:r w:rsidR="003D1E4F" w:rsidRPr="00D136FB">
        <w:t>насърчаване на устойчивостта на обществото и социалното приобщаване чрез културата и културното наследство;</w:t>
      </w:r>
    </w:p>
    <w:p w:rsidR="003D1E4F" w:rsidRPr="00D136FB" w:rsidRDefault="00D3035E" w:rsidP="00D3035E">
      <w:pPr>
        <w:pStyle w:val="Point1"/>
      </w:pPr>
      <w:r>
        <w:t>г)</w:t>
      </w:r>
      <w:r w:rsidRPr="00D3035E">
        <w:tab/>
      </w:r>
      <w:r w:rsidR="003D1E4F" w:rsidRPr="00D136FB">
        <w:t xml:space="preserve">увеличаване на капацитета на европейските сектори на културата и творчеството за просперитет и създаване на работни места и растеж; </w:t>
      </w:r>
    </w:p>
    <w:p w:rsidR="003D1E4F" w:rsidRPr="00D136FB" w:rsidRDefault="00D3035E" w:rsidP="00D3035E">
      <w:pPr>
        <w:pStyle w:val="Point1"/>
      </w:pPr>
      <w:r>
        <w:t>д)</w:t>
      </w:r>
      <w:r w:rsidRPr="00D3035E">
        <w:tab/>
      </w:r>
      <w:r w:rsidR="003D1E4F" w:rsidRPr="00D136FB">
        <w:t>укрепване на европейската идентичност и ценности чрез културна осведоменост, художествено образование и основано на култура творчество в образованието;</w:t>
      </w:r>
    </w:p>
    <w:p w:rsidR="003D1E4F" w:rsidRPr="00D136FB" w:rsidRDefault="00D3035E" w:rsidP="00D3035E">
      <w:pPr>
        <w:pStyle w:val="Point1"/>
      </w:pPr>
      <w:r>
        <w:lastRenderedPageBreak/>
        <w:t>е)</w:t>
      </w:r>
      <w:r w:rsidRPr="00D3035E">
        <w:tab/>
      </w:r>
      <w:r w:rsidR="003D1E4F" w:rsidRPr="00D136FB">
        <w:t>насърчаване на изграждането на международен капацитет на европейските сектори на културата и творчеството, който да им позволява да бъдат активни на международно равнище;</w:t>
      </w:r>
    </w:p>
    <w:p w:rsidR="003D1E4F" w:rsidRPr="00D136FB" w:rsidRDefault="00D3035E" w:rsidP="00D3035E">
      <w:pPr>
        <w:pStyle w:val="Point1"/>
      </w:pPr>
      <w:r>
        <w:t>ж)</w:t>
      </w:r>
      <w:r w:rsidRPr="00D3035E">
        <w:tab/>
      </w:r>
      <w:r w:rsidR="003D1E4F" w:rsidRPr="00D136FB">
        <w:t>допринасяне за глобалната стратегия на Съюза за международни отношения чрез дипломация в областта на културата.</w:t>
      </w:r>
    </w:p>
    <w:p w:rsidR="003D1E4F" w:rsidRPr="00D136FB" w:rsidRDefault="003D1E4F" w:rsidP="003D1E4F">
      <w:r w:rsidRPr="00D136FB">
        <w:t>Приоритетите са изложени по-подробно в приложение I.</w:t>
      </w:r>
    </w:p>
    <w:p w:rsidR="003D1E4F" w:rsidRPr="00D136FB" w:rsidRDefault="003D1E4F" w:rsidP="003D1E4F">
      <w:pPr>
        <w:pStyle w:val="Titrearticle"/>
      </w:pPr>
      <w:r w:rsidRPr="00D136FB">
        <w:t>Член 5</w:t>
      </w:r>
      <w:r w:rsidRPr="00D136FB">
        <w:br/>
        <w:t>Направление „МЕДИА“</w:t>
      </w:r>
    </w:p>
    <w:p w:rsidR="003D1E4F" w:rsidRPr="00D136FB" w:rsidRDefault="003D1E4F" w:rsidP="003D1E4F">
      <w:r w:rsidRPr="00D136FB">
        <w:t>В съответствие с целите, посочени в член 3, направление „МЕДИА“ има следните приоритети:</w:t>
      </w:r>
    </w:p>
    <w:p w:rsidR="003D1E4F" w:rsidRPr="00D136FB" w:rsidRDefault="00D3035E" w:rsidP="00D3035E">
      <w:pPr>
        <w:pStyle w:val="Point1"/>
      </w:pPr>
      <w:r>
        <w:t>а)</w:t>
      </w:r>
      <w:r w:rsidRPr="00D3035E">
        <w:tab/>
      </w:r>
      <w:r w:rsidR="003D1E4F" w:rsidRPr="00D136FB">
        <w:t xml:space="preserve">създаване на благоприятна среда за развиване на талантите и уменията и стимулиране на сътрудничеството и иновациите при създаването и производството на европейски аудио-визуални произведения; </w:t>
      </w:r>
    </w:p>
    <w:p w:rsidR="003D1E4F" w:rsidRPr="00D136FB" w:rsidRDefault="00D3035E" w:rsidP="00D3035E">
      <w:pPr>
        <w:pStyle w:val="Point1"/>
      </w:pPr>
      <w:r>
        <w:t>б)</w:t>
      </w:r>
      <w:r w:rsidRPr="00D3035E">
        <w:tab/>
      </w:r>
      <w:r w:rsidR="003D1E4F" w:rsidRPr="00D136FB">
        <w:t xml:space="preserve">увеличаване на кино- и онлайн разпространението и осигуряване на по-широк трансграничен достъп до европейските аудио-визуални произведения, включително чрез новаторски бизнес модели и използване на нови технологии; </w:t>
      </w:r>
    </w:p>
    <w:p w:rsidR="003D1E4F" w:rsidRPr="00D136FB" w:rsidRDefault="00D3035E" w:rsidP="00D3035E">
      <w:pPr>
        <w:pStyle w:val="Point1"/>
      </w:pPr>
      <w:r>
        <w:t>в)</w:t>
      </w:r>
      <w:r w:rsidRPr="00D3035E">
        <w:tab/>
      </w:r>
      <w:r w:rsidR="003D1E4F" w:rsidRPr="00D136FB">
        <w:t>популяризиране на европейските аудио-визуални произведения и оказване на съдействие за привличането на публика в цяла Европа и извън нея.</w:t>
      </w:r>
    </w:p>
    <w:p w:rsidR="003D1E4F" w:rsidRPr="00D136FB" w:rsidRDefault="003D1E4F" w:rsidP="003D1E4F">
      <w:r w:rsidRPr="00D136FB">
        <w:t xml:space="preserve">Тези приоритети ще намерят своето изражение в подкрепата за създаването, популяризирането, достъпа и разпространението на европейски произведения с потенциал да достигнат до широка публика в рамките на Европа и извън нея, като по този начин ще бъде възможно да се осъществи приспособяване към новостите на пазара и ще се спомогне за изпълнението на Директивата за аудио-визуалните медийни услуги. </w:t>
      </w:r>
    </w:p>
    <w:p w:rsidR="003D1E4F" w:rsidRPr="00D136FB" w:rsidRDefault="003D1E4F" w:rsidP="003D1E4F">
      <w:r w:rsidRPr="00D136FB">
        <w:t>Приоритетите са изложени по-подробно в приложение I.</w:t>
      </w:r>
    </w:p>
    <w:p w:rsidR="003D1E4F" w:rsidRPr="00D136FB" w:rsidRDefault="003D1E4F" w:rsidP="003D1E4F">
      <w:pPr>
        <w:pStyle w:val="Titrearticle"/>
      </w:pPr>
      <w:r w:rsidRPr="00D136FB">
        <w:t>Член 6</w:t>
      </w:r>
      <w:r w:rsidRPr="00D136FB">
        <w:br/>
        <w:t xml:space="preserve">МЕЖДУСЕКТОРНО направление </w:t>
      </w:r>
    </w:p>
    <w:p w:rsidR="003D1E4F" w:rsidRPr="00D136FB" w:rsidRDefault="003D1E4F" w:rsidP="003D1E4F">
      <w:r w:rsidRPr="00D136FB">
        <w:t>В съответствие с целите на програмата, посочени в член 3, „МЕЖДУСЕКТОРНОТО направление“ има следните приоритети:</w:t>
      </w:r>
    </w:p>
    <w:p w:rsidR="003D1E4F" w:rsidRPr="00D136FB" w:rsidRDefault="00D3035E" w:rsidP="00D3035E">
      <w:pPr>
        <w:pStyle w:val="Point1"/>
      </w:pPr>
      <w:r>
        <w:t>а)</w:t>
      </w:r>
      <w:r w:rsidRPr="00D3035E">
        <w:tab/>
      </w:r>
      <w:r w:rsidR="003D1E4F" w:rsidRPr="00D136FB">
        <w:t xml:space="preserve">осигуряване на подкрепа за междусекторното транснационално сътрудничество в областта на политиката, включително относно ролята на културата за социалното приобщаване, както и насърчаване на запознатостта с програмата и осигуряване на подкрепа за прехвърлимостта на резултатите; </w:t>
      </w:r>
    </w:p>
    <w:p w:rsidR="003D1E4F" w:rsidRPr="00D136FB" w:rsidRDefault="00D3035E" w:rsidP="00D3035E">
      <w:pPr>
        <w:pStyle w:val="Point1"/>
      </w:pPr>
      <w:r>
        <w:t>б)</w:t>
      </w:r>
      <w:r w:rsidRPr="00D3035E">
        <w:tab/>
      </w:r>
      <w:r w:rsidR="003D1E4F" w:rsidRPr="00D136FB">
        <w:t xml:space="preserve">насърчаване на прилагането на новаторски подходи в секторите на културата и творчеството по отношение на създаването на съдържание, достъпа, разпространението и популяризирането; </w:t>
      </w:r>
    </w:p>
    <w:p w:rsidR="003D1E4F" w:rsidRPr="00D136FB" w:rsidRDefault="00D3035E" w:rsidP="00D3035E">
      <w:pPr>
        <w:pStyle w:val="Point1"/>
      </w:pPr>
      <w:r>
        <w:t>в)</w:t>
      </w:r>
      <w:r w:rsidRPr="00D3035E">
        <w:tab/>
      </w:r>
      <w:r w:rsidR="003D1E4F" w:rsidRPr="00D136FB">
        <w:t>насърчаване на хоризонталните дейности, обхващащи няколко сектора и имащи за цел коригирането на структурните промени, пред които е изправен медийният сектор, включително постигане на по-голяма свобода, разнообразие и плурализъм на медийната среда, повишаване на качеството на журналистиката и медийната грамотност;</w:t>
      </w:r>
    </w:p>
    <w:p w:rsidR="003D1E4F" w:rsidRPr="00D136FB" w:rsidRDefault="00D3035E" w:rsidP="00D3035E">
      <w:pPr>
        <w:pStyle w:val="Point1"/>
      </w:pPr>
      <w:r>
        <w:t>г)</w:t>
      </w:r>
      <w:r w:rsidRPr="00D3035E">
        <w:tab/>
      </w:r>
      <w:r w:rsidR="003D1E4F" w:rsidRPr="00D136FB">
        <w:t>създаване и предоставяне на подкрепа за бюрата на програмата, за да може тя да се популяризира в съответната държава и за да се стимулира трансграничното сътрудничество в секторите на културата и творчеството.</w:t>
      </w:r>
    </w:p>
    <w:p w:rsidR="003D1E4F" w:rsidRPr="00D136FB" w:rsidRDefault="003D1E4F" w:rsidP="003D1E4F">
      <w:r w:rsidRPr="00D136FB">
        <w:lastRenderedPageBreak/>
        <w:t>Приоритетите са изложени по-подробно в приложение I.</w:t>
      </w:r>
    </w:p>
    <w:p w:rsidR="003D1E4F" w:rsidRPr="00D136FB" w:rsidRDefault="003D1E4F" w:rsidP="003D1E4F">
      <w:pPr>
        <w:pStyle w:val="Titrearticle"/>
      </w:pPr>
      <w:r w:rsidRPr="00D136FB">
        <w:t>Член 7</w:t>
      </w:r>
      <w:r w:rsidRPr="00D136FB">
        <w:br/>
        <w:t xml:space="preserve">Бюджет </w:t>
      </w:r>
    </w:p>
    <w:p w:rsidR="003D1E4F" w:rsidRPr="00D136FB" w:rsidRDefault="003D1E4F" w:rsidP="00EF7A5B">
      <w:pPr>
        <w:pStyle w:val="NumPar1"/>
        <w:numPr>
          <w:ilvl w:val="0"/>
          <w:numId w:val="7"/>
        </w:numPr>
      </w:pPr>
      <w:r w:rsidRPr="00D136FB">
        <w:t>Финансовият пакет за изпълнението на програмата за периода 2021–2027 г. възлиза на 1 850 000 000 EUR по текущи цени.</w:t>
      </w:r>
    </w:p>
    <w:p w:rsidR="003D1E4F" w:rsidRPr="00D136FB" w:rsidRDefault="003D1E4F" w:rsidP="003D1E4F">
      <w:pPr>
        <w:pStyle w:val="Text1"/>
      </w:pPr>
      <w:r w:rsidRPr="00D136FB">
        <w:t xml:space="preserve">Програмата се осъществява в съответствие със следното индикативно финансово разпределение: </w:t>
      </w:r>
    </w:p>
    <w:p w:rsidR="003D1E4F" w:rsidRPr="00D136FB" w:rsidRDefault="003D1E4F" w:rsidP="00F13A66">
      <w:pPr>
        <w:pStyle w:val="ListDash2"/>
        <w:numPr>
          <w:ilvl w:val="0"/>
          <w:numId w:val="16"/>
        </w:numPr>
      </w:pPr>
      <w:r w:rsidRPr="00D136FB">
        <w:t>до 609 000 000 EUR за целта, посочена в член 3, параграф 2, буква а) (направление „КУЛТУРА“);</w:t>
      </w:r>
    </w:p>
    <w:p w:rsidR="003D1E4F" w:rsidRPr="00D136FB" w:rsidRDefault="003D1E4F" w:rsidP="00F13A66">
      <w:pPr>
        <w:pStyle w:val="ListDash2"/>
        <w:numPr>
          <w:ilvl w:val="0"/>
          <w:numId w:val="16"/>
        </w:numPr>
      </w:pPr>
      <w:r w:rsidRPr="00D136FB">
        <w:t>до 1 081 000 000 EUR за целта, посочена в член 3, параграф 2, буква б) (направление „МЕДИА“);</w:t>
      </w:r>
    </w:p>
    <w:p w:rsidR="003D1E4F" w:rsidRPr="00D136FB" w:rsidRDefault="003D1E4F" w:rsidP="00F13A66">
      <w:pPr>
        <w:pStyle w:val="ListDash2"/>
        <w:numPr>
          <w:ilvl w:val="0"/>
          <w:numId w:val="16"/>
        </w:numPr>
      </w:pPr>
      <w:r w:rsidRPr="00D136FB">
        <w:t>до 160 000 000 EUR за целта, посочена в член 3, параграф 2, буква в) („МЕЖДУСЕКТОРНО направление“);</w:t>
      </w:r>
    </w:p>
    <w:p w:rsidR="003D1E4F" w:rsidRPr="00D136FB" w:rsidRDefault="003D1E4F" w:rsidP="00EF7A5B">
      <w:pPr>
        <w:pStyle w:val="NumPar1"/>
        <w:numPr>
          <w:ilvl w:val="0"/>
          <w:numId w:val="7"/>
        </w:numPr>
      </w:pPr>
      <w:r w:rsidRPr="00D136FB">
        <w:t>Сумата, посочена в параграф 1, може да бъде използвана за техническа и административна помощ за изпълнението на програмата, например подготвителни, мониторингови, контролни и одитни дейности и дейности за оценка, включително корпоративни информационни системи.</w:t>
      </w:r>
    </w:p>
    <w:p w:rsidR="003D1E4F" w:rsidRPr="00D136FB" w:rsidRDefault="003D1E4F" w:rsidP="00EF7A5B">
      <w:pPr>
        <w:pStyle w:val="NumPar1"/>
        <w:numPr>
          <w:ilvl w:val="0"/>
          <w:numId w:val="7"/>
        </w:numPr>
      </w:pPr>
      <w:r w:rsidRPr="00D136FB">
        <w:t>В допълнение към финансовия пакет, както е определен в параграф 1, и за да се насърчи международното измерение на програмата, е възможно да се осигури допълнителен финансов принос по линия на инструментите за външно финансиране [съседство, развитие и международно сътрудничество, Инструмента за предприсъединителна помощ (ИПП III)] в подкрепа на действия, които се изпълняват и управляват в съответствие с настоящия регламент. Този принос се финансира в съответствие с регламентите за създаване на тези инструменти.</w:t>
      </w:r>
    </w:p>
    <w:p w:rsidR="003D1E4F" w:rsidRPr="00D136FB" w:rsidRDefault="003D1E4F" w:rsidP="00EF7A5B">
      <w:pPr>
        <w:pStyle w:val="NumPar1"/>
        <w:numPr>
          <w:ilvl w:val="0"/>
          <w:numId w:val="7"/>
        </w:numPr>
      </w:pPr>
      <w:r w:rsidRPr="00D136FB">
        <w:t>Ресурсите, отпуснати на държавите членки в режим на споделено управление, могат да бъдат прехвърляни към програмата по искане от тяхна страна. Комисията изпълнява тези ресурси пряко в съответствие с [член 62, параграф 1, буква а)] от Финансовия регламент или непряко — в съответствие с [член 62, параграф 1,буква в)] от същия регламент. Когато е възможно, тези ресурси се използват в полза на съответната държава членка.</w:t>
      </w:r>
    </w:p>
    <w:p w:rsidR="003D1E4F" w:rsidRPr="00D136FB" w:rsidRDefault="003D1E4F" w:rsidP="003D1E4F">
      <w:pPr>
        <w:pStyle w:val="Titrearticle"/>
      </w:pPr>
      <w:r w:rsidRPr="00D136FB">
        <w:t>Член 8</w:t>
      </w:r>
      <w:r w:rsidRPr="00D136FB">
        <w:br/>
        <w:t xml:space="preserve">Трети държави, асоциирани към програмата </w:t>
      </w:r>
    </w:p>
    <w:p w:rsidR="003D1E4F" w:rsidRPr="00D136FB" w:rsidRDefault="003D1E4F" w:rsidP="003D1E4F">
      <w:pPr>
        <w:spacing w:before="0"/>
        <w:rPr>
          <w:rFonts w:eastAsia="Times New Roman"/>
          <w:szCs w:val="20"/>
        </w:rPr>
      </w:pPr>
      <w:r w:rsidRPr="00D136FB">
        <w:t xml:space="preserve">1. </w:t>
      </w:r>
      <w:r w:rsidRPr="00D136FB">
        <w:tab/>
        <w:t>Програмата е отворена за следните трети държави:</w:t>
      </w:r>
    </w:p>
    <w:p w:rsidR="003D1E4F" w:rsidRPr="00D136FB" w:rsidRDefault="00D3035E" w:rsidP="00D3035E">
      <w:pPr>
        <w:pStyle w:val="Point0"/>
      </w:pPr>
      <w:r>
        <w:t>а)</w:t>
      </w:r>
      <w:r w:rsidRPr="00D3035E">
        <w:tab/>
      </w:r>
      <w:r w:rsidR="003D1E4F" w:rsidRPr="00D136FB">
        <w:t>членки на Европейската асоциация за свободна търговия (ЕАСТ), които са членки на Европейско икономическо пространство (ЕИП) — в съответствие с условията, определени в Споразумението за ЕИП;</w:t>
      </w:r>
    </w:p>
    <w:p w:rsidR="003D1E4F" w:rsidRPr="00D136FB" w:rsidRDefault="00D3035E" w:rsidP="00D3035E">
      <w:pPr>
        <w:pStyle w:val="Point0"/>
      </w:pPr>
      <w:r>
        <w:t>б)</w:t>
      </w:r>
      <w:r w:rsidRPr="00D3035E">
        <w:tab/>
      </w:r>
      <w:r w:rsidR="003D1E4F" w:rsidRPr="00D136FB">
        <w:t>присъединяващи се държави, държави кандидатки и потенциални кандидати — в съответствие с общите принципи и условия за участието на тези държави в програми на Съюза, определени в съответните рамкови споразумения и решения на Съвета за асоцииране или в подобни споразумения, и в съответствие със специалните условия, определени в споразуменията между Съюза и тези държави;</w:t>
      </w:r>
    </w:p>
    <w:p w:rsidR="003D1E4F" w:rsidRPr="00D136FB" w:rsidRDefault="00D3035E" w:rsidP="00D3035E">
      <w:pPr>
        <w:pStyle w:val="Point0"/>
      </w:pPr>
      <w:r>
        <w:t>в)</w:t>
      </w:r>
      <w:r w:rsidRPr="00D3035E">
        <w:tab/>
      </w:r>
      <w:r w:rsidR="003D1E4F" w:rsidRPr="00D136FB">
        <w:t xml:space="preserve">държави, попадащи в обхвата на Европейската политика за съседство — в съответствие с общите принципи и условия за участието на тези държави в програми на Съюза, </w:t>
      </w:r>
      <w:r w:rsidR="003D1E4F" w:rsidRPr="00D136FB">
        <w:lastRenderedPageBreak/>
        <w:t>определени в съответните рамкови споразумения и решения на Съвета за асоцииране или в подобни споразумения, и в съответствие със специалните условия, определени в споразуменията между Съюза и тези държави;</w:t>
      </w:r>
    </w:p>
    <w:p w:rsidR="003D1E4F" w:rsidRPr="00D136FB" w:rsidRDefault="00D3035E" w:rsidP="00D3035E">
      <w:pPr>
        <w:pStyle w:val="Point0"/>
      </w:pPr>
      <w:r>
        <w:t>г)</w:t>
      </w:r>
      <w:r w:rsidRPr="00D3035E">
        <w:tab/>
      </w:r>
      <w:r w:rsidR="003D1E4F" w:rsidRPr="00D136FB">
        <w:t>други държави, в съответствие с условията, определени в конкретно единно споразумение относно участието на трети държави в която и да е програма на Съюза, при условие че споразумението:</w:t>
      </w:r>
    </w:p>
    <w:p w:rsidR="003D1E4F" w:rsidRPr="00D136FB" w:rsidRDefault="00D3035E" w:rsidP="00D3035E">
      <w:pPr>
        <w:pStyle w:val="Point1"/>
      </w:pPr>
      <w:r>
        <w:t>а)</w:t>
      </w:r>
      <w:r w:rsidRPr="00D3035E">
        <w:tab/>
      </w:r>
      <w:r w:rsidR="003D1E4F" w:rsidRPr="00D136FB">
        <w:t>гарантира справедлив баланс по отношение на вноските и ползите за съответната трета държава, която участва в програми на Съюза;</w:t>
      </w:r>
    </w:p>
    <w:p w:rsidR="003D1E4F" w:rsidRPr="00D136FB" w:rsidRDefault="00D3035E" w:rsidP="00D3035E">
      <w:pPr>
        <w:pStyle w:val="Point1"/>
      </w:pPr>
      <w:r>
        <w:t>б)</w:t>
      </w:r>
      <w:r w:rsidRPr="00D3035E">
        <w:tab/>
      </w:r>
      <w:r w:rsidR="003D1E4F" w:rsidRPr="00D136FB">
        <w:t>определя условията за участие в програмите, включително изчисляването на финансовите вноски по отделните програми и на административните разходи за тях. Тези вноски представляват целеви приходи в съответствие с член [21, параграф 5] от [Финансовия регламент].</w:t>
      </w:r>
    </w:p>
    <w:p w:rsidR="003D1E4F" w:rsidRPr="00D136FB" w:rsidRDefault="00D3035E" w:rsidP="00D3035E">
      <w:pPr>
        <w:pStyle w:val="Point1"/>
      </w:pPr>
      <w:r>
        <w:t>в)</w:t>
      </w:r>
      <w:r w:rsidRPr="00D3035E">
        <w:tab/>
      </w:r>
      <w:r w:rsidR="003D1E4F" w:rsidRPr="00D136FB">
        <w:t>не предоставя на третата държава правомощия за вземане на решения по отношение на програмата;</w:t>
      </w:r>
    </w:p>
    <w:p w:rsidR="003D1E4F" w:rsidRPr="00D136FB" w:rsidRDefault="00D3035E" w:rsidP="00D3035E">
      <w:pPr>
        <w:pStyle w:val="Point1"/>
      </w:pPr>
      <w:r>
        <w:t>г)</w:t>
      </w:r>
      <w:r w:rsidRPr="00D3035E">
        <w:tab/>
      </w:r>
      <w:r w:rsidR="003D1E4F" w:rsidRPr="00D136FB">
        <w:t>гарантира правата на Съюза да осигурява добро финансово управление и да защитава своите финансови интереси.</w:t>
      </w:r>
    </w:p>
    <w:p w:rsidR="003D1E4F" w:rsidRPr="00D136FB" w:rsidRDefault="003D1E4F" w:rsidP="003D1E4F">
      <w:pPr>
        <w:spacing w:before="0"/>
      </w:pPr>
      <w:r w:rsidRPr="00D136FB">
        <w:t xml:space="preserve">2. Участието на държавите, посочени в параграф 1, букви а), б) и в), в направление „МЕДИА“ и в „МЕЖДУСЕКТОРНОТО направление“ подлежи на изпълнението на условията, които са определени в Директива 2010/13/ЕС. </w:t>
      </w:r>
    </w:p>
    <w:p w:rsidR="003D1E4F" w:rsidRPr="00D136FB" w:rsidRDefault="003D1E4F" w:rsidP="003D1E4F">
      <w:pPr>
        <w:spacing w:before="0"/>
      </w:pPr>
      <w:r w:rsidRPr="00D136FB">
        <w:t>3. В надлежно обосновани случаи споразуменията, сключени с</w:t>
      </w:r>
      <w:r w:rsidR="00E42F58">
        <w:t xml:space="preserve"> държавите, посочени в параграф </w:t>
      </w:r>
      <w:r w:rsidRPr="00D136FB">
        <w:t>1, буква в), може да се ползват с дерогация от задъ</w:t>
      </w:r>
      <w:r w:rsidR="00386839">
        <w:t>лженията, определени в параграф </w:t>
      </w:r>
      <w:r w:rsidRPr="00D136FB">
        <w:t xml:space="preserve">2. </w:t>
      </w:r>
    </w:p>
    <w:p w:rsidR="003D1E4F" w:rsidRPr="00D136FB" w:rsidRDefault="003D1E4F" w:rsidP="003D1E4F">
      <w:pPr>
        <w:keepNext/>
        <w:keepLines/>
        <w:spacing w:before="0"/>
        <w:jc w:val="center"/>
        <w:rPr>
          <w:i/>
        </w:rPr>
      </w:pPr>
      <w:r w:rsidRPr="00D136FB">
        <w:rPr>
          <w:i/>
        </w:rPr>
        <w:t xml:space="preserve">Член 8 bis </w:t>
      </w:r>
    </w:p>
    <w:p w:rsidR="003D1E4F" w:rsidRPr="00D136FB" w:rsidRDefault="003D1E4F" w:rsidP="003D1E4F">
      <w:pPr>
        <w:keepNext/>
        <w:keepLines/>
        <w:spacing w:before="0"/>
        <w:jc w:val="center"/>
        <w:rPr>
          <w:i/>
        </w:rPr>
      </w:pPr>
      <w:r w:rsidRPr="00D136FB">
        <w:rPr>
          <w:i/>
        </w:rPr>
        <w:t>Други трети държави</w:t>
      </w:r>
    </w:p>
    <w:p w:rsidR="003D1E4F" w:rsidRPr="00D136FB" w:rsidRDefault="003D1E4F" w:rsidP="003D1E4F">
      <w:pPr>
        <w:spacing w:before="0"/>
      </w:pPr>
      <w:r w:rsidRPr="00D136FB">
        <w:t>Програмата може да подкрепя сътрудничество с трети държави, различни от посочените в член 8, по отношение на действия, финансирани чрез допълнителни вноски от инструментите за външно финансиране в съответствие с член 7, параграф 3, ако това е в интерес на Съюза.</w:t>
      </w:r>
    </w:p>
    <w:p w:rsidR="003D1E4F" w:rsidRPr="00D136FB" w:rsidRDefault="003D1E4F" w:rsidP="003D1E4F">
      <w:pPr>
        <w:pStyle w:val="Titrearticle"/>
      </w:pPr>
      <w:r w:rsidRPr="00D136FB">
        <w:t>Член 9</w:t>
      </w:r>
      <w:r w:rsidRPr="00D136FB">
        <w:br/>
        <w:t>Сътрудничество с международни организации и с Европейската аудио-визуална обсерватория</w:t>
      </w:r>
    </w:p>
    <w:p w:rsidR="003D1E4F" w:rsidRPr="00D136FB" w:rsidRDefault="003D1E4F" w:rsidP="00F13A66">
      <w:pPr>
        <w:pStyle w:val="NumPar1"/>
        <w:numPr>
          <w:ilvl w:val="0"/>
          <w:numId w:val="24"/>
        </w:numPr>
      </w:pPr>
      <w:r w:rsidRPr="00D136FB">
        <w:t>Достъпът до програмата е отворен за международни организации, които осъществяват действия в областите, обхванати от програмата, в съответствие с Финансовия регламент.</w:t>
      </w:r>
    </w:p>
    <w:p w:rsidR="003D1E4F" w:rsidRPr="00D136FB" w:rsidRDefault="003D1E4F" w:rsidP="00EF7A5B">
      <w:pPr>
        <w:pStyle w:val="NumPar1"/>
        <w:numPr>
          <w:ilvl w:val="0"/>
          <w:numId w:val="7"/>
        </w:numPr>
      </w:pPr>
      <w:r w:rsidRPr="00D136FB">
        <w:t xml:space="preserve">Съюзът членува в Европейската аудио-визуална обсерватория за срока на действие на програмата. Участието на Съюза в Обсерваторията допринася за постигането на приоритетите на направление „МЕДИА“. Комисията представлява Съюза при неговите отношения с Обсерваторията. Направление „МЕДИА“ оказва съдействие за плащането на вноската за членство на Съюза в Обсерваторията с цел подобряване на събирането на данни и на анализа по отношение на аудио-визуалния сектор. </w:t>
      </w:r>
    </w:p>
    <w:p w:rsidR="003D1E4F" w:rsidRPr="00D136FB" w:rsidRDefault="003D1E4F" w:rsidP="003D1E4F">
      <w:pPr>
        <w:pStyle w:val="Titrearticle"/>
      </w:pPr>
      <w:r w:rsidRPr="00D136FB">
        <w:t>Член 10</w:t>
      </w:r>
      <w:r w:rsidRPr="00D136FB">
        <w:br/>
        <w:t>Изпълнение и форми на финансиране от ЕС</w:t>
      </w:r>
    </w:p>
    <w:p w:rsidR="003D1E4F" w:rsidRPr="00D136FB" w:rsidRDefault="003D1E4F" w:rsidP="00F13A66">
      <w:pPr>
        <w:pStyle w:val="NumPar1"/>
        <w:numPr>
          <w:ilvl w:val="0"/>
          <w:numId w:val="34"/>
        </w:numPr>
      </w:pPr>
      <w:r w:rsidRPr="00D136FB">
        <w:t>Програмата се изпълнява при пряко управление в съответствие с Финансовия регламент или при непряко управление с органите, посочени в член 61, параграф 1, буква в) от Финансовия регламент.</w:t>
      </w:r>
    </w:p>
    <w:p w:rsidR="003D1E4F" w:rsidRPr="00D136FB" w:rsidRDefault="003D1E4F" w:rsidP="00EF7A5B">
      <w:pPr>
        <w:pStyle w:val="NumPar1"/>
        <w:numPr>
          <w:ilvl w:val="0"/>
          <w:numId w:val="7"/>
        </w:numPr>
      </w:pPr>
      <w:r w:rsidRPr="00D136FB">
        <w:lastRenderedPageBreak/>
        <w:t>Програмата може да предоставя финансиране чрез всяка една от формите, предвидени във Финансовия регламент, по-специално безвъзмездни средства, награди и обществени поръчки. Тя може да предоставя също така финансиране под формата на финансови инструменти в рамките на операции за смесено финансиране.</w:t>
      </w:r>
    </w:p>
    <w:p w:rsidR="003D1E4F" w:rsidRPr="00D136FB" w:rsidRDefault="003D1E4F" w:rsidP="00EF7A5B">
      <w:pPr>
        <w:pStyle w:val="NumPar1"/>
        <w:numPr>
          <w:ilvl w:val="0"/>
          <w:numId w:val="7"/>
        </w:numPr>
      </w:pPr>
      <w:r w:rsidRPr="00D136FB">
        <w:t>Операциите за смесено финансиране по настоящата програма се изпълняват в съответствие с [Регламента за InvestEU] и дял Х от Финансовия регламент.</w:t>
      </w:r>
    </w:p>
    <w:p w:rsidR="003D1E4F" w:rsidRPr="00D136FB" w:rsidRDefault="003D1E4F" w:rsidP="00EF7A5B">
      <w:pPr>
        <w:pStyle w:val="NumPar1"/>
        <w:numPr>
          <w:ilvl w:val="0"/>
          <w:numId w:val="7"/>
        </w:numPr>
      </w:pPr>
      <w:r w:rsidRPr="00D136FB">
        <w:t>Вноски във взаимен застрахователен механизъм може да покрият риска, свързан с възстановяването на средства, дължими от получателите, и те се смятат за достатъчна гаранция по Финансовия регламент. Прилагат се разпоредбите, посочени в [член X от] Регламент (ЕС) № ХХХ [</w:t>
      </w:r>
      <w:r w:rsidRPr="00D136FB">
        <w:rPr>
          <w:i/>
        </w:rPr>
        <w:t>приемник на Регламента относно Гаранционния фонд</w:t>
      </w:r>
      <w:r w:rsidRPr="00D136FB">
        <w:t>].</w:t>
      </w:r>
    </w:p>
    <w:p w:rsidR="003D1E4F" w:rsidRPr="00D136FB" w:rsidRDefault="003D1E4F" w:rsidP="003D1E4F">
      <w:pPr>
        <w:pStyle w:val="Titrearticle"/>
      </w:pPr>
      <w:r w:rsidRPr="00D136FB">
        <w:t>Член 11</w:t>
      </w:r>
      <w:r w:rsidRPr="00D136FB">
        <w:br/>
        <w:t>Защита на финансовите интереси на Съюза</w:t>
      </w:r>
    </w:p>
    <w:p w:rsidR="003D1E4F" w:rsidRPr="00D136FB" w:rsidRDefault="003D1E4F" w:rsidP="003D1E4F">
      <w:pPr>
        <w:spacing w:before="0"/>
      </w:pPr>
      <w:r w:rsidRPr="00D136FB">
        <w:t>Когато трета държава участва в програмата по силата на решение по международно споразумение или по силата на друг правен инструмент, тази трета държава предоставя необходимите права и достъп на отговорния разпоредител с бюджетни кредити, на Европейската служба за борба с измамите (OLAF) и на Европейската сметна палата, за да може те да упражняват цялостно своите компетенции. По отношение на OLAF тези права включват правото да се извършват разследвания, включително проверки и инспекции на място, както е предвидено в Регламент (ЕС, Евратом) № 883/2013.</w:t>
      </w:r>
    </w:p>
    <w:p w:rsidR="003D1E4F" w:rsidRPr="00D136FB" w:rsidRDefault="003D1E4F" w:rsidP="003D1E4F">
      <w:pPr>
        <w:keepNext/>
        <w:spacing w:before="360"/>
        <w:jc w:val="center"/>
        <w:rPr>
          <w:i/>
        </w:rPr>
      </w:pPr>
      <w:r w:rsidRPr="00D136FB">
        <w:rPr>
          <w:i/>
        </w:rPr>
        <w:t>Член 12</w:t>
      </w:r>
      <w:r w:rsidRPr="00D136FB">
        <w:rPr>
          <w:i/>
        </w:rPr>
        <w:br/>
        <w:t>Работни програми</w:t>
      </w:r>
    </w:p>
    <w:p w:rsidR="003D1E4F" w:rsidRPr="00D136FB" w:rsidRDefault="003D1E4F" w:rsidP="00F13A66">
      <w:pPr>
        <w:pStyle w:val="NumPar1"/>
        <w:numPr>
          <w:ilvl w:val="0"/>
          <w:numId w:val="25"/>
        </w:numPr>
      </w:pPr>
      <w:r w:rsidRPr="00D136FB">
        <w:t>Програмата се изпълнява чрез работните програми, посочени в член 110 от Финансовия регламент. В работните програми се определя, ако е приложимо, общата сума, запазена за операции за смесено финансиране.</w:t>
      </w:r>
    </w:p>
    <w:p w:rsidR="003D1E4F" w:rsidRPr="00D136FB" w:rsidRDefault="003D1E4F" w:rsidP="00EF7A5B">
      <w:pPr>
        <w:pStyle w:val="NumPar1"/>
        <w:numPr>
          <w:ilvl w:val="0"/>
          <w:numId w:val="7"/>
        </w:numPr>
      </w:pPr>
      <w:r w:rsidRPr="00D136FB">
        <w:t>Работната програма се приема от Комисията посредством акт за изпълнение.</w:t>
      </w:r>
    </w:p>
    <w:p w:rsidR="003D1E4F" w:rsidRPr="00D136FB" w:rsidRDefault="003D1E4F" w:rsidP="003D1E4F">
      <w:pPr>
        <w:pStyle w:val="ChapterTitle"/>
      </w:pPr>
      <w:r w:rsidRPr="00D136FB">
        <w:t>ГЛАВА II</w:t>
      </w:r>
      <w:r w:rsidRPr="00D136FB">
        <w:br/>
        <w:t xml:space="preserve">Безвъзмездни средства и допустими субекти </w:t>
      </w:r>
    </w:p>
    <w:p w:rsidR="003D1E4F" w:rsidRPr="00D136FB" w:rsidRDefault="003D1E4F" w:rsidP="003D1E4F">
      <w:pPr>
        <w:keepNext/>
        <w:spacing w:before="360"/>
        <w:jc w:val="center"/>
        <w:rPr>
          <w:i/>
        </w:rPr>
      </w:pPr>
      <w:r w:rsidRPr="00D136FB">
        <w:rPr>
          <w:i/>
        </w:rPr>
        <w:t>Член 13</w:t>
      </w:r>
      <w:r w:rsidRPr="00D136FB">
        <w:rPr>
          <w:i/>
        </w:rPr>
        <w:br/>
        <w:t>Безвъзмездни средства</w:t>
      </w:r>
    </w:p>
    <w:p w:rsidR="003D1E4F" w:rsidRPr="00D136FB" w:rsidRDefault="003D1E4F" w:rsidP="00F13A66">
      <w:pPr>
        <w:pStyle w:val="NumPar1"/>
        <w:numPr>
          <w:ilvl w:val="0"/>
          <w:numId w:val="26"/>
        </w:numPr>
      </w:pPr>
      <w:r w:rsidRPr="00D136FB">
        <w:t xml:space="preserve">Безвъзмездните средства по програмата се отпускат и управляват в съответствие с дял VІІІ от Финансовия регламент. </w:t>
      </w:r>
    </w:p>
    <w:p w:rsidR="003D1E4F" w:rsidRPr="00D136FB" w:rsidRDefault="003D1E4F" w:rsidP="00EF7A5B">
      <w:pPr>
        <w:pStyle w:val="NumPar1"/>
        <w:numPr>
          <w:ilvl w:val="0"/>
          <w:numId w:val="7"/>
        </w:numPr>
      </w:pPr>
      <w:r w:rsidRPr="00D136FB">
        <w:t xml:space="preserve">Комисията за оценка може да бъде съставена от външни експерти. </w:t>
      </w:r>
    </w:p>
    <w:p w:rsidR="003D1E4F" w:rsidRPr="00D136FB" w:rsidRDefault="003D1E4F" w:rsidP="00EF7A5B">
      <w:pPr>
        <w:pStyle w:val="NumPar1"/>
        <w:numPr>
          <w:ilvl w:val="0"/>
          <w:numId w:val="7"/>
        </w:numPr>
      </w:pPr>
      <w:r w:rsidRPr="00D136FB">
        <w:t>Чрез дерогация от член [130, параграф 2] от Финансовия регламент и в надлежно обосновани случаи разходите, направени от бенефициера преди подаването на заявлението за безвъзмездни средства, могат да се считат за допустими, при условие че те са пряко свързани с изпълнението на ползващите се от подкрепа действия и дейности.</w:t>
      </w:r>
    </w:p>
    <w:p w:rsidR="003D1E4F" w:rsidRPr="00D136FB" w:rsidRDefault="003D1E4F" w:rsidP="00EF7A5B">
      <w:pPr>
        <w:pStyle w:val="NumPar1"/>
        <w:numPr>
          <w:ilvl w:val="0"/>
          <w:numId w:val="7"/>
        </w:numPr>
      </w:pPr>
      <w:r w:rsidRPr="00D136FB">
        <w:t xml:space="preserve">Ако е приложимо, по линия на действията по програмата се определят критерии за недискриминация, включително относно баланса между половете. </w:t>
      </w:r>
    </w:p>
    <w:p w:rsidR="003D1E4F" w:rsidRPr="00D136FB" w:rsidRDefault="003D1E4F" w:rsidP="003D1E4F">
      <w:pPr>
        <w:keepNext/>
        <w:spacing w:before="360"/>
        <w:jc w:val="center"/>
        <w:rPr>
          <w:i/>
        </w:rPr>
      </w:pPr>
      <w:r w:rsidRPr="00D136FB">
        <w:rPr>
          <w:i/>
        </w:rPr>
        <w:lastRenderedPageBreak/>
        <w:t>Член 14</w:t>
      </w:r>
      <w:r w:rsidRPr="00D136FB">
        <w:rPr>
          <w:i/>
        </w:rPr>
        <w:br/>
        <w:t xml:space="preserve">Допустими субекти </w:t>
      </w:r>
    </w:p>
    <w:p w:rsidR="003D1E4F" w:rsidRPr="00D136FB" w:rsidRDefault="003D1E4F" w:rsidP="00F13A66">
      <w:pPr>
        <w:pStyle w:val="NumPar1"/>
        <w:numPr>
          <w:ilvl w:val="0"/>
          <w:numId w:val="27"/>
        </w:numPr>
      </w:pPr>
      <w:r w:rsidRPr="00D136FB">
        <w:t xml:space="preserve">В допълнение към критериите, определени в [член 197] от Финансовия регламент, се прилагат и критериите за допустимост, определени в параграфи 2—4. </w:t>
      </w:r>
    </w:p>
    <w:p w:rsidR="003D1E4F" w:rsidRPr="00D136FB" w:rsidRDefault="003D1E4F" w:rsidP="00EF7A5B">
      <w:pPr>
        <w:pStyle w:val="NumPar1"/>
        <w:numPr>
          <w:ilvl w:val="0"/>
          <w:numId w:val="7"/>
        </w:numPr>
      </w:pPr>
      <w:r w:rsidRPr="00D136FB">
        <w:t>Допустими са следните субекти:</w:t>
      </w:r>
    </w:p>
    <w:p w:rsidR="003D1E4F" w:rsidRPr="00D136FB" w:rsidRDefault="00D3035E" w:rsidP="00D3035E">
      <w:pPr>
        <w:pStyle w:val="Point1"/>
      </w:pPr>
      <w:r>
        <w:t>а)</w:t>
      </w:r>
      <w:r w:rsidRPr="00D3035E">
        <w:tab/>
      </w:r>
      <w:r w:rsidR="003D1E4F" w:rsidRPr="00D136FB">
        <w:t>правни субекти, установени в която и да е от следните държави:</w:t>
      </w:r>
    </w:p>
    <w:p w:rsidR="003D1E4F" w:rsidRPr="00D136FB" w:rsidRDefault="003D1E4F" w:rsidP="003D1E4F">
      <w:pPr>
        <w:pStyle w:val="Point3number"/>
        <w:numPr>
          <w:ilvl w:val="6"/>
          <w:numId w:val="6"/>
        </w:numPr>
      </w:pPr>
      <w:r w:rsidRPr="00D136FB">
        <w:t xml:space="preserve">държава членка или отвъдморска страна или територия, свързана с нея; </w:t>
      </w:r>
    </w:p>
    <w:p w:rsidR="003D1E4F" w:rsidRPr="00D136FB" w:rsidRDefault="003D1E4F" w:rsidP="003D1E4F">
      <w:pPr>
        <w:pStyle w:val="Point3number"/>
        <w:numPr>
          <w:ilvl w:val="6"/>
          <w:numId w:val="6"/>
        </w:numPr>
      </w:pPr>
      <w:r w:rsidRPr="00D136FB">
        <w:t>трети държави, асоциирани към програмата;</w:t>
      </w:r>
    </w:p>
    <w:p w:rsidR="003D1E4F" w:rsidRPr="00D136FB" w:rsidRDefault="003D1E4F" w:rsidP="003D1E4F">
      <w:pPr>
        <w:pStyle w:val="Point3number"/>
        <w:numPr>
          <w:ilvl w:val="6"/>
          <w:numId w:val="6"/>
        </w:numPr>
      </w:pPr>
      <w:r w:rsidRPr="00D136FB">
        <w:t xml:space="preserve">трета държава, включена в работната програма при условията, посочени в параграфи 3 и 4; </w:t>
      </w:r>
    </w:p>
    <w:p w:rsidR="003D1E4F" w:rsidRPr="00D136FB" w:rsidRDefault="00D3035E" w:rsidP="00D3035E">
      <w:pPr>
        <w:pStyle w:val="Point1"/>
      </w:pPr>
      <w:r>
        <w:t>б)</w:t>
      </w:r>
      <w:r w:rsidRPr="00D3035E">
        <w:tab/>
      </w:r>
      <w:r w:rsidR="003D1E4F" w:rsidRPr="00D136FB">
        <w:t>всеки правен субект, учреден съгласно правото на Съюза, или всяка международна организация.</w:t>
      </w:r>
    </w:p>
    <w:p w:rsidR="003D1E4F" w:rsidRPr="00D136FB" w:rsidRDefault="003D1E4F" w:rsidP="00EF7A5B">
      <w:pPr>
        <w:pStyle w:val="NumPar1"/>
        <w:numPr>
          <w:ilvl w:val="0"/>
          <w:numId w:val="7"/>
        </w:numPr>
      </w:pPr>
      <w:r w:rsidRPr="00D136FB">
        <w:t>Правни субекти, установени в трета държава, която не е асоциирана към програмата, са допустими за участие по изключение, когато това е необходимо за постигането на целите на дадено действие.</w:t>
      </w:r>
    </w:p>
    <w:p w:rsidR="003D1E4F" w:rsidRPr="00D136FB" w:rsidRDefault="003D1E4F" w:rsidP="00EF7A5B">
      <w:pPr>
        <w:pStyle w:val="NumPar1"/>
        <w:numPr>
          <w:ilvl w:val="0"/>
          <w:numId w:val="7"/>
        </w:numPr>
      </w:pPr>
      <w:r w:rsidRPr="00D136FB">
        <w:t>Правните субекти, установени в трета държава, която не е асоциирана към програмата, по принцип поемат разходите, свързани с тяхното участие. Допълнителни вноски от инструментите за външно финансиране в съответствие с член 7, параграф 3 може да покриват разходите за тяхното участие, ако това е в интерес на Съюза.</w:t>
      </w:r>
    </w:p>
    <w:p w:rsidR="003D1E4F" w:rsidRPr="00D136FB" w:rsidRDefault="003D1E4F" w:rsidP="00EF7A5B">
      <w:pPr>
        <w:pStyle w:val="NumPar1"/>
        <w:keepNext/>
        <w:keepLines/>
        <w:numPr>
          <w:ilvl w:val="0"/>
          <w:numId w:val="7"/>
        </w:numPr>
      </w:pPr>
      <w:r w:rsidRPr="00D136FB">
        <w:t xml:space="preserve">Безвъзмездни средства може да се отпускат на следните субекти без покана за представяне на предложения: </w:t>
      </w:r>
    </w:p>
    <w:p w:rsidR="003D1E4F" w:rsidRPr="00D136FB" w:rsidRDefault="00D3035E" w:rsidP="00D3035E">
      <w:pPr>
        <w:pStyle w:val="Point1"/>
      </w:pPr>
      <w:r>
        <w:t>а)</w:t>
      </w:r>
      <w:r w:rsidRPr="00D3035E">
        <w:tab/>
      </w:r>
      <w:r w:rsidR="003D1E4F" w:rsidRPr="00D136FB">
        <w:t xml:space="preserve">Европейската филмова академия; </w:t>
      </w:r>
    </w:p>
    <w:p w:rsidR="003D1E4F" w:rsidRPr="00D136FB" w:rsidRDefault="00D3035E" w:rsidP="00D3035E">
      <w:pPr>
        <w:pStyle w:val="Point1"/>
      </w:pPr>
      <w:r>
        <w:t>б)</w:t>
      </w:r>
      <w:r w:rsidRPr="00D3035E">
        <w:tab/>
      </w:r>
      <w:r w:rsidR="003D1E4F" w:rsidRPr="00D136FB">
        <w:t>Младежкия оркестър на Европейския съюз.</w:t>
      </w:r>
    </w:p>
    <w:p w:rsidR="003D1E4F" w:rsidRPr="00D136FB" w:rsidRDefault="003D1E4F" w:rsidP="003D1E4F">
      <w:pPr>
        <w:keepNext/>
        <w:spacing w:after="360"/>
        <w:jc w:val="center"/>
        <w:rPr>
          <w:b/>
          <w:i/>
          <w:sz w:val="32"/>
        </w:rPr>
      </w:pPr>
      <w:r w:rsidRPr="00D136FB">
        <w:rPr>
          <w:b/>
          <w:sz w:val="32"/>
        </w:rPr>
        <w:t>ГЛАВА III</w:t>
      </w:r>
      <w:r w:rsidRPr="00D136FB">
        <w:rPr>
          <w:b/>
          <w:sz w:val="32"/>
        </w:rPr>
        <w:br/>
        <w:t xml:space="preserve">Синергии и взаимно допълване </w:t>
      </w:r>
    </w:p>
    <w:p w:rsidR="003D1E4F" w:rsidRPr="00D136FB" w:rsidRDefault="003D1E4F" w:rsidP="003D1E4F">
      <w:pPr>
        <w:keepNext/>
        <w:spacing w:before="360"/>
        <w:jc w:val="center"/>
        <w:rPr>
          <w:i/>
        </w:rPr>
      </w:pPr>
      <w:r w:rsidRPr="00D136FB">
        <w:rPr>
          <w:i/>
        </w:rPr>
        <w:t>Член 15</w:t>
      </w:r>
      <w:r w:rsidRPr="00D136FB">
        <w:rPr>
          <w:i/>
        </w:rPr>
        <w:br/>
        <w:t>Взаимно допълване</w:t>
      </w:r>
    </w:p>
    <w:p w:rsidR="003D1E4F" w:rsidRPr="00D136FB" w:rsidRDefault="003D1E4F" w:rsidP="003D1E4F">
      <w:pPr>
        <w:keepNext/>
        <w:spacing w:before="360"/>
        <w:rPr>
          <w:i/>
        </w:rPr>
      </w:pPr>
      <w:r w:rsidRPr="00D136FB">
        <w:t xml:space="preserve">В сътрудничество с държавите членки Комисията осигурява общата съгласуваност и взаимното допълване между програмата и съответните политики и програми, по-специално тези, които са свързани с баланса между половете, образованието, младежта и солидарността, заетостта и социалното приобщаване, научните изследвания и иновациите, промишлеността и предприятията, селското стопанство и развитието на селските райони, околната среда и действията в областта на климата, сближаването, регионалната и селищната политика, държавната помощ и международното сътрудничество и развитие. </w:t>
      </w:r>
    </w:p>
    <w:p w:rsidR="003D1E4F" w:rsidRPr="00D136FB" w:rsidRDefault="003D1E4F" w:rsidP="003D1E4F">
      <w:pPr>
        <w:keepNext/>
        <w:spacing w:before="360"/>
        <w:jc w:val="center"/>
        <w:rPr>
          <w:i/>
        </w:rPr>
      </w:pPr>
      <w:r w:rsidRPr="00D136FB">
        <w:rPr>
          <w:i/>
        </w:rPr>
        <w:t>Член 16</w:t>
      </w:r>
      <w:r w:rsidRPr="00D136FB">
        <w:rPr>
          <w:i/>
        </w:rPr>
        <w:br/>
        <w:t>Кумулативно и комбинирано финансиране</w:t>
      </w:r>
    </w:p>
    <w:p w:rsidR="003D1E4F" w:rsidRPr="00D136FB" w:rsidRDefault="003D1E4F" w:rsidP="00F13A66">
      <w:pPr>
        <w:pStyle w:val="NumPar1"/>
        <w:numPr>
          <w:ilvl w:val="0"/>
          <w:numId w:val="28"/>
        </w:numPr>
      </w:pPr>
      <w:r w:rsidRPr="00D136FB">
        <w:t xml:space="preserve">За действие, за което е предоставен принос по програмата, може да бъде предоставян и принос по всяка друга програма на Съюза, включително фондовете съгласно Регламент (ЕС) № XX/XXXX [Регламент за общоприложимите разпоредби (РОР)], при условие че приносът не обхваща едни и същи разходи. Кумулативното финансиране не може да </w:t>
      </w:r>
      <w:r w:rsidRPr="00D136FB">
        <w:lastRenderedPageBreak/>
        <w:t xml:space="preserve">надвишава общата стойност на допустимите разходи за действието, а подкрепата от различни програми на Съюза може да бъде изчислена пропорционално. </w:t>
      </w:r>
    </w:p>
    <w:p w:rsidR="003D1E4F" w:rsidRPr="00D136FB" w:rsidRDefault="003D1E4F" w:rsidP="00EF7A5B">
      <w:pPr>
        <w:pStyle w:val="NumPar1"/>
        <w:numPr>
          <w:ilvl w:val="0"/>
          <w:numId w:val="7"/>
        </w:numPr>
      </w:pPr>
      <w:r w:rsidRPr="00D136FB">
        <w:t>Дадено предложение, допустимо за финансиране по програмата, може да получи печат за високи постижения, при условие че отговаря на следните кумулативни условия:</w:t>
      </w:r>
    </w:p>
    <w:p w:rsidR="003D1E4F" w:rsidRPr="00D136FB" w:rsidRDefault="00D3035E" w:rsidP="00D3035E">
      <w:pPr>
        <w:pStyle w:val="Point1"/>
      </w:pPr>
      <w:r>
        <w:t>а)</w:t>
      </w:r>
      <w:r w:rsidRPr="00D3035E">
        <w:tab/>
      </w:r>
      <w:r w:rsidR="003D1E4F" w:rsidRPr="00D136FB">
        <w:t>било е подложено на оценка в рамките на покана за представяне на предложения по линия на програмата;</w:t>
      </w:r>
    </w:p>
    <w:p w:rsidR="003D1E4F" w:rsidRPr="00D136FB" w:rsidRDefault="00D3035E" w:rsidP="00D3035E">
      <w:pPr>
        <w:pStyle w:val="Point1"/>
      </w:pPr>
      <w:r>
        <w:t>б)</w:t>
      </w:r>
      <w:r w:rsidRPr="00D3035E">
        <w:tab/>
      </w:r>
      <w:r w:rsidR="003D1E4F" w:rsidRPr="00D136FB">
        <w:t>отговаря на минималните изисквания за качество на тази покана за представяне на предложения;</w:t>
      </w:r>
    </w:p>
    <w:p w:rsidR="003D1E4F" w:rsidRPr="00D136FB" w:rsidRDefault="00D3035E" w:rsidP="00D3035E">
      <w:pPr>
        <w:pStyle w:val="Point1"/>
      </w:pPr>
      <w:r>
        <w:t>в)</w:t>
      </w:r>
      <w:r w:rsidRPr="00D3035E">
        <w:tab/>
      </w:r>
      <w:r w:rsidR="003D1E4F" w:rsidRPr="00D136FB">
        <w:t>не може да бъде финансирано по тази покана за представяне на предложения поради бюджетни ограничения.</w:t>
      </w:r>
    </w:p>
    <w:p w:rsidR="003D1E4F" w:rsidRPr="00D136FB" w:rsidRDefault="003D1E4F" w:rsidP="003D1E4F">
      <w:pPr>
        <w:keepNext/>
        <w:spacing w:after="360"/>
        <w:jc w:val="center"/>
        <w:rPr>
          <w:b/>
          <w:sz w:val="32"/>
        </w:rPr>
      </w:pPr>
      <w:r w:rsidRPr="00D136FB">
        <w:rPr>
          <w:b/>
          <w:sz w:val="32"/>
        </w:rPr>
        <w:t>ГЛАВА IV</w:t>
      </w:r>
      <w:r w:rsidRPr="00D136FB">
        <w:rPr>
          <w:b/>
          <w:sz w:val="32"/>
        </w:rPr>
        <w:br/>
        <w:t>Мониторинг, оценка и контрол</w:t>
      </w:r>
    </w:p>
    <w:p w:rsidR="003D1E4F" w:rsidRPr="00D136FB" w:rsidRDefault="003D1E4F" w:rsidP="003D1E4F">
      <w:pPr>
        <w:keepNext/>
        <w:spacing w:before="360"/>
        <w:jc w:val="center"/>
        <w:rPr>
          <w:i/>
        </w:rPr>
      </w:pPr>
      <w:r w:rsidRPr="00D136FB">
        <w:rPr>
          <w:i/>
        </w:rPr>
        <w:t>Член 17</w:t>
      </w:r>
      <w:r w:rsidRPr="00D136FB">
        <w:rPr>
          <w:i/>
        </w:rPr>
        <w:br/>
        <w:t>Мониторинг и докладване</w:t>
      </w:r>
    </w:p>
    <w:p w:rsidR="003D1E4F" w:rsidRPr="00D136FB" w:rsidRDefault="003D1E4F" w:rsidP="00F13A66">
      <w:pPr>
        <w:pStyle w:val="NumPar1"/>
        <w:numPr>
          <w:ilvl w:val="0"/>
          <w:numId w:val="29"/>
        </w:numPr>
      </w:pPr>
      <w:r w:rsidRPr="00D136FB">
        <w:t xml:space="preserve">Показателите за докладване относно напредъка на програмата по отношение на изпълнението на целите, определени в член 3, се съдържат в приложение II. </w:t>
      </w:r>
    </w:p>
    <w:p w:rsidR="003D1E4F" w:rsidRPr="00D136FB" w:rsidRDefault="003D1E4F" w:rsidP="00EF7A5B">
      <w:pPr>
        <w:pStyle w:val="NumPar1"/>
        <w:numPr>
          <w:ilvl w:val="0"/>
          <w:numId w:val="7"/>
        </w:numPr>
        <w:rPr>
          <w:i/>
          <w:szCs w:val="24"/>
        </w:rPr>
      </w:pPr>
      <w:r w:rsidRPr="00D136FB">
        <w:t xml:space="preserve">За да се гарантира ефективна оценка на напредъка на програмата по отношение на изпълнението на нейните цели, на Комисията се предоставя правомощието да приема делегирани актове в съответствие с член 19 за разработване на разпоредби за рамка за мониторинг и оценка, включително изменения на приложение II с цел показателите да бъдат преразгледани или допълнени, когато това е необходимо за целите на мониторинга и оценката. </w:t>
      </w:r>
    </w:p>
    <w:p w:rsidR="003D1E4F" w:rsidRPr="00D136FB" w:rsidRDefault="003D1E4F" w:rsidP="00EF7A5B">
      <w:pPr>
        <w:pStyle w:val="NumPar1"/>
        <w:numPr>
          <w:ilvl w:val="0"/>
          <w:numId w:val="7"/>
        </w:numPr>
      </w:pPr>
      <w:r w:rsidRPr="00D136FB">
        <w:t>Системата за отчитане на изпълнението гарантира ефикасното, ефективно и навременно събиране на данните за мониторинга на изпълнението на програмата и нейните резултати. За тази цел на получателите на средства от Съюза и, когато е уместно, на държавите членки се налагат пропорционални изисквания за докладване.</w:t>
      </w:r>
    </w:p>
    <w:p w:rsidR="003D1E4F" w:rsidRPr="00D136FB" w:rsidRDefault="003D1E4F" w:rsidP="003D1E4F">
      <w:pPr>
        <w:keepNext/>
        <w:spacing w:before="360"/>
        <w:jc w:val="center"/>
        <w:rPr>
          <w:i/>
        </w:rPr>
      </w:pPr>
      <w:r w:rsidRPr="00D136FB">
        <w:rPr>
          <w:i/>
        </w:rPr>
        <w:t>Член 18</w:t>
      </w:r>
      <w:r w:rsidRPr="00D136FB">
        <w:rPr>
          <w:i/>
        </w:rPr>
        <w:br/>
        <w:t>Оценка</w:t>
      </w:r>
    </w:p>
    <w:p w:rsidR="003D1E4F" w:rsidRPr="00D136FB" w:rsidRDefault="003D1E4F" w:rsidP="00F13A66">
      <w:pPr>
        <w:pStyle w:val="NumPar1"/>
        <w:numPr>
          <w:ilvl w:val="0"/>
          <w:numId w:val="30"/>
        </w:numPr>
        <w:spacing w:before="100" w:beforeAutospacing="1"/>
      </w:pPr>
      <w:r w:rsidRPr="00D136FB">
        <w:t>Провеждат се навременни оценки, които да послужат в процеса на вземане на решения.</w:t>
      </w:r>
    </w:p>
    <w:p w:rsidR="003D1E4F" w:rsidRPr="00D136FB" w:rsidRDefault="003D1E4F" w:rsidP="00EF7A5B">
      <w:pPr>
        <w:pStyle w:val="NumPar1"/>
        <w:numPr>
          <w:ilvl w:val="0"/>
          <w:numId w:val="7"/>
        </w:numPr>
      </w:pPr>
      <w:r w:rsidRPr="00D136FB">
        <w:t>Междинната оценка на програмата се извършва, след като за изпълнението на програмата се натрупа достатъчно информация, но не по-късно от четири години след започване на изпълнението на програмата.</w:t>
      </w:r>
    </w:p>
    <w:p w:rsidR="003D1E4F" w:rsidRPr="00D136FB" w:rsidRDefault="003D1E4F" w:rsidP="00EF7A5B">
      <w:pPr>
        <w:pStyle w:val="NumPar1"/>
        <w:numPr>
          <w:ilvl w:val="0"/>
          <w:numId w:val="7"/>
        </w:numPr>
      </w:pPr>
      <w:r w:rsidRPr="00D136FB">
        <w:t>В края на изпълнението на програмата, но не по-късно от две години след края на периода, посочен в член 1, Комисията извършва окончателна оценка на програмата.</w:t>
      </w:r>
    </w:p>
    <w:p w:rsidR="003D1E4F" w:rsidRPr="00D136FB" w:rsidRDefault="003D1E4F" w:rsidP="00EF7A5B">
      <w:pPr>
        <w:pStyle w:val="NumPar1"/>
        <w:numPr>
          <w:ilvl w:val="0"/>
          <w:numId w:val="7"/>
        </w:numPr>
      </w:pPr>
      <w:r w:rsidRPr="00D136FB">
        <w:t xml:space="preserve">Комисията представя заключенията от оценките и своите наблюдения на Европейския парламент, Съвета, Европейския икономически и социален комитет и Комитета на регионите. </w:t>
      </w:r>
    </w:p>
    <w:p w:rsidR="003D1E4F" w:rsidRPr="00D136FB" w:rsidRDefault="003D1E4F" w:rsidP="00EF7A5B">
      <w:pPr>
        <w:pStyle w:val="NumPar1"/>
        <w:numPr>
          <w:ilvl w:val="0"/>
          <w:numId w:val="7"/>
        </w:numPr>
      </w:pPr>
      <w:r w:rsidRPr="00D136FB">
        <w:t xml:space="preserve">Системата за отчитане на оценката гарантира, че данните за оценка на програмата се събират ефикасно, ефективно, навременно и в подходяща степен на подробност. Данните и информацията се съобщават на Комисията по начин, който съответства на други правни разпоредби; например когато е необходимо, личните данни се правят </w:t>
      </w:r>
      <w:r w:rsidRPr="00D136FB">
        <w:lastRenderedPageBreak/>
        <w:t>анонимни. За тази цел на получателите на средства от Съюза се налагат пропорционални изисквания за докладване.</w:t>
      </w:r>
    </w:p>
    <w:p w:rsidR="003D1E4F" w:rsidRPr="00D136FB" w:rsidRDefault="003D1E4F" w:rsidP="003D1E4F">
      <w:pPr>
        <w:pStyle w:val="Titrearticle"/>
      </w:pPr>
      <w:r w:rsidRPr="00D136FB">
        <w:t>Член 19</w:t>
      </w:r>
      <w:r w:rsidRPr="00D136FB">
        <w:br/>
        <w:t>Упражняване на делегирането</w:t>
      </w:r>
    </w:p>
    <w:p w:rsidR="003D1E4F" w:rsidRPr="00D136FB" w:rsidRDefault="003D1E4F" w:rsidP="00F13A66">
      <w:pPr>
        <w:pStyle w:val="NumPar1"/>
        <w:numPr>
          <w:ilvl w:val="0"/>
          <w:numId w:val="31"/>
        </w:numPr>
      </w:pPr>
      <w:r w:rsidRPr="00D136FB">
        <w:t>Правомощието да приема делегирани актове се предоставя на Комисията при спазване на предвидените в настоящия член условия.</w:t>
      </w:r>
    </w:p>
    <w:p w:rsidR="003D1E4F" w:rsidRPr="00D136FB" w:rsidRDefault="003D1E4F" w:rsidP="00EF7A5B">
      <w:pPr>
        <w:pStyle w:val="NumPar1"/>
        <w:numPr>
          <w:ilvl w:val="0"/>
          <w:numId w:val="7"/>
        </w:numPr>
      </w:pPr>
      <w:r w:rsidRPr="00D136FB">
        <w:t xml:space="preserve">Правомощието да приема делегирани актове, посочено в член 17, се предоставя на Комисията до 31 декември 2028 г. </w:t>
      </w:r>
    </w:p>
    <w:p w:rsidR="003D1E4F" w:rsidRPr="00D136FB" w:rsidRDefault="003D1E4F" w:rsidP="00EF7A5B">
      <w:pPr>
        <w:pStyle w:val="NumPar1"/>
        <w:numPr>
          <w:ilvl w:val="0"/>
          <w:numId w:val="7"/>
        </w:numPr>
      </w:pPr>
      <w:r w:rsidRPr="00D136FB">
        <w:t xml:space="preserve">Делегирането на правомощия, посочено в член 17, може да бъде оттеглено по всяко време от Европейския парламент или от Съвета. С решението за оттегляне се прекратява посоченото в него делегиране на правомощия. Оттеглянето поражда действие в деня след публикуването на решението в </w:t>
      </w:r>
      <w:r w:rsidRPr="00D136FB">
        <w:rPr>
          <w:i/>
        </w:rPr>
        <w:t>Официален вестник на Европейския съюз</w:t>
      </w:r>
      <w:r w:rsidRPr="00D136FB">
        <w:t xml:space="preserve"> или на по-късна дата, посочена в решението. То не засяга валидността на делегираните актове, които вече са в сила.</w:t>
      </w:r>
    </w:p>
    <w:p w:rsidR="003D1E4F" w:rsidRPr="00D136FB" w:rsidRDefault="003D1E4F" w:rsidP="00EF7A5B">
      <w:pPr>
        <w:pStyle w:val="NumPar1"/>
        <w:numPr>
          <w:ilvl w:val="0"/>
          <w:numId w:val="7"/>
        </w:numPr>
      </w:pPr>
      <w:r w:rsidRPr="00D136FB">
        <w:t>Преди приемането на делегиран акт Комисията следва да се консултира с експерти, определени от всяка държава членка в съответствие с принципите, залегнали в Междуинституционалното споразумение за по-добро законотворчество от 13 април 2016 г.</w:t>
      </w:r>
    </w:p>
    <w:p w:rsidR="003D1E4F" w:rsidRPr="00D136FB" w:rsidRDefault="003D1E4F" w:rsidP="00EF7A5B">
      <w:pPr>
        <w:pStyle w:val="NumPar1"/>
        <w:numPr>
          <w:ilvl w:val="0"/>
          <w:numId w:val="7"/>
        </w:numPr>
      </w:pPr>
      <w:r w:rsidRPr="00D136FB">
        <w:t xml:space="preserve">Веднага след като приеме делегиран акт, Комисията нотифицира акта едновременно на Европейския парламент и на Съвета. </w:t>
      </w:r>
    </w:p>
    <w:p w:rsidR="003D1E4F" w:rsidRPr="00D136FB" w:rsidRDefault="003D1E4F" w:rsidP="00EF7A5B">
      <w:pPr>
        <w:pStyle w:val="NumPar1"/>
        <w:numPr>
          <w:ilvl w:val="0"/>
          <w:numId w:val="7"/>
        </w:numPr>
      </w:pPr>
      <w:r w:rsidRPr="00D136FB">
        <w:t>Делегиран акт, приет съгласно член 17, влиза в сила единствено ако нито Европейският парламент, нито Съветът не са представили възражения в срок от два месеца след нотифицирането на същия акт на Европейския парламент и на Съвета или ако преди изтичането на този срок и Европейският парламент, и Съветът са уведомили Комисията, че няма да представят възражения. Посоченият срок се удължава с два месеца по инициатива на Европейския парламент или на Съвета.</w:t>
      </w:r>
    </w:p>
    <w:p w:rsidR="003D1E4F" w:rsidRPr="00D136FB" w:rsidRDefault="003D1E4F" w:rsidP="003D1E4F">
      <w:pPr>
        <w:pStyle w:val="ChapterTitle"/>
      </w:pPr>
      <w:r w:rsidRPr="00D136FB">
        <w:t>ГЛАВА V</w:t>
      </w:r>
      <w:r w:rsidRPr="00D136FB">
        <w:br/>
        <w:t xml:space="preserve">Преходни и заключителни разпоредби </w:t>
      </w:r>
    </w:p>
    <w:p w:rsidR="003D1E4F" w:rsidRPr="00D136FB" w:rsidRDefault="003D1E4F" w:rsidP="003D1E4F">
      <w:pPr>
        <w:pStyle w:val="Titrearticle"/>
      </w:pPr>
      <w:r w:rsidRPr="00D136FB">
        <w:t>Член 20</w:t>
      </w:r>
      <w:r w:rsidRPr="00D136FB">
        <w:br/>
        <w:t>Информация, комуникация и публичност</w:t>
      </w:r>
    </w:p>
    <w:p w:rsidR="003D1E4F" w:rsidRPr="00D136FB" w:rsidRDefault="003D1E4F" w:rsidP="00F13A66">
      <w:pPr>
        <w:pStyle w:val="NumPar1"/>
        <w:numPr>
          <w:ilvl w:val="0"/>
          <w:numId w:val="32"/>
        </w:numPr>
      </w:pPr>
      <w:r w:rsidRPr="00D136FB">
        <w:t>Получателите на финансиране от Съюза посочват неговия произход и гарантират видимостта на финансирането от Съюза (по-специално когато популяризират действията и резултатите от тях), като предоставят последователна, ефективна и пропорционална целева информация на различни видове публика, включително медиите и обществеността.</w:t>
      </w:r>
    </w:p>
    <w:p w:rsidR="003D1E4F" w:rsidRPr="00D136FB" w:rsidRDefault="003D1E4F" w:rsidP="00EF7A5B">
      <w:pPr>
        <w:pStyle w:val="NumPar1"/>
        <w:numPr>
          <w:ilvl w:val="0"/>
          <w:numId w:val="7"/>
        </w:numPr>
      </w:pPr>
      <w:r w:rsidRPr="00D136FB">
        <w:t>Комисията осъществява информационни и комуникационни дейности по отношение на програмата и нейните действия и резултати, които се подкрепят по линия на включените в програмата направления. Финансовите ресурси, отпуснати за програмата, допринасят също така за институционалната комуникация на политическите приоритети на Съюза, доколкото те са свързани с целите, посочени в член 3.</w:t>
      </w:r>
    </w:p>
    <w:p w:rsidR="003D1E4F" w:rsidRPr="00D136FB" w:rsidRDefault="003D1E4F" w:rsidP="003D1E4F">
      <w:pPr>
        <w:pStyle w:val="Titrearticle"/>
      </w:pPr>
      <w:r w:rsidRPr="00D136FB">
        <w:lastRenderedPageBreak/>
        <w:t>Член 21</w:t>
      </w:r>
      <w:r w:rsidRPr="00D136FB">
        <w:br/>
        <w:t xml:space="preserve">Отмяна </w:t>
      </w:r>
    </w:p>
    <w:p w:rsidR="003D1E4F" w:rsidRPr="00D136FB" w:rsidRDefault="003D1E4F" w:rsidP="003D1E4F">
      <w:r w:rsidRPr="00D136FB">
        <w:t>Регламент (ЕС) № 1295/2013 се отменя, считано от 1 януари 2021 г.</w:t>
      </w:r>
    </w:p>
    <w:p w:rsidR="003D1E4F" w:rsidRPr="00D136FB" w:rsidRDefault="003D1E4F" w:rsidP="003D1E4F">
      <w:pPr>
        <w:pStyle w:val="Titrearticle"/>
      </w:pPr>
      <w:r w:rsidRPr="00D136FB">
        <w:t>Член 22</w:t>
      </w:r>
      <w:r w:rsidRPr="00D136FB">
        <w:br/>
        <w:t xml:space="preserve">Преходни разпоредби </w:t>
      </w:r>
    </w:p>
    <w:p w:rsidR="003D1E4F" w:rsidRPr="00D136FB" w:rsidRDefault="003D1E4F" w:rsidP="00F13A66">
      <w:pPr>
        <w:pStyle w:val="NumPar1"/>
        <w:numPr>
          <w:ilvl w:val="0"/>
          <w:numId w:val="33"/>
        </w:numPr>
      </w:pPr>
      <w:r w:rsidRPr="00D136FB">
        <w:t>Настоящият регламент не засяга продължаването или изменението на съответните действия — до тяхното приключване — съгласно Регламент (ЕС) № 1295/2013, който продължава да се прилага за съответните действия до тяхното приключване.</w:t>
      </w:r>
    </w:p>
    <w:p w:rsidR="003D1E4F" w:rsidRPr="00D136FB" w:rsidRDefault="003D1E4F" w:rsidP="00EF7A5B">
      <w:pPr>
        <w:pStyle w:val="NumPar1"/>
        <w:numPr>
          <w:ilvl w:val="0"/>
          <w:numId w:val="7"/>
        </w:numPr>
      </w:pPr>
      <w:r w:rsidRPr="00D136FB">
        <w:t xml:space="preserve">Финансовият пакет за програмата може да обхваща и разходи за техническа и административна помощ, необходими за да се гарантира преходът между програмата и мерките, приети съгласно Регламент (ЕС) № 1295/2013. </w:t>
      </w:r>
    </w:p>
    <w:p w:rsidR="003D1E4F" w:rsidRPr="00D136FB" w:rsidRDefault="003D1E4F" w:rsidP="00EF7A5B">
      <w:pPr>
        <w:pStyle w:val="NumPar1"/>
        <w:numPr>
          <w:ilvl w:val="0"/>
          <w:numId w:val="7"/>
        </w:numPr>
      </w:pPr>
      <w:r w:rsidRPr="00D136FB">
        <w:t>Ако е необходимо, в бюджета могат да се записват бюджетни кредити за поети задължения след 2027 г. за покриване на разходите, предвидени в член 7, параграф 4, с цел да се гарантира управлението на действията, които не са приключили до 31 декември 2027 г.</w:t>
      </w:r>
    </w:p>
    <w:p w:rsidR="003D1E4F" w:rsidRPr="00D136FB" w:rsidRDefault="003D1E4F" w:rsidP="003D1E4F">
      <w:pPr>
        <w:pStyle w:val="Titrearticle"/>
      </w:pPr>
      <w:r w:rsidRPr="00D136FB">
        <w:t>Член 23</w:t>
      </w:r>
      <w:r w:rsidRPr="00D136FB">
        <w:br/>
        <w:t>Влизане в сила</w:t>
      </w:r>
    </w:p>
    <w:p w:rsidR="003D1E4F" w:rsidRPr="00D136FB" w:rsidRDefault="003D1E4F" w:rsidP="003D1E4F">
      <w:pPr>
        <w:rPr>
          <w:i/>
        </w:rPr>
      </w:pPr>
      <w:r w:rsidRPr="00D136FB">
        <w:t xml:space="preserve">Настоящият регламент влиза в сила на двадесетия ден след деня на публикуването му в </w:t>
      </w:r>
      <w:r w:rsidRPr="00D136FB">
        <w:rPr>
          <w:i/>
        </w:rPr>
        <w:t>Официален вестник на Европейския съюз</w:t>
      </w:r>
      <w:r w:rsidRPr="00D136FB">
        <w:t>.</w:t>
      </w:r>
    </w:p>
    <w:p w:rsidR="003D1E4F" w:rsidRPr="00D136FB" w:rsidRDefault="003D1E4F" w:rsidP="003D1E4F">
      <w:pPr>
        <w:pStyle w:val="Applicationdirecte"/>
      </w:pPr>
      <w:r w:rsidRPr="00D136FB">
        <w:t xml:space="preserve">Настоящият регламент е задължителен в своята цялост и се прилага пряко във всички държави членки. </w:t>
      </w:r>
    </w:p>
    <w:p w:rsidR="003D1E4F" w:rsidRPr="00D136FB" w:rsidRDefault="00377BF1" w:rsidP="00377BF1">
      <w:pPr>
        <w:pStyle w:val="Fait"/>
      </w:pPr>
      <w:r w:rsidRPr="00377BF1">
        <w:t xml:space="preserve">Съставено в Брюксел на </w:t>
      </w:r>
      <w:r w:rsidRPr="00377BF1">
        <w:rPr>
          <w:rStyle w:val="Marker"/>
        </w:rPr>
        <w:t>[…]</w:t>
      </w:r>
      <w:r w:rsidRPr="00377BF1">
        <w:t xml:space="preserve"> година.</w:t>
      </w:r>
    </w:p>
    <w:p w:rsidR="003D1E4F" w:rsidRPr="00D136FB" w:rsidRDefault="003D1E4F" w:rsidP="003D1E4F">
      <w:pPr>
        <w:pStyle w:val="Institutionquisigne"/>
        <w:tabs>
          <w:tab w:val="clear" w:pos="4252"/>
          <w:tab w:val="left" w:pos="5387"/>
        </w:tabs>
      </w:pPr>
      <w:r w:rsidRPr="00D136FB">
        <w:t>За Европейския парламент</w:t>
      </w:r>
      <w:r w:rsidRPr="00D136FB">
        <w:tab/>
        <w:t>За Съвета</w:t>
      </w:r>
    </w:p>
    <w:p w:rsidR="003D1E4F" w:rsidRPr="00D136FB" w:rsidRDefault="003D1E4F" w:rsidP="003D1E4F">
      <w:pPr>
        <w:pStyle w:val="Personnequisigne"/>
        <w:tabs>
          <w:tab w:val="clear" w:pos="4252"/>
          <w:tab w:val="left" w:pos="5387"/>
        </w:tabs>
      </w:pPr>
      <w:r w:rsidRPr="00D136FB">
        <w:t>Председател</w:t>
      </w:r>
      <w:r w:rsidRPr="00D136FB">
        <w:tab/>
        <w:t>Председател</w:t>
      </w:r>
    </w:p>
    <w:p w:rsidR="003D1E4F" w:rsidRPr="00D136FB" w:rsidRDefault="003D1E4F" w:rsidP="003D1E4F">
      <w:pPr>
        <w:pStyle w:val="Fichefinanciretitre"/>
        <w:rPr>
          <w:rFonts w:eastAsia="Times New Roman"/>
        </w:rPr>
      </w:pPr>
      <w:r w:rsidRPr="00D136FB">
        <w:rPr>
          <w:b w:val="0"/>
        </w:rPr>
        <w:br w:type="column"/>
      </w:r>
      <w:r w:rsidRPr="00D136FB">
        <w:lastRenderedPageBreak/>
        <w:t>ЗАКОНОДАТЕЛНА ФИНАНСОВА ОБОСНОВКА</w:t>
      </w:r>
    </w:p>
    <w:p w:rsidR="003D1E4F" w:rsidRPr="00D136FB" w:rsidRDefault="003D1E4F" w:rsidP="003D1E4F">
      <w:pPr>
        <w:pStyle w:val="ManualHeading1"/>
        <w:rPr>
          <w:noProof/>
        </w:rPr>
      </w:pPr>
      <w:r w:rsidRPr="00D136FB">
        <w:t>1.</w:t>
      </w:r>
      <w:r w:rsidRPr="00D136FB">
        <w:tab/>
        <w:t xml:space="preserve">РАМКА НА ПРЕДЛОЖЕНИЕТО/ИНИЦИАТИВАТА </w:t>
      </w:r>
    </w:p>
    <w:p w:rsidR="003D1E4F" w:rsidRPr="00D136FB" w:rsidRDefault="003D1E4F" w:rsidP="003D1E4F">
      <w:pPr>
        <w:pStyle w:val="ManualHeading2"/>
        <w:rPr>
          <w:b w:val="0"/>
          <w:noProof/>
        </w:rPr>
      </w:pPr>
      <w:r w:rsidRPr="00D136FB">
        <w:tab/>
      </w:r>
      <w:r w:rsidRPr="00D136FB">
        <w:rPr>
          <w:b w:val="0"/>
          <w:noProof/>
        </w:rPr>
        <w:t>1.1.</w:t>
      </w:r>
      <w:r w:rsidRPr="00D136FB">
        <w:tab/>
      </w:r>
      <w:r w:rsidRPr="00D136FB">
        <w:rPr>
          <w:b w:val="0"/>
          <w:noProof/>
        </w:rPr>
        <w:t xml:space="preserve">Наименование на предложението/инициативата </w:t>
      </w:r>
    </w:p>
    <w:p w:rsidR="003D1E4F" w:rsidRPr="00D136FB" w:rsidRDefault="003D1E4F" w:rsidP="003D1E4F">
      <w:pPr>
        <w:pStyle w:val="ManualHeading2"/>
        <w:rPr>
          <w:b w:val="0"/>
          <w:noProof/>
        </w:rPr>
      </w:pPr>
      <w:r w:rsidRPr="00D136FB">
        <w:tab/>
      </w:r>
      <w:r w:rsidRPr="00D136FB">
        <w:rPr>
          <w:b w:val="0"/>
          <w:noProof/>
        </w:rPr>
        <w:t>1.2.</w:t>
      </w:r>
      <w:r w:rsidRPr="00D136FB">
        <w:tab/>
      </w:r>
      <w:r w:rsidRPr="00D136FB">
        <w:rPr>
          <w:b w:val="0"/>
          <w:noProof/>
        </w:rPr>
        <w:t xml:space="preserve">Съответни области на политиката </w:t>
      </w:r>
      <w:r w:rsidRPr="00D136FB">
        <w:rPr>
          <w:b w:val="0"/>
          <w:i/>
          <w:noProof/>
        </w:rPr>
        <w:t>(програмен клъстер)</w:t>
      </w:r>
    </w:p>
    <w:p w:rsidR="003D1E4F" w:rsidRPr="00D136FB" w:rsidRDefault="003D1E4F" w:rsidP="003D1E4F">
      <w:pPr>
        <w:pStyle w:val="ManualHeading2"/>
        <w:rPr>
          <w:b w:val="0"/>
          <w:noProof/>
        </w:rPr>
      </w:pPr>
      <w:r w:rsidRPr="00D136FB">
        <w:tab/>
      </w:r>
      <w:r w:rsidRPr="00D136FB">
        <w:rPr>
          <w:b w:val="0"/>
          <w:noProof/>
        </w:rPr>
        <w:t>1.3.</w:t>
      </w:r>
      <w:r w:rsidRPr="00D136FB">
        <w:tab/>
      </w:r>
      <w:r w:rsidRPr="00D136FB">
        <w:rPr>
          <w:b w:val="0"/>
          <w:noProof/>
        </w:rPr>
        <w:t xml:space="preserve">Естество на предложението/инициативата </w:t>
      </w:r>
    </w:p>
    <w:p w:rsidR="003D1E4F" w:rsidRPr="00D136FB" w:rsidRDefault="003D1E4F" w:rsidP="003D1E4F">
      <w:pPr>
        <w:pStyle w:val="ManualHeading2"/>
        <w:rPr>
          <w:b w:val="0"/>
          <w:noProof/>
        </w:rPr>
      </w:pPr>
      <w:r w:rsidRPr="00D136FB">
        <w:tab/>
      </w:r>
      <w:r w:rsidRPr="00D136FB">
        <w:rPr>
          <w:b w:val="0"/>
          <w:noProof/>
        </w:rPr>
        <w:t>1.4.</w:t>
      </w:r>
      <w:r w:rsidRPr="00D136FB">
        <w:tab/>
      </w:r>
      <w:r w:rsidRPr="00D136FB">
        <w:rPr>
          <w:b w:val="0"/>
          <w:noProof/>
        </w:rPr>
        <w:t xml:space="preserve">Мотиви за предложението/инициативата </w:t>
      </w:r>
    </w:p>
    <w:p w:rsidR="003D1E4F" w:rsidRPr="00D136FB" w:rsidRDefault="003D1E4F" w:rsidP="003D1E4F">
      <w:pPr>
        <w:pStyle w:val="ManualHeading2"/>
        <w:rPr>
          <w:b w:val="0"/>
          <w:noProof/>
        </w:rPr>
      </w:pPr>
      <w:r w:rsidRPr="00D136FB">
        <w:tab/>
      </w:r>
      <w:r w:rsidRPr="00D136FB">
        <w:rPr>
          <w:b w:val="0"/>
          <w:noProof/>
        </w:rPr>
        <w:t>1.5.</w:t>
      </w:r>
      <w:r w:rsidRPr="00D136FB">
        <w:tab/>
      </w:r>
      <w:r w:rsidRPr="00D136FB">
        <w:rPr>
          <w:b w:val="0"/>
          <w:noProof/>
        </w:rPr>
        <w:t xml:space="preserve">Срок на действие и финансово отражение </w:t>
      </w:r>
    </w:p>
    <w:p w:rsidR="003D1E4F" w:rsidRPr="00D136FB" w:rsidRDefault="003D1E4F" w:rsidP="003D1E4F">
      <w:pPr>
        <w:pStyle w:val="ManualHeading2"/>
        <w:rPr>
          <w:b w:val="0"/>
          <w:noProof/>
        </w:rPr>
      </w:pPr>
      <w:r w:rsidRPr="00D136FB">
        <w:tab/>
      </w:r>
      <w:r w:rsidRPr="00D136FB">
        <w:rPr>
          <w:b w:val="0"/>
          <w:noProof/>
        </w:rPr>
        <w:t>1.6.</w:t>
      </w:r>
      <w:r w:rsidRPr="00D136FB">
        <w:tab/>
      </w:r>
      <w:r w:rsidRPr="00D136FB">
        <w:rPr>
          <w:b w:val="0"/>
          <w:noProof/>
        </w:rPr>
        <w:t xml:space="preserve">Планирани методи на управление </w:t>
      </w:r>
    </w:p>
    <w:p w:rsidR="003D1E4F" w:rsidRPr="00D136FB" w:rsidRDefault="003D1E4F" w:rsidP="003D1E4F">
      <w:pPr>
        <w:pStyle w:val="ManualHeading1"/>
        <w:rPr>
          <w:noProof/>
        </w:rPr>
      </w:pPr>
      <w:r w:rsidRPr="00D136FB">
        <w:t>2.</w:t>
      </w:r>
      <w:r w:rsidRPr="00D136FB">
        <w:tab/>
        <w:t xml:space="preserve">МЕРКИ ЗА УПРАВЛЕНИЕ </w:t>
      </w:r>
    </w:p>
    <w:p w:rsidR="003D1E4F" w:rsidRPr="00D136FB" w:rsidRDefault="003D1E4F" w:rsidP="003D1E4F">
      <w:pPr>
        <w:pStyle w:val="ManualHeading2"/>
        <w:rPr>
          <w:b w:val="0"/>
          <w:noProof/>
        </w:rPr>
      </w:pPr>
      <w:r w:rsidRPr="00D136FB">
        <w:tab/>
      </w:r>
      <w:r w:rsidRPr="00D136FB">
        <w:rPr>
          <w:b w:val="0"/>
          <w:noProof/>
        </w:rPr>
        <w:t>2.1.</w:t>
      </w:r>
      <w:r w:rsidRPr="00D136FB">
        <w:tab/>
      </w:r>
      <w:r w:rsidRPr="00D136FB">
        <w:rPr>
          <w:b w:val="0"/>
          <w:noProof/>
        </w:rPr>
        <w:t xml:space="preserve">Правила за мониторинг и докладване </w:t>
      </w:r>
    </w:p>
    <w:p w:rsidR="003D1E4F" w:rsidRPr="00D136FB" w:rsidRDefault="003D1E4F" w:rsidP="003D1E4F">
      <w:pPr>
        <w:pStyle w:val="ManualHeading2"/>
        <w:rPr>
          <w:b w:val="0"/>
          <w:noProof/>
        </w:rPr>
      </w:pPr>
      <w:r w:rsidRPr="00D136FB">
        <w:tab/>
      </w:r>
      <w:r w:rsidRPr="00D136FB">
        <w:rPr>
          <w:b w:val="0"/>
          <w:noProof/>
        </w:rPr>
        <w:t>2.2.</w:t>
      </w:r>
      <w:r w:rsidRPr="00D136FB">
        <w:tab/>
      </w:r>
      <w:r w:rsidRPr="00D136FB">
        <w:rPr>
          <w:b w:val="0"/>
          <w:noProof/>
        </w:rPr>
        <w:t xml:space="preserve">Система за управление и контрол </w:t>
      </w:r>
    </w:p>
    <w:p w:rsidR="003D1E4F" w:rsidRPr="00D136FB" w:rsidRDefault="003D1E4F" w:rsidP="003D1E4F">
      <w:pPr>
        <w:pStyle w:val="ManualHeading2"/>
        <w:rPr>
          <w:b w:val="0"/>
          <w:noProof/>
        </w:rPr>
      </w:pPr>
      <w:r w:rsidRPr="00D136FB">
        <w:tab/>
      </w:r>
      <w:r w:rsidRPr="00D136FB">
        <w:rPr>
          <w:b w:val="0"/>
          <w:noProof/>
        </w:rPr>
        <w:t>2.3.</w:t>
      </w:r>
      <w:r w:rsidRPr="00D136FB">
        <w:tab/>
      </w:r>
      <w:r w:rsidRPr="00D136FB">
        <w:rPr>
          <w:b w:val="0"/>
          <w:noProof/>
        </w:rPr>
        <w:t xml:space="preserve">Мерки за предотвратяване на измами и нередности </w:t>
      </w:r>
    </w:p>
    <w:p w:rsidR="003D1E4F" w:rsidRPr="00D136FB" w:rsidRDefault="003D1E4F" w:rsidP="003D1E4F">
      <w:pPr>
        <w:pStyle w:val="ManualHeading1"/>
        <w:rPr>
          <w:noProof/>
        </w:rPr>
      </w:pPr>
      <w:r w:rsidRPr="00D136FB">
        <w:t>3.</w:t>
      </w:r>
      <w:r w:rsidRPr="00D136FB">
        <w:tab/>
        <w:t xml:space="preserve">ОЧАКВАНО ФИНАНСОВО ОТРАЖЕНИЕ НА ПРЕДЛОЖЕНИЕТО/ИНИЦИАТИВАТА </w:t>
      </w:r>
    </w:p>
    <w:p w:rsidR="003D1E4F" w:rsidRPr="00D136FB" w:rsidRDefault="003D1E4F" w:rsidP="003D1E4F">
      <w:pPr>
        <w:pStyle w:val="ManualHeading2"/>
        <w:rPr>
          <w:b w:val="0"/>
          <w:noProof/>
        </w:rPr>
      </w:pPr>
      <w:r w:rsidRPr="00D136FB">
        <w:tab/>
      </w:r>
      <w:r w:rsidRPr="00D136FB">
        <w:rPr>
          <w:b w:val="0"/>
          <w:noProof/>
        </w:rPr>
        <w:t>3.1.</w:t>
      </w:r>
      <w:r w:rsidRPr="00D136FB">
        <w:tab/>
      </w:r>
      <w:r w:rsidRPr="00D136FB">
        <w:rPr>
          <w:b w:val="0"/>
          <w:noProof/>
        </w:rPr>
        <w:t xml:space="preserve">Съответни функции от многогодишната финансова рамка и разходни бюджетни редове </w:t>
      </w:r>
    </w:p>
    <w:p w:rsidR="003D1E4F" w:rsidRPr="00D136FB" w:rsidRDefault="003D1E4F" w:rsidP="003D1E4F">
      <w:pPr>
        <w:pStyle w:val="ManualHeading2"/>
        <w:rPr>
          <w:noProof/>
        </w:rPr>
      </w:pPr>
      <w:r w:rsidRPr="00D136FB">
        <w:tab/>
      </w:r>
      <w:r w:rsidRPr="00D136FB">
        <w:rPr>
          <w:b w:val="0"/>
          <w:noProof/>
        </w:rPr>
        <w:t>3.2.</w:t>
      </w:r>
      <w:r w:rsidRPr="00D136FB">
        <w:tab/>
      </w:r>
      <w:r w:rsidRPr="00D136FB">
        <w:rPr>
          <w:b w:val="0"/>
          <w:noProof/>
        </w:rPr>
        <w:t>Очаквано отражение върху разходите</w:t>
      </w:r>
      <w:r w:rsidRPr="00D136FB">
        <w:t xml:space="preserve"> </w:t>
      </w:r>
    </w:p>
    <w:p w:rsidR="003D1E4F" w:rsidRPr="00D136FB" w:rsidRDefault="003D1E4F" w:rsidP="003D1E4F">
      <w:pPr>
        <w:pStyle w:val="ManualHeading3"/>
        <w:rPr>
          <w:noProof/>
        </w:rPr>
      </w:pPr>
      <w:r w:rsidRPr="00D136FB">
        <w:tab/>
        <w:t>3.2.1.</w:t>
      </w:r>
      <w:r w:rsidRPr="00D136FB">
        <w:tab/>
        <w:t xml:space="preserve">Обобщение на очакваното отражение върху разходите </w:t>
      </w:r>
    </w:p>
    <w:p w:rsidR="003D1E4F" w:rsidRPr="00D136FB" w:rsidRDefault="003D1E4F" w:rsidP="003D1E4F">
      <w:pPr>
        <w:pStyle w:val="ManualHeading3"/>
        <w:rPr>
          <w:noProof/>
        </w:rPr>
      </w:pPr>
      <w:r w:rsidRPr="00D136FB">
        <w:tab/>
        <w:t>3.2.2.</w:t>
      </w:r>
      <w:r w:rsidRPr="00D136FB">
        <w:tab/>
        <w:t>Очаквано отражение върху бюджетните кредити за административни разходи</w:t>
      </w:r>
    </w:p>
    <w:p w:rsidR="003D1E4F" w:rsidRPr="00D136FB" w:rsidRDefault="003D1E4F" w:rsidP="003D1E4F">
      <w:pPr>
        <w:pStyle w:val="ManualHeading3"/>
        <w:rPr>
          <w:noProof/>
        </w:rPr>
      </w:pPr>
      <w:r w:rsidRPr="00D136FB">
        <w:tab/>
        <w:t>3.2.3.</w:t>
      </w:r>
      <w:r w:rsidRPr="00D136FB">
        <w:tab/>
        <w:t xml:space="preserve">Финансов принос от трети страни </w:t>
      </w:r>
    </w:p>
    <w:p w:rsidR="003D1E4F" w:rsidRPr="00D136FB" w:rsidRDefault="003D1E4F" w:rsidP="003D1E4F">
      <w:pPr>
        <w:pStyle w:val="ManualHeading2"/>
        <w:jc w:val="left"/>
        <w:rPr>
          <w:b w:val="0"/>
          <w:noProof/>
        </w:rPr>
      </w:pPr>
      <w:r w:rsidRPr="00D136FB">
        <w:tab/>
      </w:r>
      <w:r w:rsidRPr="00D136FB">
        <w:rPr>
          <w:b w:val="0"/>
          <w:noProof/>
        </w:rPr>
        <w:t>3.3.</w:t>
      </w:r>
      <w:r w:rsidRPr="00D136FB">
        <w:tab/>
      </w:r>
      <w:r w:rsidRPr="00D136FB">
        <w:rPr>
          <w:b w:val="0"/>
          <w:noProof/>
        </w:rPr>
        <w:t>Очаквано отражение върху приходите</w:t>
      </w:r>
    </w:p>
    <w:p w:rsidR="003D1E4F" w:rsidRPr="00D136FB" w:rsidRDefault="003D1E4F" w:rsidP="003D1E4F">
      <w:pPr>
        <w:spacing w:before="0" w:after="0"/>
        <w:jc w:val="left"/>
        <w:rPr>
          <w:noProof/>
        </w:rPr>
        <w:sectPr w:rsidR="003D1E4F" w:rsidRPr="00D136FB" w:rsidSect="00377BF1">
          <w:headerReference w:type="default" r:id="rId19"/>
          <w:footerReference w:type="default" r:id="rId20"/>
          <w:headerReference w:type="first" r:id="rId21"/>
          <w:footerReference w:type="first" r:id="rId22"/>
          <w:pgSz w:w="11907" w:h="16840"/>
          <w:pgMar w:top="709" w:right="992" w:bottom="851" w:left="993" w:header="709" w:footer="709" w:gutter="0"/>
          <w:pgNumType w:start="1"/>
          <w:cols w:space="720"/>
          <w:docGrid w:linePitch="326"/>
        </w:sectPr>
      </w:pPr>
    </w:p>
    <w:p w:rsidR="003D1E4F" w:rsidRPr="00D136FB" w:rsidRDefault="003D1E4F" w:rsidP="003D1E4F">
      <w:pPr>
        <w:jc w:val="center"/>
        <w:rPr>
          <w:b/>
          <w:noProof/>
          <w:u w:val="single"/>
        </w:rPr>
      </w:pPr>
      <w:r w:rsidRPr="00D136FB">
        <w:rPr>
          <w:b/>
          <w:noProof/>
          <w:u w:val="single"/>
        </w:rPr>
        <w:lastRenderedPageBreak/>
        <w:t>ЗАКОНОДАТЕЛНА ФИНАНСОВА ОБОСНОВКА</w:t>
      </w:r>
    </w:p>
    <w:p w:rsidR="003D1E4F" w:rsidRPr="00D136FB" w:rsidRDefault="003D1E4F" w:rsidP="00EF7A5B">
      <w:pPr>
        <w:pStyle w:val="Heading1"/>
        <w:numPr>
          <w:ilvl w:val="0"/>
          <w:numId w:val="15"/>
        </w:numPr>
        <w:rPr>
          <w:noProof/>
        </w:rPr>
      </w:pPr>
      <w:r w:rsidRPr="00D136FB">
        <w:t xml:space="preserve">РАМКА НА ПРЕДЛОЖЕНИЕТО/ИНИЦИАТИВАТА </w:t>
      </w:r>
    </w:p>
    <w:p w:rsidR="003D1E4F" w:rsidRPr="00D136FB" w:rsidRDefault="003D1E4F" w:rsidP="00EF7A5B">
      <w:pPr>
        <w:pStyle w:val="Heading2"/>
        <w:numPr>
          <w:ilvl w:val="1"/>
          <w:numId w:val="15"/>
        </w:numPr>
        <w:rPr>
          <w:noProof/>
        </w:rPr>
      </w:pPr>
      <w:r w:rsidRPr="00D136FB">
        <w:t xml:space="preserve">Наименование на предложението/инициативата </w:t>
      </w:r>
    </w:p>
    <w:p w:rsidR="003D1E4F" w:rsidRPr="00D136FB" w:rsidRDefault="003D1E4F" w:rsidP="003D1E4F">
      <w:pPr>
        <w:pStyle w:val="Text1"/>
      </w:pPr>
      <w:r w:rsidRPr="00D136FB">
        <w:t>Предложение за РЕГЛАМЕНТ НА ЕВРОПЕЙСКИЯ ПАРЛАМЕНТ И НА СЪВЕТА за създаване на програма „Творческа Европа“ и за отмяна на Регламент (ЕС) № 1295/2013</w:t>
      </w:r>
    </w:p>
    <w:p w:rsidR="003D1E4F" w:rsidRPr="00D136FB" w:rsidRDefault="003D1E4F" w:rsidP="00EF7A5B">
      <w:pPr>
        <w:pStyle w:val="Heading2"/>
        <w:numPr>
          <w:ilvl w:val="1"/>
          <w:numId w:val="15"/>
        </w:numPr>
        <w:rPr>
          <w:noProof/>
          <w:szCs w:val="24"/>
        </w:rPr>
      </w:pPr>
      <w:r w:rsidRPr="00D136FB">
        <w:t xml:space="preserve">Съответни области на политиката </w:t>
      </w:r>
      <w:r w:rsidRPr="00D136FB">
        <w:rPr>
          <w:i/>
          <w:noProof/>
        </w:rPr>
        <w:t>(програмен клъстер)</w:t>
      </w:r>
    </w:p>
    <w:p w:rsidR="003D1E4F" w:rsidRPr="00D136FB" w:rsidRDefault="003D1E4F" w:rsidP="003D1E4F">
      <w:pPr>
        <w:pStyle w:val="Text1"/>
      </w:pPr>
      <w:r w:rsidRPr="00D136FB">
        <w:t>Инвестиране в хората, социално сближаване и ценности, „Творческа Европа“ (култура и аудио-визуална дейност („МЕДИА“)</w:t>
      </w:r>
    </w:p>
    <w:p w:rsidR="003D1E4F" w:rsidRPr="00D136FB" w:rsidRDefault="003D1E4F" w:rsidP="00EF7A5B">
      <w:pPr>
        <w:pStyle w:val="Heading2"/>
        <w:numPr>
          <w:ilvl w:val="1"/>
          <w:numId w:val="15"/>
        </w:numPr>
        <w:rPr>
          <w:bCs w:val="0"/>
          <w:noProof/>
          <w:szCs w:val="24"/>
        </w:rPr>
      </w:pPr>
      <w:r w:rsidRPr="00D136FB">
        <w:t xml:space="preserve">Предложението/инициативата е във връзка със: </w:t>
      </w:r>
    </w:p>
    <w:p w:rsidR="003D1E4F" w:rsidRPr="00D136FB" w:rsidRDefault="003D1E4F" w:rsidP="003D1E4F">
      <w:pPr>
        <w:pStyle w:val="Text1"/>
        <w:rPr>
          <w:b/>
          <w:sz w:val="22"/>
        </w:rPr>
      </w:pPr>
      <w:r w:rsidRPr="00D136FB">
        <w:rPr>
          <w:sz w:val="22"/>
        </w:rPr>
        <w:sym w:font="Wingdings" w:char="F0A8"/>
      </w:r>
      <w:r w:rsidRPr="00D136FB">
        <w:rPr>
          <w:b/>
          <w:i/>
          <w:sz w:val="22"/>
        </w:rPr>
        <w:t xml:space="preserve"> </w:t>
      </w:r>
      <w:r w:rsidRPr="00D136FB">
        <w:rPr>
          <w:b/>
        </w:rPr>
        <w:t>ново действие</w:t>
      </w:r>
      <w:r w:rsidRPr="00D136FB">
        <w:rPr>
          <w:b/>
          <w:sz w:val="22"/>
        </w:rPr>
        <w:t xml:space="preserve"> </w:t>
      </w:r>
    </w:p>
    <w:p w:rsidR="003D1E4F" w:rsidRPr="00D136FB" w:rsidRDefault="003D1E4F" w:rsidP="003D1E4F">
      <w:pPr>
        <w:pStyle w:val="Text1"/>
        <w:rPr>
          <w:sz w:val="22"/>
        </w:rPr>
      </w:pPr>
      <w:r w:rsidRPr="00D136FB">
        <w:rPr>
          <w:sz w:val="22"/>
        </w:rPr>
        <w:sym w:font="Wingdings" w:char="F0A8"/>
      </w:r>
      <w:r w:rsidRPr="00D136FB">
        <w:rPr>
          <w:i/>
          <w:sz w:val="22"/>
        </w:rPr>
        <w:t xml:space="preserve"> </w:t>
      </w:r>
      <w:r w:rsidRPr="00D136FB">
        <w:rPr>
          <w:b/>
        </w:rPr>
        <w:t>ново действие след пилотен проект/подготвително действие</w:t>
      </w:r>
      <w:r w:rsidRPr="00D136FB">
        <w:rPr>
          <w:rStyle w:val="FootnoteReference"/>
          <w:b/>
        </w:rPr>
        <w:footnoteReference w:id="32"/>
      </w:r>
      <w:r w:rsidRPr="00D136FB">
        <w:rPr>
          <w:sz w:val="22"/>
        </w:rPr>
        <w:t xml:space="preserve"> </w:t>
      </w:r>
    </w:p>
    <w:p w:rsidR="003D1E4F" w:rsidRPr="00D136FB" w:rsidRDefault="003D1E4F" w:rsidP="003D1E4F">
      <w:pPr>
        <w:pStyle w:val="Text1"/>
        <w:rPr>
          <w:sz w:val="22"/>
        </w:rPr>
      </w:pPr>
      <w:r w:rsidRPr="00D136FB">
        <w:sym w:font="Wingdings" w:char="F078"/>
      </w:r>
      <w:r w:rsidRPr="00D136FB">
        <w:rPr>
          <w:i/>
          <w:sz w:val="22"/>
        </w:rPr>
        <w:t xml:space="preserve"> </w:t>
      </w:r>
      <w:r w:rsidRPr="00D136FB">
        <w:rPr>
          <w:b/>
        </w:rPr>
        <w:t>продължаване на съществуващо действие</w:t>
      </w:r>
      <w:r w:rsidRPr="00D136FB">
        <w:rPr>
          <w:sz w:val="22"/>
        </w:rPr>
        <w:t xml:space="preserve"> </w:t>
      </w:r>
    </w:p>
    <w:p w:rsidR="003D1E4F" w:rsidRPr="00D136FB" w:rsidRDefault="003D1E4F" w:rsidP="003D1E4F">
      <w:pPr>
        <w:pStyle w:val="Text1"/>
      </w:pPr>
      <w:r w:rsidRPr="00D136FB">
        <w:rPr>
          <w:sz w:val="22"/>
        </w:rPr>
        <w:sym w:font="Wingdings" w:char="F0A8"/>
      </w:r>
      <w:r w:rsidRPr="00D136FB">
        <w:rPr>
          <w:i/>
          <w:sz w:val="22"/>
        </w:rPr>
        <w:t xml:space="preserve"> </w:t>
      </w:r>
      <w:r w:rsidRPr="00D136FB">
        <w:rPr>
          <w:b/>
        </w:rPr>
        <w:t>сливане или пренасочване на едно или няколко действия към друго/ново действие</w:t>
      </w:r>
      <w:r w:rsidRPr="00D136FB">
        <w:t xml:space="preserve"> </w:t>
      </w:r>
    </w:p>
    <w:p w:rsidR="003D1E4F" w:rsidRPr="00D136FB" w:rsidRDefault="003D1E4F" w:rsidP="00EF7A5B">
      <w:pPr>
        <w:pStyle w:val="Heading2"/>
        <w:numPr>
          <w:ilvl w:val="1"/>
          <w:numId w:val="15"/>
        </w:numPr>
        <w:rPr>
          <w:bCs w:val="0"/>
          <w:noProof/>
          <w:szCs w:val="24"/>
        </w:rPr>
      </w:pPr>
      <w:r w:rsidRPr="00D136FB">
        <w:t xml:space="preserve">Мотиви за предложението/инициативата </w:t>
      </w:r>
    </w:p>
    <w:p w:rsidR="003D1E4F" w:rsidRPr="00D136FB" w:rsidRDefault="003D1E4F" w:rsidP="00EF7A5B">
      <w:pPr>
        <w:pStyle w:val="Heading3"/>
        <w:numPr>
          <w:ilvl w:val="2"/>
          <w:numId w:val="15"/>
        </w:numPr>
        <w:rPr>
          <w:noProof/>
        </w:rPr>
      </w:pPr>
      <w:r w:rsidRPr="00D136FB">
        <w:t>Изисквания, които трябва да бъдат изпълнени в краткосрочна или дългосрочна перспектива, включително подробен график за изпълнението на инициативата.</w:t>
      </w:r>
    </w:p>
    <w:p w:rsidR="003D1E4F" w:rsidRPr="00D136FB" w:rsidRDefault="003D1E4F" w:rsidP="003D1E4F">
      <w:pPr>
        <w:pStyle w:val="Text1"/>
      </w:pPr>
      <w:r w:rsidRPr="00D136FB">
        <w:t>Новата програма „Творческа Европа“ (2021—2027 г.) ще позволи по-нататъшното използване и извеждането на преден план на потенциала за преодоляване на общи предизвикателства и за създаване на общи възможности, изградени по време на периода на действие на първото поколение (2014—2020 г.) на съвместна програма за секторите на културата и творчеството. Това се отнася по-специално за възможностите на общо, междусекторно направление, при което иновациите ще бъдат в центъра на вниманието. Запазването на добре установеното направление на програма „Творческа Европа“ ще спомогне за осигуряването на траен ангажимент и на видимост на подкрепата от ЕС.</w:t>
      </w:r>
    </w:p>
    <w:p w:rsidR="003D1E4F" w:rsidRPr="00D136FB" w:rsidRDefault="003D1E4F" w:rsidP="00EF7A5B">
      <w:pPr>
        <w:pStyle w:val="Heading3"/>
        <w:numPr>
          <w:ilvl w:val="2"/>
          <w:numId w:val="15"/>
        </w:numPr>
        <w:rPr>
          <w:bCs w:val="0"/>
          <w:noProof/>
          <w:szCs w:val="24"/>
        </w:rPr>
      </w:pPr>
      <w:r w:rsidRPr="00D136FB">
        <w:t>Добавена стойност от участието на Съюза (може да е в резултат от различни фактори, например ползи по отношение на координацията, правна сигурност, по-добра ефективност или взаимно допълване). За целите на тази точка „добавена стойност от участието на Съюза“ е стойността, която е резултат от намесата на ЕС и е допълнителна спрямо стойността, която би била създадена само от отделните държави членки.</w:t>
      </w:r>
    </w:p>
    <w:p w:rsidR="003D1E4F" w:rsidRPr="00D136FB" w:rsidRDefault="003D1E4F" w:rsidP="003D1E4F">
      <w:pPr>
        <w:pStyle w:val="Text1"/>
        <w:rPr>
          <w:b/>
        </w:rPr>
      </w:pPr>
      <w:r w:rsidRPr="00D136FB">
        <w:rPr>
          <w:b/>
        </w:rPr>
        <w:t>Основания за действие на европейско равнище (ex-ante)</w:t>
      </w:r>
    </w:p>
    <w:p w:rsidR="003D1E4F" w:rsidRPr="00D136FB" w:rsidRDefault="003D1E4F" w:rsidP="003D1E4F">
      <w:pPr>
        <w:pStyle w:val="Text1"/>
      </w:pPr>
      <w:r w:rsidRPr="00D136FB">
        <w:t xml:space="preserve">Междинната оценка на предходната програма показа, че нейните цели и приоритети са като цяло съгласувани и се допълват с тези на националните политики и програми, като по този начин се спазва принципът на </w:t>
      </w:r>
      <w:r w:rsidRPr="00D136FB">
        <w:lastRenderedPageBreak/>
        <w:t xml:space="preserve">субсидиарност. По-специално многостранното транснационално естество на програма „Творческа Европа“ предлага нещо отличително, което рядко може да съответства на еквивалентно финансиране на национално равнище. Оценката показа също така, че програмата е насочена към основни предизвикателства за тези сектори, особено по отношение на достъпа до средства, разпокъсаността на пазара на културни произведения, както и цифровизацията и глобализацията. Беше установено също така, че програма „Творческа Европа“ допринася за постигането на стратегическите приоритети на ЕС, като например целите на стратегията „Европа 2020“относно заетостта, насърчавайки създаването на работни места и установяването на по-справедлив вътрешен пазар със засилена промишлена база и отраслови стратегии на равнище ЕС като цифровия единен пазар. В рамките на открита обществена консултация, съпровождаща междинния преглед, както и по-обхватна обществена консултация, проведена от януари до март 2018 г., беше потвърдено, че значително мнозинство от респондените са съгласни, че програма „Творческа Европа“ се е справила сравнително добре със съответните предизвикателства. Тези констатации бяха потвърдени от други външни експертни становища и обратна информация, събрана, </w:t>
      </w:r>
      <w:r w:rsidRPr="00D136FB">
        <w:rPr>
          <w:i/>
        </w:rPr>
        <w:t>inter alia</w:t>
      </w:r>
      <w:r w:rsidRPr="00D136FB">
        <w:t>, чрез отворения метод на координация, структурирания диалог със сектора и други форуми, като Европейския филмов форум.</w:t>
      </w:r>
    </w:p>
    <w:p w:rsidR="003D1E4F" w:rsidRPr="00D136FB" w:rsidRDefault="003D1E4F" w:rsidP="003D1E4F">
      <w:pPr>
        <w:pStyle w:val="Text1"/>
        <w:rPr>
          <w:b/>
        </w:rPr>
      </w:pPr>
      <w:r w:rsidRPr="00D136FB">
        <w:rPr>
          <w:b/>
        </w:rPr>
        <w:t xml:space="preserve">Очаквана генерирана добавена стойност от ЕС (ex-post) </w:t>
      </w:r>
    </w:p>
    <w:p w:rsidR="003D1E4F" w:rsidRPr="00D136FB" w:rsidRDefault="003D1E4F" w:rsidP="003D1E4F">
      <w:pPr>
        <w:pStyle w:val="Text1"/>
      </w:pPr>
      <w:r w:rsidRPr="00D136FB">
        <w:t>Трансграничното движение на произведенията, включително аудио-визуалните произведения;</w:t>
      </w:r>
    </w:p>
    <w:p w:rsidR="003D1E4F" w:rsidRPr="00D136FB" w:rsidRDefault="003D1E4F" w:rsidP="003D1E4F">
      <w:pPr>
        <w:pStyle w:val="Text1"/>
      </w:pPr>
      <w:r w:rsidRPr="00D136FB">
        <w:t xml:space="preserve">Създаването на международни мрежи и трансгранични партньорства, които са основните и най-трайни структурни елементи на програма „Творческа Европа“; </w:t>
      </w:r>
    </w:p>
    <w:p w:rsidR="003D1E4F" w:rsidRPr="00D136FB" w:rsidRDefault="003D1E4F" w:rsidP="003D1E4F">
      <w:pPr>
        <w:pStyle w:val="Text1"/>
      </w:pPr>
      <w:r w:rsidRPr="00D136FB">
        <w:t xml:space="preserve">Транснационалните мрежи също увеличават способностите на културните деятели и творците като цяло и особено на тези от тях, които осъществяват дейност в </w:t>
      </w:r>
      <w:r w:rsidR="00647A0C" w:rsidRPr="00D136FB">
        <w:t>нишови</w:t>
      </w:r>
      <w:r w:rsidRPr="00D136FB">
        <w:t xml:space="preserve"> области и в държавите членки, където тези способности са по-слабо развити; </w:t>
      </w:r>
    </w:p>
    <w:p w:rsidR="003D1E4F" w:rsidRPr="00D136FB" w:rsidRDefault="003D1E4F" w:rsidP="003D1E4F">
      <w:pPr>
        <w:pStyle w:val="Text1"/>
      </w:pPr>
      <w:r w:rsidRPr="00D136FB">
        <w:t>Трансграничната мобилност на културните деятели и творците в рамките на подход, насочен към даден проект или резултат, води до развиването на умения и ще укрепи капацитета на секторите;</w:t>
      </w:r>
    </w:p>
    <w:p w:rsidR="003D1E4F" w:rsidRPr="00D136FB" w:rsidRDefault="003D1E4F" w:rsidP="003D1E4F">
      <w:pPr>
        <w:pStyle w:val="Text1"/>
      </w:pPr>
      <w:r w:rsidRPr="00D136FB">
        <w:t xml:space="preserve">Подкрепата за организациите, когато предприемат (изчислени) рискове, които им позволяват да се съсредоточат върху осъществяването на действия с европейско измерение; </w:t>
      </w:r>
    </w:p>
    <w:p w:rsidR="003D1E4F" w:rsidRPr="00D136FB" w:rsidRDefault="003D1E4F" w:rsidP="003D1E4F">
      <w:pPr>
        <w:pStyle w:val="Text1"/>
      </w:pPr>
      <w:r w:rsidRPr="00D136FB">
        <w:t xml:space="preserve">Въздействието върху репутацията на бенефициерите по програмите, което увеличава потенциалния интерес на партньорите и на финансовите посредници и доверието, което проявяват към подпомаганите проекти. По отношение на този аспект, свързан с репутацията, беше отчетено също така, че той улеснява достъпа до допълнително финансиране; </w:t>
      </w:r>
    </w:p>
    <w:p w:rsidR="003D1E4F" w:rsidRPr="00D136FB" w:rsidRDefault="003D1E4F" w:rsidP="003D1E4F">
      <w:pPr>
        <w:pStyle w:val="Text1"/>
      </w:pPr>
      <w:r w:rsidRPr="00D136FB">
        <w:t>Програмата е насочена до голяма степен върху обществото, тъй както чрез подпомагането на културното и езиковото многообразие, както и на художествената и творческата свобода, ЕС изпраща и получава смислени и подходящи послания към и от европейските граждани, като по този начин допринася за социалното благополучие в Европа;</w:t>
      </w:r>
    </w:p>
    <w:p w:rsidR="003D1E4F" w:rsidRPr="00D136FB" w:rsidRDefault="003D1E4F" w:rsidP="003D1E4F">
      <w:pPr>
        <w:pStyle w:val="Text1"/>
      </w:pPr>
      <w:r w:rsidRPr="00D136FB">
        <w:t xml:space="preserve">Същевременно програма „Творческа Европа“ оказва положително въздействие и върху икономиката на Съюза като цяло, като подпомага създаването, </w:t>
      </w:r>
      <w:r w:rsidRPr="00D136FB">
        <w:lastRenderedPageBreak/>
        <w:t xml:space="preserve">популяризирането и движението на културни ценности и достъпа до услуги в сферата на културата, както и конкурентоспособността на секторите на културата и творчеството в Европа. Докато схемите за подпомагане на филмовите продукции на национално равнище се фокусират основно върху реализацията на тези продукции, подкрепата от ЕС се включва с действия нагоре (обучение, развитие) и надолу по веригата (дистрибуция, промоция, показване), с изключение на съвместните телевизионни продукции, за да се гарантира, че европейските произведения се движат по-добре през граница, че те са видими и се развиват успешно по всички канали на разпространение, включително онлайн; </w:t>
      </w:r>
    </w:p>
    <w:p w:rsidR="003D1E4F" w:rsidRPr="00D136FB" w:rsidRDefault="003D1E4F" w:rsidP="003D1E4F">
      <w:pPr>
        <w:pStyle w:val="Text1"/>
      </w:pPr>
      <w:r w:rsidRPr="00D136FB">
        <w:t>Подкрепата от ЕС съпътства свободното движение на аудио-визуални медийни услуги, които бяха укрепени с Директивата за аудио-визуалните медийни услуги, и по-специално видимостта на европейските произведения в каталозите за предлагане на видео услуги по заявка.</w:t>
      </w:r>
    </w:p>
    <w:p w:rsidR="003D1E4F" w:rsidRPr="00D136FB" w:rsidRDefault="003D1E4F" w:rsidP="00EF7A5B">
      <w:pPr>
        <w:pStyle w:val="Heading3"/>
        <w:numPr>
          <w:ilvl w:val="2"/>
          <w:numId w:val="15"/>
        </w:numPr>
        <w:rPr>
          <w:bCs w:val="0"/>
          <w:noProof/>
          <w:szCs w:val="24"/>
        </w:rPr>
      </w:pPr>
      <w:r w:rsidRPr="00D136FB">
        <w:t>Изводи от подобен опит в миналото</w:t>
      </w:r>
    </w:p>
    <w:p w:rsidR="003D1E4F" w:rsidRPr="00D136FB" w:rsidRDefault="003D1E4F" w:rsidP="003D1E4F">
      <w:pPr>
        <w:pStyle w:val="Text1"/>
        <w:pBdr>
          <w:top w:val="single" w:sz="4" w:space="1" w:color="auto"/>
          <w:left w:val="single" w:sz="4" w:space="4" w:color="auto"/>
          <w:bottom w:val="single" w:sz="4" w:space="1" w:color="auto"/>
          <w:right w:val="single" w:sz="4" w:space="4" w:color="auto"/>
        </w:pBdr>
      </w:pPr>
      <w:r w:rsidRPr="00D136FB">
        <w:t>Според средносрочната оценка и откритите обществени консултации основните пречки, които според респондентите биха могла да възпрепятстват текущите програми/фондове да постигнат техните цели, са „недостатъчен бюджет на програмите, за да се задоволи търсенето“; „недостатъчна подкрепа, предоставена на малките заинтересовани страни“; „липса на подкрепа за онези, които кандидатстват за първи път“, които се посочват като трите основни пречки.</w:t>
      </w:r>
    </w:p>
    <w:p w:rsidR="003D1E4F" w:rsidRPr="00D136FB" w:rsidRDefault="003D1E4F" w:rsidP="003D1E4F">
      <w:pPr>
        <w:pStyle w:val="Text1"/>
        <w:pBdr>
          <w:top w:val="single" w:sz="4" w:space="1" w:color="auto"/>
          <w:left w:val="single" w:sz="4" w:space="4" w:color="auto"/>
          <w:bottom w:val="single" w:sz="4" w:space="1" w:color="auto"/>
          <w:right w:val="single" w:sz="4" w:space="4" w:color="auto"/>
        </w:pBdr>
      </w:pPr>
      <w:r w:rsidRPr="00D136FB">
        <w:t>Респондентите, които имат опит с една или повече от програмите на ЕС, са съгласни, че „използването на по-опростени заявления за кандидатстване“, „улесняването на изграждането на структурирана мрежа и партньорства“, „улесняването на финансирането за действия, извършвани хоризонтално в секторите на действие“, както и „по-добрата координация между различните програми/фондове“ са основните стъпки, които трябва да бъдат предприети, за да се опрости и намали административната тежест за бенефициерите.</w:t>
      </w:r>
    </w:p>
    <w:p w:rsidR="003D1E4F" w:rsidRPr="00D136FB" w:rsidRDefault="003D1E4F" w:rsidP="003D1E4F">
      <w:pPr>
        <w:pStyle w:val="Text1"/>
        <w:pBdr>
          <w:top w:val="single" w:sz="4" w:space="1" w:color="auto"/>
          <w:left w:val="single" w:sz="4" w:space="4" w:color="auto"/>
          <w:bottom w:val="single" w:sz="4" w:space="1" w:color="auto"/>
          <w:right w:val="single" w:sz="4" w:space="4" w:color="auto"/>
        </w:pBdr>
      </w:pPr>
      <w:r w:rsidRPr="00D136FB">
        <w:t>От гледна точка на опростяването трябва да бъдат въведени следните елементи:</w:t>
      </w:r>
    </w:p>
    <w:p w:rsidR="003D1E4F" w:rsidRPr="00D136FB" w:rsidRDefault="003D1E4F" w:rsidP="003D1E4F">
      <w:pPr>
        <w:pStyle w:val="Text1"/>
        <w:pBdr>
          <w:top w:val="single" w:sz="4" w:space="1" w:color="auto"/>
          <w:left w:val="single" w:sz="4" w:space="4" w:color="auto"/>
          <w:bottom w:val="single" w:sz="4" w:space="1" w:color="auto"/>
          <w:right w:val="single" w:sz="4" w:space="4" w:color="auto"/>
        </w:pBdr>
      </w:pPr>
      <w:r w:rsidRPr="00D136FB">
        <w:t>В програмата ще бъде интегрирана по-голяма гъвкавост, за да може работните програми да бъдат адаптирани за непредвидени обстоятелства или за новости в технологиите или общественото развитие, както и за да се поощрява изпълнението.</w:t>
      </w:r>
    </w:p>
    <w:p w:rsidR="003D1E4F" w:rsidRPr="00D136FB" w:rsidRDefault="003D1E4F" w:rsidP="003D1E4F">
      <w:pPr>
        <w:pStyle w:val="Text1"/>
        <w:pBdr>
          <w:top w:val="single" w:sz="4" w:space="1" w:color="auto"/>
          <w:left w:val="single" w:sz="4" w:space="4" w:color="auto"/>
          <w:bottom w:val="single" w:sz="4" w:space="1" w:color="auto"/>
          <w:right w:val="single" w:sz="4" w:space="4" w:color="auto"/>
        </w:pBdr>
      </w:pPr>
      <w:r w:rsidRPr="00D136FB">
        <w:t>Необходими са по-голяма ефективност и ефикасност, включително засилено използване на рамкови споразумения за партньорство и предоставяне на безвъзмездни средства на каскаден принцип, за да се осигури финансова стабилност и да се улесни достъпът на по-малките участници на пазара. Допълнително ще се засилят учебният обмен, който вече се осъществява успешно по време на изпълнението на проектите, и разпространението на резултатите от него.</w:t>
      </w:r>
    </w:p>
    <w:p w:rsidR="003D1E4F" w:rsidRPr="00D136FB" w:rsidRDefault="003D1E4F" w:rsidP="003D1E4F">
      <w:pPr>
        <w:pStyle w:val="Text1"/>
        <w:pBdr>
          <w:top w:val="single" w:sz="4" w:space="1" w:color="auto"/>
          <w:left w:val="single" w:sz="4" w:space="4" w:color="auto"/>
          <w:bottom w:val="single" w:sz="4" w:space="1" w:color="auto"/>
          <w:right w:val="single" w:sz="4" w:space="4" w:color="auto"/>
        </w:pBdr>
      </w:pPr>
      <w:r w:rsidRPr="00D136FB">
        <w:t>Бъдещите действия в музикалния сектор, както и схемата за превод ще включват критерии за възлагане според успеха на пазара и предишните резултати.</w:t>
      </w:r>
    </w:p>
    <w:p w:rsidR="003D1E4F" w:rsidRPr="00D136FB" w:rsidRDefault="003D1E4F" w:rsidP="003D1E4F">
      <w:pPr>
        <w:pStyle w:val="Text1"/>
        <w:pBdr>
          <w:top w:val="single" w:sz="4" w:space="1" w:color="auto"/>
          <w:left w:val="single" w:sz="4" w:space="4" w:color="auto"/>
          <w:bottom w:val="single" w:sz="4" w:space="1" w:color="auto"/>
          <w:right w:val="single" w:sz="4" w:space="4" w:color="auto"/>
        </w:pBdr>
      </w:pPr>
      <w:r w:rsidRPr="00D136FB">
        <w:lastRenderedPageBreak/>
        <w:t>Ще бъдат разработени ефективни преходни разпоредби за улесняване на асоциирането към новата програма на трети държави, които преди това са били асоциирани към програма „Творческа Европа“ (2014—2020 г.).</w:t>
      </w:r>
    </w:p>
    <w:p w:rsidR="003D1E4F" w:rsidRPr="00D136FB" w:rsidRDefault="003D1E4F" w:rsidP="003D1E4F">
      <w:pPr>
        <w:pStyle w:val="Text1"/>
        <w:pBdr>
          <w:top w:val="single" w:sz="4" w:space="1" w:color="auto"/>
          <w:left w:val="single" w:sz="4" w:space="4" w:color="auto"/>
          <w:bottom w:val="single" w:sz="4" w:space="1" w:color="auto"/>
          <w:right w:val="single" w:sz="4" w:space="4" w:color="auto"/>
        </w:pBdr>
      </w:pPr>
      <w:r w:rsidRPr="00D136FB">
        <w:t>Ще бъде въведена по-голяма яснота в насоките за програмата, а процесите и процедурите ще включват системно използване на електронни формуляри и електронни доклади и облекчени изисквания за докладване. Ще бъде въведен съгласуван набор от правила (единен правилник), като същевременно ще се остави възможност за диференцирани подходи, когато това е необходимо.</w:t>
      </w:r>
    </w:p>
    <w:p w:rsidR="003D1E4F" w:rsidRPr="00D136FB" w:rsidRDefault="003D1E4F" w:rsidP="003D1E4F">
      <w:pPr>
        <w:pStyle w:val="Text1"/>
        <w:pBdr>
          <w:top w:val="single" w:sz="4" w:space="1" w:color="auto"/>
          <w:left w:val="single" w:sz="4" w:space="4" w:color="auto"/>
          <w:bottom w:val="single" w:sz="4" w:space="1" w:color="auto"/>
          <w:right w:val="single" w:sz="4" w:space="4" w:color="auto"/>
        </w:pBdr>
      </w:pPr>
      <w:r w:rsidRPr="00D136FB">
        <w:t>Съществени мерки за опростяване, като използването на еднократни суми, единни ставки и единични разходи, вече са въведени успешно от други програми и може да бъдат въведени в новата програма „Творческа Европа“.</w:t>
      </w:r>
    </w:p>
    <w:p w:rsidR="003D1E4F" w:rsidRPr="00D136FB" w:rsidRDefault="003D1E4F" w:rsidP="003D1E4F">
      <w:pPr>
        <w:pStyle w:val="Text1"/>
        <w:pBdr>
          <w:top w:val="single" w:sz="4" w:space="1" w:color="auto"/>
          <w:left w:val="single" w:sz="4" w:space="4" w:color="auto"/>
          <w:bottom w:val="single" w:sz="4" w:space="1" w:color="auto"/>
          <w:right w:val="single" w:sz="4" w:space="4" w:color="auto"/>
        </w:pBdr>
      </w:pPr>
      <w:r w:rsidRPr="00D136FB">
        <w:t>Сложността на правилата за финансиране на текущите програми, както и тяхната разнородност представляват пречка за кандидатите. Използването на една входна точка за участието на външни потребители в жизнения цикъл на безвъзмездните средства (т.е. портал за участници), включително цялостна система за управление на безвъзмездните средства, има важна роля за опростяването на достъпа до програмата.</w:t>
      </w:r>
    </w:p>
    <w:p w:rsidR="003D1E4F" w:rsidRPr="00D136FB" w:rsidRDefault="003D1E4F" w:rsidP="00EF7A5B">
      <w:pPr>
        <w:pStyle w:val="Heading3"/>
        <w:keepLines/>
        <w:numPr>
          <w:ilvl w:val="2"/>
          <w:numId w:val="15"/>
        </w:numPr>
        <w:ind w:left="851"/>
        <w:rPr>
          <w:bCs w:val="0"/>
          <w:noProof/>
          <w:szCs w:val="24"/>
        </w:rPr>
      </w:pPr>
      <w:r w:rsidRPr="00D136FB">
        <w:t>Съгласуваност и евентуална синергия с други актове</w:t>
      </w:r>
    </w:p>
    <w:p w:rsidR="003D1E4F" w:rsidRPr="00D136FB" w:rsidRDefault="003D1E4F" w:rsidP="003D1E4F">
      <w:pPr>
        <w:pStyle w:val="Text1"/>
        <w:keepLines/>
        <w:ind w:left="851"/>
      </w:pPr>
      <w:r w:rsidRPr="00D136FB">
        <w:t>Програмата ще бъде в съответствие и ще допълва други инструменти на Съюза, по-специално програмата „Еразъм+“, европейските структурни и инвестиционни фондове (ЕСИ фондове), включително Европейския социален фонд и Европейския фонд за регионално развитие, следващата рамкова програма за научни изследвания и иновации, както и инструментите за външно сътрудничество (ИСРМС, ИПП III и ОСТ). Въз основа на разпоредбата на Договора за интегриране в политиките и програмите на ЕС, както и на новия политически подход, основан на взаимодействие между секторите на културата, както е посочено в новата европейска програма за култура, програмата е насочена към разработването на синергии със следните области на политика: политиките в сферата на образованието и младежта, заетостта и социалната въпроси, сближаването и селските райони, програмата за единния пазар, стратегическата инфраструктура като „Цифрова Европа“, „Хоризонт Европа“, програмите за научни изследвания, както и външната политика и политиката за сътрудничество за развитие.</w:t>
      </w:r>
    </w:p>
    <w:p w:rsidR="003D1E4F" w:rsidRPr="00D136FB" w:rsidRDefault="003D1E4F" w:rsidP="003D1E4F">
      <w:pPr>
        <w:pStyle w:val="Text1"/>
        <w:keepLines/>
        <w:ind w:left="851"/>
      </w:pPr>
    </w:p>
    <w:p w:rsidR="003D1E4F" w:rsidRPr="00D136FB" w:rsidRDefault="003D1E4F" w:rsidP="00EF7A5B">
      <w:pPr>
        <w:pStyle w:val="Heading2"/>
        <w:numPr>
          <w:ilvl w:val="1"/>
          <w:numId w:val="15"/>
        </w:numPr>
        <w:rPr>
          <w:bCs w:val="0"/>
          <w:noProof/>
          <w:szCs w:val="24"/>
        </w:rPr>
      </w:pPr>
      <w:r w:rsidRPr="00D136FB">
        <w:rPr>
          <w:b w:val="0"/>
          <w:bCs w:val="0"/>
        </w:rPr>
        <w:br w:type="page"/>
      </w:r>
      <w:r w:rsidRPr="00D136FB">
        <w:lastRenderedPageBreak/>
        <w:t xml:space="preserve">Срок на действие и финансово отражение </w:t>
      </w:r>
    </w:p>
    <w:p w:rsidR="003D1E4F" w:rsidRPr="00D136FB" w:rsidRDefault="003D1E4F" w:rsidP="003D1E4F">
      <w:pPr>
        <w:pStyle w:val="Text1"/>
      </w:pPr>
      <w:r w:rsidRPr="00D136FB">
        <w:sym w:font="Wingdings" w:char="F078"/>
      </w:r>
      <w:r w:rsidRPr="00D136FB">
        <w:tab/>
      </w:r>
      <w:r w:rsidRPr="00D136FB">
        <w:rPr>
          <w:b/>
        </w:rPr>
        <w:t xml:space="preserve">ограничен срок на действие </w:t>
      </w:r>
    </w:p>
    <w:p w:rsidR="003D1E4F" w:rsidRPr="00D136FB" w:rsidRDefault="003D1E4F" w:rsidP="00F13A66">
      <w:pPr>
        <w:pStyle w:val="ListDash2"/>
        <w:numPr>
          <w:ilvl w:val="0"/>
          <w:numId w:val="16"/>
        </w:numPr>
        <w:rPr>
          <w:noProof/>
        </w:rPr>
      </w:pPr>
      <w:r w:rsidRPr="00D136FB">
        <w:rPr>
          <w:noProof/>
        </w:rPr>
        <w:sym w:font="Wingdings" w:char="F078"/>
      </w:r>
      <w:r w:rsidRPr="00D136FB">
        <w:tab/>
        <w:t>в сила от [1.1.2021 г.] до [31.12.2027 г.]</w:t>
      </w:r>
    </w:p>
    <w:p w:rsidR="003D1E4F" w:rsidRPr="00D136FB" w:rsidRDefault="003D1E4F" w:rsidP="00F13A66">
      <w:pPr>
        <w:pStyle w:val="ListDash2"/>
        <w:numPr>
          <w:ilvl w:val="0"/>
          <w:numId w:val="16"/>
        </w:numPr>
        <w:rPr>
          <w:noProof/>
        </w:rPr>
      </w:pPr>
      <w:r w:rsidRPr="00D136FB">
        <w:rPr>
          <w:noProof/>
        </w:rPr>
        <w:sym w:font="Wingdings" w:char="F078"/>
      </w:r>
      <w:r w:rsidRPr="00D136FB">
        <w:tab/>
        <w:t xml:space="preserve">Финансово отражение от 2021 до 2027 г. за бюджетните кредити за поети задължения и от 2021 до 2027 г. за бюджетните кредити за плащания и до периода след 2027 г. за плащания. </w:t>
      </w:r>
    </w:p>
    <w:p w:rsidR="003D1E4F" w:rsidRPr="00D136FB" w:rsidRDefault="003D1E4F" w:rsidP="003D1E4F">
      <w:pPr>
        <w:pStyle w:val="Text1"/>
      </w:pPr>
      <w:r w:rsidRPr="00D136FB">
        <w:sym w:font="Wingdings" w:char="F0A8"/>
      </w:r>
      <w:r w:rsidRPr="00D136FB">
        <w:rPr>
          <w:b/>
          <w:i/>
        </w:rPr>
        <w:t xml:space="preserve"> </w:t>
      </w:r>
      <w:r w:rsidRPr="00D136FB">
        <w:rPr>
          <w:b/>
        </w:rPr>
        <w:t>неограничен срок на действие</w:t>
      </w:r>
    </w:p>
    <w:p w:rsidR="003D1E4F" w:rsidRPr="00D136FB" w:rsidRDefault="003D1E4F" w:rsidP="003D1E4F">
      <w:pPr>
        <w:pStyle w:val="ListDash1"/>
      </w:pPr>
      <w:r w:rsidRPr="00D136FB">
        <w:t>Изпълнение с период на започване на дейност от ГГГГ до ГГГГ,</w:t>
      </w:r>
      <w:r w:rsidRPr="00D136FB">
        <w:br/>
        <w:t>последван от функциониране с пълен капацитет.</w:t>
      </w:r>
    </w:p>
    <w:p w:rsidR="003D1E4F" w:rsidRPr="00D136FB" w:rsidRDefault="003D1E4F" w:rsidP="00EF7A5B">
      <w:pPr>
        <w:pStyle w:val="Heading2"/>
        <w:numPr>
          <w:ilvl w:val="1"/>
          <w:numId w:val="15"/>
        </w:numPr>
        <w:rPr>
          <w:bCs w:val="0"/>
          <w:noProof/>
          <w:szCs w:val="24"/>
        </w:rPr>
      </w:pPr>
      <w:r w:rsidRPr="00D136FB">
        <w:t>Планирани методи на управление</w:t>
      </w:r>
      <w:r w:rsidRPr="00D136FB">
        <w:rPr>
          <w:rStyle w:val="FootnoteReference"/>
          <w:noProof/>
        </w:rPr>
        <w:footnoteReference w:id="33"/>
      </w:r>
      <w:r w:rsidRPr="00D136FB">
        <w:rPr>
          <w:rStyle w:val="FootnoteReference"/>
          <w:noProof/>
        </w:rPr>
        <w:t xml:space="preserve"> </w:t>
      </w:r>
    </w:p>
    <w:p w:rsidR="003D1E4F" w:rsidRPr="00D136FB" w:rsidRDefault="003D1E4F" w:rsidP="003D1E4F">
      <w:pPr>
        <w:pStyle w:val="Text1"/>
      </w:pPr>
      <w:r w:rsidRPr="00D136FB">
        <w:sym w:font="Wingdings" w:char="F078"/>
      </w:r>
      <w:r w:rsidRPr="00D136FB">
        <w:rPr>
          <w:i/>
        </w:rPr>
        <w:t xml:space="preserve"> </w:t>
      </w:r>
      <w:r w:rsidRPr="00D136FB">
        <w:rPr>
          <w:b/>
        </w:rPr>
        <w:t>Пряко управление</w:t>
      </w:r>
      <w:r w:rsidRPr="00D136FB">
        <w:t xml:space="preserve"> от Комисията</w:t>
      </w:r>
    </w:p>
    <w:p w:rsidR="003D1E4F" w:rsidRPr="00D136FB" w:rsidRDefault="003D1E4F" w:rsidP="00F13A66">
      <w:pPr>
        <w:pStyle w:val="ListDash2"/>
        <w:numPr>
          <w:ilvl w:val="0"/>
          <w:numId w:val="16"/>
        </w:numPr>
        <w:rPr>
          <w:noProof/>
        </w:rPr>
      </w:pPr>
      <w:r w:rsidRPr="00D136FB">
        <w:rPr>
          <w:noProof/>
        </w:rPr>
        <w:sym w:font="Wingdings" w:char="F078"/>
      </w:r>
      <w:r w:rsidRPr="00D136FB">
        <w:t xml:space="preserve"> от нейните служби, включително от нейния персонал в делегациите на Съюза; </w:t>
      </w:r>
    </w:p>
    <w:p w:rsidR="003D1E4F" w:rsidRPr="00D136FB" w:rsidRDefault="003D1E4F" w:rsidP="00F13A66">
      <w:pPr>
        <w:pStyle w:val="ListDash2"/>
        <w:numPr>
          <w:ilvl w:val="0"/>
          <w:numId w:val="16"/>
        </w:numPr>
        <w:rPr>
          <w:noProof/>
        </w:rPr>
      </w:pPr>
      <w:r w:rsidRPr="00D136FB">
        <w:rPr>
          <w:noProof/>
        </w:rPr>
        <w:sym w:font="Wingdings" w:char="F078"/>
      </w:r>
      <w:r w:rsidRPr="00D136FB">
        <w:tab/>
        <w:t xml:space="preserve">от изпълнителните агенции. </w:t>
      </w:r>
    </w:p>
    <w:p w:rsidR="003D1E4F" w:rsidRPr="00D136FB" w:rsidRDefault="003D1E4F" w:rsidP="003D1E4F">
      <w:pPr>
        <w:pStyle w:val="Text1"/>
      </w:pPr>
      <w:r w:rsidRPr="00D136FB">
        <w:sym w:font="Wingdings" w:char="F0A8"/>
      </w:r>
      <w:r w:rsidRPr="00D136FB">
        <w:rPr>
          <w:b/>
          <w:i/>
        </w:rPr>
        <w:t xml:space="preserve"> </w:t>
      </w:r>
      <w:r w:rsidRPr="00D136FB">
        <w:rPr>
          <w:b/>
        </w:rPr>
        <w:t>Споделено управление</w:t>
      </w:r>
      <w:r w:rsidRPr="00D136FB">
        <w:t xml:space="preserve"> с държавите членки </w:t>
      </w:r>
    </w:p>
    <w:p w:rsidR="003D1E4F" w:rsidRPr="00D136FB" w:rsidRDefault="003D1E4F" w:rsidP="003D1E4F">
      <w:pPr>
        <w:pStyle w:val="Text1"/>
      </w:pPr>
      <w:r w:rsidRPr="00D136FB">
        <w:sym w:font="Wingdings" w:char="F078"/>
      </w:r>
      <w:r w:rsidRPr="00D136FB">
        <w:rPr>
          <w:i/>
        </w:rPr>
        <w:t xml:space="preserve"> </w:t>
      </w:r>
      <w:r w:rsidRPr="00D136FB">
        <w:rPr>
          <w:b/>
        </w:rPr>
        <w:t>Непряко управление</w:t>
      </w:r>
      <w:r w:rsidRPr="00D136FB">
        <w:t xml:space="preserve"> чрез възлагане на задачи по изпълнението на бюджета на:</w:t>
      </w:r>
    </w:p>
    <w:p w:rsidR="003D1E4F" w:rsidRPr="00D136FB" w:rsidRDefault="003D1E4F" w:rsidP="00F13A66">
      <w:pPr>
        <w:pStyle w:val="ListDash2"/>
        <w:numPr>
          <w:ilvl w:val="0"/>
          <w:numId w:val="16"/>
        </w:numPr>
        <w:rPr>
          <w:noProof/>
        </w:rPr>
      </w:pPr>
      <w:r w:rsidRPr="00D136FB">
        <w:rPr>
          <w:noProof/>
        </w:rPr>
        <w:sym w:font="Wingdings" w:char="F0A8"/>
      </w:r>
      <w:r w:rsidRPr="00D136FB">
        <w:t xml:space="preserve"> трети държави или на органите, определени от тях;</w:t>
      </w:r>
    </w:p>
    <w:p w:rsidR="003D1E4F" w:rsidRPr="00D136FB" w:rsidRDefault="003D1E4F" w:rsidP="00F13A66">
      <w:pPr>
        <w:pStyle w:val="ListDash2"/>
        <w:numPr>
          <w:ilvl w:val="0"/>
          <w:numId w:val="16"/>
        </w:numPr>
        <w:rPr>
          <w:noProof/>
        </w:rPr>
      </w:pPr>
      <w:r w:rsidRPr="00D136FB">
        <w:rPr>
          <w:noProof/>
        </w:rPr>
        <w:sym w:font="Wingdings" w:char="F078"/>
      </w:r>
      <w:r w:rsidRPr="00D136FB">
        <w:t xml:space="preserve"> международни организации и техните агенции (да се уточни);</w:t>
      </w:r>
    </w:p>
    <w:p w:rsidR="003D1E4F" w:rsidRPr="00D136FB" w:rsidRDefault="003D1E4F" w:rsidP="00F13A66">
      <w:pPr>
        <w:pStyle w:val="ListDash2"/>
        <w:numPr>
          <w:ilvl w:val="0"/>
          <w:numId w:val="16"/>
        </w:numPr>
        <w:rPr>
          <w:noProof/>
        </w:rPr>
      </w:pPr>
      <w:r w:rsidRPr="00D136FB">
        <w:rPr>
          <w:noProof/>
        </w:rPr>
        <w:sym w:font="Wingdings" w:char="F0A8"/>
      </w:r>
      <w:r w:rsidRPr="00D136FB">
        <w:t xml:space="preserve"> ЕИБ и Европейския инвестиционен фонд;</w:t>
      </w:r>
    </w:p>
    <w:p w:rsidR="003D1E4F" w:rsidRPr="00D136FB" w:rsidRDefault="003D1E4F" w:rsidP="00F13A66">
      <w:pPr>
        <w:pStyle w:val="ListDash2"/>
        <w:numPr>
          <w:ilvl w:val="0"/>
          <w:numId w:val="16"/>
        </w:numPr>
        <w:rPr>
          <w:noProof/>
        </w:rPr>
      </w:pPr>
      <w:r w:rsidRPr="00D136FB">
        <w:rPr>
          <w:noProof/>
        </w:rPr>
        <w:sym w:font="Wingdings" w:char="F0A8"/>
      </w:r>
      <w:r w:rsidRPr="00D136FB">
        <w:t xml:space="preserve"> органите, посочени в членове 70 и 71 от Финансовия регламент;</w:t>
      </w:r>
    </w:p>
    <w:p w:rsidR="003D1E4F" w:rsidRPr="00D136FB" w:rsidRDefault="003D1E4F" w:rsidP="00F13A66">
      <w:pPr>
        <w:pStyle w:val="ListDash2"/>
        <w:numPr>
          <w:ilvl w:val="0"/>
          <w:numId w:val="16"/>
        </w:numPr>
        <w:rPr>
          <w:noProof/>
        </w:rPr>
      </w:pPr>
      <w:r w:rsidRPr="00D136FB">
        <w:rPr>
          <w:noProof/>
        </w:rPr>
        <w:sym w:font="Wingdings" w:char="F078"/>
      </w:r>
      <w:r w:rsidRPr="00D136FB">
        <w:t xml:space="preserve"> публичноправни органи;</w:t>
      </w:r>
    </w:p>
    <w:p w:rsidR="003D1E4F" w:rsidRPr="00D136FB" w:rsidRDefault="003D1E4F" w:rsidP="00F13A66">
      <w:pPr>
        <w:pStyle w:val="ListDash2"/>
        <w:numPr>
          <w:ilvl w:val="0"/>
          <w:numId w:val="16"/>
        </w:numPr>
        <w:rPr>
          <w:noProof/>
        </w:rPr>
      </w:pPr>
      <w:r w:rsidRPr="00D136FB">
        <w:rPr>
          <w:noProof/>
        </w:rPr>
        <w:sym w:font="Wingdings" w:char="F0A8"/>
      </w:r>
      <w:r w:rsidRPr="00D136FB">
        <w:t xml:space="preserve"> частноправни органи със задължение за обществена услуга, доколкото предоставят подходящи финансови гаранции;</w:t>
      </w:r>
    </w:p>
    <w:p w:rsidR="003D1E4F" w:rsidRPr="00D136FB" w:rsidRDefault="003D1E4F" w:rsidP="00F13A66">
      <w:pPr>
        <w:pStyle w:val="ListDash2"/>
        <w:numPr>
          <w:ilvl w:val="0"/>
          <w:numId w:val="16"/>
        </w:numPr>
        <w:rPr>
          <w:noProof/>
        </w:rPr>
      </w:pPr>
      <w:r w:rsidRPr="00D136FB">
        <w:rPr>
          <w:noProof/>
        </w:rPr>
        <w:sym w:font="Wingdings" w:char="F0A8"/>
      </w:r>
      <w:r w:rsidRPr="00D136FB">
        <w:t xml:space="preserve"> органи, уредени в частното право на държава членка, на които е възложено осъществяването на публично-частно партньорство и които предоставят подходящи финансови гаранции;</w:t>
      </w:r>
    </w:p>
    <w:p w:rsidR="003D1E4F" w:rsidRPr="00D136FB" w:rsidRDefault="003D1E4F" w:rsidP="00F13A66">
      <w:pPr>
        <w:pStyle w:val="ListDash2"/>
        <w:numPr>
          <w:ilvl w:val="0"/>
          <w:numId w:val="16"/>
        </w:numPr>
        <w:rPr>
          <w:noProof/>
        </w:rPr>
      </w:pPr>
      <w:r w:rsidRPr="00D136FB">
        <w:rPr>
          <w:noProof/>
        </w:rPr>
        <w:sym w:font="Wingdings" w:char="F0A8"/>
      </w:r>
      <w:r w:rsidRPr="00D136FB">
        <w:t xml:space="preserve"> лица, на които е възложено изпълнението на специфични действия в областта на ОВППС съгласно дял V от ДЕС и които са посочени в съответния основен акт.</w:t>
      </w:r>
    </w:p>
    <w:p w:rsidR="003D1E4F" w:rsidRPr="00D136FB" w:rsidRDefault="003D1E4F" w:rsidP="00F13A66">
      <w:pPr>
        <w:pStyle w:val="ListDash2"/>
        <w:numPr>
          <w:ilvl w:val="0"/>
          <w:numId w:val="16"/>
        </w:numPr>
        <w:rPr>
          <w:i/>
          <w:noProof/>
          <w:sz w:val="18"/>
          <w:u w:val="single"/>
        </w:rPr>
      </w:pPr>
      <w:r w:rsidRPr="00D136FB">
        <w:rPr>
          <w:i/>
          <w:noProof/>
          <w:sz w:val="18"/>
        </w:rPr>
        <w:t>Ако е посочен повече от един метод на управление, пояснете в частта „Забележки“.</w:t>
      </w:r>
    </w:p>
    <w:p w:rsidR="003D1E4F" w:rsidRPr="00D136FB" w:rsidRDefault="003D1E4F" w:rsidP="003D1E4F">
      <w:pPr>
        <w:rPr>
          <w:noProof/>
        </w:rPr>
      </w:pPr>
      <w:r w:rsidRPr="00D136FB">
        <w:t xml:space="preserve">Забележки </w:t>
      </w:r>
    </w:p>
    <w:p w:rsidR="003D1E4F" w:rsidRPr="00D136FB" w:rsidRDefault="003D1E4F" w:rsidP="003D1E4F">
      <w:pPr>
        <w:pBdr>
          <w:top w:val="single" w:sz="4" w:space="1" w:color="auto"/>
          <w:left w:val="single" w:sz="4" w:space="4" w:color="auto"/>
          <w:bottom w:val="single" w:sz="4" w:space="1" w:color="auto"/>
          <w:right w:val="single" w:sz="4" w:space="4" w:color="auto"/>
        </w:pBdr>
        <w:rPr>
          <w:noProof/>
        </w:rPr>
      </w:pPr>
      <w:r w:rsidRPr="00D136FB">
        <w:t>[…]</w:t>
      </w:r>
    </w:p>
    <w:p w:rsidR="003D1E4F" w:rsidRPr="00D136FB" w:rsidRDefault="003D1E4F" w:rsidP="003D1E4F">
      <w:pPr>
        <w:pBdr>
          <w:top w:val="single" w:sz="4" w:space="1" w:color="auto"/>
          <w:left w:val="single" w:sz="4" w:space="4" w:color="auto"/>
          <w:bottom w:val="single" w:sz="4" w:space="1" w:color="auto"/>
          <w:right w:val="single" w:sz="4" w:space="4" w:color="auto"/>
        </w:pBdr>
        <w:rPr>
          <w:noProof/>
        </w:rPr>
      </w:pPr>
      <w:r w:rsidRPr="00D136FB">
        <w:t>[…]</w:t>
      </w:r>
    </w:p>
    <w:p w:rsidR="003D1E4F" w:rsidRPr="00D136FB" w:rsidRDefault="003D1E4F" w:rsidP="003D1E4F">
      <w:pPr>
        <w:spacing w:before="0" w:after="0"/>
        <w:jc w:val="left"/>
        <w:rPr>
          <w:noProof/>
        </w:rPr>
        <w:sectPr w:rsidR="003D1E4F" w:rsidRPr="00D136FB" w:rsidSect="00377BF1">
          <w:headerReference w:type="default" r:id="rId23"/>
          <w:footerReference w:type="default" r:id="rId24"/>
          <w:headerReference w:type="first" r:id="rId25"/>
          <w:footerReference w:type="first" r:id="rId26"/>
          <w:pgSz w:w="11907" w:h="16840"/>
          <w:pgMar w:top="1134" w:right="1418" w:bottom="1134" w:left="1418" w:header="709" w:footer="709" w:gutter="0"/>
          <w:cols w:space="720"/>
          <w:docGrid w:linePitch="326"/>
        </w:sectPr>
      </w:pPr>
    </w:p>
    <w:p w:rsidR="003D1E4F" w:rsidRPr="00D136FB" w:rsidRDefault="003D1E4F" w:rsidP="00EF7A5B">
      <w:pPr>
        <w:pStyle w:val="Heading1"/>
        <w:numPr>
          <w:ilvl w:val="0"/>
          <w:numId w:val="15"/>
        </w:numPr>
        <w:rPr>
          <w:bCs w:val="0"/>
          <w:noProof/>
          <w:szCs w:val="24"/>
        </w:rPr>
      </w:pPr>
      <w:r w:rsidRPr="00D136FB">
        <w:lastRenderedPageBreak/>
        <w:t xml:space="preserve">МЕРКИ ЗА УПРАВЛЕНИЕ </w:t>
      </w:r>
    </w:p>
    <w:p w:rsidR="003D1E4F" w:rsidRPr="00D136FB" w:rsidRDefault="003D1E4F" w:rsidP="00EF7A5B">
      <w:pPr>
        <w:pStyle w:val="Heading2"/>
        <w:numPr>
          <w:ilvl w:val="1"/>
          <w:numId w:val="15"/>
        </w:numPr>
        <w:rPr>
          <w:noProof/>
        </w:rPr>
      </w:pPr>
      <w:r w:rsidRPr="00D136FB">
        <w:t xml:space="preserve">Правила за мониторинг и докладване </w:t>
      </w:r>
    </w:p>
    <w:p w:rsidR="003D1E4F" w:rsidRPr="00D136FB" w:rsidRDefault="003D1E4F" w:rsidP="003D1E4F">
      <w:pPr>
        <w:pStyle w:val="Text1"/>
        <w:rPr>
          <w:i/>
          <w:sz w:val="20"/>
          <w:u w:val="single"/>
        </w:rPr>
      </w:pPr>
      <w:r w:rsidRPr="00D136FB">
        <w:rPr>
          <w:i/>
          <w:sz w:val="20"/>
        </w:rPr>
        <w:t>Да се посочат честотата и условията.</w:t>
      </w:r>
    </w:p>
    <w:p w:rsidR="003D1E4F" w:rsidRPr="00D136FB" w:rsidRDefault="003D1E4F" w:rsidP="003D1E4F">
      <w:pPr>
        <w:pStyle w:val="Text1"/>
      </w:pPr>
      <w:r w:rsidRPr="00D136FB">
        <w:t xml:space="preserve">В правното основание е определен набор от показатели, които отчитат напредъка на програмата по отношение на постигането на общите цели. Информацията за тях ще бъде докладвана редовно. </w:t>
      </w:r>
    </w:p>
    <w:p w:rsidR="003D1E4F" w:rsidRPr="00D136FB" w:rsidRDefault="003D1E4F" w:rsidP="003D1E4F">
      <w:pPr>
        <w:pStyle w:val="Text1"/>
      </w:pPr>
      <w:r w:rsidRPr="00D136FB">
        <w:t>До 31 декември 2024 г. ще бъде направена междинна оценка. До 31 декември 2029 г. трябва да бъде направена окончателна оценка.</w:t>
      </w:r>
    </w:p>
    <w:p w:rsidR="003D1E4F" w:rsidRPr="00D136FB" w:rsidRDefault="003D1E4F" w:rsidP="003D1E4F">
      <w:pPr>
        <w:pStyle w:val="Text1"/>
      </w:pPr>
      <w:r w:rsidRPr="00D136FB">
        <w:t>Мониторингът ще се осъществява в съответствие с изискванията, договорени в Меморандума за разбирателство с EACEA.</w:t>
      </w:r>
    </w:p>
    <w:p w:rsidR="003D1E4F" w:rsidRPr="00D136FB" w:rsidRDefault="003D1E4F" w:rsidP="00EF7A5B">
      <w:pPr>
        <w:pStyle w:val="Heading2"/>
        <w:numPr>
          <w:ilvl w:val="1"/>
          <w:numId w:val="15"/>
        </w:numPr>
        <w:rPr>
          <w:bCs w:val="0"/>
          <w:noProof/>
          <w:szCs w:val="24"/>
        </w:rPr>
      </w:pPr>
      <w:r w:rsidRPr="00D136FB">
        <w:t xml:space="preserve">Системи за управление и контрол </w:t>
      </w:r>
    </w:p>
    <w:p w:rsidR="003D1E4F" w:rsidRPr="00D136FB" w:rsidRDefault="003D1E4F" w:rsidP="00EF7A5B">
      <w:pPr>
        <w:pStyle w:val="Heading3"/>
        <w:numPr>
          <w:ilvl w:val="2"/>
          <w:numId w:val="15"/>
        </w:numPr>
        <w:rPr>
          <w:noProof/>
        </w:rPr>
      </w:pPr>
      <w:r w:rsidRPr="00D136FB">
        <w:t>Обосновка на предложените начини за управление, механизми за финансиране на изпълнението, начини за плащане и стратегия за контрол</w:t>
      </w:r>
    </w:p>
    <w:p w:rsidR="003D1E4F" w:rsidRPr="00D136FB" w:rsidRDefault="003D1E4F" w:rsidP="003D1E4F">
      <w:pPr>
        <w:pBdr>
          <w:top w:val="single" w:sz="4" w:space="1" w:color="auto"/>
          <w:left w:val="single" w:sz="4" w:space="4" w:color="auto"/>
          <w:bottom w:val="single" w:sz="4" w:space="1" w:color="auto"/>
          <w:right w:val="single" w:sz="4" w:space="4" w:color="auto"/>
        </w:pBdr>
        <w:ind w:left="850"/>
        <w:rPr>
          <w:rFonts w:eastAsia="Times New Roman"/>
          <w:noProof/>
        </w:rPr>
      </w:pPr>
      <w:r w:rsidRPr="00D136FB">
        <w:t>По-голямата част от действията по програмата вероятно ще продължат да се изпълняват от EACEA с оглед на ефективността на разходите. До момента сегашният начин на изпълнение също се доказа като ефективен, а понастоящем процентът на грешка е под 2 %, въз основа на предварителни резултати за текущата МФР. По-голямата част от финансирането ще се изпълнява по-специално посредством безвъзмездни средства.  В обичайния случай тези безвъзмездни средства ще бъдат под формата на действителни разходи, но е възможно те да бъдат и под формата на еднократни суми, единни ставки и единични разходи, или комбинация от тях.</w:t>
      </w:r>
    </w:p>
    <w:p w:rsidR="003D1E4F" w:rsidRPr="00D136FB" w:rsidRDefault="003D1E4F" w:rsidP="003D1E4F">
      <w:pPr>
        <w:pBdr>
          <w:top w:val="single" w:sz="4" w:space="1" w:color="auto"/>
          <w:left w:val="single" w:sz="4" w:space="4" w:color="auto"/>
          <w:bottom w:val="single" w:sz="4" w:space="1" w:color="auto"/>
          <w:right w:val="single" w:sz="4" w:space="4" w:color="auto"/>
        </w:pBdr>
        <w:ind w:left="850"/>
        <w:rPr>
          <w:rFonts w:eastAsia="Times New Roman"/>
          <w:noProof/>
        </w:rPr>
      </w:pPr>
      <w:r w:rsidRPr="00D136FB">
        <w:t>Използването на таблици за единичните разходи и други опростени мерки ще намалят възможността за допускане на грешка в декларациите за направени разходи. Ще бъдат приложени няколко мерки за осигуряване на по-добър достъп, например за по-малките организации, и за опростяване на насоките и процедурите въз основа на Финансовия регламент (вж. по-горе). Направление „МЕДИА“ ще рационализира своя сравнително голям брой различни действия с цел по-добра насоченост.</w:t>
      </w:r>
    </w:p>
    <w:p w:rsidR="003D1E4F" w:rsidRPr="00D136FB" w:rsidRDefault="003D1E4F" w:rsidP="003D1E4F">
      <w:pPr>
        <w:pStyle w:val="Text1"/>
      </w:pPr>
    </w:p>
    <w:p w:rsidR="003D1E4F" w:rsidRPr="00D136FB" w:rsidRDefault="003D1E4F" w:rsidP="00EF7A5B">
      <w:pPr>
        <w:pStyle w:val="Heading3"/>
        <w:numPr>
          <w:ilvl w:val="2"/>
          <w:numId w:val="15"/>
        </w:numPr>
        <w:rPr>
          <w:bCs w:val="0"/>
          <w:noProof/>
          <w:szCs w:val="24"/>
        </w:rPr>
      </w:pPr>
      <w:r w:rsidRPr="00D136FB">
        <w:lastRenderedPageBreak/>
        <w:t>Информация относно установените рискове и системите за вътрешен контрол, създадени с цел намаляването им</w:t>
      </w:r>
    </w:p>
    <w:tbl>
      <w:tblPr>
        <w:tblStyle w:val="TableGrid"/>
        <w:tblW w:w="0" w:type="auto"/>
        <w:tblInd w:w="817" w:type="dxa"/>
        <w:tblLook w:val="04A0" w:firstRow="1" w:lastRow="0" w:firstColumn="1" w:lastColumn="0" w:noHBand="0" w:noVBand="1"/>
      </w:tblPr>
      <w:tblGrid>
        <w:gridCol w:w="8470"/>
      </w:tblGrid>
      <w:tr w:rsidR="003D1E4F" w:rsidRPr="00D136FB" w:rsidTr="003D1E4F">
        <w:tc>
          <w:tcPr>
            <w:tcW w:w="8470" w:type="dxa"/>
            <w:tcBorders>
              <w:top w:val="single" w:sz="4" w:space="0" w:color="auto"/>
              <w:left w:val="single" w:sz="4" w:space="0" w:color="auto"/>
              <w:bottom w:val="single" w:sz="4" w:space="0" w:color="auto"/>
              <w:right w:val="single" w:sz="4" w:space="0" w:color="auto"/>
            </w:tcBorders>
            <w:hideMark/>
          </w:tcPr>
          <w:p w:rsidR="003D1E4F" w:rsidRPr="00D136FB" w:rsidRDefault="003D1E4F">
            <w:pPr>
              <w:pStyle w:val="Heading3"/>
              <w:numPr>
                <w:ilvl w:val="2"/>
                <w:numId w:val="0"/>
              </w:numPr>
              <w:tabs>
                <w:tab w:val="left" w:pos="720"/>
              </w:tabs>
              <w:outlineLvl w:val="2"/>
              <w:rPr>
                <w:i w:val="0"/>
                <w:noProof/>
              </w:rPr>
            </w:pPr>
            <w:r w:rsidRPr="00D136FB">
              <w:rPr>
                <w:i w:val="0"/>
                <w:noProof/>
              </w:rPr>
              <w:t>Програма „Творческа Европа“ е изправена пред същите рискове като други програми на Комисията, насочени към по-малки бенефициери, които са от разнородно естество. По-специално много бенефициери не се повтарят или не разполагат с разгърнати административни структури.</w:t>
            </w:r>
          </w:p>
          <w:p w:rsidR="003D1E4F" w:rsidRPr="00D136FB" w:rsidRDefault="003D1E4F">
            <w:pPr>
              <w:pStyle w:val="Heading3"/>
              <w:numPr>
                <w:ilvl w:val="2"/>
                <w:numId w:val="0"/>
              </w:numPr>
              <w:tabs>
                <w:tab w:val="left" w:pos="720"/>
              </w:tabs>
              <w:outlineLvl w:val="2"/>
              <w:rPr>
                <w:i w:val="0"/>
                <w:noProof/>
              </w:rPr>
            </w:pPr>
            <w:r w:rsidRPr="00D136FB">
              <w:rPr>
                <w:i w:val="0"/>
                <w:noProof/>
              </w:rPr>
              <w:t>По-голямата част от програма „Творческа Европа“ вероятно ще продължи да се изпълнява от EACEA. През 2018 г. одитът на службата за вътрешен одит на EACEA относно управлението на безвъзмездните средства — фаза I (от поканата за представяне на предложения до подписването на договорите), показа наличието на слабости на системата за вътрешен контрол, особено в рамките на компоненти III „Контролни дейности“ и</w:t>
            </w:r>
            <w:r w:rsidR="00D3035E">
              <w:rPr>
                <w:i w:val="0"/>
                <w:noProof/>
              </w:rPr>
              <w:t xml:space="preserve"> IV „Информация и комуникация“.</w:t>
            </w:r>
            <w:r w:rsidRPr="00D136FB">
              <w:rPr>
                <w:i w:val="0"/>
                <w:noProof/>
              </w:rPr>
              <w:t xml:space="preserve"> По специално е необходимо да бъде укрепена ролята на комисиите за оценка, както и управлението на външните експерти при отпускането на безвъзмездни средства.   </w:t>
            </w:r>
          </w:p>
          <w:p w:rsidR="003D1E4F" w:rsidRPr="00D136FB" w:rsidRDefault="003D1E4F">
            <w:pPr>
              <w:pStyle w:val="Heading3"/>
              <w:numPr>
                <w:ilvl w:val="2"/>
                <w:numId w:val="0"/>
              </w:numPr>
              <w:tabs>
                <w:tab w:val="left" w:pos="720"/>
              </w:tabs>
              <w:outlineLvl w:val="2"/>
              <w:rPr>
                <w:i w:val="0"/>
                <w:noProof/>
              </w:rPr>
            </w:pPr>
            <w:r w:rsidRPr="00D136FB">
              <w:rPr>
                <w:i w:val="0"/>
                <w:noProof/>
              </w:rPr>
              <w:t xml:space="preserve">В отговор на това Агенцията е създала план за действие, насочен към преразглеждането на процедурите, насоките и образците. Той съдържа незабавни действия (напр. правилно документиране на процедурите и незабавни промени на процедурите, прилагани непосредствено за първите покани за представяне на предложения от 2018 г.) и други промени в начина на работа на EACEA, които трябва да се изпълнят до 2018 г.  По специално бяха въведени адаптирани процедури относно оценката на поканите за представяне на предложения, чиито последствия от гледна точка на разходите за контрол все още предстои да бъдат оценени.  </w:t>
            </w:r>
          </w:p>
          <w:p w:rsidR="003D1E4F" w:rsidRPr="00D136FB" w:rsidRDefault="003D1E4F">
            <w:pPr>
              <w:pStyle w:val="Heading3"/>
              <w:numPr>
                <w:ilvl w:val="2"/>
                <w:numId w:val="0"/>
              </w:numPr>
              <w:tabs>
                <w:tab w:val="left" w:pos="720"/>
              </w:tabs>
              <w:outlineLvl w:val="2"/>
              <w:rPr>
                <w:i w:val="0"/>
                <w:noProof/>
                <w:lang w:eastAsia="bg-BG" w:bidi="bg-BG"/>
              </w:rPr>
            </w:pPr>
            <w:r w:rsidRPr="00D136FB">
              <w:rPr>
                <w:i w:val="0"/>
                <w:noProof/>
              </w:rPr>
              <w:t>ЕАСЕА отговаря за плана за действие с подкрепата на отговорните генерални дирекции. Въпреки това надзорът на ЕАСЕА от отговорните дирекции беше засилен.</w:t>
            </w:r>
          </w:p>
        </w:tc>
      </w:tr>
    </w:tbl>
    <w:p w:rsidR="003D1E4F" w:rsidRPr="00D136FB" w:rsidRDefault="003D1E4F" w:rsidP="00EF7A5B">
      <w:pPr>
        <w:pStyle w:val="Heading3"/>
        <w:numPr>
          <w:ilvl w:val="2"/>
          <w:numId w:val="15"/>
        </w:numPr>
        <w:rPr>
          <w:noProof/>
          <w:lang w:eastAsia="bg-BG" w:bidi="bg-BG"/>
        </w:rPr>
      </w:pPr>
      <w:r w:rsidRPr="00D136FB">
        <w:t xml:space="preserve">Оценка и обосновка на разходната ефективност на проверките (съотношение „разходи за контрол ÷ стойност на съответните управлявани фондове“) и оценка на очакваната степен на риска от грешки (при плащане и при приключване) </w:t>
      </w:r>
    </w:p>
    <w:p w:rsidR="003D1E4F" w:rsidRPr="00D136FB" w:rsidRDefault="003D1E4F" w:rsidP="003D1E4F">
      <w:pPr>
        <w:pBdr>
          <w:top w:val="single" w:sz="4" w:space="1" w:color="auto"/>
          <w:left w:val="single" w:sz="4" w:space="4" w:color="auto"/>
          <w:bottom w:val="single" w:sz="4" w:space="1" w:color="auto"/>
          <w:right w:val="single" w:sz="4" w:space="4" w:color="auto"/>
        </w:pBdr>
        <w:ind w:left="850"/>
        <w:rPr>
          <w:rFonts w:eastAsia="Times New Roman"/>
          <w:noProof/>
        </w:rPr>
      </w:pPr>
      <w:r w:rsidRPr="00D136FB">
        <w:t>След одита на EACEA, извършен от Службата за вътрешен одит през 2017-2018 г., бяха въведени адаптирани процедури относно оценката на поканите за представяне на предложения, чиито последствия от гледна точка на разходите за контрол все още предстои да бъдат оценени. Беше засилен мониторингът между отговорните генерални дирекции и EACEA, за да се даде възможност за засилен надзор от името на Комисията.</w:t>
      </w:r>
    </w:p>
    <w:p w:rsidR="003D1E4F" w:rsidRPr="00D136FB" w:rsidRDefault="003D1E4F" w:rsidP="00EF7A5B">
      <w:pPr>
        <w:pStyle w:val="Heading2"/>
        <w:numPr>
          <w:ilvl w:val="1"/>
          <w:numId w:val="15"/>
        </w:numPr>
        <w:rPr>
          <w:bCs w:val="0"/>
          <w:noProof/>
          <w:szCs w:val="24"/>
        </w:rPr>
      </w:pPr>
      <w:r w:rsidRPr="00D136FB">
        <w:t xml:space="preserve">Мерки за предотвратяване на измами и нередности </w:t>
      </w:r>
    </w:p>
    <w:p w:rsidR="003D1E4F" w:rsidRPr="00D136FB" w:rsidRDefault="003D1E4F" w:rsidP="003D1E4F">
      <w:pPr>
        <w:pStyle w:val="Text1"/>
        <w:rPr>
          <w:i/>
          <w:sz w:val="20"/>
        </w:rPr>
      </w:pPr>
      <w:r w:rsidRPr="00D136FB">
        <w:rPr>
          <w:i/>
          <w:sz w:val="20"/>
        </w:rPr>
        <w:t>Да се посочат съществуващите или планираните мерки за превенция и защита, например от стратегията за борба с измамите.</w:t>
      </w:r>
    </w:p>
    <w:p w:rsidR="003D1E4F" w:rsidRPr="00D136FB" w:rsidRDefault="003D1E4F" w:rsidP="003D1E4F">
      <w:pPr>
        <w:pStyle w:val="Text1"/>
      </w:pPr>
      <w:r w:rsidRPr="00D136FB">
        <w:t>Стратегиите за борба с измамите както на EACEA (актуализирани през 2018 г.), така и на Комисията ще дадат възможност да се обърне внимание на риска от измами, основно чрез мерки за предотвратяване на нередности, които впоследствие се засилват, в случай че бъде установена измама.</w:t>
      </w:r>
    </w:p>
    <w:p w:rsidR="003D1E4F" w:rsidRPr="00D136FB" w:rsidRDefault="003D1E4F" w:rsidP="003D1E4F">
      <w:pPr>
        <w:pStyle w:val="Text1"/>
      </w:pPr>
      <w:r w:rsidRPr="00D136FB">
        <w:lastRenderedPageBreak/>
        <w:t>Следните мерки ще продължат да се прилагат, както в отговорната дирекция, така и в EACEA: документален мониторинг, мисии за мониторинг в съответствие с определена стратегия за мониторинг, ясни изисквания за докладване в споразуменията за отпускане на безвъзмездни средства с бенефициерите, провеждане на начални срещи с нови бенефициери, възможност за спиране на безвъзмездните средства, в случай че не бъдат постигнати резултати или че не се спазват някои условия за финансиране като тези, които са свързани с комуникацията.</w:t>
      </w:r>
    </w:p>
    <w:p w:rsidR="003D1E4F" w:rsidRPr="00D136FB" w:rsidRDefault="003D1E4F" w:rsidP="003D1E4F">
      <w:pPr>
        <w:spacing w:before="0" w:after="0"/>
        <w:jc w:val="left"/>
        <w:sectPr w:rsidR="003D1E4F" w:rsidRPr="00D136FB" w:rsidSect="00377BF1">
          <w:pgSz w:w="11907" w:h="16840"/>
          <w:pgMar w:top="1134" w:right="1418" w:bottom="1134" w:left="1418" w:header="709" w:footer="709" w:gutter="0"/>
          <w:cols w:space="720"/>
          <w:docGrid w:linePitch="326"/>
        </w:sectPr>
      </w:pPr>
    </w:p>
    <w:p w:rsidR="003D1E4F" w:rsidRPr="00D136FB" w:rsidRDefault="003D1E4F" w:rsidP="00EF7A5B">
      <w:pPr>
        <w:pStyle w:val="Heading1"/>
        <w:numPr>
          <w:ilvl w:val="0"/>
          <w:numId w:val="15"/>
        </w:numPr>
        <w:rPr>
          <w:bCs w:val="0"/>
          <w:noProof/>
          <w:szCs w:val="24"/>
        </w:rPr>
      </w:pPr>
      <w:r w:rsidRPr="00D136FB">
        <w:lastRenderedPageBreak/>
        <w:t xml:space="preserve">ОЧАКВАНО ФИНАНСОВО ОТРАЖЕНИЕ НА ПРЕДЛОЖЕНИЕТО/ИНИЦИАТИВАТА </w:t>
      </w:r>
    </w:p>
    <w:p w:rsidR="003D1E4F" w:rsidRPr="00D136FB" w:rsidRDefault="003D1E4F" w:rsidP="00EF7A5B">
      <w:pPr>
        <w:pStyle w:val="Heading2"/>
        <w:numPr>
          <w:ilvl w:val="1"/>
          <w:numId w:val="15"/>
        </w:numPr>
        <w:rPr>
          <w:noProof/>
        </w:rPr>
      </w:pPr>
      <w:r w:rsidRPr="00D136FB">
        <w:t xml:space="preserve">Функция от многогодишната финансова рамка и предложени нови разходни бюджетни редове </w:t>
      </w:r>
    </w:p>
    <w:tbl>
      <w:tblPr>
        <w:tblW w:w="11040" w:type="dxa"/>
        <w:tblInd w:w="-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3960"/>
        <w:gridCol w:w="1320"/>
        <w:gridCol w:w="960"/>
        <w:gridCol w:w="1200"/>
        <w:gridCol w:w="960"/>
        <w:gridCol w:w="1080"/>
      </w:tblGrid>
      <w:tr w:rsidR="003D1E4F" w:rsidRPr="00D136FB" w:rsidTr="00183706">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3D1E4F" w:rsidRPr="00D136FB" w:rsidRDefault="003D1E4F">
            <w:pPr>
              <w:spacing w:before="60" w:after="60" w:line="276" w:lineRule="auto"/>
              <w:jc w:val="center"/>
              <w:rPr>
                <w:noProof/>
                <w:lang w:eastAsia="bg-BG" w:bidi="bg-BG"/>
              </w:rPr>
            </w:pPr>
            <w:r w:rsidRPr="00D136FB">
              <w:rPr>
                <w:noProof/>
                <w:sz w:val="18"/>
              </w:rPr>
              <w:t>Функция от многого</w:t>
            </w:r>
            <w:r w:rsidR="00183706">
              <w:rPr>
                <w:noProof/>
                <w:sz w:val="18"/>
              </w:rPr>
              <w:t>-</w:t>
            </w:r>
            <w:r w:rsidRPr="00D136FB">
              <w:rPr>
                <w:noProof/>
                <w:sz w:val="18"/>
              </w:rPr>
              <w:t>дишната финансова рамка</w:t>
            </w:r>
          </w:p>
        </w:tc>
        <w:tc>
          <w:tcPr>
            <w:tcW w:w="3960" w:type="dxa"/>
            <w:tcBorders>
              <w:top w:val="single" w:sz="4" w:space="0" w:color="auto"/>
              <w:left w:val="single" w:sz="4" w:space="0" w:color="auto"/>
              <w:bottom w:val="single" w:sz="4" w:space="0" w:color="auto"/>
              <w:right w:val="single" w:sz="4" w:space="0" w:color="auto"/>
            </w:tcBorders>
            <w:vAlign w:val="center"/>
            <w:hideMark/>
          </w:tcPr>
          <w:p w:rsidR="003D1E4F" w:rsidRPr="00D136FB" w:rsidRDefault="003D1E4F">
            <w:pPr>
              <w:spacing w:before="60" w:after="60" w:line="276" w:lineRule="auto"/>
              <w:jc w:val="center"/>
              <w:rPr>
                <w:noProof/>
                <w:lang w:eastAsia="bg-BG" w:bidi="bg-BG"/>
              </w:rPr>
            </w:pPr>
            <w:r w:rsidRPr="00D136FB">
              <w:rPr>
                <w:noProof/>
                <w:sz w:val="20"/>
              </w:rPr>
              <w:t>Бюджетен ред</w:t>
            </w:r>
          </w:p>
        </w:tc>
        <w:tc>
          <w:tcPr>
            <w:tcW w:w="1320" w:type="dxa"/>
            <w:tcBorders>
              <w:top w:val="single" w:sz="4" w:space="0" w:color="auto"/>
              <w:left w:val="single" w:sz="4" w:space="0" w:color="auto"/>
              <w:bottom w:val="single" w:sz="4" w:space="0" w:color="auto"/>
              <w:right w:val="single" w:sz="4" w:space="0" w:color="auto"/>
            </w:tcBorders>
            <w:vAlign w:val="center"/>
            <w:hideMark/>
          </w:tcPr>
          <w:p w:rsidR="003D1E4F" w:rsidRPr="00D136FB" w:rsidRDefault="003D1E4F">
            <w:pPr>
              <w:spacing w:before="60" w:after="60" w:line="276" w:lineRule="auto"/>
              <w:jc w:val="center"/>
              <w:rPr>
                <w:noProof/>
                <w:lang w:eastAsia="bg-BG" w:bidi="bg-BG"/>
              </w:rPr>
            </w:pPr>
            <w:r w:rsidRPr="00D136FB">
              <w:rPr>
                <w:noProof/>
                <w:sz w:val="18"/>
              </w:rPr>
              <w:t xml:space="preserve">Вид на </w:t>
            </w:r>
            <w:r w:rsidRPr="00D136FB">
              <w:rPr>
                <w:noProof/>
                <w:sz w:val="22"/>
              </w:rPr>
              <w:br/>
            </w:r>
            <w:r w:rsidRPr="00D136FB">
              <w:rPr>
                <w:noProof/>
                <w:sz w:val="18"/>
              </w:rPr>
              <w:t>разхода</w:t>
            </w:r>
          </w:p>
        </w:tc>
        <w:tc>
          <w:tcPr>
            <w:tcW w:w="4200" w:type="dxa"/>
            <w:gridSpan w:val="4"/>
            <w:tcBorders>
              <w:top w:val="single" w:sz="4" w:space="0" w:color="auto"/>
              <w:left w:val="single" w:sz="4" w:space="0" w:color="auto"/>
              <w:bottom w:val="single" w:sz="4" w:space="0" w:color="auto"/>
              <w:right w:val="single" w:sz="4" w:space="0" w:color="auto"/>
            </w:tcBorders>
            <w:vAlign w:val="center"/>
            <w:hideMark/>
          </w:tcPr>
          <w:p w:rsidR="003D1E4F" w:rsidRPr="00D136FB" w:rsidRDefault="003D1E4F">
            <w:pPr>
              <w:spacing w:before="60" w:after="60" w:line="276" w:lineRule="auto"/>
              <w:jc w:val="center"/>
              <w:rPr>
                <w:noProof/>
                <w:lang w:eastAsia="bg-BG" w:bidi="bg-BG"/>
              </w:rPr>
            </w:pPr>
            <w:r w:rsidRPr="00D136FB">
              <w:rPr>
                <w:noProof/>
                <w:sz w:val="20"/>
              </w:rPr>
              <w:t xml:space="preserve">Финансов принос </w:t>
            </w:r>
          </w:p>
        </w:tc>
      </w:tr>
      <w:tr w:rsidR="003D1E4F" w:rsidRPr="00D136FB" w:rsidTr="00183706">
        <w:tc>
          <w:tcPr>
            <w:tcW w:w="1560" w:type="dxa"/>
            <w:vMerge/>
            <w:tcBorders>
              <w:top w:val="single" w:sz="4" w:space="0" w:color="auto"/>
              <w:left w:val="single" w:sz="4" w:space="0" w:color="auto"/>
              <w:bottom w:val="single" w:sz="4" w:space="0" w:color="auto"/>
              <w:right w:val="single" w:sz="4" w:space="0" w:color="auto"/>
            </w:tcBorders>
            <w:vAlign w:val="center"/>
            <w:hideMark/>
          </w:tcPr>
          <w:p w:rsidR="003D1E4F" w:rsidRPr="00D136FB" w:rsidRDefault="003D1E4F">
            <w:pPr>
              <w:spacing w:before="0" w:after="0"/>
              <w:jc w:val="left"/>
              <w:rPr>
                <w:noProof/>
                <w:lang w:eastAsia="bg-BG" w:bidi="bg-BG"/>
              </w:rPr>
            </w:pPr>
          </w:p>
        </w:tc>
        <w:tc>
          <w:tcPr>
            <w:tcW w:w="3960" w:type="dxa"/>
            <w:tcBorders>
              <w:top w:val="single" w:sz="4" w:space="0" w:color="auto"/>
              <w:left w:val="single" w:sz="4" w:space="0" w:color="auto"/>
              <w:bottom w:val="single" w:sz="4" w:space="0" w:color="auto"/>
              <w:right w:val="single" w:sz="4" w:space="0" w:color="auto"/>
            </w:tcBorders>
            <w:vAlign w:val="center"/>
            <w:hideMark/>
          </w:tcPr>
          <w:p w:rsidR="003D1E4F" w:rsidRPr="00D136FB" w:rsidRDefault="003D1E4F">
            <w:pPr>
              <w:spacing w:line="276" w:lineRule="auto"/>
              <w:rPr>
                <w:rFonts w:eastAsia="Times New Roman"/>
                <w:sz w:val="20"/>
                <w:szCs w:val="20"/>
                <w:bdr w:val="none" w:sz="0" w:space="0" w:color="auto" w:frame="1"/>
              </w:rPr>
            </w:pPr>
            <w:r w:rsidRPr="00D136FB">
              <w:rPr>
                <w:sz w:val="20"/>
                <w:bdr w:val="none" w:sz="0" w:space="0" w:color="auto" w:frame="1"/>
              </w:rPr>
              <w:t>Функция 2 „Сближаване и ценности“</w:t>
            </w:r>
          </w:p>
          <w:p w:rsidR="003D1E4F" w:rsidRPr="00D136FB" w:rsidRDefault="003D1E4F">
            <w:pPr>
              <w:spacing w:line="276" w:lineRule="auto"/>
              <w:rPr>
                <w:rFonts w:eastAsia="Times New Roman"/>
                <w:sz w:val="20"/>
                <w:szCs w:val="20"/>
                <w:bdr w:val="none" w:sz="0" w:space="0" w:color="auto" w:frame="1"/>
              </w:rPr>
            </w:pPr>
            <w:r w:rsidRPr="00D136FB">
              <w:rPr>
                <w:sz w:val="20"/>
                <w:bdr w:val="none" w:sz="0" w:space="0" w:color="auto" w:frame="1"/>
              </w:rPr>
              <w:t>Дял 07 „Инвестиране в хората, социалното сближаване и ценностите“</w:t>
            </w:r>
          </w:p>
          <w:p w:rsidR="003D1E4F" w:rsidRPr="00D136FB" w:rsidRDefault="003D1E4F">
            <w:pPr>
              <w:spacing w:line="276" w:lineRule="auto"/>
              <w:rPr>
                <w:noProof/>
                <w:lang w:eastAsia="bg-BG" w:bidi="bg-BG"/>
              </w:rPr>
            </w:pPr>
            <w:r w:rsidRPr="00D136FB">
              <w:rPr>
                <w:sz w:val="20"/>
                <w:bdr w:val="none" w:sz="0" w:space="0" w:color="auto" w:frame="1"/>
              </w:rPr>
              <w:t>Глава 05 „Творческа Европа“</w:t>
            </w:r>
          </w:p>
        </w:tc>
        <w:tc>
          <w:tcPr>
            <w:tcW w:w="1320" w:type="dxa"/>
            <w:tcBorders>
              <w:top w:val="single" w:sz="4" w:space="0" w:color="auto"/>
              <w:left w:val="single" w:sz="4" w:space="0" w:color="auto"/>
              <w:bottom w:val="single" w:sz="4" w:space="0" w:color="auto"/>
              <w:right w:val="single" w:sz="4" w:space="0" w:color="auto"/>
            </w:tcBorders>
            <w:vAlign w:val="center"/>
            <w:hideMark/>
          </w:tcPr>
          <w:p w:rsidR="003D1E4F" w:rsidRPr="00D136FB" w:rsidRDefault="003D1E4F">
            <w:pPr>
              <w:spacing w:line="276" w:lineRule="auto"/>
              <w:jc w:val="center"/>
              <w:rPr>
                <w:noProof/>
                <w:lang w:eastAsia="bg-BG" w:bidi="bg-BG"/>
              </w:rPr>
            </w:pPr>
            <w:r w:rsidRPr="00D136FB">
              <w:rPr>
                <w:noProof/>
                <w:sz w:val="18"/>
              </w:rPr>
              <w:t>Многогод./</w:t>
            </w:r>
            <w:r w:rsidR="00183706">
              <w:rPr>
                <w:noProof/>
                <w:sz w:val="18"/>
              </w:rPr>
              <w:br/>
            </w:r>
            <w:r w:rsidRPr="00D136FB">
              <w:rPr>
                <w:noProof/>
                <w:sz w:val="18"/>
              </w:rPr>
              <w:t>едногод</w:t>
            </w:r>
            <w:r w:rsidRPr="00D136FB">
              <w:rPr>
                <w:rStyle w:val="FootnoteReference"/>
                <w:noProof/>
                <w:sz w:val="18"/>
              </w:rPr>
              <w:footnoteReference w:id="34"/>
            </w:r>
            <w:r w:rsidRPr="00D136FB">
              <w:t>.</w:t>
            </w:r>
          </w:p>
        </w:tc>
        <w:tc>
          <w:tcPr>
            <w:tcW w:w="960" w:type="dxa"/>
            <w:tcBorders>
              <w:top w:val="single" w:sz="4" w:space="0" w:color="auto"/>
              <w:left w:val="single" w:sz="4" w:space="0" w:color="auto"/>
              <w:bottom w:val="single" w:sz="4" w:space="0" w:color="auto"/>
              <w:right w:val="single" w:sz="4" w:space="0" w:color="auto"/>
            </w:tcBorders>
            <w:vAlign w:val="center"/>
          </w:tcPr>
          <w:p w:rsidR="003D1E4F" w:rsidRPr="00D136FB" w:rsidRDefault="003D1E4F">
            <w:pPr>
              <w:spacing w:line="276" w:lineRule="auto"/>
              <w:jc w:val="center"/>
              <w:rPr>
                <w:noProof/>
              </w:rPr>
            </w:pPr>
            <w:r w:rsidRPr="00D136FB">
              <w:rPr>
                <w:noProof/>
                <w:sz w:val="18"/>
              </w:rPr>
              <w:t>от държави от ЕАСТ</w:t>
            </w:r>
            <w:r w:rsidRPr="00D136FB">
              <w:rPr>
                <w:rStyle w:val="FootnoteReference"/>
                <w:noProof/>
                <w:sz w:val="18"/>
              </w:rPr>
              <w:footnoteReference w:id="35"/>
            </w:r>
          </w:p>
          <w:p w:rsidR="003D1E4F" w:rsidRPr="00D136FB" w:rsidRDefault="003D1E4F">
            <w:pPr>
              <w:spacing w:before="0" w:after="0" w:line="276" w:lineRule="auto"/>
              <w:jc w:val="center"/>
              <w:rPr>
                <w:b/>
                <w:noProof/>
                <w:sz w:val="18"/>
                <w:lang w:eastAsia="bg-BG" w:bidi="bg-BG"/>
              </w:rPr>
            </w:pPr>
          </w:p>
        </w:tc>
        <w:tc>
          <w:tcPr>
            <w:tcW w:w="1200" w:type="dxa"/>
            <w:tcBorders>
              <w:top w:val="single" w:sz="4" w:space="0" w:color="auto"/>
              <w:left w:val="single" w:sz="4" w:space="0" w:color="auto"/>
              <w:bottom w:val="single" w:sz="4" w:space="0" w:color="auto"/>
              <w:right w:val="single" w:sz="4" w:space="0" w:color="auto"/>
            </w:tcBorders>
            <w:vAlign w:val="center"/>
          </w:tcPr>
          <w:p w:rsidR="003D1E4F" w:rsidRPr="00D136FB" w:rsidRDefault="003D1E4F">
            <w:pPr>
              <w:spacing w:line="276" w:lineRule="auto"/>
              <w:jc w:val="center"/>
              <w:rPr>
                <w:noProof/>
              </w:rPr>
            </w:pPr>
            <w:r w:rsidRPr="00D136FB">
              <w:rPr>
                <w:noProof/>
                <w:sz w:val="18"/>
              </w:rPr>
              <w:t>от държави кандидатки</w:t>
            </w:r>
            <w:r w:rsidRPr="00D136FB">
              <w:rPr>
                <w:rStyle w:val="FootnoteReference"/>
                <w:noProof/>
                <w:sz w:val="18"/>
              </w:rPr>
              <w:footnoteReference w:id="36"/>
            </w:r>
          </w:p>
          <w:p w:rsidR="003D1E4F" w:rsidRPr="00D136FB" w:rsidRDefault="003D1E4F">
            <w:pPr>
              <w:spacing w:before="0" w:after="0" w:line="276" w:lineRule="auto"/>
              <w:jc w:val="center"/>
              <w:rPr>
                <w:noProof/>
                <w:sz w:val="18"/>
                <w:lang w:eastAsia="bg-BG" w:bidi="bg-BG"/>
              </w:rPr>
            </w:pPr>
          </w:p>
        </w:tc>
        <w:tc>
          <w:tcPr>
            <w:tcW w:w="960" w:type="dxa"/>
            <w:tcBorders>
              <w:top w:val="single" w:sz="4" w:space="0" w:color="auto"/>
              <w:left w:val="single" w:sz="4" w:space="0" w:color="auto"/>
              <w:bottom w:val="single" w:sz="4" w:space="0" w:color="auto"/>
              <w:right w:val="single" w:sz="4" w:space="0" w:color="auto"/>
            </w:tcBorders>
            <w:vAlign w:val="center"/>
            <w:hideMark/>
          </w:tcPr>
          <w:p w:rsidR="003D1E4F" w:rsidRPr="00D136FB" w:rsidRDefault="003D1E4F">
            <w:pPr>
              <w:spacing w:line="276" w:lineRule="auto"/>
              <w:jc w:val="center"/>
              <w:rPr>
                <w:noProof/>
                <w:sz w:val="18"/>
                <w:lang w:eastAsia="bg-BG" w:bidi="bg-BG"/>
              </w:rPr>
            </w:pPr>
            <w:r w:rsidRPr="00D136FB">
              <w:rPr>
                <w:noProof/>
                <w:sz w:val="18"/>
              </w:rPr>
              <w:t>от трети държави</w:t>
            </w:r>
          </w:p>
        </w:tc>
        <w:tc>
          <w:tcPr>
            <w:tcW w:w="1080" w:type="dxa"/>
            <w:tcBorders>
              <w:top w:val="single" w:sz="4" w:space="0" w:color="auto"/>
              <w:left w:val="single" w:sz="4" w:space="0" w:color="auto"/>
              <w:bottom w:val="single" w:sz="4" w:space="0" w:color="auto"/>
              <w:right w:val="single" w:sz="4" w:space="0" w:color="auto"/>
            </w:tcBorders>
            <w:vAlign w:val="center"/>
            <w:hideMark/>
          </w:tcPr>
          <w:p w:rsidR="003D1E4F" w:rsidRPr="00D136FB" w:rsidRDefault="003D1E4F">
            <w:pPr>
              <w:spacing w:line="276" w:lineRule="auto"/>
              <w:jc w:val="center"/>
              <w:rPr>
                <w:noProof/>
                <w:lang w:eastAsia="bg-BG" w:bidi="bg-BG"/>
              </w:rPr>
            </w:pPr>
            <w:r w:rsidRPr="00D136FB">
              <w:rPr>
                <w:noProof/>
                <w:sz w:val="16"/>
              </w:rPr>
              <w:t xml:space="preserve">по смисъла на член [21, параграф 2, буква б)] от Финансовия регламент </w:t>
            </w:r>
          </w:p>
        </w:tc>
      </w:tr>
      <w:tr w:rsidR="003D1E4F" w:rsidRPr="00D136FB" w:rsidTr="00183706">
        <w:tc>
          <w:tcPr>
            <w:tcW w:w="1560" w:type="dxa"/>
            <w:tcBorders>
              <w:top w:val="single" w:sz="4" w:space="0" w:color="auto"/>
              <w:left w:val="single" w:sz="4" w:space="0" w:color="auto"/>
              <w:bottom w:val="single" w:sz="4" w:space="0" w:color="auto"/>
              <w:right w:val="single" w:sz="4" w:space="0" w:color="auto"/>
            </w:tcBorders>
            <w:vAlign w:val="center"/>
            <w:hideMark/>
          </w:tcPr>
          <w:p w:rsidR="003D1E4F" w:rsidRPr="00D136FB" w:rsidRDefault="003D1E4F">
            <w:pPr>
              <w:spacing w:line="276" w:lineRule="auto"/>
              <w:jc w:val="center"/>
              <w:rPr>
                <w:noProof/>
                <w:lang w:eastAsia="bg-BG" w:bidi="bg-BG"/>
              </w:rPr>
            </w:pPr>
            <w:r w:rsidRPr="00D136FB">
              <w:t>2</w:t>
            </w:r>
          </w:p>
        </w:tc>
        <w:tc>
          <w:tcPr>
            <w:tcW w:w="3960" w:type="dxa"/>
            <w:tcBorders>
              <w:top w:val="single" w:sz="4" w:space="0" w:color="auto"/>
              <w:left w:val="single" w:sz="4" w:space="0" w:color="auto"/>
              <w:bottom w:val="single" w:sz="4" w:space="0" w:color="auto"/>
              <w:right w:val="single" w:sz="4" w:space="0" w:color="auto"/>
            </w:tcBorders>
            <w:vAlign w:val="center"/>
            <w:hideMark/>
          </w:tcPr>
          <w:p w:rsidR="003D1E4F" w:rsidRPr="00D136FB" w:rsidRDefault="003D1E4F">
            <w:pPr>
              <w:spacing w:before="60" w:line="276" w:lineRule="auto"/>
              <w:rPr>
                <w:rStyle w:val="Marker"/>
                <w:noProof/>
                <w:color w:val="auto"/>
                <w:lang w:eastAsia="bg-BG" w:bidi="bg-BG"/>
              </w:rPr>
            </w:pPr>
            <w:r w:rsidRPr="00D136FB">
              <w:t>07 01 04 XX — Административни разходи — „Творческа Европа“</w:t>
            </w:r>
          </w:p>
        </w:tc>
        <w:tc>
          <w:tcPr>
            <w:tcW w:w="1320" w:type="dxa"/>
            <w:tcBorders>
              <w:top w:val="single" w:sz="4" w:space="0" w:color="auto"/>
              <w:left w:val="single" w:sz="4" w:space="0" w:color="auto"/>
              <w:bottom w:val="single" w:sz="4" w:space="0" w:color="auto"/>
              <w:right w:val="single" w:sz="4" w:space="0" w:color="auto"/>
            </w:tcBorders>
            <w:vAlign w:val="center"/>
            <w:hideMark/>
          </w:tcPr>
          <w:p w:rsidR="003D1E4F" w:rsidRPr="00D136FB" w:rsidRDefault="003D1E4F">
            <w:pPr>
              <w:spacing w:line="276" w:lineRule="auto"/>
              <w:jc w:val="center"/>
              <w:rPr>
                <w:noProof/>
                <w:sz w:val="22"/>
                <w:lang w:eastAsia="bg-BG" w:bidi="bg-BG"/>
              </w:rPr>
            </w:pPr>
            <w:r w:rsidRPr="00D136FB">
              <w:rPr>
                <w:noProof/>
                <w:sz w:val="22"/>
              </w:rPr>
              <w:t>Едногод.</w:t>
            </w:r>
          </w:p>
        </w:tc>
        <w:tc>
          <w:tcPr>
            <w:tcW w:w="960" w:type="dxa"/>
            <w:tcBorders>
              <w:top w:val="single" w:sz="4" w:space="0" w:color="auto"/>
              <w:left w:val="single" w:sz="4" w:space="0" w:color="auto"/>
              <w:bottom w:val="single" w:sz="4" w:space="0" w:color="auto"/>
              <w:right w:val="single" w:sz="4" w:space="0" w:color="auto"/>
            </w:tcBorders>
            <w:vAlign w:val="center"/>
            <w:hideMark/>
          </w:tcPr>
          <w:p w:rsidR="003D1E4F" w:rsidRPr="00D136FB" w:rsidRDefault="003D1E4F">
            <w:pPr>
              <w:spacing w:line="276" w:lineRule="auto"/>
              <w:jc w:val="center"/>
              <w:rPr>
                <w:noProof/>
                <w:sz w:val="22"/>
                <w:lang w:eastAsia="bg-BG" w:bidi="bg-BG"/>
              </w:rPr>
            </w:pPr>
            <w:r w:rsidRPr="00D136FB">
              <w:rPr>
                <w:noProof/>
                <w:sz w:val="22"/>
              </w:rPr>
              <w:t>ДА</w:t>
            </w:r>
          </w:p>
        </w:tc>
        <w:tc>
          <w:tcPr>
            <w:tcW w:w="1200" w:type="dxa"/>
            <w:tcBorders>
              <w:top w:val="single" w:sz="4" w:space="0" w:color="auto"/>
              <w:left w:val="single" w:sz="4" w:space="0" w:color="auto"/>
              <w:bottom w:val="single" w:sz="4" w:space="0" w:color="auto"/>
              <w:right w:val="single" w:sz="4" w:space="0" w:color="auto"/>
            </w:tcBorders>
            <w:vAlign w:val="center"/>
            <w:hideMark/>
          </w:tcPr>
          <w:p w:rsidR="003D1E4F" w:rsidRPr="00D136FB" w:rsidRDefault="003D1E4F">
            <w:pPr>
              <w:spacing w:line="276" w:lineRule="auto"/>
              <w:jc w:val="center"/>
              <w:rPr>
                <w:noProof/>
                <w:sz w:val="22"/>
                <w:lang w:eastAsia="bg-BG" w:bidi="bg-BG"/>
              </w:rPr>
            </w:pPr>
            <w:r w:rsidRPr="00D136FB">
              <w:rPr>
                <w:noProof/>
                <w:sz w:val="22"/>
              </w:rPr>
              <w:t>ДА</w:t>
            </w:r>
          </w:p>
        </w:tc>
        <w:tc>
          <w:tcPr>
            <w:tcW w:w="960" w:type="dxa"/>
            <w:tcBorders>
              <w:top w:val="single" w:sz="4" w:space="0" w:color="auto"/>
              <w:left w:val="single" w:sz="4" w:space="0" w:color="auto"/>
              <w:bottom w:val="single" w:sz="4" w:space="0" w:color="auto"/>
              <w:right w:val="single" w:sz="4" w:space="0" w:color="auto"/>
            </w:tcBorders>
            <w:vAlign w:val="center"/>
            <w:hideMark/>
          </w:tcPr>
          <w:p w:rsidR="003D1E4F" w:rsidRPr="00D136FB" w:rsidRDefault="003D1E4F">
            <w:pPr>
              <w:spacing w:line="276" w:lineRule="auto"/>
              <w:jc w:val="center"/>
              <w:rPr>
                <w:noProof/>
                <w:sz w:val="22"/>
                <w:lang w:eastAsia="bg-BG" w:bidi="bg-BG"/>
              </w:rPr>
            </w:pPr>
            <w:r w:rsidRPr="00D136FB">
              <w:rPr>
                <w:noProof/>
                <w:sz w:val="22"/>
              </w:rPr>
              <w:t>ДА</w:t>
            </w:r>
          </w:p>
        </w:tc>
        <w:tc>
          <w:tcPr>
            <w:tcW w:w="1080" w:type="dxa"/>
            <w:tcBorders>
              <w:top w:val="single" w:sz="4" w:space="0" w:color="auto"/>
              <w:left w:val="single" w:sz="4" w:space="0" w:color="auto"/>
              <w:bottom w:val="single" w:sz="4" w:space="0" w:color="auto"/>
              <w:right w:val="single" w:sz="4" w:space="0" w:color="auto"/>
            </w:tcBorders>
            <w:vAlign w:val="center"/>
            <w:hideMark/>
          </w:tcPr>
          <w:p w:rsidR="003D1E4F" w:rsidRPr="00D136FB" w:rsidRDefault="003D1E4F">
            <w:pPr>
              <w:spacing w:line="276" w:lineRule="auto"/>
              <w:jc w:val="center"/>
              <w:rPr>
                <w:noProof/>
                <w:sz w:val="22"/>
                <w:lang w:eastAsia="bg-BG" w:bidi="bg-BG"/>
              </w:rPr>
            </w:pPr>
            <w:r w:rsidRPr="00D136FB">
              <w:rPr>
                <w:noProof/>
                <w:sz w:val="22"/>
              </w:rPr>
              <w:t>НЕ</w:t>
            </w:r>
          </w:p>
        </w:tc>
      </w:tr>
      <w:tr w:rsidR="003D1E4F" w:rsidRPr="00D136FB" w:rsidTr="00183706">
        <w:tc>
          <w:tcPr>
            <w:tcW w:w="1560" w:type="dxa"/>
            <w:tcBorders>
              <w:top w:val="single" w:sz="4" w:space="0" w:color="auto"/>
              <w:left w:val="single" w:sz="4" w:space="0" w:color="auto"/>
              <w:bottom w:val="single" w:sz="4" w:space="0" w:color="auto"/>
              <w:right w:val="single" w:sz="4" w:space="0" w:color="auto"/>
            </w:tcBorders>
            <w:vAlign w:val="center"/>
            <w:hideMark/>
          </w:tcPr>
          <w:p w:rsidR="003D1E4F" w:rsidRPr="00D136FB" w:rsidRDefault="003D1E4F">
            <w:pPr>
              <w:spacing w:line="276" w:lineRule="auto"/>
              <w:jc w:val="center"/>
              <w:rPr>
                <w:noProof/>
                <w:lang w:eastAsia="bg-BG" w:bidi="bg-BG"/>
              </w:rPr>
            </w:pPr>
            <w:r w:rsidRPr="00D136FB">
              <w:t>2</w:t>
            </w:r>
          </w:p>
        </w:tc>
        <w:tc>
          <w:tcPr>
            <w:tcW w:w="3960" w:type="dxa"/>
            <w:tcBorders>
              <w:top w:val="single" w:sz="4" w:space="0" w:color="auto"/>
              <w:left w:val="single" w:sz="4" w:space="0" w:color="auto"/>
              <w:bottom w:val="single" w:sz="4" w:space="0" w:color="auto"/>
              <w:right w:val="single" w:sz="4" w:space="0" w:color="auto"/>
            </w:tcBorders>
            <w:vAlign w:val="center"/>
            <w:hideMark/>
          </w:tcPr>
          <w:p w:rsidR="003D1E4F" w:rsidRPr="00D136FB" w:rsidRDefault="003D1E4F">
            <w:pPr>
              <w:spacing w:after="60" w:line="276" w:lineRule="auto"/>
              <w:rPr>
                <w:noProof/>
                <w:lang w:eastAsia="bg-BG" w:bidi="bg-BG"/>
              </w:rPr>
            </w:pPr>
            <w:r w:rsidRPr="00D136FB">
              <w:t>07 05 01 – „КУЛТУРА“</w:t>
            </w:r>
          </w:p>
        </w:tc>
        <w:tc>
          <w:tcPr>
            <w:tcW w:w="1320" w:type="dxa"/>
            <w:tcBorders>
              <w:top w:val="single" w:sz="4" w:space="0" w:color="auto"/>
              <w:left w:val="single" w:sz="4" w:space="0" w:color="auto"/>
              <w:bottom w:val="single" w:sz="4" w:space="0" w:color="auto"/>
              <w:right w:val="single" w:sz="4" w:space="0" w:color="auto"/>
            </w:tcBorders>
            <w:vAlign w:val="center"/>
            <w:hideMark/>
          </w:tcPr>
          <w:p w:rsidR="003D1E4F" w:rsidRPr="00D136FB" w:rsidRDefault="003D1E4F">
            <w:pPr>
              <w:spacing w:line="276" w:lineRule="auto"/>
              <w:jc w:val="center"/>
              <w:rPr>
                <w:noProof/>
                <w:sz w:val="22"/>
                <w:lang w:eastAsia="bg-BG" w:bidi="bg-BG"/>
              </w:rPr>
            </w:pPr>
            <w:r w:rsidRPr="00D136FB">
              <w:rPr>
                <w:noProof/>
                <w:sz w:val="22"/>
              </w:rPr>
              <w:t>Многогод.</w:t>
            </w:r>
          </w:p>
        </w:tc>
        <w:tc>
          <w:tcPr>
            <w:tcW w:w="960" w:type="dxa"/>
            <w:tcBorders>
              <w:top w:val="single" w:sz="4" w:space="0" w:color="auto"/>
              <w:left w:val="single" w:sz="4" w:space="0" w:color="auto"/>
              <w:bottom w:val="single" w:sz="4" w:space="0" w:color="auto"/>
              <w:right w:val="single" w:sz="4" w:space="0" w:color="auto"/>
            </w:tcBorders>
            <w:vAlign w:val="center"/>
            <w:hideMark/>
          </w:tcPr>
          <w:p w:rsidR="003D1E4F" w:rsidRPr="00D136FB" w:rsidRDefault="003D1E4F">
            <w:pPr>
              <w:spacing w:line="276" w:lineRule="auto"/>
              <w:jc w:val="center"/>
              <w:rPr>
                <w:noProof/>
                <w:sz w:val="22"/>
                <w:lang w:eastAsia="bg-BG" w:bidi="bg-BG"/>
              </w:rPr>
            </w:pPr>
            <w:r w:rsidRPr="00D136FB">
              <w:rPr>
                <w:noProof/>
                <w:sz w:val="22"/>
              </w:rPr>
              <w:t>ДА</w:t>
            </w:r>
          </w:p>
        </w:tc>
        <w:tc>
          <w:tcPr>
            <w:tcW w:w="1200" w:type="dxa"/>
            <w:tcBorders>
              <w:top w:val="single" w:sz="4" w:space="0" w:color="auto"/>
              <w:left w:val="single" w:sz="4" w:space="0" w:color="auto"/>
              <w:bottom w:val="single" w:sz="4" w:space="0" w:color="auto"/>
              <w:right w:val="single" w:sz="4" w:space="0" w:color="auto"/>
            </w:tcBorders>
            <w:vAlign w:val="center"/>
            <w:hideMark/>
          </w:tcPr>
          <w:p w:rsidR="003D1E4F" w:rsidRPr="00D136FB" w:rsidRDefault="003D1E4F">
            <w:pPr>
              <w:spacing w:line="276" w:lineRule="auto"/>
              <w:jc w:val="center"/>
              <w:rPr>
                <w:noProof/>
                <w:sz w:val="22"/>
                <w:lang w:eastAsia="bg-BG" w:bidi="bg-BG"/>
              </w:rPr>
            </w:pPr>
            <w:r w:rsidRPr="00D136FB">
              <w:rPr>
                <w:noProof/>
                <w:sz w:val="22"/>
              </w:rPr>
              <w:t>ДА</w:t>
            </w:r>
          </w:p>
        </w:tc>
        <w:tc>
          <w:tcPr>
            <w:tcW w:w="960" w:type="dxa"/>
            <w:tcBorders>
              <w:top w:val="single" w:sz="4" w:space="0" w:color="auto"/>
              <w:left w:val="single" w:sz="4" w:space="0" w:color="auto"/>
              <w:bottom w:val="single" w:sz="4" w:space="0" w:color="auto"/>
              <w:right w:val="single" w:sz="4" w:space="0" w:color="auto"/>
            </w:tcBorders>
            <w:vAlign w:val="center"/>
            <w:hideMark/>
          </w:tcPr>
          <w:p w:rsidR="003D1E4F" w:rsidRPr="00D136FB" w:rsidRDefault="003D1E4F">
            <w:pPr>
              <w:spacing w:line="276" w:lineRule="auto"/>
              <w:jc w:val="center"/>
              <w:rPr>
                <w:noProof/>
                <w:sz w:val="22"/>
                <w:lang w:eastAsia="bg-BG" w:bidi="bg-BG"/>
              </w:rPr>
            </w:pPr>
            <w:r w:rsidRPr="00D136FB">
              <w:rPr>
                <w:noProof/>
                <w:sz w:val="22"/>
              </w:rPr>
              <w:t>ДА</w:t>
            </w:r>
          </w:p>
        </w:tc>
        <w:tc>
          <w:tcPr>
            <w:tcW w:w="1080" w:type="dxa"/>
            <w:tcBorders>
              <w:top w:val="single" w:sz="4" w:space="0" w:color="auto"/>
              <w:left w:val="single" w:sz="4" w:space="0" w:color="auto"/>
              <w:bottom w:val="single" w:sz="4" w:space="0" w:color="auto"/>
              <w:right w:val="single" w:sz="4" w:space="0" w:color="auto"/>
            </w:tcBorders>
            <w:vAlign w:val="center"/>
            <w:hideMark/>
          </w:tcPr>
          <w:p w:rsidR="003D1E4F" w:rsidRPr="00D136FB" w:rsidRDefault="003D1E4F">
            <w:pPr>
              <w:spacing w:line="276" w:lineRule="auto"/>
              <w:jc w:val="center"/>
              <w:rPr>
                <w:noProof/>
                <w:sz w:val="22"/>
                <w:lang w:eastAsia="bg-BG" w:bidi="bg-BG"/>
              </w:rPr>
            </w:pPr>
            <w:r w:rsidRPr="00D136FB">
              <w:rPr>
                <w:noProof/>
                <w:sz w:val="22"/>
              </w:rPr>
              <w:t>НЕ</w:t>
            </w:r>
          </w:p>
        </w:tc>
      </w:tr>
      <w:tr w:rsidR="003D1E4F" w:rsidRPr="00D136FB" w:rsidTr="00183706">
        <w:tc>
          <w:tcPr>
            <w:tcW w:w="1560" w:type="dxa"/>
            <w:tcBorders>
              <w:top w:val="single" w:sz="4" w:space="0" w:color="auto"/>
              <w:left w:val="single" w:sz="4" w:space="0" w:color="auto"/>
              <w:bottom w:val="single" w:sz="4" w:space="0" w:color="auto"/>
              <w:right w:val="single" w:sz="4" w:space="0" w:color="auto"/>
            </w:tcBorders>
            <w:vAlign w:val="center"/>
            <w:hideMark/>
          </w:tcPr>
          <w:p w:rsidR="003D1E4F" w:rsidRPr="00D136FB" w:rsidRDefault="003D1E4F">
            <w:pPr>
              <w:spacing w:line="276" w:lineRule="auto"/>
              <w:jc w:val="center"/>
              <w:rPr>
                <w:noProof/>
                <w:lang w:eastAsia="bg-BG" w:bidi="bg-BG"/>
              </w:rPr>
            </w:pPr>
            <w:r w:rsidRPr="00D136FB">
              <w:t>2</w:t>
            </w:r>
          </w:p>
        </w:tc>
        <w:tc>
          <w:tcPr>
            <w:tcW w:w="3960" w:type="dxa"/>
            <w:tcBorders>
              <w:top w:val="single" w:sz="4" w:space="0" w:color="auto"/>
              <w:left w:val="single" w:sz="4" w:space="0" w:color="auto"/>
              <w:bottom w:val="single" w:sz="4" w:space="0" w:color="auto"/>
              <w:right w:val="single" w:sz="4" w:space="0" w:color="auto"/>
            </w:tcBorders>
            <w:vAlign w:val="center"/>
            <w:hideMark/>
          </w:tcPr>
          <w:p w:rsidR="003D1E4F" w:rsidRPr="00D136FB" w:rsidRDefault="003D1E4F">
            <w:pPr>
              <w:spacing w:after="60" w:line="276" w:lineRule="auto"/>
              <w:rPr>
                <w:noProof/>
                <w:lang w:eastAsia="bg-BG" w:bidi="bg-BG"/>
              </w:rPr>
            </w:pPr>
            <w:r w:rsidRPr="00D136FB">
              <w:t>07 05 02 – „МЕДИА“</w:t>
            </w:r>
          </w:p>
        </w:tc>
        <w:tc>
          <w:tcPr>
            <w:tcW w:w="1320" w:type="dxa"/>
            <w:tcBorders>
              <w:top w:val="single" w:sz="4" w:space="0" w:color="auto"/>
              <w:left w:val="single" w:sz="4" w:space="0" w:color="auto"/>
              <w:bottom w:val="single" w:sz="4" w:space="0" w:color="auto"/>
              <w:right w:val="single" w:sz="4" w:space="0" w:color="auto"/>
            </w:tcBorders>
            <w:vAlign w:val="center"/>
            <w:hideMark/>
          </w:tcPr>
          <w:p w:rsidR="003D1E4F" w:rsidRPr="00D136FB" w:rsidRDefault="003D1E4F">
            <w:pPr>
              <w:spacing w:line="276" w:lineRule="auto"/>
              <w:jc w:val="center"/>
              <w:rPr>
                <w:noProof/>
                <w:sz w:val="22"/>
                <w:lang w:eastAsia="bg-BG" w:bidi="bg-BG"/>
              </w:rPr>
            </w:pPr>
            <w:r w:rsidRPr="00D136FB">
              <w:rPr>
                <w:noProof/>
                <w:sz w:val="22"/>
              </w:rPr>
              <w:t>Многогод.</w:t>
            </w:r>
          </w:p>
        </w:tc>
        <w:tc>
          <w:tcPr>
            <w:tcW w:w="960" w:type="dxa"/>
            <w:tcBorders>
              <w:top w:val="single" w:sz="4" w:space="0" w:color="auto"/>
              <w:left w:val="single" w:sz="4" w:space="0" w:color="auto"/>
              <w:bottom w:val="single" w:sz="4" w:space="0" w:color="auto"/>
              <w:right w:val="single" w:sz="4" w:space="0" w:color="auto"/>
            </w:tcBorders>
            <w:vAlign w:val="center"/>
            <w:hideMark/>
          </w:tcPr>
          <w:p w:rsidR="003D1E4F" w:rsidRPr="00D136FB" w:rsidRDefault="003D1E4F">
            <w:pPr>
              <w:spacing w:line="276" w:lineRule="auto"/>
              <w:jc w:val="center"/>
              <w:rPr>
                <w:noProof/>
                <w:sz w:val="22"/>
                <w:lang w:eastAsia="bg-BG" w:bidi="bg-BG"/>
              </w:rPr>
            </w:pPr>
            <w:r w:rsidRPr="00D136FB">
              <w:rPr>
                <w:noProof/>
                <w:sz w:val="22"/>
              </w:rPr>
              <w:t>ДА</w:t>
            </w:r>
          </w:p>
        </w:tc>
        <w:tc>
          <w:tcPr>
            <w:tcW w:w="1200" w:type="dxa"/>
            <w:tcBorders>
              <w:top w:val="single" w:sz="4" w:space="0" w:color="auto"/>
              <w:left w:val="single" w:sz="4" w:space="0" w:color="auto"/>
              <w:bottom w:val="single" w:sz="4" w:space="0" w:color="auto"/>
              <w:right w:val="single" w:sz="4" w:space="0" w:color="auto"/>
            </w:tcBorders>
            <w:vAlign w:val="center"/>
            <w:hideMark/>
          </w:tcPr>
          <w:p w:rsidR="003D1E4F" w:rsidRPr="00D136FB" w:rsidRDefault="003D1E4F">
            <w:pPr>
              <w:spacing w:line="276" w:lineRule="auto"/>
              <w:jc w:val="center"/>
              <w:rPr>
                <w:noProof/>
                <w:sz w:val="22"/>
                <w:lang w:eastAsia="bg-BG" w:bidi="bg-BG"/>
              </w:rPr>
            </w:pPr>
            <w:r w:rsidRPr="00D136FB">
              <w:rPr>
                <w:noProof/>
                <w:sz w:val="22"/>
              </w:rPr>
              <w:t>ДА</w:t>
            </w:r>
          </w:p>
        </w:tc>
        <w:tc>
          <w:tcPr>
            <w:tcW w:w="960" w:type="dxa"/>
            <w:tcBorders>
              <w:top w:val="single" w:sz="4" w:space="0" w:color="auto"/>
              <w:left w:val="single" w:sz="4" w:space="0" w:color="auto"/>
              <w:bottom w:val="single" w:sz="4" w:space="0" w:color="auto"/>
              <w:right w:val="single" w:sz="4" w:space="0" w:color="auto"/>
            </w:tcBorders>
            <w:vAlign w:val="center"/>
            <w:hideMark/>
          </w:tcPr>
          <w:p w:rsidR="003D1E4F" w:rsidRPr="00D136FB" w:rsidRDefault="003D1E4F">
            <w:pPr>
              <w:spacing w:line="276" w:lineRule="auto"/>
              <w:jc w:val="center"/>
              <w:rPr>
                <w:noProof/>
                <w:sz w:val="22"/>
                <w:lang w:eastAsia="bg-BG" w:bidi="bg-BG"/>
              </w:rPr>
            </w:pPr>
            <w:r w:rsidRPr="00D136FB">
              <w:rPr>
                <w:noProof/>
                <w:sz w:val="22"/>
              </w:rPr>
              <w:t>ДА</w:t>
            </w:r>
          </w:p>
        </w:tc>
        <w:tc>
          <w:tcPr>
            <w:tcW w:w="1080" w:type="dxa"/>
            <w:tcBorders>
              <w:top w:val="single" w:sz="4" w:space="0" w:color="auto"/>
              <w:left w:val="single" w:sz="4" w:space="0" w:color="auto"/>
              <w:bottom w:val="single" w:sz="4" w:space="0" w:color="auto"/>
              <w:right w:val="single" w:sz="4" w:space="0" w:color="auto"/>
            </w:tcBorders>
            <w:vAlign w:val="center"/>
            <w:hideMark/>
          </w:tcPr>
          <w:p w:rsidR="003D1E4F" w:rsidRPr="00D136FB" w:rsidRDefault="003D1E4F">
            <w:pPr>
              <w:spacing w:line="276" w:lineRule="auto"/>
              <w:jc w:val="center"/>
              <w:rPr>
                <w:noProof/>
                <w:sz w:val="22"/>
                <w:lang w:eastAsia="bg-BG" w:bidi="bg-BG"/>
              </w:rPr>
            </w:pPr>
            <w:r w:rsidRPr="00D136FB">
              <w:rPr>
                <w:noProof/>
                <w:sz w:val="22"/>
              </w:rPr>
              <w:t>НЕ</w:t>
            </w:r>
          </w:p>
        </w:tc>
      </w:tr>
      <w:tr w:rsidR="003D1E4F" w:rsidRPr="00D136FB" w:rsidTr="00183706">
        <w:tc>
          <w:tcPr>
            <w:tcW w:w="1560" w:type="dxa"/>
            <w:tcBorders>
              <w:top w:val="single" w:sz="4" w:space="0" w:color="auto"/>
              <w:left w:val="single" w:sz="4" w:space="0" w:color="auto"/>
              <w:bottom w:val="single" w:sz="4" w:space="0" w:color="auto"/>
              <w:right w:val="single" w:sz="4" w:space="0" w:color="auto"/>
            </w:tcBorders>
            <w:vAlign w:val="center"/>
            <w:hideMark/>
          </w:tcPr>
          <w:p w:rsidR="003D1E4F" w:rsidRPr="00D136FB" w:rsidRDefault="003D1E4F">
            <w:pPr>
              <w:spacing w:line="276" w:lineRule="auto"/>
              <w:jc w:val="center"/>
              <w:rPr>
                <w:noProof/>
                <w:lang w:eastAsia="bg-BG" w:bidi="bg-BG"/>
              </w:rPr>
            </w:pPr>
            <w:r w:rsidRPr="00D136FB">
              <w:t>2</w:t>
            </w:r>
          </w:p>
        </w:tc>
        <w:tc>
          <w:tcPr>
            <w:tcW w:w="3960" w:type="dxa"/>
            <w:tcBorders>
              <w:top w:val="single" w:sz="4" w:space="0" w:color="auto"/>
              <w:left w:val="single" w:sz="4" w:space="0" w:color="auto"/>
              <w:bottom w:val="single" w:sz="4" w:space="0" w:color="auto"/>
              <w:right w:val="single" w:sz="4" w:space="0" w:color="auto"/>
            </w:tcBorders>
            <w:vAlign w:val="center"/>
            <w:hideMark/>
          </w:tcPr>
          <w:p w:rsidR="003D1E4F" w:rsidRPr="00D136FB" w:rsidRDefault="003D1E4F">
            <w:pPr>
              <w:spacing w:after="60" w:line="276" w:lineRule="auto"/>
              <w:jc w:val="left"/>
              <w:rPr>
                <w:noProof/>
                <w:lang w:eastAsia="bg-BG" w:bidi="bg-BG"/>
              </w:rPr>
            </w:pPr>
            <w:r w:rsidRPr="00D136FB">
              <w:t>07 05 03 – „МЕЖДУСЕКТОРНО НАПРАВЛЕНИЕ“</w:t>
            </w:r>
          </w:p>
        </w:tc>
        <w:tc>
          <w:tcPr>
            <w:tcW w:w="1320" w:type="dxa"/>
            <w:tcBorders>
              <w:top w:val="single" w:sz="4" w:space="0" w:color="auto"/>
              <w:left w:val="single" w:sz="4" w:space="0" w:color="auto"/>
              <w:bottom w:val="single" w:sz="4" w:space="0" w:color="auto"/>
              <w:right w:val="single" w:sz="4" w:space="0" w:color="auto"/>
            </w:tcBorders>
            <w:vAlign w:val="center"/>
            <w:hideMark/>
          </w:tcPr>
          <w:p w:rsidR="003D1E4F" w:rsidRPr="00D136FB" w:rsidRDefault="003D1E4F">
            <w:pPr>
              <w:spacing w:line="276" w:lineRule="auto"/>
              <w:jc w:val="center"/>
              <w:rPr>
                <w:noProof/>
                <w:lang w:eastAsia="bg-BG" w:bidi="bg-BG"/>
              </w:rPr>
            </w:pPr>
            <w:r w:rsidRPr="00D136FB">
              <w:rPr>
                <w:noProof/>
                <w:sz w:val="22"/>
              </w:rPr>
              <w:t>Многогод.</w:t>
            </w:r>
          </w:p>
        </w:tc>
        <w:tc>
          <w:tcPr>
            <w:tcW w:w="960" w:type="dxa"/>
            <w:tcBorders>
              <w:top w:val="single" w:sz="4" w:space="0" w:color="auto"/>
              <w:left w:val="single" w:sz="4" w:space="0" w:color="auto"/>
              <w:bottom w:val="single" w:sz="4" w:space="0" w:color="auto"/>
              <w:right w:val="single" w:sz="4" w:space="0" w:color="auto"/>
            </w:tcBorders>
            <w:vAlign w:val="center"/>
            <w:hideMark/>
          </w:tcPr>
          <w:p w:rsidR="003D1E4F" w:rsidRPr="00D136FB" w:rsidRDefault="003D1E4F">
            <w:pPr>
              <w:spacing w:line="276" w:lineRule="auto"/>
              <w:jc w:val="center"/>
              <w:rPr>
                <w:noProof/>
                <w:lang w:eastAsia="bg-BG" w:bidi="bg-BG"/>
              </w:rPr>
            </w:pPr>
            <w:r w:rsidRPr="00D136FB">
              <w:rPr>
                <w:noProof/>
                <w:sz w:val="22"/>
              </w:rPr>
              <w:t>ДА</w:t>
            </w:r>
          </w:p>
        </w:tc>
        <w:tc>
          <w:tcPr>
            <w:tcW w:w="1200" w:type="dxa"/>
            <w:tcBorders>
              <w:top w:val="single" w:sz="4" w:space="0" w:color="auto"/>
              <w:left w:val="single" w:sz="4" w:space="0" w:color="auto"/>
              <w:bottom w:val="single" w:sz="4" w:space="0" w:color="auto"/>
              <w:right w:val="single" w:sz="4" w:space="0" w:color="auto"/>
            </w:tcBorders>
            <w:vAlign w:val="center"/>
            <w:hideMark/>
          </w:tcPr>
          <w:p w:rsidR="003D1E4F" w:rsidRPr="00D136FB" w:rsidRDefault="003D1E4F">
            <w:pPr>
              <w:spacing w:line="276" w:lineRule="auto"/>
              <w:jc w:val="center"/>
              <w:rPr>
                <w:noProof/>
                <w:lang w:eastAsia="bg-BG" w:bidi="bg-BG"/>
              </w:rPr>
            </w:pPr>
            <w:r w:rsidRPr="00D136FB">
              <w:rPr>
                <w:noProof/>
                <w:sz w:val="22"/>
              </w:rPr>
              <w:t>ДА</w:t>
            </w:r>
          </w:p>
        </w:tc>
        <w:tc>
          <w:tcPr>
            <w:tcW w:w="960" w:type="dxa"/>
            <w:tcBorders>
              <w:top w:val="single" w:sz="4" w:space="0" w:color="auto"/>
              <w:left w:val="single" w:sz="4" w:space="0" w:color="auto"/>
              <w:bottom w:val="single" w:sz="4" w:space="0" w:color="auto"/>
              <w:right w:val="single" w:sz="4" w:space="0" w:color="auto"/>
            </w:tcBorders>
            <w:vAlign w:val="center"/>
            <w:hideMark/>
          </w:tcPr>
          <w:p w:rsidR="003D1E4F" w:rsidRPr="00D136FB" w:rsidRDefault="003D1E4F">
            <w:pPr>
              <w:spacing w:line="276" w:lineRule="auto"/>
              <w:jc w:val="center"/>
              <w:rPr>
                <w:noProof/>
                <w:lang w:eastAsia="bg-BG" w:bidi="bg-BG"/>
              </w:rPr>
            </w:pPr>
            <w:r w:rsidRPr="00D136FB">
              <w:rPr>
                <w:noProof/>
                <w:sz w:val="22"/>
              </w:rPr>
              <w:t>ДА</w:t>
            </w:r>
          </w:p>
        </w:tc>
        <w:tc>
          <w:tcPr>
            <w:tcW w:w="1080" w:type="dxa"/>
            <w:tcBorders>
              <w:top w:val="single" w:sz="4" w:space="0" w:color="auto"/>
              <w:left w:val="single" w:sz="4" w:space="0" w:color="auto"/>
              <w:bottom w:val="single" w:sz="4" w:space="0" w:color="auto"/>
              <w:right w:val="single" w:sz="4" w:space="0" w:color="auto"/>
            </w:tcBorders>
            <w:vAlign w:val="center"/>
            <w:hideMark/>
          </w:tcPr>
          <w:p w:rsidR="003D1E4F" w:rsidRPr="00D136FB" w:rsidRDefault="003D1E4F">
            <w:pPr>
              <w:spacing w:line="276" w:lineRule="auto"/>
              <w:jc w:val="center"/>
              <w:rPr>
                <w:noProof/>
                <w:lang w:eastAsia="bg-BG" w:bidi="bg-BG"/>
              </w:rPr>
            </w:pPr>
            <w:r w:rsidRPr="00D136FB">
              <w:rPr>
                <w:noProof/>
                <w:sz w:val="22"/>
              </w:rPr>
              <w:t>НЕ</w:t>
            </w:r>
          </w:p>
        </w:tc>
      </w:tr>
    </w:tbl>
    <w:p w:rsidR="003D1E4F" w:rsidRPr="00D136FB" w:rsidRDefault="003D1E4F" w:rsidP="00EF7A5B">
      <w:pPr>
        <w:pStyle w:val="Heading2"/>
        <w:numPr>
          <w:ilvl w:val="1"/>
          <w:numId w:val="15"/>
        </w:numPr>
        <w:rPr>
          <w:noProof/>
          <w:lang w:eastAsia="bg-BG" w:bidi="bg-BG"/>
        </w:rPr>
      </w:pPr>
      <w:r w:rsidRPr="00D136FB">
        <w:t>Индикативно разпределение в рамките „Междусекторното направление“ за финансовия период 2021—2027 г.</w:t>
      </w:r>
    </w:p>
    <w:p w:rsidR="003D1E4F" w:rsidRPr="00D136FB" w:rsidRDefault="003D1E4F" w:rsidP="003D1E4F">
      <w:pPr>
        <w:rPr>
          <w:noProof/>
        </w:rPr>
      </w:pPr>
      <w:r w:rsidRPr="00D136FB">
        <w:t>A)</w:t>
      </w:r>
      <w:r w:rsidRPr="00D136FB">
        <w:rPr>
          <w:b/>
          <w:noProof/>
        </w:rPr>
        <w:t xml:space="preserve"> </w:t>
      </w:r>
      <w:r w:rsidRPr="00D136FB">
        <w:t>Междусекторно транснационално сътрудничество в областта на политиката, насърчаване на запознатостта с програмата и осигуряване на подкрепа за прехвърл</w:t>
      </w:r>
      <w:r w:rsidR="00E42BE0" w:rsidRPr="00D136FB">
        <w:t>яемостта</w:t>
      </w:r>
      <w:r w:rsidRPr="00D136FB">
        <w:t xml:space="preserve"> на резултатите: 5 милиона евро</w:t>
      </w:r>
    </w:p>
    <w:p w:rsidR="003D1E4F" w:rsidRPr="00D136FB" w:rsidRDefault="003D1E4F" w:rsidP="003D1E4F">
      <w:pPr>
        <w:rPr>
          <w:noProof/>
        </w:rPr>
      </w:pPr>
      <w:r w:rsidRPr="00D136FB">
        <w:t>Б) Насърчаване на новаторските подходи в секторите на културата и творчеството към създаването на съдържание, достъпа, разпространението и популяризирането: 52 милиона евро</w:t>
      </w:r>
    </w:p>
    <w:p w:rsidR="003D1E4F" w:rsidRPr="00D136FB" w:rsidRDefault="003D1E4F" w:rsidP="003D1E4F">
      <w:pPr>
        <w:rPr>
          <w:noProof/>
        </w:rPr>
      </w:pPr>
      <w:r w:rsidRPr="00D136FB">
        <w:t>В) Насърчаване на хоризонталните дейности, обхващащи няколко сектора и имащи за цел коригирането на структурните промени, пред които е изправен медийният сектор, включително постигане на по-голяма свобода, разнообразие и плурализъм на медийната среда, повишаване на качеството на журналистиката и медийната грамотност: 61 милиона евро</w:t>
      </w:r>
    </w:p>
    <w:p w:rsidR="003D1E4F" w:rsidRPr="00D136FB" w:rsidRDefault="003D1E4F" w:rsidP="003D1E4F">
      <w:pPr>
        <w:rPr>
          <w:noProof/>
        </w:rPr>
      </w:pPr>
      <w:r w:rsidRPr="00D136FB">
        <w:t>Г) Създаване и подкрепа на бюрата на програмата с цел предоставяне на информация за нея и популяризиране в съответните държави и стимулиране на трансграничното сътрудничество в рамките на секторите на културата и творчеството: 42 милиона евро</w:t>
      </w:r>
    </w:p>
    <w:p w:rsidR="003D1E4F" w:rsidRPr="00D136FB" w:rsidRDefault="003D1E4F" w:rsidP="003D1E4F">
      <w:pPr>
        <w:rPr>
          <w:noProof/>
        </w:rPr>
      </w:pPr>
    </w:p>
    <w:p w:rsidR="003D1E4F" w:rsidRPr="00D136FB" w:rsidRDefault="003D1E4F" w:rsidP="003D1E4F">
      <w:pPr>
        <w:spacing w:before="0" w:after="0"/>
        <w:jc w:val="left"/>
        <w:rPr>
          <w:noProof/>
        </w:rPr>
        <w:sectPr w:rsidR="003D1E4F" w:rsidRPr="00D136FB" w:rsidSect="00377BF1">
          <w:pgSz w:w="11907" w:h="16840"/>
          <w:pgMar w:top="1134" w:right="1418" w:bottom="1134" w:left="1418" w:header="709" w:footer="709" w:gutter="0"/>
          <w:cols w:space="720"/>
          <w:docGrid w:linePitch="326"/>
        </w:sectPr>
      </w:pPr>
    </w:p>
    <w:p w:rsidR="003D1E4F" w:rsidRPr="00D136FB" w:rsidRDefault="003D1E4F" w:rsidP="00C26321">
      <w:pPr>
        <w:pStyle w:val="Heading2"/>
        <w:numPr>
          <w:ilvl w:val="1"/>
          <w:numId w:val="15"/>
        </w:numPr>
        <w:spacing w:before="0" w:after="60"/>
        <w:ind w:left="851" w:hanging="851"/>
        <w:rPr>
          <w:bCs w:val="0"/>
          <w:noProof/>
          <w:szCs w:val="24"/>
        </w:rPr>
      </w:pPr>
      <w:r w:rsidRPr="00D136FB">
        <w:lastRenderedPageBreak/>
        <w:t xml:space="preserve">Очаквано отражение върху разходите </w:t>
      </w:r>
    </w:p>
    <w:p w:rsidR="003D1E4F" w:rsidRPr="00D136FB" w:rsidRDefault="003D1E4F" w:rsidP="00C26321">
      <w:pPr>
        <w:pStyle w:val="Heading3"/>
        <w:numPr>
          <w:ilvl w:val="2"/>
          <w:numId w:val="15"/>
        </w:numPr>
        <w:spacing w:before="60" w:after="60"/>
        <w:ind w:left="851" w:hanging="851"/>
        <w:rPr>
          <w:noProof/>
          <w:u w:val="single"/>
        </w:rPr>
      </w:pPr>
      <w:r w:rsidRPr="00D136FB">
        <w:t xml:space="preserve">Обобщение на очакваното отражение върху разходите </w:t>
      </w:r>
    </w:p>
    <w:p w:rsidR="003D1E4F" w:rsidRPr="00D136FB" w:rsidRDefault="003D1E4F" w:rsidP="00C26321">
      <w:pPr>
        <w:spacing w:before="60" w:after="60"/>
        <w:jc w:val="right"/>
        <w:rPr>
          <w:noProof/>
          <w:sz w:val="20"/>
        </w:rPr>
      </w:pPr>
      <w:r w:rsidRPr="00D136FB">
        <w:rPr>
          <w:noProof/>
          <w:sz w:val="20"/>
        </w:rPr>
        <w:t>млн. евро (до 3-тия знак след десетичната запетая)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0"/>
        <w:gridCol w:w="824"/>
        <w:gridCol w:w="593"/>
        <w:gridCol w:w="487"/>
        <w:gridCol w:w="222"/>
        <w:gridCol w:w="992"/>
        <w:gridCol w:w="895"/>
        <w:gridCol w:w="868"/>
        <w:gridCol w:w="868"/>
        <w:gridCol w:w="868"/>
        <w:gridCol w:w="868"/>
        <w:gridCol w:w="868"/>
        <w:gridCol w:w="1002"/>
        <w:gridCol w:w="366"/>
        <w:gridCol w:w="830"/>
      </w:tblGrid>
      <w:tr w:rsidR="003D1E4F" w:rsidRPr="00D136FB" w:rsidTr="003D1E4F">
        <w:trPr>
          <w:gridAfter w:val="1"/>
          <w:wAfter w:w="830" w:type="dxa"/>
          <w:jc w:val="center"/>
        </w:trPr>
        <w:tc>
          <w:tcPr>
            <w:tcW w:w="4744" w:type="dxa"/>
            <w:gridSpan w:val="2"/>
            <w:tcBorders>
              <w:top w:val="single" w:sz="4" w:space="0" w:color="auto"/>
              <w:left w:val="single" w:sz="4" w:space="0" w:color="auto"/>
              <w:bottom w:val="single" w:sz="4" w:space="0" w:color="auto"/>
              <w:right w:val="single" w:sz="4" w:space="0" w:color="auto"/>
            </w:tcBorders>
            <w:shd w:val="thinDiagStripe" w:color="C0C0C0" w:fill="auto"/>
            <w:vAlign w:val="center"/>
            <w:hideMark/>
          </w:tcPr>
          <w:p w:rsidR="003D1E4F" w:rsidRPr="00D136FB" w:rsidRDefault="003D1E4F">
            <w:pPr>
              <w:spacing w:before="60" w:after="60" w:line="276" w:lineRule="auto"/>
              <w:jc w:val="center"/>
              <w:rPr>
                <w:b/>
                <w:noProof/>
                <w:lang w:eastAsia="bg-BG" w:bidi="bg-BG"/>
              </w:rPr>
            </w:pPr>
            <w:r w:rsidRPr="00D136FB">
              <w:rPr>
                <w:b/>
                <w:noProof/>
                <w:sz w:val="22"/>
              </w:rPr>
              <w:t xml:space="preserve">Функция от многогодишната финансова </w:t>
            </w:r>
            <w:r w:rsidRPr="00D136FB">
              <w:rPr>
                <w:noProof/>
                <w:sz w:val="22"/>
              </w:rPr>
              <w:br/>
            </w:r>
            <w:r w:rsidRPr="00D136FB">
              <w:rPr>
                <w:b/>
                <w:noProof/>
                <w:sz w:val="22"/>
              </w:rPr>
              <w:t xml:space="preserve">рамка </w:t>
            </w:r>
          </w:p>
        </w:tc>
        <w:tc>
          <w:tcPr>
            <w:tcW w:w="1080" w:type="dxa"/>
            <w:gridSpan w:val="2"/>
            <w:tcBorders>
              <w:top w:val="single" w:sz="4" w:space="0" w:color="auto"/>
              <w:left w:val="single" w:sz="4" w:space="0" w:color="auto"/>
              <w:bottom w:val="single" w:sz="4" w:space="0" w:color="auto"/>
              <w:right w:val="single" w:sz="4" w:space="0" w:color="auto"/>
            </w:tcBorders>
            <w:vAlign w:val="center"/>
            <w:hideMark/>
          </w:tcPr>
          <w:p w:rsidR="003D1E4F" w:rsidRPr="00D136FB" w:rsidRDefault="003D1E4F">
            <w:pPr>
              <w:spacing w:before="60" w:after="60" w:line="276" w:lineRule="auto"/>
              <w:jc w:val="center"/>
              <w:rPr>
                <w:noProof/>
                <w:lang w:eastAsia="bg-BG" w:bidi="bg-BG"/>
              </w:rPr>
            </w:pPr>
            <w:r w:rsidRPr="00D136FB">
              <w:rPr>
                <w:b/>
                <w:noProof/>
                <w:sz w:val="22"/>
              </w:rPr>
              <w:t>2</w:t>
            </w:r>
          </w:p>
        </w:tc>
        <w:tc>
          <w:tcPr>
            <w:tcW w:w="7817" w:type="dxa"/>
            <w:gridSpan w:val="10"/>
            <w:tcBorders>
              <w:top w:val="single" w:sz="4" w:space="0" w:color="auto"/>
              <w:left w:val="single" w:sz="4" w:space="0" w:color="auto"/>
              <w:bottom w:val="single" w:sz="4" w:space="0" w:color="auto"/>
              <w:right w:val="single" w:sz="4" w:space="0" w:color="auto"/>
            </w:tcBorders>
            <w:vAlign w:val="center"/>
            <w:hideMark/>
          </w:tcPr>
          <w:p w:rsidR="003D1E4F" w:rsidRPr="00D136FB" w:rsidRDefault="003D1E4F">
            <w:pPr>
              <w:spacing w:before="60" w:after="60" w:line="276" w:lineRule="auto"/>
              <w:rPr>
                <w:noProof/>
                <w:lang w:eastAsia="bg-BG" w:bidi="bg-BG"/>
              </w:rPr>
            </w:pPr>
            <w:r w:rsidRPr="00D136FB">
              <w:t>Сближаване и ценности</w:t>
            </w:r>
          </w:p>
        </w:tc>
      </w:tr>
      <w:tr w:rsidR="003D1E4F" w:rsidRPr="00D136FB" w:rsidTr="00C26321">
        <w:trPr>
          <w:trHeight w:val="569"/>
          <w:jc w:val="center"/>
        </w:trPr>
        <w:tc>
          <w:tcPr>
            <w:tcW w:w="6046" w:type="dxa"/>
            <w:gridSpan w:val="5"/>
            <w:tcBorders>
              <w:top w:val="nil"/>
              <w:left w:val="nil"/>
              <w:bottom w:val="nil"/>
              <w:right w:val="single" w:sz="4" w:space="0" w:color="auto"/>
            </w:tcBorders>
            <w:vAlign w:val="center"/>
          </w:tcPr>
          <w:p w:rsidR="003D1E4F" w:rsidRPr="00D136FB" w:rsidRDefault="003D1E4F">
            <w:pPr>
              <w:spacing w:line="276" w:lineRule="auto"/>
              <w:jc w:val="center"/>
              <w:rPr>
                <w:b/>
                <w:noProof/>
                <w:sz w:val="20"/>
                <w:lang w:eastAsia="bg-BG" w:bidi="bg-BG"/>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3D1E4F" w:rsidRPr="00D136FB" w:rsidRDefault="003D1E4F">
            <w:pPr>
              <w:spacing w:line="276" w:lineRule="auto"/>
              <w:jc w:val="center"/>
              <w:rPr>
                <w:b/>
                <w:noProof/>
                <w:sz w:val="20"/>
                <w:lang w:eastAsia="bg-BG" w:bidi="bg-BG"/>
              </w:rPr>
            </w:pPr>
            <w:r w:rsidRPr="00D136FB">
              <w:rPr>
                <w:b/>
                <w:noProof/>
                <w:sz w:val="20"/>
              </w:rPr>
              <w:t>2021 г.</w:t>
            </w:r>
          </w:p>
        </w:tc>
        <w:tc>
          <w:tcPr>
            <w:tcW w:w="895" w:type="dxa"/>
            <w:tcBorders>
              <w:top w:val="single" w:sz="4" w:space="0" w:color="auto"/>
              <w:left w:val="single" w:sz="4" w:space="0" w:color="auto"/>
              <w:bottom w:val="single" w:sz="4" w:space="0" w:color="auto"/>
              <w:right w:val="single" w:sz="4" w:space="0" w:color="auto"/>
            </w:tcBorders>
            <w:vAlign w:val="center"/>
            <w:hideMark/>
          </w:tcPr>
          <w:p w:rsidR="003D1E4F" w:rsidRPr="00D136FB" w:rsidRDefault="003D1E4F">
            <w:pPr>
              <w:spacing w:line="276" w:lineRule="auto"/>
              <w:jc w:val="center"/>
              <w:rPr>
                <w:b/>
                <w:noProof/>
                <w:sz w:val="20"/>
                <w:lang w:eastAsia="bg-BG" w:bidi="bg-BG"/>
              </w:rPr>
            </w:pPr>
            <w:r w:rsidRPr="00D136FB">
              <w:rPr>
                <w:b/>
                <w:noProof/>
                <w:sz w:val="20"/>
              </w:rPr>
              <w:t>2022 г.</w:t>
            </w:r>
          </w:p>
        </w:tc>
        <w:tc>
          <w:tcPr>
            <w:tcW w:w="868" w:type="dxa"/>
            <w:tcBorders>
              <w:top w:val="single" w:sz="4" w:space="0" w:color="auto"/>
              <w:left w:val="single" w:sz="4" w:space="0" w:color="auto"/>
              <w:bottom w:val="single" w:sz="4" w:space="0" w:color="auto"/>
              <w:right w:val="single" w:sz="4" w:space="0" w:color="auto"/>
            </w:tcBorders>
            <w:vAlign w:val="center"/>
            <w:hideMark/>
          </w:tcPr>
          <w:p w:rsidR="003D1E4F" w:rsidRPr="00D136FB" w:rsidRDefault="003D1E4F">
            <w:pPr>
              <w:spacing w:line="276" w:lineRule="auto"/>
              <w:jc w:val="center"/>
              <w:rPr>
                <w:b/>
                <w:noProof/>
                <w:sz w:val="20"/>
                <w:lang w:eastAsia="bg-BG" w:bidi="bg-BG"/>
              </w:rPr>
            </w:pPr>
            <w:r w:rsidRPr="00D136FB">
              <w:rPr>
                <w:b/>
                <w:noProof/>
                <w:sz w:val="20"/>
              </w:rPr>
              <w:t>2023 г.</w:t>
            </w:r>
          </w:p>
        </w:tc>
        <w:tc>
          <w:tcPr>
            <w:tcW w:w="868" w:type="dxa"/>
            <w:tcBorders>
              <w:top w:val="single" w:sz="4" w:space="0" w:color="auto"/>
              <w:left w:val="single" w:sz="4" w:space="0" w:color="auto"/>
              <w:bottom w:val="single" w:sz="4" w:space="0" w:color="auto"/>
              <w:right w:val="single" w:sz="4" w:space="0" w:color="auto"/>
            </w:tcBorders>
            <w:vAlign w:val="center"/>
            <w:hideMark/>
          </w:tcPr>
          <w:p w:rsidR="003D1E4F" w:rsidRPr="00D136FB" w:rsidRDefault="003D1E4F">
            <w:pPr>
              <w:spacing w:line="276" w:lineRule="auto"/>
              <w:jc w:val="center"/>
              <w:rPr>
                <w:b/>
                <w:noProof/>
                <w:sz w:val="20"/>
                <w:lang w:eastAsia="bg-BG" w:bidi="bg-BG"/>
              </w:rPr>
            </w:pPr>
            <w:r w:rsidRPr="00D136FB">
              <w:rPr>
                <w:b/>
                <w:noProof/>
                <w:sz w:val="20"/>
              </w:rPr>
              <w:t>2024 г.</w:t>
            </w:r>
          </w:p>
        </w:tc>
        <w:tc>
          <w:tcPr>
            <w:tcW w:w="868" w:type="dxa"/>
            <w:tcBorders>
              <w:top w:val="single" w:sz="4" w:space="0" w:color="auto"/>
              <w:left w:val="single" w:sz="4" w:space="0" w:color="auto"/>
              <w:bottom w:val="single" w:sz="4" w:space="0" w:color="auto"/>
              <w:right w:val="single" w:sz="4" w:space="0" w:color="auto"/>
            </w:tcBorders>
            <w:vAlign w:val="center"/>
            <w:hideMark/>
          </w:tcPr>
          <w:p w:rsidR="003D1E4F" w:rsidRPr="00D136FB" w:rsidRDefault="003D1E4F">
            <w:pPr>
              <w:spacing w:line="276" w:lineRule="auto"/>
              <w:jc w:val="center"/>
              <w:rPr>
                <w:b/>
                <w:noProof/>
                <w:sz w:val="18"/>
                <w:lang w:eastAsia="bg-BG" w:bidi="bg-BG"/>
              </w:rPr>
            </w:pPr>
            <w:r w:rsidRPr="00D136FB">
              <w:rPr>
                <w:b/>
                <w:noProof/>
                <w:sz w:val="18"/>
              </w:rPr>
              <w:t>2025 г.</w:t>
            </w:r>
          </w:p>
        </w:tc>
        <w:tc>
          <w:tcPr>
            <w:tcW w:w="868" w:type="dxa"/>
            <w:tcBorders>
              <w:top w:val="single" w:sz="4" w:space="0" w:color="auto"/>
              <w:left w:val="single" w:sz="4" w:space="0" w:color="auto"/>
              <w:bottom w:val="single" w:sz="4" w:space="0" w:color="auto"/>
              <w:right w:val="single" w:sz="4" w:space="0" w:color="auto"/>
            </w:tcBorders>
            <w:vAlign w:val="center"/>
            <w:hideMark/>
          </w:tcPr>
          <w:p w:rsidR="003D1E4F" w:rsidRPr="00D136FB" w:rsidRDefault="003D1E4F">
            <w:pPr>
              <w:spacing w:line="276" w:lineRule="auto"/>
              <w:jc w:val="center"/>
              <w:rPr>
                <w:b/>
                <w:noProof/>
                <w:sz w:val="18"/>
                <w:lang w:eastAsia="bg-BG" w:bidi="bg-BG"/>
              </w:rPr>
            </w:pPr>
            <w:r w:rsidRPr="00D136FB">
              <w:rPr>
                <w:b/>
                <w:noProof/>
                <w:sz w:val="18"/>
              </w:rPr>
              <w:t>2026 г.</w:t>
            </w:r>
          </w:p>
        </w:tc>
        <w:tc>
          <w:tcPr>
            <w:tcW w:w="868" w:type="dxa"/>
            <w:tcBorders>
              <w:top w:val="single" w:sz="4" w:space="0" w:color="auto"/>
              <w:left w:val="single" w:sz="4" w:space="0" w:color="auto"/>
              <w:bottom w:val="single" w:sz="4" w:space="0" w:color="auto"/>
              <w:right w:val="single" w:sz="4" w:space="0" w:color="auto"/>
            </w:tcBorders>
            <w:vAlign w:val="center"/>
            <w:hideMark/>
          </w:tcPr>
          <w:p w:rsidR="003D1E4F" w:rsidRPr="00D136FB" w:rsidRDefault="003D1E4F">
            <w:pPr>
              <w:spacing w:line="276" w:lineRule="auto"/>
              <w:jc w:val="center"/>
              <w:rPr>
                <w:b/>
                <w:noProof/>
                <w:sz w:val="18"/>
                <w:lang w:eastAsia="bg-BG" w:bidi="bg-BG"/>
              </w:rPr>
            </w:pPr>
            <w:r w:rsidRPr="00D136FB">
              <w:rPr>
                <w:b/>
                <w:noProof/>
                <w:sz w:val="18"/>
              </w:rPr>
              <w:t>2027 г.</w:t>
            </w:r>
          </w:p>
        </w:tc>
        <w:tc>
          <w:tcPr>
            <w:tcW w:w="1002" w:type="dxa"/>
            <w:tcBorders>
              <w:top w:val="single" w:sz="4" w:space="0" w:color="auto"/>
              <w:left w:val="single" w:sz="4" w:space="0" w:color="auto"/>
              <w:bottom w:val="single" w:sz="4" w:space="0" w:color="auto"/>
              <w:right w:val="single" w:sz="4" w:space="0" w:color="auto"/>
            </w:tcBorders>
            <w:hideMark/>
          </w:tcPr>
          <w:p w:rsidR="003D1E4F" w:rsidRPr="00D136FB" w:rsidRDefault="003D1E4F" w:rsidP="00C26321">
            <w:pPr>
              <w:spacing w:before="60" w:after="60"/>
              <w:jc w:val="center"/>
              <w:rPr>
                <w:b/>
                <w:i/>
                <w:noProof/>
                <w:sz w:val="20"/>
                <w:lang w:eastAsia="bg-BG" w:bidi="bg-BG"/>
              </w:rPr>
            </w:pPr>
            <w:r w:rsidRPr="00D136FB">
              <w:rPr>
                <w:b/>
                <w:i/>
                <w:noProof/>
                <w:sz w:val="20"/>
              </w:rPr>
              <w:t>След 2027 г.</w:t>
            </w:r>
          </w:p>
        </w:tc>
        <w:tc>
          <w:tcPr>
            <w:tcW w:w="1196" w:type="dxa"/>
            <w:gridSpan w:val="2"/>
            <w:tcBorders>
              <w:top w:val="single" w:sz="4" w:space="0" w:color="auto"/>
              <w:left w:val="single" w:sz="4" w:space="0" w:color="auto"/>
              <w:bottom w:val="single" w:sz="4" w:space="0" w:color="auto"/>
              <w:right w:val="single" w:sz="4" w:space="0" w:color="auto"/>
            </w:tcBorders>
            <w:vAlign w:val="center"/>
            <w:hideMark/>
          </w:tcPr>
          <w:p w:rsidR="003D1E4F" w:rsidRPr="00D136FB" w:rsidRDefault="003D1E4F">
            <w:pPr>
              <w:spacing w:line="276" w:lineRule="auto"/>
              <w:jc w:val="center"/>
              <w:rPr>
                <w:b/>
                <w:noProof/>
                <w:sz w:val="20"/>
                <w:lang w:eastAsia="bg-BG" w:bidi="bg-BG"/>
              </w:rPr>
            </w:pPr>
            <w:r w:rsidRPr="00D136FB">
              <w:rPr>
                <w:b/>
                <w:noProof/>
                <w:sz w:val="20"/>
              </w:rPr>
              <w:t>ОБЩО</w:t>
            </w:r>
          </w:p>
        </w:tc>
      </w:tr>
      <w:tr w:rsidR="003D1E4F" w:rsidRPr="00D136FB" w:rsidTr="003D1E4F">
        <w:trPr>
          <w:trHeight w:val="433"/>
          <w:jc w:val="center"/>
        </w:trPr>
        <w:tc>
          <w:tcPr>
            <w:tcW w:w="3920" w:type="dxa"/>
            <w:vMerge w:val="restart"/>
            <w:tcBorders>
              <w:top w:val="single" w:sz="4" w:space="0" w:color="auto"/>
              <w:left w:val="single" w:sz="4" w:space="0" w:color="auto"/>
              <w:bottom w:val="single" w:sz="4" w:space="0" w:color="auto"/>
              <w:right w:val="single" w:sz="4" w:space="0" w:color="auto"/>
            </w:tcBorders>
            <w:vAlign w:val="center"/>
            <w:hideMark/>
          </w:tcPr>
          <w:p w:rsidR="003D1E4F" w:rsidRPr="00D136FB" w:rsidRDefault="003D1E4F">
            <w:pPr>
              <w:spacing w:line="276" w:lineRule="auto"/>
              <w:rPr>
                <w:b/>
                <w:noProof/>
                <w:lang w:eastAsia="bg-BG" w:bidi="bg-BG"/>
              </w:rPr>
            </w:pPr>
            <w:r w:rsidRPr="00D136FB">
              <w:rPr>
                <w:b/>
                <w:noProof/>
                <w:sz w:val="20"/>
              </w:rPr>
              <w:t>Бюджетни кредити за оперативни разходи</w:t>
            </w:r>
            <w:r w:rsidRPr="00D136FB">
              <w:rPr>
                <w:rStyle w:val="FootnoteReference"/>
                <w:b/>
                <w:noProof/>
                <w:sz w:val="20"/>
              </w:rPr>
              <w:footnoteReference w:id="37"/>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3D1E4F" w:rsidRPr="00D136FB" w:rsidRDefault="003D1E4F">
            <w:pPr>
              <w:spacing w:before="20" w:after="20" w:line="276" w:lineRule="auto"/>
              <w:jc w:val="left"/>
              <w:rPr>
                <w:noProof/>
                <w:sz w:val="18"/>
                <w:lang w:eastAsia="bg-BG" w:bidi="bg-BG"/>
              </w:rPr>
            </w:pPr>
            <w:r w:rsidRPr="00D136FB">
              <w:rPr>
                <w:noProof/>
                <w:sz w:val="18"/>
              </w:rPr>
              <w:t>Поети задължения</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3D1E4F" w:rsidRPr="00D136FB" w:rsidRDefault="003D1E4F">
            <w:pPr>
              <w:spacing w:before="20" w:after="20" w:line="276" w:lineRule="auto"/>
              <w:jc w:val="center"/>
              <w:rPr>
                <w:noProof/>
                <w:sz w:val="14"/>
                <w:lang w:eastAsia="bg-BG" w:bidi="bg-BG"/>
              </w:rPr>
            </w:pPr>
            <w:r w:rsidRPr="00D136FB">
              <w:rPr>
                <w:noProof/>
                <w:sz w:val="14"/>
              </w:rPr>
              <w:t>(1)</w:t>
            </w:r>
          </w:p>
        </w:tc>
        <w:tc>
          <w:tcPr>
            <w:tcW w:w="992" w:type="dxa"/>
            <w:tcBorders>
              <w:top w:val="single" w:sz="4" w:space="0" w:color="auto"/>
              <w:left w:val="single" w:sz="4" w:space="0" w:color="auto"/>
              <w:bottom w:val="single" w:sz="4" w:space="0" w:color="auto"/>
              <w:right w:val="single" w:sz="4" w:space="0" w:color="auto"/>
            </w:tcBorders>
            <w:vAlign w:val="center"/>
          </w:tcPr>
          <w:p w:rsidR="003D1E4F" w:rsidRPr="00D136FB" w:rsidRDefault="003D1E4F">
            <w:pPr>
              <w:spacing w:before="20" w:after="20" w:line="276" w:lineRule="auto"/>
              <w:jc w:val="right"/>
              <w:rPr>
                <w:noProof/>
                <w:sz w:val="20"/>
                <w:lang w:eastAsia="bg-BG" w:bidi="bg-BG"/>
              </w:rPr>
            </w:pPr>
          </w:p>
        </w:tc>
        <w:tc>
          <w:tcPr>
            <w:tcW w:w="895" w:type="dxa"/>
            <w:tcBorders>
              <w:top w:val="single" w:sz="4" w:space="0" w:color="auto"/>
              <w:left w:val="single" w:sz="4" w:space="0" w:color="auto"/>
              <w:bottom w:val="single" w:sz="4" w:space="0" w:color="auto"/>
              <w:right w:val="single" w:sz="4" w:space="0" w:color="auto"/>
            </w:tcBorders>
            <w:vAlign w:val="center"/>
          </w:tcPr>
          <w:p w:rsidR="003D1E4F" w:rsidRPr="00D136FB" w:rsidRDefault="003D1E4F">
            <w:pPr>
              <w:spacing w:before="20" w:after="20" w:line="276" w:lineRule="auto"/>
              <w:jc w:val="right"/>
              <w:rPr>
                <w:noProof/>
                <w:sz w:val="20"/>
                <w:lang w:eastAsia="bg-BG" w:bidi="bg-BG"/>
              </w:rPr>
            </w:pPr>
          </w:p>
        </w:tc>
        <w:tc>
          <w:tcPr>
            <w:tcW w:w="868" w:type="dxa"/>
            <w:tcBorders>
              <w:top w:val="single" w:sz="4" w:space="0" w:color="auto"/>
              <w:left w:val="single" w:sz="4" w:space="0" w:color="auto"/>
              <w:bottom w:val="single" w:sz="4" w:space="0" w:color="auto"/>
              <w:right w:val="single" w:sz="4" w:space="0" w:color="auto"/>
            </w:tcBorders>
            <w:vAlign w:val="center"/>
          </w:tcPr>
          <w:p w:rsidR="003D1E4F" w:rsidRPr="00D136FB" w:rsidRDefault="003D1E4F">
            <w:pPr>
              <w:spacing w:before="20" w:after="20" w:line="276" w:lineRule="auto"/>
              <w:jc w:val="right"/>
              <w:rPr>
                <w:noProof/>
                <w:sz w:val="20"/>
                <w:lang w:eastAsia="bg-BG" w:bidi="bg-BG"/>
              </w:rPr>
            </w:pPr>
          </w:p>
        </w:tc>
        <w:tc>
          <w:tcPr>
            <w:tcW w:w="868" w:type="dxa"/>
            <w:tcBorders>
              <w:top w:val="single" w:sz="4" w:space="0" w:color="auto"/>
              <w:left w:val="single" w:sz="4" w:space="0" w:color="auto"/>
              <w:bottom w:val="single" w:sz="4" w:space="0" w:color="auto"/>
              <w:right w:val="single" w:sz="4" w:space="0" w:color="auto"/>
            </w:tcBorders>
            <w:vAlign w:val="center"/>
          </w:tcPr>
          <w:p w:rsidR="003D1E4F" w:rsidRPr="00D136FB" w:rsidRDefault="003D1E4F">
            <w:pPr>
              <w:spacing w:before="20" w:after="20" w:line="276" w:lineRule="auto"/>
              <w:jc w:val="right"/>
              <w:rPr>
                <w:noProof/>
                <w:sz w:val="20"/>
                <w:lang w:eastAsia="bg-BG" w:bidi="bg-BG"/>
              </w:rPr>
            </w:pPr>
          </w:p>
        </w:tc>
        <w:tc>
          <w:tcPr>
            <w:tcW w:w="868" w:type="dxa"/>
            <w:tcBorders>
              <w:top w:val="single" w:sz="4" w:space="0" w:color="auto"/>
              <w:left w:val="single" w:sz="4" w:space="0" w:color="auto"/>
              <w:bottom w:val="single" w:sz="4" w:space="0" w:color="auto"/>
              <w:right w:val="single" w:sz="4" w:space="0" w:color="auto"/>
            </w:tcBorders>
            <w:vAlign w:val="center"/>
          </w:tcPr>
          <w:p w:rsidR="003D1E4F" w:rsidRPr="00D136FB" w:rsidRDefault="003D1E4F">
            <w:pPr>
              <w:spacing w:before="20" w:after="20" w:line="276" w:lineRule="auto"/>
              <w:jc w:val="right"/>
              <w:rPr>
                <w:noProof/>
                <w:sz w:val="20"/>
                <w:lang w:eastAsia="bg-BG" w:bidi="bg-BG"/>
              </w:rPr>
            </w:pPr>
          </w:p>
        </w:tc>
        <w:tc>
          <w:tcPr>
            <w:tcW w:w="868" w:type="dxa"/>
            <w:tcBorders>
              <w:top w:val="single" w:sz="4" w:space="0" w:color="auto"/>
              <w:left w:val="single" w:sz="4" w:space="0" w:color="auto"/>
              <w:bottom w:val="single" w:sz="4" w:space="0" w:color="auto"/>
              <w:right w:val="single" w:sz="4" w:space="0" w:color="auto"/>
            </w:tcBorders>
            <w:vAlign w:val="center"/>
          </w:tcPr>
          <w:p w:rsidR="003D1E4F" w:rsidRPr="00D136FB" w:rsidRDefault="003D1E4F">
            <w:pPr>
              <w:spacing w:before="20" w:after="20" w:line="276" w:lineRule="auto"/>
              <w:jc w:val="right"/>
              <w:rPr>
                <w:noProof/>
                <w:sz w:val="20"/>
                <w:lang w:eastAsia="bg-BG" w:bidi="bg-BG"/>
              </w:rPr>
            </w:pPr>
          </w:p>
        </w:tc>
        <w:tc>
          <w:tcPr>
            <w:tcW w:w="868" w:type="dxa"/>
            <w:tcBorders>
              <w:top w:val="single" w:sz="4" w:space="0" w:color="auto"/>
              <w:left w:val="single" w:sz="4" w:space="0" w:color="auto"/>
              <w:bottom w:val="single" w:sz="4" w:space="0" w:color="auto"/>
              <w:right w:val="single" w:sz="4" w:space="0" w:color="auto"/>
            </w:tcBorders>
            <w:vAlign w:val="center"/>
          </w:tcPr>
          <w:p w:rsidR="003D1E4F" w:rsidRPr="00D136FB" w:rsidRDefault="003D1E4F">
            <w:pPr>
              <w:spacing w:before="20" w:after="20" w:line="276" w:lineRule="auto"/>
              <w:jc w:val="right"/>
              <w:rPr>
                <w:b/>
                <w:noProof/>
                <w:sz w:val="20"/>
                <w:lang w:eastAsia="bg-BG" w:bidi="bg-BG"/>
              </w:rPr>
            </w:pPr>
          </w:p>
        </w:tc>
        <w:tc>
          <w:tcPr>
            <w:tcW w:w="100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3D1E4F" w:rsidRPr="00D136FB" w:rsidRDefault="003D1E4F">
            <w:pPr>
              <w:spacing w:before="20" w:after="20" w:line="276" w:lineRule="auto"/>
              <w:jc w:val="right"/>
              <w:rPr>
                <w:b/>
                <w:noProof/>
                <w:sz w:val="20"/>
                <w:lang w:eastAsia="bg-BG" w:bidi="bg-BG"/>
              </w:rPr>
            </w:pPr>
          </w:p>
        </w:tc>
        <w:tc>
          <w:tcPr>
            <w:tcW w:w="1196" w:type="dxa"/>
            <w:gridSpan w:val="2"/>
            <w:tcBorders>
              <w:top w:val="single" w:sz="4" w:space="0" w:color="auto"/>
              <w:left w:val="single" w:sz="4" w:space="0" w:color="auto"/>
              <w:bottom w:val="single" w:sz="4" w:space="0" w:color="auto"/>
              <w:right w:val="single" w:sz="4" w:space="0" w:color="auto"/>
            </w:tcBorders>
            <w:vAlign w:val="center"/>
          </w:tcPr>
          <w:p w:rsidR="003D1E4F" w:rsidRPr="00D136FB" w:rsidRDefault="003D1E4F">
            <w:pPr>
              <w:spacing w:before="20" w:after="20" w:line="276" w:lineRule="auto"/>
              <w:jc w:val="right"/>
              <w:rPr>
                <w:b/>
                <w:noProof/>
                <w:sz w:val="20"/>
                <w:lang w:eastAsia="bg-BG" w:bidi="bg-BG"/>
              </w:rPr>
            </w:pPr>
          </w:p>
        </w:tc>
      </w:tr>
      <w:tr w:rsidR="003D1E4F" w:rsidRPr="00D136FB" w:rsidTr="003D1E4F">
        <w:trPr>
          <w:trHeight w:val="411"/>
          <w:jc w:val="center"/>
        </w:trPr>
        <w:tc>
          <w:tcPr>
            <w:tcW w:w="6046" w:type="dxa"/>
            <w:vMerge/>
            <w:tcBorders>
              <w:top w:val="single" w:sz="4" w:space="0" w:color="auto"/>
              <w:left w:val="single" w:sz="4" w:space="0" w:color="auto"/>
              <w:bottom w:val="single" w:sz="4" w:space="0" w:color="auto"/>
              <w:right w:val="single" w:sz="4" w:space="0" w:color="auto"/>
            </w:tcBorders>
            <w:vAlign w:val="center"/>
            <w:hideMark/>
          </w:tcPr>
          <w:p w:rsidR="003D1E4F" w:rsidRPr="00D136FB" w:rsidRDefault="003D1E4F">
            <w:pPr>
              <w:spacing w:before="0" w:after="0"/>
              <w:jc w:val="left"/>
              <w:rPr>
                <w:b/>
                <w:noProof/>
                <w:lang w:eastAsia="bg-BG" w:bidi="bg-BG"/>
              </w:rPr>
            </w:pP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3D1E4F" w:rsidRPr="00D136FB" w:rsidRDefault="003D1E4F">
            <w:pPr>
              <w:spacing w:before="20" w:after="20" w:line="276" w:lineRule="auto"/>
              <w:jc w:val="left"/>
              <w:rPr>
                <w:noProof/>
                <w:sz w:val="18"/>
                <w:lang w:eastAsia="bg-BG" w:bidi="bg-BG"/>
              </w:rPr>
            </w:pPr>
            <w:r w:rsidRPr="00D136FB">
              <w:rPr>
                <w:noProof/>
                <w:sz w:val="18"/>
              </w:rPr>
              <w:t>Плащания</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3D1E4F" w:rsidRPr="00D136FB" w:rsidRDefault="003D1E4F">
            <w:pPr>
              <w:spacing w:before="20" w:after="20" w:line="276" w:lineRule="auto"/>
              <w:jc w:val="center"/>
              <w:rPr>
                <w:noProof/>
                <w:sz w:val="14"/>
                <w:lang w:eastAsia="bg-BG" w:bidi="bg-BG"/>
              </w:rPr>
            </w:pPr>
            <w:r w:rsidRPr="00D136FB">
              <w:rPr>
                <w:noProof/>
                <w:sz w:val="14"/>
              </w:rPr>
              <w:t>(2)</w:t>
            </w:r>
          </w:p>
        </w:tc>
        <w:tc>
          <w:tcPr>
            <w:tcW w:w="992" w:type="dxa"/>
            <w:tcBorders>
              <w:top w:val="single" w:sz="4" w:space="0" w:color="auto"/>
              <w:left w:val="single" w:sz="4" w:space="0" w:color="auto"/>
              <w:bottom w:val="single" w:sz="4" w:space="0" w:color="auto"/>
              <w:right w:val="single" w:sz="4" w:space="0" w:color="auto"/>
            </w:tcBorders>
            <w:vAlign w:val="center"/>
          </w:tcPr>
          <w:p w:rsidR="003D1E4F" w:rsidRPr="00D136FB" w:rsidRDefault="003D1E4F">
            <w:pPr>
              <w:spacing w:before="20" w:after="20" w:line="276" w:lineRule="auto"/>
              <w:jc w:val="right"/>
              <w:rPr>
                <w:noProof/>
                <w:sz w:val="20"/>
                <w:lang w:eastAsia="bg-BG" w:bidi="bg-BG"/>
              </w:rPr>
            </w:pPr>
          </w:p>
        </w:tc>
        <w:tc>
          <w:tcPr>
            <w:tcW w:w="895" w:type="dxa"/>
            <w:tcBorders>
              <w:top w:val="single" w:sz="4" w:space="0" w:color="auto"/>
              <w:left w:val="single" w:sz="4" w:space="0" w:color="auto"/>
              <w:bottom w:val="single" w:sz="4" w:space="0" w:color="auto"/>
              <w:right w:val="single" w:sz="4" w:space="0" w:color="auto"/>
            </w:tcBorders>
            <w:vAlign w:val="center"/>
          </w:tcPr>
          <w:p w:rsidR="003D1E4F" w:rsidRPr="00D136FB" w:rsidRDefault="003D1E4F">
            <w:pPr>
              <w:spacing w:before="20" w:after="20" w:line="276" w:lineRule="auto"/>
              <w:jc w:val="right"/>
              <w:rPr>
                <w:noProof/>
                <w:sz w:val="20"/>
                <w:lang w:eastAsia="bg-BG" w:bidi="bg-BG"/>
              </w:rPr>
            </w:pPr>
          </w:p>
        </w:tc>
        <w:tc>
          <w:tcPr>
            <w:tcW w:w="868" w:type="dxa"/>
            <w:tcBorders>
              <w:top w:val="single" w:sz="4" w:space="0" w:color="auto"/>
              <w:left w:val="single" w:sz="4" w:space="0" w:color="auto"/>
              <w:bottom w:val="single" w:sz="4" w:space="0" w:color="auto"/>
              <w:right w:val="single" w:sz="4" w:space="0" w:color="auto"/>
            </w:tcBorders>
            <w:vAlign w:val="center"/>
          </w:tcPr>
          <w:p w:rsidR="003D1E4F" w:rsidRPr="00D136FB" w:rsidRDefault="003D1E4F">
            <w:pPr>
              <w:spacing w:before="20" w:after="20" w:line="276" w:lineRule="auto"/>
              <w:jc w:val="right"/>
              <w:rPr>
                <w:noProof/>
                <w:sz w:val="20"/>
                <w:lang w:eastAsia="bg-BG" w:bidi="bg-BG"/>
              </w:rPr>
            </w:pPr>
          </w:p>
        </w:tc>
        <w:tc>
          <w:tcPr>
            <w:tcW w:w="868" w:type="dxa"/>
            <w:tcBorders>
              <w:top w:val="single" w:sz="4" w:space="0" w:color="auto"/>
              <w:left w:val="single" w:sz="4" w:space="0" w:color="auto"/>
              <w:bottom w:val="single" w:sz="4" w:space="0" w:color="auto"/>
              <w:right w:val="single" w:sz="4" w:space="0" w:color="auto"/>
            </w:tcBorders>
            <w:vAlign w:val="center"/>
          </w:tcPr>
          <w:p w:rsidR="003D1E4F" w:rsidRPr="00D136FB" w:rsidRDefault="003D1E4F">
            <w:pPr>
              <w:spacing w:before="20" w:after="20" w:line="276" w:lineRule="auto"/>
              <w:jc w:val="right"/>
              <w:rPr>
                <w:noProof/>
                <w:sz w:val="20"/>
                <w:lang w:eastAsia="bg-BG" w:bidi="bg-BG"/>
              </w:rPr>
            </w:pPr>
          </w:p>
        </w:tc>
        <w:tc>
          <w:tcPr>
            <w:tcW w:w="868" w:type="dxa"/>
            <w:tcBorders>
              <w:top w:val="single" w:sz="4" w:space="0" w:color="auto"/>
              <w:left w:val="single" w:sz="4" w:space="0" w:color="auto"/>
              <w:bottom w:val="single" w:sz="4" w:space="0" w:color="auto"/>
              <w:right w:val="single" w:sz="4" w:space="0" w:color="auto"/>
            </w:tcBorders>
            <w:vAlign w:val="center"/>
          </w:tcPr>
          <w:p w:rsidR="003D1E4F" w:rsidRPr="00D136FB" w:rsidRDefault="003D1E4F">
            <w:pPr>
              <w:spacing w:before="20" w:after="20" w:line="276" w:lineRule="auto"/>
              <w:jc w:val="right"/>
              <w:rPr>
                <w:noProof/>
                <w:sz w:val="20"/>
                <w:lang w:eastAsia="bg-BG" w:bidi="bg-BG"/>
              </w:rPr>
            </w:pPr>
          </w:p>
        </w:tc>
        <w:tc>
          <w:tcPr>
            <w:tcW w:w="868" w:type="dxa"/>
            <w:tcBorders>
              <w:top w:val="single" w:sz="4" w:space="0" w:color="auto"/>
              <w:left w:val="single" w:sz="4" w:space="0" w:color="auto"/>
              <w:bottom w:val="single" w:sz="4" w:space="0" w:color="auto"/>
              <w:right w:val="single" w:sz="4" w:space="0" w:color="auto"/>
            </w:tcBorders>
            <w:vAlign w:val="center"/>
          </w:tcPr>
          <w:p w:rsidR="003D1E4F" w:rsidRPr="00D136FB" w:rsidRDefault="003D1E4F">
            <w:pPr>
              <w:spacing w:before="20" w:after="20" w:line="276" w:lineRule="auto"/>
              <w:jc w:val="right"/>
              <w:rPr>
                <w:noProof/>
                <w:sz w:val="20"/>
                <w:lang w:eastAsia="bg-BG" w:bidi="bg-BG"/>
              </w:rPr>
            </w:pPr>
          </w:p>
        </w:tc>
        <w:tc>
          <w:tcPr>
            <w:tcW w:w="868" w:type="dxa"/>
            <w:tcBorders>
              <w:top w:val="single" w:sz="4" w:space="0" w:color="auto"/>
              <w:left w:val="single" w:sz="4" w:space="0" w:color="auto"/>
              <w:bottom w:val="single" w:sz="4" w:space="0" w:color="auto"/>
              <w:right w:val="single" w:sz="4" w:space="0" w:color="auto"/>
            </w:tcBorders>
            <w:vAlign w:val="center"/>
          </w:tcPr>
          <w:p w:rsidR="003D1E4F" w:rsidRPr="00D136FB" w:rsidRDefault="003D1E4F">
            <w:pPr>
              <w:spacing w:before="20" w:after="20" w:line="276" w:lineRule="auto"/>
              <w:jc w:val="right"/>
              <w:rPr>
                <w:b/>
                <w:noProof/>
                <w:sz w:val="20"/>
                <w:lang w:eastAsia="bg-BG" w:bidi="bg-BG"/>
              </w:rPr>
            </w:pPr>
          </w:p>
        </w:tc>
        <w:tc>
          <w:tcPr>
            <w:tcW w:w="1002" w:type="dxa"/>
            <w:tcBorders>
              <w:top w:val="single" w:sz="4" w:space="0" w:color="auto"/>
              <w:left w:val="single" w:sz="4" w:space="0" w:color="auto"/>
              <w:bottom w:val="single" w:sz="4" w:space="0" w:color="auto"/>
              <w:right w:val="single" w:sz="4" w:space="0" w:color="auto"/>
            </w:tcBorders>
          </w:tcPr>
          <w:p w:rsidR="003D1E4F" w:rsidRPr="00D136FB" w:rsidRDefault="003D1E4F">
            <w:pPr>
              <w:spacing w:before="20" w:after="20" w:line="276" w:lineRule="auto"/>
              <w:jc w:val="right"/>
              <w:rPr>
                <w:b/>
                <w:noProof/>
                <w:sz w:val="20"/>
                <w:lang w:eastAsia="bg-BG" w:bidi="bg-BG"/>
              </w:rPr>
            </w:pPr>
          </w:p>
        </w:tc>
        <w:tc>
          <w:tcPr>
            <w:tcW w:w="1196" w:type="dxa"/>
            <w:gridSpan w:val="2"/>
            <w:tcBorders>
              <w:top w:val="single" w:sz="4" w:space="0" w:color="auto"/>
              <w:left w:val="single" w:sz="4" w:space="0" w:color="auto"/>
              <w:bottom w:val="single" w:sz="4" w:space="0" w:color="auto"/>
              <w:right w:val="single" w:sz="4" w:space="0" w:color="auto"/>
            </w:tcBorders>
            <w:vAlign w:val="center"/>
          </w:tcPr>
          <w:p w:rsidR="003D1E4F" w:rsidRPr="00D136FB" w:rsidRDefault="003D1E4F">
            <w:pPr>
              <w:spacing w:before="20" w:after="20" w:line="276" w:lineRule="auto"/>
              <w:jc w:val="right"/>
              <w:rPr>
                <w:b/>
                <w:noProof/>
                <w:sz w:val="20"/>
                <w:lang w:eastAsia="bg-BG" w:bidi="bg-BG"/>
              </w:rPr>
            </w:pPr>
          </w:p>
        </w:tc>
      </w:tr>
      <w:tr w:rsidR="003D1E4F" w:rsidRPr="00D136FB" w:rsidTr="003D1E4F">
        <w:trPr>
          <w:trHeight w:val="319"/>
          <w:jc w:val="center"/>
        </w:trPr>
        <w:tc>
          <w:tcPr>
            <w:tcW w:w="3920" w:type="dxa"/>
            <w:vMerge w:val="restart"/>
            <w:tcBorders>
              <w:top w:val="single" w:sz="4" w:space="0" w:color="auto"/>
              <w:left w:val="single" w:sz="4" w:space="0" w:color="auto"/>
              <w:bottom w:val="single" w:sz="4" w:space="0" w:color="auto"/>
              <w:right w:val="single" w:sz="4" w:space="0" w:color="auto"/>
            </w:tcBorders>
            <w:vAlign w:val="center"/>
            <w:hideMark/>
          </w:tcPr>
          <w:p w:rsidR="003D1E4F" w:rsidRPr="00D136FB" w:rsidRDefault="003D1E4F">
            <w:pPr>
              <w:spacing w:before="20" w:after="20" w:line="276" w:lineRule="auto"/>
              <w:jc w:val="left"/>
              <w:rPr>
                <w:noProof/>
                <w:sz w:val="20"/>
                <w:lang w:eastAsia="bg-BG" w:bidi="bg-BG"/>
              </w:rPr>
            </w:pPr>
            <w:r w:rsidRPr="00D136FB">
              <w:rPr>
                <w:noProof/>
                <w:sz w:val="20"/>
              </w:rPr>
              <w:t>07 05 01 – „КУЛТУРА“</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3D1E4F" w:rsidRPr="00D136FB" w:rsidRDefault="003D1E4F">
            <w:pPr>
              <w:spacing w:before="40" w:after="40" w:line="276" w:lineRule="auto"/>
              <w:jc w:val="left"/>
              <w:rPr>
                <w:noProof/>
                <w:sz w:val="18"/>
                <w:lang w:eastAsia="bg-BG" w:bidi="bg-BG"/>
              </w:rPr>
            </w:pPr>
            <w:r w:rsidRPr="00D136FB">
              <w:rPr>
                <w:noProof/>
                <w:sz w:val="18"/>
              </w:rPr>
              <w:t>Поети задължения</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3D1E4F" w:rsidRPr="00D136FB" w:rsidRDefault="003D1E4F">
            <w:pPr>
              <w:spacing w:before="40" w:after="40" w:line="276" w:lineRule="auto"/>
              <w:jc w:val="center"/>
              <w:rPr>
                <w:noProof/>
                <w:sz w:val="14"/>
                <w:lang w:eastAsia="bg-BG" w:bidi="bg-BG"/>
              </w:rPr>
            </w:pPr>
            <w:r w:rsidRPr="00D136FB">
              <w:rPr>
                <w:noProof/>
                <w:sz w:val="14"/>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3D1E4F" w:rsidRPr="00D136FB" w:rsidRDefault="003D1E4F">
            <w:pPr>
              <w:spacing w:before="20" w:after="20" w:line="276" w:lineRule="auto"/>
              <w:jc w:val="right"/>
              <w:rPr>
                <w:noProof/>
                <w:sz w:val="20"/>
                <w:szCs w:val="20"/>
                <w:lang w:eastAsia="bg-BG" w:bidi="bg-BG"/>
              </w:rPr>
            </w:pPr>
            <w:r w:rsidRPr="00D136FB">
              <w:rPr>
                <w:noProof/>
                <w:sz w:val="20"/>
              </w:rPr>
              <w:t>75,862</w:t>
            </w:r>
          </w:p>
        </w:tc>
        <w:tc>
          <w:tcPr>
            <w:tcW w:w="895" w:type="dxa"/>
            <w:tcBorders>
              <w:top w:val="single" w:sz="4" w:space="0" w:color="auto"/>
              <w:left w:val="single" w:sz="4" w:space="0" w:color="auto"/>
              <w:bottom w:val="single" w:sz="4" w:space="0" w:color="auto"/>
              <w:right w:val="single" w:sz="4" w:space="0" w:color="auto"/>
            </w:tcBorders>
            <w:vAlign w:val="center"/>
            <w:hideMark/>
          </w:tcPr>
          <w:p w:rsidR="003D1E4F" w:rsidRPr="00D136FB" w:rsidRDefault="003D1E4F">
            <w:pPr>
              <w:spacing w:before="20" w:after="20" w:line="276" w:lineRule="auto"/>
              <w:jc w:val="right"/>
              <w:rPr>
                <w:noProof/>
                <w:sz w:val="20"/>
                <w:szCs w:val="20"/>
                <w:lang w:eastAsia="bg-BG" w:bidi="bg-BG"/>
              </w:rPr>
            </w:pPr>
            <w:r w:rsidRPr="00D136FB">
              <w:rPr>
                <w:noProof/>
                <w:sz w:val="20"/>
              </w:rPr>
              <w:t>77,382</w:t>
            </w:r>
          </w:p>
        </w:tc>
        <w:tc>
          <w:tcPr>
            <w:tcW w:w="868" w:type="dxa"/>
            <w:tcBorders>
              <w:top w:val="single" w:sz="4" w:space="0" w:color="auto"/>
              <w:left w:val="single" w:sz="4" w:space="0" w:color="auto"/>
              <w:bottom w:val="single" w:sz="4" w:space="0" w:color="auto"/>
              <w:right w:val="single" w:sz="4" w:space="0" w:color="auto"/>
            </w:tcBorders>
            <w:vAlign w:val="center"/>
            <w:hideMark/>
          </w:tcPr>
          <w:p w:rsidR="003D1E4F" w:rsidRPr="00D136FB" w:rsidRDefault="003D1E4F">
            <w:pPr>
              <w:spacing w:before="20" w:after="20" w:line="276" w:lineRule="auto"/>
              <w:jc w:val="right"/>
              <w:rPr>
                <w:noProof/>
                <w:sz w:val="20"/>
                <w:szCs w:val="20"/>
                <w:lang w:eastAsia="bg-BG" w:bidi="bg-BG"/>
              </w:rPr>
            </w:pPr>
            <w:r w:rsidRPr="00D136FB">
              <w:rPr>
                <w:noProof/>
                <w:sz w:val="20"/>
              </w:rPr>
              <w:t>78,929</w:t>
            </w:r>
          </w:p>
        </w:tc>
        <w:tc>
          <w:tcPr>
            <w:tcW w:w="868" w:type="dxa"/>
            <w:tcBorders>
              <w:top w:val="single" w:sz="4" w:space="0" w:color="auto"/>
              <w:left w:val="single" w:sz="4" w:space="0" w:color="auto"/>
              <w:bottom w:val="single" w:sz="4" w:space="0" w:color="auto"/>
              <w:right w:val="single" w:sz="4" w:space="0" w:color="auto"/>
            </w:tcBorders>
            <w:vAlign w:val="center"/>
            <w:hideMark/>
          </w:tcPr>
          <w:p w:rsidR="003D1E4F" w:rsidRPr="00D136FB" w:rsidRDefault="003D1E4F">
            <w:pPr>
              <w:spacing w:before="20" w:after="20" w:line="276" w:lineRule="auto"/>
              <w:jc w:val="right"/>
              <w:rPr>
                <w:noProof/>
                <w:sz w:val="20"/>
                <w:szCs w:val="20"/>
                <w:lang w:eastAsia="bg-BG" w:bidi="bg-BG"/>
              </w:rPr>
            </w:pPr>
            <w:r w:rsidRPr="00D136FB">
              <w:rPr>
                <w:noProof/>
                <w:sz w:val="20"/>
              </w:rPr>
              <w:t>80,505</w:t>
            </w:r>
          </w:p>
        </w:tc>
        <w:tc>
          <w:tcPr>
            <w:tcW w:w="868" w:type="dxa"/>
            <w:tcBorders>
              <w:top w:val="single" w:sz="4" w:space="0" w:color="auto"/>
              <w:left w:val="single" w:sz="4" w:space="0" w:color="auto"/>
              <w:bottom w:val="single" w:sz="4" w:space="0" w:color="auto"/>
              <w:right w:val="single" w:sz="4" w:space="0" w:color="auto"/>
            </w:tcBorders>
            <w:vAlign w:val="center"/>
            <w:hideMark/>
          </w:tcPr>
          <w:p w:rsidR="003D1E4F" w:rsidRPr="00D136FB" w:rsidRDefault="003D1E4F">
            <w:pPr>
              <w:spacing w:before="20" w:after="20" w:line="276" w:lineRule="auto"/>
              <w:jc w:val="right"/>
              <w:rPr>
                <w:noProof/>
                <w:sz w:val="20"/>
                <w:szCs w:val="20"/>
                <w:lang w:eastAsia="bg-BG" w:bidi="bg-BG"/>
              </w:rPr>
            </w:pPr>
            <w:r w:rsidRPr="00D136FB">
              <w:rPr>
                <w:noProof/>
                <w:sz w:val="20"/>
              </w:rPr>
              <w:t>82,120</w:t>
            </w:r>
          </w:p>
        </w:tc>
        <w:tc>
          <w:tcPr>
            <w:tcW w:w="868" w:type="dxa"/>
            <w:tcBorders>
              <w:top w:val="single" w:sz="4" w:space="0" w:color="auto"/>
              <w:left w:val="single" w:sz="4" w:space="0" w:color="auto"/>
              <w:bottom w:val="single" w:sz="4" w:space="0" w:color="auto"/>
              <w:right w:val="single" w:sz="4" w:space="0" w:color="auto"/>
            </w:tcBorders>
            <w:vAlign w:val="center"/>
            <w:hideMark/>
          </w:tcPr>
          <w:p w:rsidR="003D1E4F" w:rsidRPr="00D136FB" w:rsidRDefault="003D1E4F">
            <w:pPr>
              <w:spacing w:before="20" w:after="20" w:line="276" w:lineRule="auto"/>
              <w:jc w:val="right"/>
              <w:rPr>
                <w:noProof/>
                <w:sz w:val="20"/>
                <w:szCs w:val="20"/>
                <w:lang w:eastAsia="bg-BG" w:bidi="bg-BG"/>
              </w:rPr>
            </w:pPr>
            <w:r w:rsidRPr="00D136FB">
              <w:rPr>
                <w:noProof/>
                <w:sz w:val="20"/>
              </w:rPr>
              <w:t>83,756</w:t>
            </w:r>
          </w:p>
        </w:tc>
        <w:tc>
          <w:tcPr>
            <w:tcW w:w="868" w:type="dxa"/>
            <w:tcBorders>
              <w:top w:val="single" w:sz="4" w:space="0" w:color="auto"/>
              <w:left w:val="single" w:sz="4" w:space="0" w:color="auto"/>
              <w:bottom w:val="single" w:sz="4" w:space="0" w:color="auto"/>
              <w:right w:val="single" w:sz="4" w:space="0" w:color="auto"/>
            </w:tcBorders>
            <w:vAlign w:val="center"/>
            <w:hideMark/>
          </w:tcPr>
          <w:p w:rsidR="003D1E4F" w:rsidRPr="00D136FB" w:rsidRDefault="003D1E4F">
            <w:pPr>
              <w:spacing w:before="20" w:after="20" w:line="276" w:lineRule="auto"/>
              <w:jc w:val="right"/>
              <w:rPr>
                <w:noProof/>
                <w:sz w:val="20"/>
                <w:szCs w:val="20"/>
                <w:lang w:eastAsia="bg-BG" w:bidi="bg-BG"/>
              </w:rPr>
            </w:pPr>
            <w:r w:rsidRPr="00D136FB">
              <w:rPr>
                <w:noProof/>
                <w:sz w:val="20"/>
              </w:rPr>
              <w:t>84,947</w:t>
            </w:r>
          </w:p>
        </w:tc>
        <w:tc>
          <w:tcPr>
            <w:tcW w:w="100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3D1E4F" w:rsidRPr="00D136FB" w:rsidRDefault="003D1E4F">
            <w:pPr>
              <w:spacing w:before="40" w:after="40" w:line="276" w:lineRule="auto"/>
              <w:jc w:val="right"/>
              <w:rPr>
                <w:b/>
                <w:noProof/>
                <w:sz w:val="20"/>
                <w:szCs w:val="20"/>
                <w:lang w:eastAsia="bg-BG" w:bidi="bg-BG"/>
              </w:rPr>
            </w:pPr>
          </w:p>
        </w:tc>
        <w:tc>
          <w:tcPr>
            <w:tcW w:w="1196" w:type="dxa"/>
            <w:gridSpan w:val="2"/>
            <w:tcBorders>
              <w:top w:val="single" w:sz="4" w:space="0" w:color="auto"/>
              <w:left w:val="single" w:sz="4" w:space="0" w:color="auto"/>
              <w:bottom w:val="single" w:sz="4" w:space="0" w:color="auto"/>
              <w:right w:val="single" w:sz="4" w:space="0" w:color="auto"/>
            </w:tcBorders>
            <w:vAlign w:val="center"/>
            <w:hideMark/>
          </w:tcPr>
          <w:p w:rsidR="003D1E4F" w:rsidRPr="00D136FB" w:rsidRDefault="003D1E4F">
            <w:pPr>
              <w:spacing w:before="40" w:after="40" w:line="276" w:lineRule="auto"/>
              <w:jc w:val="right"/>
              <w:rPr>
                <w:noProof/>
                <w:sz w:val="20"/>
                <w:szCs w:val="20"/>
                <w:lang w:eastAsia="bg-BG" w:bidi="bg-BG"/>
              </w:rPr>
            </w:pPr>
            <w:r w:rsidRPr="00D136FB">
              <w:rPr>
                <w:b/>
                <w:noProof/>
                <w:sz w:val="20"/>
              </w:rPr>
              <w:t>563,500</w:t>
            </w:r>
          </w:p>
        </w:tc>
      </w:tr>
      <w:tr w:rsidR="003D1E4F" w:rsidRPr="00D136FB" w:rsidTr="003D1E4F">
        <w:trPr>
          <w:trHeight w:val="319"/>
          <w:jc w:val="center"/>
        </w:trPr>
        <w:tc>
          <w:tcPr>
            <w:tcW w:w="6046" w:type="dxa"/>
            <w:vMerge/>
            <w:tcBorders>
              <w:top w:val="single" w:sz="4" w:space="0" w:color="auto"/>
              <w:left w:val="single" w:sz="4" w:space="0" w:color="auto"/>
              <w:bottom w:val="single" w:sz="4" w:space="0" w:color="auto"/>
              <w:right w:val="single" w:sz="4" w:space="0" w:color="auto"/>
            </w:tcBorders>
            <w:vAlign w:val="center"/>
            <w:hideMark/>
          </w:tcPr>
          <w:p w:rsidR="003D1E4F" w:rsidRPr="00D136FB" w:rsidRDefault="003D1E4F">
            <w:pPr>
              <w:spacing w:before="0" w:after="0"/>
              <w:jc w:val="left"/>
              <w:rPr>
                <w:noProof/>
                <w:sz w:val="20"/>
                <w:lang w:eastAsia="bg-BG" w:bidi="bg-BG"/>
              </w:rPr>
            </w:pP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3D1E4F" w:rsidRPr="00D136FB" w:rsidRDefault="003D1E4F">
            <w:pPr>
              <w:spacing w:before="40" w:after="40" w:line="276" w:lineRule="auto"/>
              <w:jc w:val="left"/>
              <w:rPr>
                <w:noProof/>
                <w:sz w:val="18"/>
                <w:lang w:eastAsia="bg-BG" w:bidi="bg-BG"/>
              </w:rPr>
            </w:pPr>
            <w:r w:rsidRPr="00D136FB">
              <w:rPr>
                <w:noProof/>
                <w:sz w:val="18"/>
              </w:rPr>
              <w:t>Плащания</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3D1E4F" w:rsidRPr="00D136FB" w:rsidRDefault="003D1E4F">
            <w:pPr>
              <w:spacing w:before="40" w:after="40" w:line="276" w:lineRule="auto"/>
              <w:jc w:val="center"/>
              <w:rPr>
                <w:noProof/>
                <w:sz w:val="14"/>
                <w:lang w:eastAsia="bg-BG" w:bidi="bg-BG"/>
              </w:rPr>
            </w:pPr>
            <w:r w:rsidRPr="00D136FB">
              <w:rPr>
                <w:noProof/>
                <w:sz w:val="14"/>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3D1E4F" w:rsidRPr="00D136FB" w:rsidRDefault="003D1E4F">
            <w:pPr>
              <w:spacing w:before="20" w:after="20" w:line="276" w:lineRule="auto"/>
              <w:jc w:val="right"/>
              <w:rPr>
                <w:noProof/>
                <w:sz w:val="20"/>
                <w:szCs w:val="20"/>
                <w:lang w:eastAsia="bg-BG" w:bidi="bg-BG"/>
              </w:rPr>
            </w:pPr>
            <w:r w:rsidRPr="00D136FB">
              <w:rPr>
                <w:noProof/>
                <w:sz w:val="20"/>
              </w:rPr>
              <w:t>40,558</w:t>
            </w:r>
          </w:p>
        </w:tc>
        <w:tc>
          <w:tcPr>
            <w:tcW w:w="895" w:type="dxa"/>
            <w:tcBorders>
              <w:top w:val="single" w:sz="4" w:space="0" w:color="auto"/>
              <w:left w:val="single" w:sz="4" w:space="0" w:color="auto"/>
              <w:bottom w:val="single" w:sz="4" w:space="0" w:color="auto"/>
              <w:right w:val="single" w:sz="4" w:space="0" w:color="auto"/>
            </w:tcBorders>
            <w:vAlign w:val="center"/>
            <w:hideMark/>
          </w:tcPr>
          <w:p w:rsidR="003D1E4F" w:rsidRPr="00D136FB" w:rsidRDefault="003D1E4F">
            <w:pPr>
              <w:spacing w:before="20" w:after="20" w:line="276" w:lineRule="auto"/>
              <w:jc w:val="right"/>
              <w:rPr>
                <w:noProof/>
                <w:sz w:val="20"/>
                <w:szCs w:val="20"/>
                <w:lang w:eastAsia="bg-BG" w:bidi="bg-BG"/>
              </w:rPr>
            </w:pPr>
            <w:r w:rsidRPr="00D136FB">
              <w:rPr>
                <w:noProof/>
                <w:sz w:val="20"/>
              </w:rPr>
              <w:t>54,101</w:t>
            </w:r>
          </w:p>
        </w:tc>
        <w:tc>
          <w:tcPr>
            <w:tcW w:w="868" w:type="dxa"/>
            <w:tcBorders>
              <w:top w:val="single" w:sz="4" w:space="0" w:color="auto"/>
              <w:left w:val="single" w:sz="4" w:space="0" w:color="auto"/>
              <w:bottom w:val="single" w:sz="4" w:space="0" w:color="auto"/>
              <w:right w:val="single" w:sz="4" w:space="0" w:color="auto"/>
            </w:tcBorders>
            <w:vAlign w:val="center"/>
            <w:hideMark/>
          </w:tcPr>
          <w:p w:rsidR="003D1E4F" w:rsidRPr="00D136FB" w:rsidRDefault="003D1E4F">
            <w:pPr>
              <w:spacing w:before="20" w:after="20" w:line="276" w:lineRule="auto"/>
              <w:jc w:val="right"/>
              <w:rPr>
                <w:noProof/>
                <w:sz w:val="20"/>
                <w:szCs w:val="20"/>
                <w:lang w:eastAsia="bg-BG" w:bidi="bg-BG"/>
              </w:rPr>
            </w:pPr>
            <w:r w:rsidRPr="00D136FB">
              <w:rPr>
                <w:noProof/>
                <w:sz w:val="20"/>
              </w:rPr>
              <w:t>68,138</w:t>
            </w:r>
          </w:p>
        </w:tc>
        <w:tc>
          <w:tcPr>
            <w:tcW w:w="868" w:type="dxa"/>
            <w:tcBorders>
              <w:top w:val="single" w:sz="4" w:space="0" w:color="auto"/>
              <w:left w:val="single" w:sz="4" w:space="0" w:color="auto"/>
              <w:bottom w:val="single" w:sz="4" w:space="0" w:color="auto"/>
              <w:right w:val="single" w:sz="4" w:space="0" w:color="auto"/>
            </w:tcBorders>
            <w:vAlign w:val="center"/>
            <w:hideMark/>
          </w:tcPr>
          <w:p w:rsidR="003D1E4F" w:rsidRPr="00D136FB" w:rsidRDefault="003D1E4F">
            <w:pPr>
              <w:spacing w:before="20" w:after="20" w:line="276" w:lineRule="auto"/>
              <w:jc w:val="right"/>
              <w:rPr>
                <w:noProof/>
                <w:sz w:val="20"/>
                <w:szCs w:val="20"/>
                <w:lang w:eastAsia="bg-BG" w:bidi="bg-BG"/>
              </w:rPr>
            </w:pPr>
            <w:r w:rsidRPr="00D136FB">
              <w:rPr>
                <w:noProof/>
                <w:sz w:val="20"/>
              </w:rPr>
              <w:t>72,858</w:t>
            </w:r>
          </w:p>
        </w:tc>
        <w:tc>
          <w:tcPr>
            <w:tcW w:w="868" w:type="dxa"/>
            <w:tcBorders>
              <w:top w:val="single" w:sz="4" w:space="0" w:color="auto"/>
              <w:left w:val="single" w:sz="4" w:space="0" w:color="auto"/>
              <w:bottom w:val="single" w:sz="4" w:space="0" w:color="auto"/>
              <w:right w:val="single" w:sz="4" w:space="0" w:color="auto"/>
            </w:tcBorders>
            <w:vAlign w:val="center"/>
            <w:hideMark/>
          </w:tcPr>
          <w:p w:rsidR="003D1E4F" w:rsidRPr="00D136FB" w:rsidRDefault="003D1E4F">
            <w:pPr>
              <w:spacing w:before="20" w:after="20" w:line="276" w:lineRule="auto"/>
              <w:jc w:val="right"/>
              <w:rPr>
                <w:noProof/>
                <w:sz w:val="20"/>
                <w:szCs w:val="20"/>
                <w:lang w:eastAsia="bg-BG" w:bidi="bg-BG"/>
              </w:rPr>
            </w:pPr>
            <w:r w:rsidRPr="00D136FB">
              <w:rPr>
                <w:noProof/>
                <w:sz w:val="20"/>
              </w:rPr>
              <w:t>75,386</w:t>
            </w:r>
          </w:p>
        </w:tc>
        <w:tc>
          <w:tcPr>
            <w:tcW w:w="868" w:type="dxa"/>
            <w:tcBorders>
              <w:top w:val="single" w:sz="4" w:space="0" w:color="auto"/>
              <w:left w:val="single" w:sz="4" w:space="0" w:color="auto"/>
              <w:bottom w:val="single" w:sz="4" w:space="0" w:color="auto"/>
              <w:right w:val="single" w:sz="4" w:space="0" w:color="auto"/>
            </w:tcBorders>
            <w:vAlign w:val="center"/>
            <w:hideMark/>
          </w:tcPr>
          <w:p w:rsidR="003D1E4F" w:rsidRPr="00D136FB" w:rsidRDefault="003D1E4F">
            <w:pPr>
              <w:spacing w:before="20" w:after="20" w:line="276" w:lineRule="auto"/>
              <w:jc w:val="right"/>
              <w:rPr>
                <w:noProof/>
                <w:sz w:val="20"/>
                <w:szCs w:val="20"/>
                <w:lang w:eastAsia="bg-BG" w:bidi="bg-BG"/>
              </w:rPr>
            </w:pPr>
            <w:r w:rsidRPr="00D136FB">
              <w:rPr>
                <w:noProof/>
                <w:sz w:val="20"/>
              </w:rPr>
              <w:t>77,563</w:t>
            </w:r>
          </w:p>
        </w:tc>
        <w:tc>
          <w:tcPr>
            <w:tcW w:w="868" w:type="dxa"/>
            <w:tcBorders>
              <w:top w:val="single" w:sz="4" w:space="0" w:color="auto"/>
              <w:left w:val="single" w:sz="4" w:space="0" w:color="auto"/>
              <w:bottom w:val="single" w:sz="4" w:space="0" w:color="auto"/>
              <w:right w:val="single" w:sz="4" w:space="0" w:color="auto"/>
            </w:tcBorders>
            <w:vAlign w:val="center"/>
            <w:hideMark/>
          </w:tcPr>
          <w:p w:rsidR="003D1E4F" w:rsidRPr="00D136FB" w:rsidRDefault="003D1E4F">
            <w:pPr>
              <w:spacing w:before="20" w:after="20" w:line="276" w:lineRule="auto"/>
              <w:jc w:val="right"/>
              <w:rPr>
                <w:noProof/>
                <w:sz w:val="20"/>
                <w:szCs w:val="20"/>
                <w:lang w:eastAsia="bg-BG" w:bidi="bg-BG"/>
              </w:rPr>
            </w:pPr>
            <w:r w:rsidRPr="00D136FB">
              <w:rPr>
                <w:noProof/>
                <w:sz w:val="20"/>
              </w:rPr>
              <w:t>79,217</w:t>
            </w:r>
          </w:p>
        </w:tc>
        <w:tc>
          <w:tcPr>
            <w:tcW w:w="10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E4F" w:rsidRPr="00D136FB" w:rsidRDefault="003D1E4F">
            <w:pPr>
              <w:spacing w:before="20" w:after="20" w:line="276" w:lineRule="auto"/>
              <w:jc w:val="right"/>
              <w:rPr>
                <w:i/>
                <w:sz w:val="20"/>
                <w:lang w:eastAsia="bg-BG" w:bidi="bg-BG"/>
              </w:rPr>
            </w:pPr>
            <w:r w:rsidRPr="00D136FB">
              <w:rPr>
                <w:i/>
                <w:noProof/>
                <w:sz w:val="20"/>
              </w:rPr>
              <w:t>95,678</w:t>
            </w:r>
          </w:p>
        </w:tc>
        <w:tc>
          <w:tcPr>
            <w:tcW w:w="1196" w:type="dxa"/>
            <w:gridSpan w:val="2"/>
            <w:tcBorders>
              <w:top w:val="single" w:sz="4" w:space="0" w:color="auto"/>
              <w:left w:val="single" w:sz="4" w:space="0" w:color="auto"/>
              <w:bottom w:val="single" w:sz="4" w:space="0" w:color="auto"/>
              <w:right w:val="single" w:sz="4" w:space="0" w:color="auto"/>
            </w:tcBorders>
            <w:vAlign w:val="center"/>
            <w:hideMark/>
          </w:tcPr>
          <w:p w:rsidR="003D1E4F" w:rsidRPr="00D136FB" w:rsidRDefault="003D1E4F">
            <w:pPr>
              <w:spacing w:before="40" w:after="40" w:line="276" w:lineRule="auto"/>
              <w:jc w:val="right"/>
              <w:rPr>
                <w:b/>
                <w:sz w:val="20"/>
                <w:lang w:eastAsia="bg-BG" w:bidi="bg-BG"/>
              </w:rPr>
            </w:pPr>
            <w:r w:rsidRPr="00D136FB">
              <w:rPr>
                <w:b/>
                <w:noProof/>
                <w:sz w:val="20"/>
              </w:rPr>
              <w:t>563,500</w:t>
            </w:r>
          </w:p>
        </w:tc>
      </w:tr>
      <w:tr w:rsidR="003D1E4F" w:rsidRPr="00D136FB" w:rsidTr="003D1E4F">
        <w:trPr>
          <w:trHeight w:val="319"/>
          <w:jc w:val="center"/>
        </w:trPr>
        <w:tc>
          <w:tcPr>
            <w:tcW w:w="3920" w:type="dxa"/>
            <w:vMerge w:val="restart"/>
            <w:tcBorders>
              <w:top w:val="single" w:sz="4" w:space="0" w:color="auto"/>
              <w:left w:val="single" w:sz="4" w:space="0" w:color="auto"/>
              <w:bottom w:val="single" w:sz="4" w:space="0" w:color="auto"/>
              <w:right w:val="single" w:sz="4" w:space="0" w:color="auto"/>
            </w:tcBorders>
            <w:vAlign w:val="center"/>
            <w:hideMark/>
          </w:tcPr>
          <w:p w:rsidR="003D1E4F" w:rsidRPr="00D136FB" w:rsidRDefault="003D1E4F">
            <w:pPr>
              <w:spacing w:before="20" w:after="20" w:line="276" w:lineRule="auto"/>
              <w:jc w:val="left"/>
              <w:rPr>
                <w:noProof/>
                <w:sz w:val="20"/>
                <w:lang w:eastAsia="bg-BG" w:bidi="bg-BG"/>
              </w:rPr>
            </w:pPr>
            <w:r w:rsidRPr="00D136FB">
              <w:rPr>
                <w:noProof/>
                <w:sz w:val="20"/>
              </w:rPr>
              <w:t>07 05 02 – „МЕДИА“</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3D1E4F" w:rsidRPr="00D136FB" w:rsidRDefault="003D1E4F">
            <w:pPr>
              <w:spacing w:before="40" w:after="40" w:line="276" w:lineRule="auto"/>
              <w:jc w:val="left"/>
              <w:rPr>
                <w:noProof/>
                <w:sz w:val="18"/>
                <w:lang w:eastAsia="bg-BG" w:bidi="bg-BG"/>
              </w:rPr>
            </w:pPr>
            <w:r w:rsidRPr="00D136FB">
              <w:rPr>
                <w:noProof/>
                <w:sz w:val="18"/>
              </w:rPr>
              <w:t>Поети задължения</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3D1E4F" w:rsidRPr="00D136FB" w:rsidRDefault="003D1E4F">
            <w:pPr>
              <w:spacing w:before="40" w:after="40" w:line="276" w:lineRule="auto"/>
              <w:jc w:val="center"/>
              <w:rPr>
                <w:noProof/>
                <w:sz w:val="14"/>
                <w:lang w:eastAsia="bg-BG" w:bidi="bg-BG"/>
              </w:rPr>
            </w:pPr>
            <w:r w:rsidRPr="00D136FB">
              <w:rPr>
                <w:noProof/>
                <w:sz w:val="14"/>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3D1E4F" w:rsidRPr="00D136FB" w:rsidRDefault="003D1E4F">
            <w:pPr>
              <w:spacing w:before="20" w:after="20" w:line="276" w:lineRule="auto"/>
              <w:jc w:val="right"/>
              <w:rPr>
                <w:noProof/>
                <w:sz w:val="20"/>
                <w:szCs w:val="20"/>
                <w:lang w:eastAsia="bg-BG" w:bidi="bg-BG"/>
              </w:rPr>
            </w:pPr>
            <w:r w:rsidRPr="00D136FB">
              <w:rPr>
                <w:noProof/>
                <w:sz w:val="20"/>
              </w:rPr>
              <w:t>134,221</w:t>
            </w:r>
          </w:p>
        </w:tc>
        <w:tc>
          <w:tcPr>
            <w:tcW w:w="895" w:type="dxa"/>
            <w:tcBorders>
              <w:top w:val="single" w:sz="4" w:space="0" w:color="auto"/>
              <w:left w:val="single" w:sz="4" w:space="0" w:color="auto"/>
              <w:bottom w:val="single" w:sz="4" w:space="0" w:color="auto"/>
              <w:right w:val="single" w:sz="4" w:space="0" w:color="auto"/>
            </w:tcBorders>
            <w:vAlign w:val="center"/>
            <w:hideMark/>
          </w:tcPr>
          <w:p w:rsidR="003D1E4F" w:rsidRPr="00D136FB" w:rsidRDefault="003D1E4F">
            <w:pPr>
              <w:spacing w:before="20" w:after="20" w:line="276" w:lineRule="auto"/>
              <w:jc w:val="right"/>
              <w:rPr>
                <w:noProof/>
                <w:sz w:val="20"/>
                <w:szCs w:val="20"/>
                <w:lang w:eastAsia="bg-BG" w:bidi="bg-BG"/>
              </w:rPr>
            </w:pPr>
            <w:r w:rsidRPr="00D136FB">
              <w:rPr>
                <w:noProof/>
                <w:sz w:val="20"/>
              </w:rPr>
              <w:t>136,912</w:t>
            </w:r>
          </w:p>
        </w:tc>
        <w:tc>
          <w:tcPr>
            <w:tcW w:w="868" w:type="dxa"/>
            <w:tcBorders>
              <w:top w:val="single" w:sz="4" w:space="0" w:color="auto"/>
              <w:left w:val="single" w:sz="4" w:space="0" w:color="auto"/>
              <w:bottom w:val="single" w:sz="4" w:space="0" w:color="auto"/>
              <w:right w:val="single" w:sz="4" w:space="0" w:color="auto"/>
            </w:tcBorders>
            <w:vAlign w:val="center"/>
            <w:hideMark/>
          </w:tcPr>
          <w:p w:rsidR="003D1E4F" w:rsidRPr="00D136FB" w:rsidRDefault="003D1E4F">
            <w:pPr>
              <w:spacing w:before="20" w:after="20" w:line="276" w:lineRule="auto"/>
              <w:jc w:val="right"/>
              <w:rPr>
                <w:noProof/>
                <w:sz w:val="20"/>
                <w:szCs w:val="20"/>
                <w:lang w:eastAsia="bg-BG" w:bidi="bg-BG"/>
              </w:rPr>
            </w:pPr>
            <w:r w:rsidRPr="00D136FB">
              <w:rPr>
                <w:noProof/>
                <w:sz w:val="20"/>
              </w:rPr>
              <w:t>139,640</w:t>
            </w:r>
          </w:p>
        </w:tc>
        <w:tc>
          <w:tcPr>
            <w:tcW w:w="868" w:type="dxa"/>
            <w:tcBorders>
              <w:top w:val="single" w:sz="4" w:space="0" w:color="auto"/>
              <w:left w:val="single" w:sz="4" w:space="0" w:color="auto"/>
              <w:bottom w:val="single" w:sz="4" w:space="0" w:color="auto"/>
              <w:right w:val="single" w:sz="4" w:space="0" w:color="auto"/>
            </w:tcBorders>
            <w:vAlign w:val="center"/>
            <w:hideMark/>
          </w:tcPr>
          <w:p w:rsidR="003D1E4F" w:rsidRPr="00D136FB" w:rsidRDefault="003D1E4F">
            <w:pPr>
              <w:spacing w:before="20" w:after="20" w:line="276" w:lineRule="auto"/>
              <w:jc w:val="right"/>
              <w:rPr>
                <w:noProof/>
                <w:sz w:val="20"/>
                <w:szCs w:val="20"/>
                <w:lang w:eastAsia="bg-BG" w:bidi="bg-BG"/>
              </w:rPr>
            </w:pPr>
            <w:r w:rsidRPr="00D136FB">
              <w:rPr>
                <w:noProof/>
                <w:sz w:val="20"/>
              </w:rPr>
              <w:t>142,439</w:t>
            </w:r>
          </w:p>
        </w:tc>
        <w:tc>
          <w:tcPr>
            <w:tcW w:w="868" w:type="dxa"/>
            <w:tcBorders>
              <w:top w:val="single" w:sz="4" w:space="0" w:color="auto"/>
              <w:left w:val="single" w:sz="4" w:space="0" w:color="auto"/>
              <w:bottom w:val="single" w:sz="4" w:space="0" w:color="auto"/>
              <w:right w:val="single" w:sz="4" w:space="0" w:color="auto"/>
            </w:tcBorders>
            <w:vAlign w:val="center"/>
            <w:hideMark/>
          </w:tcPr>
          <w:p w:rsidR="003D1E4F" w:rsidRPr="00D136FB" w:rsidRDefault="003D1E4F">
            <w:pPr>
              <w:spacing w:before="20" w:after="20" w:line="276" w:lineRule="auto"/>
              <w:jc w:val="right"/>
              <w:rPr>
                <w:noProof/>
                <w:sz w:val="20"/>
                <w:szCs w:val="20"/>
                <w:lang w:eastAsia="bg-BG" w:bidi="bg-BG"/>
              </w:rPr>
            </w:pPr>
            <w:r w:rsidRPr="00D136FB">
              <w:rPr>
                <w:noProof/>
                <w:sz w:val="20"/>
              </w:rPr>
              <w:t>145,287</w:t>
            </w:r>
          </w:p>
        </w:tc>
        <w:tc>
          <w:tcPr>
            <w:tcW w:w="868" w:type="dxa"/>
            <w:tcBorders>
              <w:top w:val="single" w:sz="4" w:space="0" w:color="auto"/>
              <w:left w:val="single" w:sz="4" w:space="0" w:color="auto"/>
              <w:bottom w:val="single" w:sz="4" w:space="0" w:color="auto"/>
              <w:right w:val="single" w:sz="4" w:space="0" w:color="auto"/>
            </w:tcBorders>
            <w:vAlign w:val="center"/>
            <w:hideMark/>
          </w:tcPr>
          <w:p w:rsidR="003D1E4F" w:rsidRPr="00D136FB" w:rsidRDefault="003D1E4F">
            <w:pPr>
              <w:spacing w:before="20" w:after="20" w:line="276" w:lineRule="auto"/>
              <w:jc w:val="right"/>
              <w:rPr>
                <w:noProof/>
                <w:sz w:val="20"/>
                <w:szCs w:val="20"/>
                <w:lang w:eastAsia="bg-BG" w:bidi="bg-BG"/>
              </w:rPr>
            </w:pPr>
            <w:r w:rsidRPr="00D136FB">
              <w:rPr>
                <w:noProof/>
                <w:sz w:val="20"/>
              </w:rPr>
              <w:t>148,188</w:t>
            </w:r>
          </w:p>
        </w:tc>
        <w:tc>
          <w:tcPr>
            <w:tcW w:w="868" w:type="dxa"/>
            <w:tcBorders>
              <w:top w:val="single" w:sz="4" w:space="0" w:color="auto"/>
              <w:left w:val="single" w:sz="4" w:space="0" w:color="auto"/>
              <w:bottom w:val="single" w:sz="4" w:space="0" w:color="auto"/>
              <w:right w:val="single" w:sz="4" w:space="0" w:color="auto"/>
            </w:tcBorders>
            <w:vAlign w:val="center"/>
            <w:hideMark/>
          </w:tcPr>
          <w:p w:rsidR="003D1E4F" w:rsidRPr="00D136FB" w:rsidRDefault="003D1E4F">
            <w:pPr>
              <w:spacing w:before="20" w:after="20" w:line="276" w:lineRule="auto"/>
              <w:jc w:val="right"/>
              <w:rPr>
                <w:noProof/>
                <w:sz w:val="20"/>
                <w:szCs w:val="20"/>
                <w:lang w:eastAsia="bg-BG" w:bidi="bg-BG"/>
              </w:rPr>
            </w:pPr>
            <w:r w:rsidRPr="00D136FB">
              <w:rPr>
                <w:noProof/>
                <w:sz w:val="20"/>
              </w:rPr>
              <w:t>150,313</w:t>
            </w:r>
          </w:p>
        </w:tc>
        <w:tc>
          <w:tcPr>
            <w:tcW w:w="100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3D1E4F" w:rsidRPr="00D136FB" w:rsidRDefault="003D1E4F">
            <w:pPr>
              <w:spacing w:before="40" w:after="40" w:line="276" w:lineRule="auto"/>
              <w:jc w:val="center"/>
              <w:rPr>
                <w:b/>
                <w:noProof/>
                <w:sz w:val="20"/>
                <w:szCs w:val="20"/>
                <w:lang w:eastAsia="bg-BG" w:bidi="bg-BG"/>
              </w:rPr>
            </w:pPr>
          </w:p>
        </w:tc>
        <w:tc>
          <w:tcPr>
            <w:tcW w:w="1196" w:type="dxa"/>
            <w:gridSpan w:val="2"/>
            <w:tcBorders>
              <w:top w:val="single" w:sz="4" w:space="0" w:color="auto"/>
              <w:left w:val="single" w:sz="4" w:space="0" w:color="auto"/>
              <w:bottom w:val="single" w:sz="4" w:space="0" w:color="auto"/>
              <w:right w:val="single" w:sz="4" w:space="0" w:color="auto"/>
            </w:tcBorders>
            <w:vAlign w:val="center"/>
            <w:hideMark/>
          </w:tcPr>
          <w:p w:rsidR="003D1E4F" w:rsidRPr="00D136FB" w:rsidRDefault="003D1E4F">
            <w:pPr>
              <w:spacing w:before="40" w:after="40" w:line="276" w:lineRule="auto"/>
              <w:jc w:val="right"/>
              <w:rPr>
                <w:noProof/>
                <w:sz w:val="20"/>
                <w:szCs w:val="20"/>
                <w:lang w:eastAsia="bg-BG" w:bidi="bg-BG"/>
              </w:rPr>
            </w:pPr>
            <w:r w:rsidRPr="00D136FB">
              <w:rPr>
                <w:b/>
                <w:noProof/>
                <w:sz w:val="20"/>
              </w:rPr>
              <w:t>997,000</w:t>
            </w:r>
          </w:p>
        </w:tc>
      </w:tr>
      <w:tr w:rsidR="003D1E4F" w:rsidRPr="00D136FB" w:rsidTr="003D1E4F">
        <w:trPr>
          <w:trHeight w:val="319"/>
          <w:jc w:val="center"/>
        </w:trPr>
        <w:tc>
          <w:tcPr>
            <w:tcW w:w="6046" w:type="dxa"/>
            <w:vMerge/>
            <w:tcBorders>
              <w:top w:val="single" w:sz="4" w:space="0" w:color="auto"/>
              <w:left w:val="single" w:sz="4" w:space="0" w:color="auto"/>
              <w:bottom w:val="single" w:sz="4" w:space="0" w:color="auto"/>
              <w:right w:val="single" w:sz="4" w:space="0" w:color="auto"/>
            </w:tcBorders>
            <w:vAlign w:val="center"/>
            <w:hideMark/>
          </w:tcPr>
          <w:p w:rsidR="003D1E4F" w:rsidRPr="00D136FB" w:rsidRDefault="003D1E4F">
            <w:pPr>
              <w:spacing w:before="0" w:after="0"/>
              <w:jc w:val="left"/>
              <w:rPr>
                <w:noProof/>
                <w:sz w:val="20"/>
                <w:lang w:eastAsia="bg-BG" w:bidi="bg-BG"/>
              </w:rPr>
            </w:pP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3D1E4F" w:rsidRPr="00D136FB" w:rsidRDefault="003D1E4F">
            <w:pPr>
              <w:spacing w:before="40" w:after="40" w:line="276" w:lineRule="auto"/>
              <w:jc w:val="left"/>
              <w:rPr>
                <w:noProof/>
                <w:sz w:val="18"/>
                <w:lang w:eastAsia="bg-BG" w:bidi="bg-BG"/>
              </w:rPr>
            </w:pPr>
            <w:r w:rsidRPr="00D136FB">
              <w:rPr>
                <w:noProof/>
                <w:sz w:val="18"/>
              </w:rPr>
              <w:t>Плащания</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3D1E4F" w:rsidRPr="00D136FB" w:rsidRDefault="003D1E4F">
            <w:pPr>
              <w:spacing w:before="40" w:after="40" w:line="276" w:lineRule="auto"/>
              <w:jc w:val="center"/>
              <w:rPr>
                <w:noProof/>
                <w:sz w:val="14"/>
                <w:lang w:eastAsia="bg-BG" w:bidi="bg-BG"/>
              </w:rPr>
            </w:pPr>
            <w:r w:rsidRPr="00D136FB">
              <w:rPr>
                <w:noProof/>
                <w:sz w:val="14"/>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3D1E4F" w:rsidRPr="00D136FB" w:rsidRDefault="003D1E4F">
            <w:pPr>
              <w:spacing w:before="20" w:after="20" w:line="276" w:lineRule="auto"/>
              <w:jc w:val="right"/>
              <w:rPr>
                <w:noProof/>
                <w:sz w:val="20"/>
                <w:szCs w:val="20"/>
                <w:lang w:eastAsia="bg-BG" w:bidi="bg-BG"/>
              </w:rPr>
            </w:pPr>
            <w:r w:rsidRPr="00D136FB">
              <w:rPr>
                <w:noProof/>
                <w:sz w:val="20"/>
              </w:rPr>
              <w:t>70,740</w:t>
            </w:r>
          </w:p>
        </w:tc>
        <w:tc>
          <w:tcPr>
            <w:tcW w:w="895" w:type="dxa"/>
            <w:tcBorders>
              <w:top w:val="single" w:sz="4" w:space="0" w:color="auto"/>
              <w:left w:val="single" w:sz="4" w:space="0" w:color="auto"/>
              <w:bottom w:val="single" w:sz="4" w:space="0" w:color="auto"/>
              <w:right w:val="single" w:sz="4" w:space="0" w:color="auto"/>
            </w:tcBorders>
            <w:vAlign w:val="center"/>
            <w:hideMark/>
          </w:tcPr>
          <w:p w:rsidR="003D1E4F" w:rsidRPr="00D136FB" w:rsidRDefault="003D1E4F">
            <w:pPr>
              <w:spacing w:before="20" w:after="20" w:line="276" w:lineRule="auto"/>
              <w:jc w:val="right"/>
              <w:rPr>
                <w:noProof/>
                <w:sz w:val="20"/>
                <w:szCs w:val="20"/>
                <w:lang w:eastAsia="bg-BG" w:bidi="bg-BG"/>
              </w:rPr>
            </w:pPr>
            <w:r w:rsidRPr="00D136FB">
              <w:rPr>
                <w:noProof/>
                <w:sz w:val="20"/>
              </w:rPr>
              <w:t>94,534</w:t>
            </w:r>
          </w:p>
        </w:tc>
        <w:tc>
          <w:tcPr>
            <w:tcW w:w="868" w:type="dxa"/>
            <w:tcBorders>
              <w:top w:val="single" w:sz="4" w:space="0" w:color="auto"/>
              <w:left w:val="single" w:sz="4" w:space="0" w:color="auto"/>
              <w:bottom w:val="single" w:sz="4" w:space="0" w:color="auto"/>
              <w:right w:val="single" w:sz="4" w:space="0" w:color="auto"/>
            </w:tcBorders>
            <w:vAlign w:val="center"/>
            <w:hideMark/>
          </w:tcPr>
          <w:p w:rsidR="003D1E4F" w:rsidRPr="00D136FB" w:rsidRDefault="003D1E4F">
            <w:pPr>
              <w:spacing w:before="20" w:after="20" w:line="276" w:lineRule="auto"/>
              <w:jc w:val="right"/>
              <w:rPr>
                <w:noProof/>
                <w:sz w:val="20"/>
                <w:szCs w:val="20"/>
                <w:lang w:eastAsia="bg-BG" w:bidi="bg-BG"/>
              </w:rPr>
            </w:pPr>
            <w:r w:rsidRPr="00D136FB">
              <w:rPr>
                <w:noProof/>
                <w:sz w:val="20"/>
              </w:rPr>
              <w:t>119,185</w:t>
            </w:r>
          </w:p>
        </w:tc>
        <w:tc>
          <w:tcPr>
            <w:tcW w:w="868" w:type="dxa"/>
            <w:tcBorders>
              <w:top w:val="single" w:sz="4" w:space="0" w:color="auto"/>
              <w:left w:val="single" w:sz="4" w:space="0" w:color="auto"/>
              <w:bottom w:val="single" w:sz="4" w:space="0" w:color="auto"/>
              <w:right w:val="single" w:sz="4" w:space="0" w:color="auto"/>
            </w:tcBorders>
            <w:vAlign w:val="center"/>
            <w:hideMark/>
          </w:tcPr>
          <w:p w:rsidR="003D1E4F" w:rsidRPr="00D136FB" w:rsidRDefault="003D1E4F">
            <w:pPr>
              <w:spacing w:before="20" w:after="20" w:line="276" w:lineRule="auto"/>
              <w:jc w:val="right"/>
              <w:rPr>
                <w:noProof/>
                <w:sz w:val="20"/>
                <w:szCs w:val="20"/>
                <w:lang w:eastAsia="bg-BG" w:bidi="bg-BG"/>
              </w:rPr>
            </w:pPr>
            <w:r w:rsidRPr="00D136FB">
              <w:rPr>
                <w:noProof/>
                <w:sz w:val="20"/>
              </w:rPr>
              <w:t>127,480</w:t>
            </w:r>
          </w:p>
        </w:tc>
        <w:tc>
          <w:tcPr>
            <w:tcW w:w="868" w:type="dxa"/>
            <w:tcBorders>
              <w:top w:val="single" w:sz="4" w:space="0" w:color="auto"/>
              <w:left w:val="single" w:sz="4" w:space="0" w:color="auto"/>
              <w:bottom w:val="single" w:sz="4" w:space="0" w:color="auto"/>
              <w:right w:val="single" w:sz="4" w:space="0" w:color="auto"/>
            </w:tcBorders>
            <w:vAlign w:val="center"/>
            <w:hideMark/>
          </w:tcPr>
          <w:p w:rsidR="003D1E4F" w:rsidRPr="00D136FB" w:rsidRDefault="003D1E4F">
            <w:pPr>
              <w:spacing w:before="20" w:after="20" w:line="276" w:lineRule="auto"/>
              <w:jc w:val="right"/>
              <w:rPr>
                <w:noProof/>
                <w:sz w:val="20"/>
                <w:szCs w:val="20"/>
                <w:lang w:eastAsia="bg-BG" w:bidi="bg-BG"/>
              </w:rPr>
            </w:pPr>
            <w:r w:rsidRPr="00D136FB">
              <w:rPr>
                <w:noProof/>
                <w:sz w:val="20"/>
              </w:rPr>
              <w:t>131,902</w:t>
            </w:r>
          </w:p>
        </w:tc>
        <w:tc>
          <w:tcPr>
            <w:tcW w:w="868" w:type="dxa"/>
            <w:tcBorders>
              <w:top w:val="single" w:sz="4" w:space="0" w:color="auto"/>
              <w:left w:val="single" w:sz="4" w:space="0" w:color="auto"/>
              <w:bottom w:val="single" w:sz="4" w:space="0" w:color="auto"/>
              <w:right w:val="single" w:sz="4" w:space="0" w:color="auto"/>
            </w:tcBorders>
            <w:vAlign w:val="center"/>
            <w:hideMark/>
          </w:tcPr>
          <w:p w:rsidR="003D1E4F" w:rsidRPr="00D136FB" w:rsidRDefault="003D1E4F">
            <w:pPr>
              <w:spacing w:before="20" w:after="20" w:line="276" w:lineRule="auto"/>
              <w:jc w:val="right"/>
              <w:rPr>
                <w:noProof/>
                <w:sz w:val="20"/>
                <w:szCs w:val="20"/>
                <w:lang w:eastAsia="bg-BG" w:bidi="bg-BG"/>
              </w:rPr>
            </w:pPr>
            <w:r w:rsidRPr="00D136FB">
              <w:rPr>
                <w:noProof/>
                <w:sz w:val="20"/>
              </w:rPr>
              <w:t>135,723</w:t>
            </w:r>
          </w:p>
        </w:tc>
        <w:tc>
          <w:tcPr>
            <w:tcW w:w="868" w:type="dxa"/>
            <w:tcBorders>
              <w:top w:val="single" w:sz="4" w:space="0" w:color="auto"/>
              <w:left w:val="single" w:sz="4" w:space="0" w:color="auto"/>
              <w:bottom w:val="single" w:sz="4" w:space="0" w:color="auto"/>
              <w:right w:val="single" w:sz="4" w:space="0" w:color="auto"/>
            </w:tcBorders>
            <w:vAlign w:val="center"/>
            <w:hideMark/>
          </w:tcPr>
          <w:p w:rsidR="003D1E4F" w:rsidRPr="00D136FB" w:rsidRDefault="003D1E4F">
            <w:pPr>
              <w:spacing w:before="20" w:after="20" w:line="276" w:lineRule="auto"/>
              <w:jc w:val="right"/>
              <w:rPr>
                <w:noProof/>
                <w:sz w:val="20"/>
                <w:szCs w:val="20"/>
                <w:lang w:eastAsia="bg-BG" w:bidi="bg-BG"/>
              </w:rPr>
            </w:pPr>
            <w:r w:rsidRPr="00D136FB">
              <w:rPr>
                <w:noProof/>
                <w:sz w:val="20"/>
              </w:rPr>
              <w:t>138,639</w:t>
            </w:r>
          </w:p>
        </w:tc>
        <w:tc>
          <w:tcPr>
            <w:tcW w:w="10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E4F" w:rsidRPr="00D136FB" w:rsidRDefault="003D1E4F">
            <w:pPr>
              <w:spacing w:before="20" w:after="20" w:line="276" w:lineRule="auto"/>
              <w:jc w:val="right"/>
              <w:rPr>
                <w:i/>
                <w:sz w:val="20"/>
                <w:lang w:eastAsia="bg-BG" w:bidi="bg-BG"/>
              </w:rPr>
            </w:pPr>
            <w:r w:rsidRPr="00D136FB">
              <w:rPr>
                <w:i/>
                <w:noProof/>
                <w:sz w:val="20"/>
              </w:rPr>
              <w:t>178,798</w:t>
            </w:r>
          </w:p>
        </w:tc>
        <w:tc>
          <w:tcPr>
            <w:tcW w:w="1196" w:type="dxa"/>
            <w:gridSpan w:val="2"/>
            <w:tcBorders>
              <w:top w:val="single" w:sz="4" w:space="0" w:color="auto"/>
              <w:left w:val="single" w:sz="4" w:space="0" w:color="auto"/>
              <w:bottom w:val="single" w:sz="4" w:space="0" w:color="auto"/>
              <w:right w:val="single" w:sz="4" w:space="0" w:color="auto"/>
            </w:tcBorders>
            <w:vAlign w:val="center"/>
            <w:hideMark/>
          </w:tcPr>
          <w:p w:rsidR="003D1E4F" w:rsidRPr="00D136FB" w:rsidRDefault="003D1E4F">
            <w:pPr>
              <w:spacing w:before="40" w:after="40" w:line="276" w:lineRule="auto"/>
              <w:jc w:val="right"/>
              <w:rPr>
                <w:b/>
                <w:sz w:val="20"/>
                <w:lang w:eastAsia="bg-BG" w:bidi="bg-BG"/>
              </w:rPr>
            </w:pPr>
            <w:r w:rsidRPr="00D136FB">
              <w:rPr>
                <w:b/>
                <w:noProof/>
                <w:sz w:val="20"/>
              </w:rPr>
              <w:t>997,000</w:t>
            </w:r>
          </w:p>
        </w:tc>
      </w:tr>
      <w:tr w:rsidR="003D1E4F" w:rsidRPr="00D136FB" w:rsidTr="003D1E4F">
        <w:trPr>
          <w:trHeight w:val="319"/>
          <w:jc w:val="center"/>
        </w:trPr>
        <w:tc>
          <w:tcPr>
            <w:tcW w:w="3920" w:type="dxa"/>
            <w:vMerge w:val="restart"/>
            <w:tcBorders>
              <w:top w:val="single" w:sz="4" w:space="0" w:color="auto"/>
              <w:left w:val="single" w:sz="4" w:space="0" w:color="auto"/>
              <w:bottom w:val="single" w:sz="4" w:space="0" w:color="auto"/>
              <w:right w:val="single" w:sz="4" w:space="0" w:color="auto"/>
            </w:tcBorders>
            <w:vAlign w:val="center"/>
            <w:hideMark/>
          </w:tcPr>
          <w:p w:rsidR="003D1E4F" w:rsidRPr="00D136FB" w:rsidRDefault="003D1E4F">
            <w:pPr>
              <w:spacing w:before="20" w:after="20" w:line="276" w:lineRule="auto"/>
              <w:jc w:val="left"/>
              <w:rPr>
                <w:noProof/>
                <w:sz w:val="20"/>
                <w:lang w:eastAsia="bg-BG" w:bidi="bg-BG"/>
              </w:rPr>
            </w:pPr>
            <w:r w:rsidRPr="00D136FB">
              <w:rPr>
                <w:noProof/>
                <w:sz w:val="20"/>
              </w:rPr>
              <w:t>07 05 03 – „МЕЖДУСЕКТОРНО НАПРАВЛЕНИЕ“</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3D1E4F" w:rsidRPr="00D136FB" w:rsidRDefault="003D1E4F">
            <w:pPr>
              <w:spacing w:before="40" w:after="40" w:line="276" w:lineRule="auto"/>
              <w:jc w:val="left"/>
              <w:rPr>
                <w:noProof/>
                <w:sz w:val="18"/>
                <w:lang w:eastAsia="bg-BG" w:bidi="bg-BG"/>
              </w:rPr>
            </w:pPr>
            <w:r w:rsidRPr="00D136FB">
              <w:rPr>
                <w:noProof/>
                <w:sz w:val="18"/>
              </w:rPr>
              <w:t>Поети задължения</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3D1E4F" w:rsidRPr="00D136FB" w:rsidRDefault="003D1E4F">
            <w:pPr>
              <w:spacing w:before="40" w:after="40" w:line="276" w:lineRule="auto"/>
              <w:jc w:val="center"/>
              <w:rPr>
                <w:noProof/>
                <w:sz w:val="14"/>
                <w:lang w:eastAsia="bg-BG" w:bidi="bg-BG"/>
              </w:rPr>
            </w:pPr>
            <w:r w:rsidRPr="00D136FB">
              <w:rPr>
                <w:noProof/>
                <w:sz w:val="14"/>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3D1E4F" w:rsidRPr="00D136FB" w:rsidRDefault="003D1E4F">
            <w:pPr>
              <w:spacing w:before="20" w:after="20" w:line="276" w:lineRule="auto"/>
              <w:jc w:val="right"/>
              <w:rPr>
                <w:noProof/>
                <w:sz w:val="20"/>
                <w:szCs w:val="20"/>
                <w:lang w:eastAsia="bg-BG" w:bidi="bg-BG"/>
              </w:rPr>
            </w:pPr>
            <w:r w:rsidRPr="00D136FB">
              <w:rPr>
                <w:noProof/>
                <w:sz w:val="20"/>
              </w:rPr>
              <w:t>21,539</w:t>
            </w:r>
          </w:p>
        </w:tc>
        <w:tc>
          <w:tcPr>
            <w:tcW w:w="895" w:type="dxa"/>
            <w:tcBorders>
              <w:top w:val="single" w:sz="4" w:space="0" w:color="auto"/>
              <w:left w:val="single" w:sz="4" w:space="0" w:color="auto"/>
              <w:bottom w:val="single" w:sz="4" w:space="0" w:color="auto"/>
              <w:right w:val="single" w:sz="4" w:space="0" w:color="auto"/>
            </w:tcBorders>
            <w:vAlign w:val="center"/>
            <w:hideMark/>
          </w:tcPr>
          <w:p w:rsidR="003D1E4F" w:rsidRPr="00D136FB" w:rsidRDefault="003D1E4F">
            <w:pPr>
              <w:spacing w:before="20" w:after="20" w:line="276" w:lineRule="auto"/>
              <w:jc w:val="right"/>
              <w:rPr>
                <w:noProof/>
                <w:sz w:val="20"/>
                <w:szCs w:val="20"/>
                <w:lang w:eastAsia="bg-BG" w:bidi="bg-BG"/>
              </w:rPr>
            </w:pPr>
            <w:r w:rsidRPr="00D136FB">
              <w:rPr>
                <w:noProof/>
                <w:sz w:val="20"/>
              </w:rPr>
              <w:t>21,970</w:t>
            </w:r>
          </w:p>
        </w:tc>
        <w:tc>
          <w:tcPr>
            <w:tcW w:w="868" w:type="dxa"/>
            <w:tcBorders>
              <w:top w:val="single" w:sz="4" w:space="0" w:color="auto"/>
              <w:left w:val="single" w:sz="4" w:space="0" w:color="auto"/>
              <w:bottom w:val="single" w:sz="4" w:space="0" w:color="auto"/>
              <w:right w:val="single" w:sz="4" w:space="0" w:color="auto"/>
            </w:tcBorders>
            <w:vAlign w:val="center"/>
            <w:hideMark/>
          </w:tcPr>
          <w:p w:rsidR="003D1E4F" w:rsidRPr="00D136FB" w:rsidRDefault="003D1E4F">
            <w:pPr>
              <w:spacing w:before="20" w:after="20" w:line="276" w:lineRule="auto"/>
              <w:jc w:val="right"/>
              <w:rPr>
                <w:noProof/>
                <w:sz w:val="20"/>
                <w:szCs w:val="20"/>
                <w:lang w:eastAsia="bg-BG" w:bidi="bg-BG"/>
              </w:rPr>
            </w:pPr>
            <w:r w:rsidRPr="00D136FB">
              <w:rPr>
                <w:noProof/>
                <w:sz w:val="20"/>
              </w:rPr>
              <w:t>22,409</w:t>
            </w:r>
          </w:p>
        </w:tc>
        <w:tc>
          <w:tcPr>
            <w:tcW w:w="868" w:type="dxa"/>
            <w:tcBorders>
              <w:top w:val="single" w:sz="4" w:space="0" w:color="auto"/>
              <w:left w:val="single" w:sz="4" w:space="0" w:color="auto"/>
              <w:bottom w:val="single" w:sz="4" w:space="0" w:color="auto"/>
              <w:right w:val="single" w:sz="4" w:space="0" w:color="auto"/>
            </w:tcBorders>
            <w:vAlign w:val="center"/>
            <w:hideMark/>
          </w:tcPr>
          <w:p w:rsidR="003D1E4F" w:rsidRPr="00D136FB" w:rsidRDefault="003D1E4F">
            <w:pPr>
              <w:spacing w:before="20" w:after="20" w:line="276" w:lineRule="auto"/>
              <w:jc w:val="right"/>
              <w:rPr>
                <w:noProof/>
                <w:sz w:val="20"/>
                <w:szCs w:val="20"/>
                <w:lang w:eastAsia="bg-BG" w:bidi="bg-BG"/>
              </w:rPr>
            </w:pPr>
            <w:r w:rsidRPr="00D136FB">
              <w:rPr>
                <w:noProof/>
                <w:sz w:val="20"/>
              </w:rPr>
              <w:t>22,857</w:t>
            </w:r>
          </w:p>
        </w:tc>
        <w:tc>
          <w:tcPr>
            <w:tcW w:w="868" w:type="dxa"/>
            <w:tcBorders>
              <w:top w:val="single" w:sz="4" w:space="0" w:color="auto"/>
              <w:left w:val="single" w:sz="4" w:space="0" w:color="auto"/>
              <w:bottom w:val="single" w:sz="4" w:space="0" w:color="auto"/>
              <w:right w:val="single" w:sz="4" w:space="0" w:color="auto"/>
            </w:tcBorders>
            <w:vAlign w:val="center"/>
            <w:hideMark/>
          </w:tcPr>
          <w:p w:rsidR="003D1E4F" w:rsidRPr="00D136FB" w:rsidRDefault="003D1E4F">
            <w:pPr>
              <w:spacing w:before="20" w:after="20" w:line="276" w:lineRule="auto"/>
              <w:jc w:val="right"/>
              <w:rPr>
                <w:noProof/>
                <w:sz w:val="20"/>
                <w:szCs w:val="20"/>
                <w:lang w:eastAsia="bg-BG" w:bidi="bg-BG"/>
              </w:rPr>
            </w:pPr>
            <w:r w:rsidRPr="00D136FB">
              <w:rPr>
                <w:noProof/>
                <w:sz w:val="20"/>
              </w:rPr>
              <w:t>23,314</w:t>
            </w:r>
          </w:p>
        </w:tc>
        <w:tc>
          <w:tcPr>
            <w:tcW w:w="868" w:type="dxa"/>
            <w:tcBorders>
              <w:top w:val="single" w:sz="4" w:space="0" w:color="auto"/>
              <w:left w:val="single" w:sz="4" w:space="0" w:color="auto"/>
              <w:bottom w:val="single" w:sz="4" w:space="0" w:color="auto"/>
              <w:right w:val="single" w:sz="4" w:space="0" w:color="auto"/>
            </w:tcBorders>
            <w:vAlign w:val="center"/>
            <w:hideMark/>
          </w:tcPr>
          <w:p w:rsidR="003D1E4F" w:rsidRPr="00D136FB" w:rsidRDefault="003D1E4F">
            <w:pPr>
              <w:spacing w:before="20" w:after="20" w:line="276" w:lineRule="auto"/>
              <w:jc w:val="right"/>
              <w:rPr>
                <w:noProof/>
                <w:sz w:val="20"/>
                <w:szCs w:val="20"/>
                <w:lang w:eastAsia="bg-BG" w:bidi="bg-BG"/>
              </w:rPr>
            </w:pPr>
            <w:r w:rsidRPr="00D136FB">
              <w:rPr>
                <w:noProof/>
                <w:sz w:val="20"/>
              </w:rPr>
              <w:t>23,781</w:t>
            </w:r>
          </w:p>
        </w:tc>
        <w:tc>
          <w:tcPr>
            <w:tcW w:w="868" w:type="dxa"/>
            <w:tcBorders>
              <w:top w:val="single" w:sz="4" w:space="0" w:color="auto"/>
              <w:left w:val="single" w:sz="4" w:space="0" w:color="auto"/>
              <w:bottom w:val="single" w:sz="4" w:space="0" w:color="auto"/>
              <w:right w:val="single" w:sz="4" w:space="0" w:color="auto"/>
            </w:tcBorders>
            <w:vAlign w:val="center"/>
            <w:hideMark/>
          </w:tcPr>
          <w:p w:rsidR="003D1E4F" w:rsidRPr="00D136FB" w:rsidRDefault="003D1E4F">
            <w:pPr>
              <w:spacing w:before="20" w:after="20" w:line="276" w:lineRule="auto"/>
              <w:jc w:val="right"/>
              <w:rPr>
                <w:noProof/>
                <w:sz w:val="20"/>
                <w:szCs w:val="20"/>
                <w:lang w:eastAsia="bg-BG" w:bidi="bg-BG"/>
              </w:rPr>
            </w:pPr>
            <w:r w:rsidRPr="00D136FB">
              <w:rPr>
                <w:noProof/>
                <w:sz w:val="20"/>
              </w:rPr>
              <w:t>24,131</w:t>
            </w:r>
          </w:p>
        </w:tc>
        <w:tc>
          <w:tcPr>
            <w:tcW w:w="100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3D1E4F" w:rsidRPr="00D136FB" w:rsidRDefault="003D1E4F">
            <w:pPr>
              <w:spacing w:before="40" w:after="40" w:line="276" w:lineRule="auto"/>
              <w:jc w:val="right"/>
              <w:rPr>
                <w:b/>
                <w:noProof/>
                <w:sz w:val="20"/>
                <w:szCs w:val="20"/>
                <w:lang w:eastAsia="bg-BG" w:bidi="bg-BG"/>
              </w:rPr>
            </w:pPr>
          </w:p>
        </w:tc>
        <w:tc>
          <w:tcPr>
            <w:tcW w:w="1196" w:type="dxa"/>
            <w:gridSpan w:val="2"/>
            <w:tcBorders>
              <w:top w:val="single" w:sz="4" w:space="0" w:color="auto"/>
              <w:left w:val="single" w:sz="4" w:space="0" w:color="auto"/>
              <w:bottom w:val="single" w:sz="4" w:space="0" w:color="auto"/>
              <w:right w:val="single" w:sz="4" w:space="0" w:color="auto"/>
            </w:tcBorders>
            <w:vAlign w:val="center"/>
            <w:hideMark/>
          </w:tcPr>
          <w:p w:rsidR="003D1E4F" w:rsidRPr="00D136FB" w:rsidRDefault="003D1E4F">
            <w:pPr>
              <w:spacing w:before="40" w:after="40" w:line="276" w:lineRule="auto"/>
              <w:jc w:val="right"/>
              <w:rPr>
                <w:noProof/>
                <w:sz w:val="20"/>
                <w:szCs w:val="20"/>
                <w:lang w:eastAsia="bg-BG" w:bidi="bg-BG"/>
              </w:rPr>
            </w:pPr>
            <w:r w:rsidRPr="00D136FB">
              <w:rPr>
                <w:b/>
                <w:sz w:val="20"/>
              </w:rPr>
              <w:t>160,000</w:t>
            </w:r>
          </w:p>
        </w:tc>
      </w:tr>
      <w:tr w:rsidR="003D1E4F" w:rsidRPr="00D136FB" w:rsidTr="003D1E4F">
        <w:trPr>
          <w:trHeight w:val="319"/>
          <w:jc w:val="center"/>
        </w:trPr>
        <w:tc>
          <w:tcPr>
            <w:tcW w:w="6046" w:type="dxa"/>
            <w:vMerge/>
            <w:tcBorders>
              <w:top w:val="single" w:sz="4" w:space="0" w:color="auto"/>
              <w:left w:val="single" w:sz="4" w:space="0" w:color="auto"/>
              <w:bottom w:val="single" w:sz="4" w:space="0" w:color="auto"/>
              <w:right w:val="single" w:sz="4" w:space="0" w:color="auto"/>
            </w:tcBorders>
            <w:vAlign w:val="center"/>
            <w:hideMark/>
          </w:tcPr>
          <w:p w:rsidR="003D1E4F" w:rsidRPr="00D136FB" w:rsidRDefault="003D1E4F">
            <w:pPr>
              <w:spacing w:before="0" w:after="0"/>
              <w:jc w:val="left"/>
              <w:rPr>
                <w:noProof/>
                <w:sz w:val="20"/>
                <w:lang w:eastAsia="bg-BG" w:bidi="bg-BG"/>
              </w:rPr>
            </w:pP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3D1E4F" w:rsidRPr="00D136FB" w:rsidRDefault="003D1E4F">
            <w:pPr>
              <w:spacing w:before="40" w:after="40" w:line="276" w:lineRule="auto"/>
              <w:jc w:val="left"/>
              <w:rPr>
                <w:noProof/>
                <w:sz w:val="18"/>
                <w:lang w:eastAsia="bg-BG" w:bidi="bg-BG"/>
              </w:rPr>
            </w:pPr>
            <w:r w:rsidRPr="00D136FB">
              <w:rPr>
                <w:noProof/>
                <w:sz w:val="18"/>
              </w:rPr>
              <w:t>Плащания</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3D1E4F" w:rsidRPr="00D136FB" w:rsidRDefault="003D1E4F">
            <w:pPr>
              <w:spacing w:before="40" w:after="40" w:line="276" w:lineRule="auto"/>
              <w:jc w:val="center"/>
              <w:rPr>
                <w:noProof/>
                <w:sz w:val="14"/>
                <w:lang w:eastAsia="bg-BG" w:bidi="bg-BG"/>
              </w:rPr>
            </w:pPr>
            <w:r w:rsidRPr="00D136FB">
              <w:rPr>
                <w:noProof/>
                <w:sz w:val="14"/>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3D1E4F" w:rsidRPr="00D136FB" w:rsidRDefault="003D1E4F">
            <w:pPr>
              <w:spacing w:before="20" w:after="20" w:line="276" w:lineRule="auto"/>
              <w:jc w:val="right"/>
              <w:rPr>
                <w:noProof/>
                <w:sz w:val="20"/>
                <w:szCs w:val="20"/>
                <w:lang w:eastAsia="bg-BG" w:bidi="bg-BG"/>
              </w:rPr>
            </w:pPr>
            <w:r w:rsidRPr="00D136FB">
              <w:rPr>
                <w:noProof/>
                <w:sz w:val="20"/>
              </w:rPr>
              <w:t>12,730</w:t>
            </w:r>
          </w:p>
        </w:tc>
        <w:tc>
          <w:tcPr>
            <w:tcW w:w="895" w:type="dxa"/>
            <w:tcBorders>
              <w:top w:val="single" w:sz="4" w:space="0" w:color="auto"/>
              <w:left w:val="single" w:sz="4" w:space="0" w:color="auto"/>
              <w:bottom w:val="single" w:sz="4" w:space="0" w:color="auto"/>
              <w:right w:val="single" w:sz="4" w:space="0" w:color="auto"/>
            </w:tcBorders>
            <w:vAlign w:val="center"/>
            <w:hideMark/>
          </w:tcPr>
          <w:p w:rsidR="003D1E4F" w:rsidRPr="00D136FB" w:rsidRDefault="003D1E4F">
            <w:pPr>
              <w:spacing w:before="20" w:after="20" w:line="276" w:lineRule="auto"/>
              <w:jc w:val="right"/>
              <w:rPr>
                <w:noProof/>
                <w:sz w:val="20"/>
                <w:szCs w:val="20"/>
                <w:lang w:eastAsia="bg-BG" w:bidi="bg-BG"/>
              </w:rPr>
            </w:pPr>
            <w:r w:rsidRPr="00D136FB">
              <w:rPr>
                <w:noProof/>
                <w:sz w:val="20"/>
              </w:rPr>
              <w:t>16,457</w:t>
            </w:r>
          </w:p>
        </w:tc>
        <w:tc>
          <w:tcPr>
            <w:tcW w:w="868" w:type="dxa"/>
            <w:tcBorders>
              <w:top w:val="single" w:sz="4" w:space="0" w:color="auto"/>
              <w:left w:val="single" w:sz="4" w:space="0" w:color="auto"/>
              <w:bottom w:val="single" w:sz="4" w:space="0" w:color="auto"/>
              <w:right w:val="single" w:sz="4" w:space="0" w:color="auto"/>
            </w:tcBorders>
            <w:vAlign w:val="center"/>
            <w:hideMark/>
          </w:tcPr>
          <w:p w:rsidR="003D1E4F" w:rsidRPr="00D136FB" w:rsidRDefault="003D1E4F">
            <w:pPr>
              <w:spacing w:before="20" w:after="20" w:line="276" w:lineRule="auto"/>
              <w:jc w:val="right"/>
              <w:rPr>
                <w:noProof/>
                <w:sz w:val="20"/>
                <w:szCs w:val="20"/>
                <w:lang w:eastAsia="bg-BG" w:bidi="bg-BG"/>
              </w:rPr>
            </w:pPr>
            <w:r w:rsidRPr="00D136FB">
              <w:rPr>
                <w:noProof/>
                <w:sz w:val="20"/>
              </w:rPr>
              <w:t>20,319</w:t>
            </w:r>
          </w:p>
        </w:tc>
        <w:tc>
          <w:tcPr>
            <w:tcW w:w="868" w:type="dxa"/>
            <w:tcBorders>
              <w:top w:val="single" w:sz="4" w:space="0" w:color="auto"/>
              <w:left w:val="single" w:sz="4" w:space="0" w:color="auto"/>
              <w:bottom w:val="single" w:sz="4" w:space="0" w:color="auto"/>
              <w:right w:val="single" w:sz="4" w:space="0" w:color="auto"/>
            </w:tcBorders>
            <w:vAlign w:val="center"/>
            <w:hideMark/>
          </w:tcPr>
          <w:p w:rsidR="003D1E4F" w:rsidRPr="00D136FB" w:rsidRDefault="003D1E4F">
            <w:pPr>
              <w:spacing w:before="20" w:after="20" w:line="276" w:lineRule="auto"/>
              <w:jc w:val="right"/>
              <w:rPr>
                <w:noProof/>
                <w:sz w:val="20"/>
                <w:szCs w:val="20"/>
                <w:lang w:eastAsia="bg-BG" w:bidi="bg-BG"/>
              </w:rPr>
            </w:pPr>
            <w:r w:rsidRPr="00D136FB">
              <w:rPr>
                <w:noProof/>
                <w:sz w:val="20"/>
              </w:rPr>
              <w:t>21,642</w:t>
            </w:r>
          </w:p>
        </w:tc>
        <w:tc>
          <w:tcPr>
            <w:tcW w:w="868" w:type="dxa"/>
            <w:tcBorders>
              <w:top w:val="single" w:sz="4" w:space="0" w:color="auto"/>
              <w:left w:val="single" w:sz="4" w:space="0" w:color="auto"/>
              <w:bottom w:val="single" w:sz="4" w:space="0" w:color="auto"/>
              <w:right w:val="single" w:sz="4" w:space="0" w:color="auto"/>
            </w:tcBorders>
            <w:vAlign w:val="center"/>
            <w:hideMark/>
          </w:tcPr>
          <w:p w:rsidR="003D1E4F" w:rsidRPr="00D136FB" w:rsidRDefault="003D1E4F">
            <w:pPr>
              <w:spacing w:before="20" w:after="20" w:line="276" w:lineRule="auto"/>
              <w:jc w:val="right"/>
              <w:rPr>
                <w:noProof/>
                <w:sz w:val="20"/>
                <w:szCs w:val="20"/>
                <w:lang w:eastAsia="bg-BG" w:bidi="bg-BG"/>
              </w:rPr>
            </w:pPr>
            <w:r w:rsidRPr="00D136FB">
              <w:rPr>
                <w:noProof/>
                <w:sz w:val="20"/>
              </w:rPr>
              <w:t>22,365</w:t>
            </w:r>
          </w:p>
        </w:tc>
        <w:tc>
          <w:tcPr>
            <w:tcW w:w="868" w:type="dxa"/>
            <w:tcBorders>
              <w:top w:val="single" w:sz="4" w:space="0" w:color="auto"/>
              <w:left w:val="single" w:sz="4" w:space="0" w:color="auto"/>
              <w:bottom w:val="single" w:sz="4" w:space="0" w:color="auto"/>
              <w:right w:val="single" w:sz="4" w:space="0" w:color="auto"/>
            </w:tcBorders>
            <w:vAlign w:val="center"/>
            <w:hideMark/>
          </w:tcPr>
          <w:p w:rsidR="003D1E4F" w:rsidRPr="00D136FB" w:rsidRDefault="003D1E4F">
            <w:pPr>
              <w:spacing w:before="20" w:after="20" w:line="276" w:lineRule="auto"/>
              <w:jc w:val="right"/>
              <w:rPr>
                <w:noProof/>
                <w:sz w:val="20"/>
                <w:szCs w:val="20"/>
                <w:lang w:eastAsia="bg-BG" w:bidi="bg-BG"/>
              </w:rPr>
            </w:pPr>
            <w:r w:rsidRPr="00D136FB">
              <w:rPr>
                <w:noProof/>
                <w:sz w:val="20"/>
              </w:rPr>
              <w:t>22,997</w:t>
            </w:r>
          </w:p>
        </w:tc>
        <w:tc>
          <w:tcPr>
            <w:tcW w:w="868" w:type="dxa"/>
            <w:tcBorders>
              <w:top w:val="single" w:sz="4" w:space="0" w:color="auto"/>
              <w:left w:val="single" w:sz="4" w:space="0" w:color="auto"/>
              <w:bottom w:val="single" w:sz="4" w:space="0" w:color="auto"/>
              <w:right w:val="single" w:sz="4" w:space="0" w:color="auto"/>
            </w:tcBorders>
            <w:vAlign w:val="center"/>
            <w:hideMark/>
          </w:tcPr>
          <w:p w:rsidR="003D1E4F" w:rsidRPr="00D136FB" w:rsidRDefault="003D1E4F">
            <w:pPr>
              <w:spacing w:before="20" w:after="20" w:line="276" w:lineRule="auto"/>
              <w:jc w:val="right"/>
              <w:rPr>
                <w:noProof/>
                <w:sz w:val="20"/>
                <w:szCs w:val="20"/>
                <w:lang w:eastAsia="bg-BG" w:bidi="bg-BG"/>
              </w:rPr>
            </w:pPr>
            <w:r w:rsidRPr="00D136FB">
              <w:rPr>
                <w:noProof/>
                <w:sz w:val="20"/>
              </w:rPr>
              <w:t>23,487</w:t>
            </w:r>
          </w:p>
        </w:tc>
        <w:tc>
          <w:tcPr>
            <w:tcW w:w="10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1E4F" w:rsidRPr="00D136FB" w:rsidRDefault="003D1E4F">
            <w:pPr>
              <w:spacing w:before="20" w:after="20" w:line="276" w:lineRule="auto"/>
              <w:jc w:val="right"/>
              <w:rPr>
                <w:i/>
                <w:sz w:val="20"/>
                <w:lang w:eastAsia="bg-BG" w:bidi="bg-BG"/>
              </w:rPr>
            </w:pPr>
            <w:r w:rsidRPr="00D136FB">
              <w:rPr>
                <w:i/>
                <w:noProof/>
                <w:sz w:val="20"/>
              </w:rPr>
              <w:t>20,003</w:t>
            </w:r>
          </w:p>
        </w:tc>
        <w:tc>
          <w:tcPr>
            <w:tcW w:w="1196" w:type="dxa"/>
            <w:gridSpan w:val="2"/>
            <w:tcBorders>
              <w:top w:val="single" w:sz="4" w:space="0" w:color="auto"/>
              <w:left w:val="single" w:sz="4" w:space="0" w:color="auto"/>
              <w:bottom w:val="single" w:sz="4" w:space="0" w:color="auto"/>
              <w:right w:val="single" w:sz="4" w:space="0" w:color="auto"/>
            </w:tcBorders>
            <w:vAlign w:val="center"/>
            <w:hideMark/>
          </w:tcPr>
          <w:p w:rsidR="003D1E4F" w:rsidRPr="00D136FB" w:rsidRDefault="003D1E4F">
            <w:pPr>
              <w:spacing w:before="40" w:after="40" w:line="276" w:lineRule="auto"/>
              <w:jc w:val="right"/>
              <w:rPr>
                <w:b/>
                <w:sz w:val="20"/>
                <w:lang w:eastAsia="bg-BG" w:bidi="bg-BG"/>
              </w:rPr>
            </w:pPr>
            <w:r w:rsidRPr="00D136FB">
              <w:rPr>
                <w:b/>
                <w:noProof/>
                <w:sz w:val="20"/>
              </w:rPr>
              <w:t>160,000</w:t>
            </w:r>
          </w:p>
        </w:tc>
      </w:tr>
      <w:tr w:rsidR="003D1E4F" w:rsidRPr="00D136FB" w:rsidTr="003D1E4F">
        <w:trPr>
          <w:trHeight w:val="319"/>
          <w:jc w:val="center"/>
        </w:trPr>
        <w:tc>
          <w:tcPr>
            <w:tcW w:w="3920" w:type="dxa"/>
            <w:tcBorders>
              <w:top w:val="single" w:sz="4" w:space="0" w:color="auto"/>
              <w:left w:val="single" w:sz="4" w:space="0" w:color="auto"/>
              <w:bottom w:val="single" w:sz="4" w:space="0" w:color="auto"/>
              <w:right w:val="single" w:sz="4" w:space="0" w:color="auto"/>
            </w:tcBorders>
            <w:vAlign w:val="center"/>
            <w:hideMark/>
          </w:tcPr>
          <w:p w:rsidR="003D1E4F" w:rsidRPr="00D136FB" w:rsidRDefault="003D1E4F">
            <w:pPr>
              <w:spacing w:before="20" w:after="20" w:line="276" w:lineRule="auto"/>
              <w:jc w:val="left"/>
              <w:rPr>
                <w:b/>
                <w:noProof/>
                <w:lang w:eastAsia="bg-BG" w:bidi="bg-BG"/>
              </w:rPr>
            </w:pPr>
            <w:r w:rsidRPr="00D136FB">
              <w:rPr>
                <w:b/>
                <w:noProof/>
                <w:sz w:val="20"/>
              </w:rPr>
              <w:t>Бюджетни кредити за административни разходи, финансирани от пакета за програмата</w:t>
            </w:r>
            <w:r w:rsidRPr="00D136FB">
              <w:rPr>
                <w:b/>
                <w:noProof/>
                <w:sz w:val="21"/>
              </w:rPr>
              <w:t xml:space="preserve"> </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3D1E4F" w:rsidRPr="00D136FB" w:rsidRDefault="003D1E4F">
            <w:pPr>
              <w:spacing w:before="40" w:after="40" w:line="276" w:lineRule="auto"/>
              <w:jc w:val="left"/>
              <w:rPr>
                <w:noProof/>
                <w:sz w:val="18"/>
                <w:lang w:eastAsia="bg-BG" w:bidi="bg-BG"/>
              </w:rPr>
            </w:pPr>
            <w:r w:rsidRPr="00D136FB">
              <w:rPr>
                <w:noProof/>
                <w:sz w:val="18"/>
              </w:rPr>
              <w:t>Поети задължения = Плащания</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3D1E4F" w:rsidRPr="00D136FB" w:rsidRDefault="003D1E4F">
            <w:pPr>
              <w:spacing w:before="40" w:after="40" w:line="276" w:lineRule="auto"/>
              <w:jc w:val="center"/>
              <w:rPr>
                <w:noProof/>
                <w:sz w:val="14"/>
                <w:lang w:eastAsia="bg-BG" w:bidi="bg-BG"/>
              </w:rPr>
            </w:pPr>
            <w:r w:rsidRPr="00D136FB">
              <w:rPr>
                <w:noProof/>
                <w:sz w:val="14"/>
              </w:rPr>
              <w:t>(3)</w:t>
            </w:r>
          </w:p>
        </w:tc>
        <w:tc>
          <w:tcPr>
            <w:tcW w:w="992" w:type="dxa"/>
            <w:tcBorders>
              <w:top w:val="single" w:sz="4" w:space="0" w:color="auto"/>
              <w:left w:val="single" w:sz="4" w:space="0" w:color="auto"/>
              <w:bottom w:val="single" w:sz="4" w:space="0" w:color="auto"/>
              <w:right w:val="single" w:sz="4" w:space="0" w:color="auto"/>
            </w:tcBorders>
            <w:vAlign w:val="center"/>
          </w:tcPr>
          <w:p w:rsidR="003D1E4F" w:rsidRPr="00D136FB" w:rsidRDefault="003D1E4F">
            <w:pPr>
              <w:spacing w:before="40" w:after="40" w:line="276" w:lineRule="auto"/>
              <w:jc w:val="right"/>
              <w:rPr>
                <w:b/>
                <w:noProof/>
                <w:sz w:val="20"/>
                <w:szCs w:val="20"/>
                <w:lang w:eastAsia="bg-BG" w:bidi="bg-BG"/>
              </w:rPr>
            </w:pPr>
          </w:p>
        </w:tc>
        <w:tc>
          <w:tcPr>
            <w:tcW w:w="895" w:type="dxa"/>
            <w:tcBorders>
              <w:top w:val="single" w:sz="4" w:space="0" w:color="auto"/>
              <w:left w:val="single" w:sz="4" w:space="0" w:color="auto"/>
              <w:bottom w:val="single" w:sz="4" w:space="0" w:color="auto"/>
              <w:right w:val="single" w:sz="4" w:space="0" w:color="auto"/>
            </w:tcBorders>
            <w:vAlign w:val="center"/>
          </w:tcPr>
          <w:p w:rsidR="003D1E4F" w:rsidRPr="00D136FB" w:rsidRDefault="003D1E4F">
            <w:pPr>
              <w:spacing w:before="40" w:after="40" w:line="276" w:lineRule="auto"/>
              <w:jc w:val="right"/>
              <w:rPr>
                <w:b/>
                <w:noProof/>
                <w:sz w:val="20"/>
                <w:szCs w:val="20"/>
                <w:lang w:eastAsia="bg-BG" w:bidi="bg-BG"/>
              </w:rPr>
            </w:pPr>
          </w:p>
        </w:tc>
        <w:tc>
          <w:tcPr>
            <w:tcW w:w="868" w:type="dxa"/>
            <w:tcBorders>
              <w:top w:val="single" w:sz="4" w:space="0" w:color="auto"/>
              <w:left w:val="single" w:sz="4" w:space="0" w:color="auto"/>
              <w:bottom w:val="single" w:sz="4" w:space="0" w:color="auto"/>
              <w:right w:val="single" w:sz="4" w:space="0" w:color="auto"/>
            </w:tcBorders>
            <w:vAlign w:val="center"/>
          </w:tcPr>
          <w:p w:rsidR="003D1E4F" w:rsidRPr="00D136FB" w:rsidRDefault="003D1E4F">
            <w:pPr>
              <w:spacing w:before="40" w:after="40" w:line="276" w:lineRule="auto"/>
              <w:jc w:val="right"/>
              <w:rPr>
                <w:b/>
                <w:noProof/>
                <w:sz w:val="20"/>
                <w:szCs w:val="20"/>
                <w:lang w:eastAsia="bg-BG" w:bidi="bg-BG"/>
              </w:rPr>
            </w:pPr>
          </w:p>
        </w:tc>
        <w:tc>
          <w:tcPr>
            <w:tcW w:w="868" w:type="dxa"/>
            <w:tcBorders>
              <w:top w:val="single" w:sz="4" w:space="0" w:color="auto"/>
              <w:left w:val="single" w:sz="4" w:space="0" w:color="auto"/>
              <w:bottom w:val="single" w:sz="4" w:space="0" w:color="auto"/>
              <w:right w:val="single" w:sz="4" w:space="0" w:color="auto"/>
            </w:tcBorders>
            <w:vAlign w:val="center"/>
          </w:tcPr>
          <w:p w:rsidR="003D1E4F" w:rsidRPr="00D136FB" w:rsidRDefault="003D1E4F">
            <w:pPr>
              <w:spacing w:before="40" w:after="40" w:line="276" w:lineRule="auto"/>
              <w:jc w:val="right"/>
              <w:rPr>
                <w:b/>
                <w:noProof/>
                <w:sz w:val="20"/>
                <w:szCs w:val="20"/>
                <w:lang w:eastAsia="bg-BG" w:bidi="bg-BG"/>
              </w:rPr>
            </w:pPr>
          </w:p>
        </w:tc>
        <w:tc>
          <w:tcPr>
            <w:tcW w:w="868" w:type="dxa"/>
            <w:tcBorders>
              <w:top w:val="single" w:sz="4" w:space="0" w:color="auto"/>
              <w:left w:val="single" w:sz="4" w:space="0" w:color="auto"/>
              <w:bottom w:val="single" w:sz="4" w:space="0" w:color="auto"/>
              <w:right w:val="single" w:sz="4" w:space="0" w:color="auto"/>
            </w:tcBorders>
            <w:vAlign w:val="center"/>
          </w:tcPr>
          <w:p w:rsidR="003D1E4F" w:rsidRPr="00D136FB" w:rsidRDefault="003D1E4F">
            <w:pPr>
              <w:spacing w:before="40" w:after="40" w:line="276" w:lineRule="auto"/>
              <w:jc w:val="right"/>
              <w:rPr>
                <w:b/>
                <w:noProof/>
                <w:sz w:val="20"/>
                <w:szCs w:val="20"/>
                <w:lang w:eastAsia="bg-BG" w:bidi="bg-BG"/>
              </w:rPr>
            </w:pPr>
          </w:p>
        </w:tc>
        <w:tc>
          <w:tcPr>
            <w:tcW w:w="868" w:type="dxa"/>
            <w:tcBorders>
              <w:top w:val="single" w:sz="4" w:space="0" w:color="auto"/>
              <w:left w:val="single" w:sz="4" w:space="0" w:color="auto"/>
              <w:bottom w:val="single" w:sz="4" w:space="0" w:color="auto"/>
              <w:right w:val="single" w:sz="4" w:space="0" w:color="auto"/>
            </w:tcBorders>
            <w:vAlign w:val="center"/>
          </w:tcPr>
          <w:p w:rsidR="003D1E4F" w:rsidRPr="00D136FB" w:rsidRDefault="003D1E4F">
            <w:pPr>
              <w:spacing w:before="40" w:after="40" w:line="276" w:lineRule="auto"/>
              <w:jc w:val="right"/>
              <w:rPr>
                <w:b/>
                <w:noProof/>
                <w:sz w:val="20"/>
                <w:szCs w:val="20"/>
                <w:lang w:eastAsia="bg-BG" w:bidi="bg-BG"/>
              </w:rPr>
            </w:pPr>
          </w:p>
        </w:tc>
        <w:tc>
          <w:tcPr>
            <w:tcW w:w="868" w:type="dxa"/>
            <w:tcBorders>
              <w:top w:val="single" w:sz="4" w:space="0" w:color="auto"/>
              <w:left w:val="single" w:sz="4" w:space="0" w:color="auto"/>
              <w:bottom w:val="single" w:sz="4" w:space="0" w:color="auto"/>
              <w:right w:val="single" w:sz="4" w:space="0" w:color="auto"/>
            </w:tcBorders>
            <w:vAlign w:val="center"/>
          </w:tcPr>
          <w:p w:rsidR="003D1E4F" w:rsidRPr="00D136FB" w:rsidRDefault="003D1E4F">
            <w:pPr>
              <w:spacing w:before="40" w:after="40" w:line="276" w:lineRule="auto"/>
              <w:jc w:val="right"/>
              <w:rPr>
                <w:b/>
                <w:noProof/>
                <w:sz w:val="20"/>
                <w:szCs w:val="20"/>
                <w:lang w:eastAsia="bg-BG" w:bidi="bg-BG"/>
              </w:rPr>
            </w:pPr>
          </w:p>
        </w:tc>
        <w:tc>
          <w:tcPr>
            <w:tcW w:w="100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3D1E4F" w:rsidRPr="00D136FB" w:rsidRDefault="003D1E4F">
            <w:pPr>
              <w:spacing w:before="40" w:after="40" w:line="276" w:lineRule="auto"/>
              <w:jc w:val="right"/>
              <w:rPr>
                <w:b/>
                <w:noProof/>
                <w:sz w:val="20"/>
                <w:szCs w:val="20"/>
                <w:lang w:eastAsia="bg-BG" w:bidi="bg-BG"/>
              </w:rPr>
            </w:pPr>
          </w:p>
        </w:tc>
        <w:tc>
          <w:tcPr>
            <w:tcW w:w="1196" w:type="dxa"/>
            <w:gridSpan w:val="2"/>
            <w:tcBorders>
              <w:top w:val="single" w:sz="4" w:space="0" w:color="auto"/>
              <w:left w:val="single" w:sz="4" w:space="0" w:color="auto"/>
              <w:bottom w:val="single" w:sz="4" w:space="0" w:color="auto"/>
              <w:right w:val="single" w:sz="4" w:space="0" w:color="auto"/>
            </w:tcBorders>
            <w:vAlign w:val="center"/>
          </w:tcPr>
          <w:p w:rsidR="003D1E4F" w:rsidRPr="00D136FB" w:rsidRDefault="003D1E4F">
            <w:pPr>
              <w:spacing w:before="40" w:after="40" w:line="276" w:lineRule="auto"/>
              <w:jc w:val="right"/>
              <w:rPr>
                <w:b/>
                <w:noProof/>
                <w:sz w:val="20"/>
                <w:szCs w:val="20"/>
                <w:lang w:eastAsia="bg-BG" w:bidi="bg-BG"/>
              </w:rPr>
            </w:pPr>
          </w:p>
        </w:tc>
      </w:tr>
      <w:tr w:rsidR="003D1E4F" w:rsidRPr="00D136FB" w:rsidTr="003D1E4F">
        <w:trPr>
          <w:trHeight w:val="319"/>
          <w:jc w:val="center"/>
        </w:trPr>
        <w:tc>
          <w:tcPr>
            <w:tcW w:w="3920" w:type="dxa"/>
            <w:tcBorders>
              <w:top w:val="single" w:sz="4" w:space="0" w:color="auto"/>
              <w:left w:val="single" w:sz="4" w:space="0" w:color="auto"/>
              <w:bottom w:val="single" w:sz="4" w:space="0" w:color="auto"/>
              <w:right w:val="single" w:sz="4" w:space="0" w:color="auto"/>
            </w:tcBorders>
            <w:vAlign w:val="center"/>
            <w:hideMark/>
          </w:tcPr>
          <w:p w:rsidR="003D1E4F" w:rsidRPr="00D136FB" w:rsidRDefault="003D1E4F">
            <w:pPr>
              <w:spacing w:before="20" w:after="20" w:line="276" w:lineRule="auto"/>
              <w:jc w:val="left"/>
              <w:rPr>
                <w:noProof/>
                <w:sz w:val="20"/>
                <w:lang w:eastAsia="bg-BG" w:bidi="bg-BG"/>
              </w:rPr>
            </w:pPr>
            <w:r w:rsidRPr="00D136FB">
              <w:rPr>
                <w:noProof/>
                <w:sz w:val="20"/>
              </w:rPr>
              <w:t>07 01 04 XX — Административна подкрепа за „Творческа Европа“</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3D1E4F" w:rsidRPr="00D136FB" w:rsidRDefault="003D1E4F">
            <w:pPr>
              <w:spacing w:before="40" w:after="40" w:line="276" w:lineRule="auto"/>
              <w:jc w:val="left"/>
              <w:rPr>
                <w:noProof/>
                <w:sz w:val="18"/>
                <w:lang w:eastAsia="bg-BG" w:bidi="bg-BG"/>
              </w:rPr>
            </w:pPr>
            <w:r w:rsidRPr="00D136FB">
              <w:rPr>
                <w:noProof/>
                <w:sz w:val="18"/>
              </w:rPr>
              <w:t>Поети задължения = Плащания</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3D1E4F" w:rsidRPr="00D136FB" w:rsidRDefault="003D1E4F">
            <w:pPr>
              <w:spacing w:before="40" w:after="40" w:line="276" w:lineRule="auto"/>
              <w:jc w:val="center"/>
              <w:rPr>
                <w:noProof/>
                <w:sz w:val="14"/>
                <w:lang w:eastAsia="bg-BG" w:bidi="bg-BG"/>
              </w:rPr>
            </w:pPr>
            <w:r w:rsidRPr="00D136FB">
              <w:rPr>
                <w:noProof/>
                <w:sz w:val="14"/>
              </w:rPr>
              <w:t>(3)</w:t>
            </w:r>
          </w:p>
        </w:tc>
        <w:tc>
          <w:tcPr>
            <w:tcW w:w="992" w:type="dxa"/>
            <w:tcBorders>
              <w:top w:val="single" w:sz="4" w:space="0" w:color="auto"/>
              <w:left w:val="single" w:sz="4" w:space="0" w:color="auto"/>
              <w:bottom w:val="single" w:sz="4" w:space="0" w:color="auto"/>
              <w:right w:val="single" w:sz="4" w:space="0" w:color="auto"/>
            </w:tcBorders>
            <w:vAlign w:val="center"/>
            <w:hideMark/>
          </w:tcPr>
          <w:p w:rsidR="003D1E4F" w:rsidRPr="00D136FB" w:rsidRDefault="003D1E4F">
            <w:pPr>
              <w:spacing w:before="40" w:after="40" w:line="276" w:lineRule="auto"/>
              <w:jc w:val="right"/>
              <w:rPr>
                <w:noProof/>
                <w:sz w:val="20"/>
                <w:szCs w:val="20"/>
                <w:lang w:eastAsia="bg-BG" w:bidi="bg-BG"/>
              </w:rPr>
            </w:pPr>
            <w:r w:rsidRPr="00D136FB">
              <w:rPr>
                <w:noProof/>
                <w:sz w:val="20"/>
              </w:rPr>
              <w:t>17,420</w:t>
            </w:r>
          </w:p>
        </w:tc>
        <w:tc>
          <w:tcPr>
            <w:tcW w:w="895" w:type="dxa"/>
            <w:tcBorders>
              <w:top w:val="single" w:sz="4" w:space="0" w:color="auto"/>
              <w:left w:val="single" w:sz="4" w:space="0" w:color="auto"/>
              <w:bottom w:val="single" w:sz="4" w:space="0" w:color="auto"/>
              <w:right w:val="single" w:sz="4" w:space="0" w:color="auto"/>
            </w:tcBorders>
            <w:vAlign w:val="center"/>
            <w:hideMark/>
          </w:tcPr>
          <w:p w:rsidR="003D1E4F" w:rsidRPr="00D136FB" w:rsidRDefault="003D1E4F">
            <w:pPr>
              <w:spacing w:before="40" w:after="40" w:line="276" w:lineRule="auto"/>
              <w:jc w:val="right"/>
              <w:rPr>
                <w:noProof/>
                <w:sz w:val="20"/>
                <w:szCs w:val="20"/>
                <w:lang w:eastAsia="bg-BG" w:bidi="bg-BG"/>
              </w:rPr>
            </w:pPr>
            <w:r w:rsidRPr="00D136FB">
              <w:rPr>
                <w:noProof/>
                <w:sz w:val="20"/>
              </w:rPr>
              <w:t>17,760</w:t>
            </w:r>
          </w:p>
        </w:tc>
        <w:tc>
          <w:tcPr>
            <w:tcW w:w="868" w:type="dxa"/>
            <w:tcBorders>
              <w:top w:val="single" w:sz="4" w:space="0" w:color="auto"/>
              <w:left w:val="single" w:sz="4" w:space="0" w:color="auto"/>
              <w:bottom w:val="single" w:sz="4" w:space="0" w:color="auto"/>
              <w:right w:val="single" w:sz="4" w:space="0" w:color="auto"/>
            </w:tcBorders>
            <w:vAlign w:val="center"/>
            <w:hideMark/>
          </w:tcPr>
          <w:p w:rsidR="003D1E4F" w:rsidRPr="00D136FB" w:rsidRDefault="003D1E4F">
            <w:pPr>
              <w:spacing w:before="40" w:after="40" w:line="276" w:lineRule="auto"/>
              <w:jc w:val="right"/>
              <w:rPr>
                <w:noProof/>
                <w:sz w:val="20"/>
                <w:szCs w:val="20"/>
                <w:lang w:eastAsia="bg-BG" w:bidi="bg-BG"/>
              </w:rPr>
            </w:pPr>
            <w:r w:rsidRPr="00D136FB">
              <w:rPr>
                <w:noProof/>
                <w:sz w:val="20"/>
              </w:rPr>
              <w:t>18,125</w:t>
            </w:r>
          </w:p>
        </w:tc>
        <w:tc>
          <w:tcPr>
            <w:tcW w:w="868" w:type="dxa"/>
            <w:tcBorders>
              <w:top w:val="single" w:sz="4" w:space="0" w:color="auto"/>
              <w:left w:val="single" w:sz="4" w:space="0" w:color="auto"/>
              <w:bottom w:val="single" w:sz="4" w:space="0" w:color="auto"/>
              <w:right w:val="single" w:sz="4" w:space="0" w:color="auto"/>
            </w:tcBorders>
            <w:vAlign w:val="center"/>
            <w:hideMark/>
          </w:tcPr>
          <w:p w:rsidR="003D1E4F" w:rsidRPr="00D136FB" w:rsidRDefault="003D1E4F">
            <w:pPr>
              <w:spacing w:before="40" w:after="40" w:line="276" w:lineRule="auto"/>
              <w:jc w:val="right"/>
              <w:rPr>
                <w:noProof/>
                <w:sz w:val="20"/>
                <w:szCs w:val="20"/>
                <w:lang w:eastAsia="bg-BG" w:bidi="bg-BG"/>
              </w:rPr>
            </w:pPr>
            <w:r w:rsidRPr="00D136FB">
              <w:rPr>
                <w:noProof/>
                <w:sz w:val="20"/>
              </w:rPr>
              <w:t>18,485</w:t>
            </w:r>
          </w:p>
        </w:tc>
        <w:tc>
          <w:tcPr>
            <w:tcW w:w="868" w:type="dxa"/>
            <w:tcBorders>
              <w:top w:val="single" w:sz="4" w:space="0" w:color="auto"/>
              <w:left w:val="single" w:sz="4" w:space="0" w:color="auto"/>
              <w:bottom w:val="single" w:sz="4" w:space="0" w:color="auto"/>
              <w:right w:val="single" w:sz="4" w:space="0" w:color="auto"/>
            </w:tcBorders>
            <w:vAlign w:val="center"/>
            <w:hideMark/>
          </w:tcPr>
          <w:p w:rsidR="003D1E4F" w:rsidRPr="00D136FB" w:rsidRDefault="003D1E4F">
            <w:pPr>
              <w:spacing w:before="40" w:after="40" w:line="276" w:lineRule="auto"/>
              <w:jc w:val="right"/>
              <w:rPr>
                <w:noProof/>
                <w:sz w:val="20"/>
                <w:szCs w:val="20"/>
                <w:lang w:eastAsia="bg-BG" w:bidi="bg-BG"/>
              </w:rPr>
            </w:pPr>
            <w:r w:rsidRPr="00D136FB">
              <w:rPr>
                <w:noProof/>
                <w:sz w:val="20"/>
              </w:rPr>
              <w:t>18,850</w:t>
            </w:r>
          </w:p>
        </w:tc>
        <w:tc>
          <w:tcPr>
            <w:tcW w:w="868" w:type="dxa"/>
            <w:tcBorders>
              <w:top w:val="single" w:sz="4" w:space="0" w:color="auto"/>
              <w:left w:val="single" w:sz="4" w:space="0" w:color="auto"/>
              <w:bottom w:val="single" w:sz="4" w:space="0" w:color="auto"/>
              <w:right w:val="single" w:sz="4" w:space="0" w:color="auto"/>
            </w:tcBorders>
            <w:vAlign w:val="center"/>
            <w:hideMark/>
          </w:tcPr>
          <w:p w:rsidR="003D1E4F" w:rsidRPr="00D136FB" w:rsidRDefault="003D1E4F">
            <w:pPr>
              <w:spacing w:before="40" w:after="40" w:line="276" w:lineRule="auto"/>
              <w:jc w:val="right"/>
              <w:rPr>
                <w:noProof/>
                <w:sz w:val="20"/>
                <w:szCs w:val="20"/>
                <w:lang w:eastAsia="bg-BG" w:bidi="bg-BG"/>
              </w:rPr>
            </w:pPr>
            <w:r w:rsidRPr="00D136FB">
              <w:rPr>
                <w:noProof/>
                <w:sz w:val="20"/>
              </w:rPr>
              <w:t>19,239</w:t>
            </w:r>
          </w:p>
        </w:tc>
        <w:tc>
          <w:tcPr>
            <w:tcW w:w="868" w:type="dxa"/>
            <w:tcBorders>
              <w:top w:val="single" w:sz="4" w:space="0" w:color="auto"/>
              <w:left w:val="single" w:sz="4" w:space="0" w:color="auto"/>
              <w:bottom w:val="single" w:sz="4" w:space="0" w:color="auto"/>
              <w:right w:val="single" w:sz="4" w:space="0" w:color="auto"/>
            </w:tcBorders>
            <w:vAlign w:val="center"/>
            <w:hideMark/>
          </w:tcPr>
          <w:p w:rsidR="003D1E4F" w:rsidRPr="00D136FB" w:rsidRDefault="003D1E4F">
            <w:pPr>
              <w:spacing w:before="40" w:after="40" w:line="276" w:lineRule="auto"/>
              <w:jc w:val="right"/>
              <w:rPr>
                <w:noProof/>
                <w:sz w:val="20"/>
                <w:szCs w:val="20"/>
                <w:lang w:eastAsia="bg-BG" w:bidi="bg-BG"/>
              </w:rPr>
            </w:pPr>
            <w:r w:rsidRPr="00D136FB">
              <w:rPr>
                <w:noProof/>
                <w:sz w:val="20"/>
              </w:rPr>
              <w:t>19,621</w:t>
            </w:r>
          </w:p>
        </w:tc>
        <w:tc>
          <w:tcPr>
            <w:tcW w:w="100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3D1E4F" w:rsidRPr="00D136FB" w:rsidRDefault="003D1E4F">
            <w:pPr>
              <w:spacing w:before="40" w:after="40" w:line="276" w:lineRule="auto"/>
              <w:jc w:val="right"/>
              <w:rPr>
                <w:b/>
                <w:noProof/>
                <w:sz w:val="20"/>
                <w:szCs w:val="20"/>
                <w:lang w:eastAsia="bg-BG" w:bidi="bg-BG"/>
              </w:rPr>
            </w:pPr>
          </w:p>
        </w:tc>
        <w:tc>
          <w:tcPr>
            <w:tcW w:w="1196" w:type="dxa"/>
            <w:gridSpan w:val="2"/>
            <w:tcBorders>
              <w:top w:val="single" w:sz="4" w:space="0" w:color="auto"/>
              <w:left w:val="single" w:sz="4" w:space="0" w:color="auto"/>
              <w:bottom w:val="single" w:sz="4" w:space="0" w:color="auto"/>
              <w:right w:val="single" w:sz="4" w:space="0" w:color="auto"/>
            </w:tcBorders>
            <w:vAlign w:val="center"/>
            <w:hideMark/>
          </w:tcPr>
          <w:p w:rsidR="003D1E4F" w:rsidRPr="00D136FB" w:rsidRDefault="003D1E4F">
            <w:pPr>
              <w:spacing w:before="40" w:after="40" w:line="276" w:lineRule="auto"/>
              <w:jc w:val="right"/>
              <w:rPr>
                <w:b/>
                <w:noProof/>
                <w:sz w:val="20"/>
                <w:szCs w:val="20"/>
                <w:lang w:eastAsia="bg-BG" w:bidi="bg-BG"/>
              </w:rPr>
            </w:pPr>
            <w:r w:rsidRPr="00D136FB">
              <w:rPr>
                <w:b/>
                <w:noProof/>
                <w:sz w:val="20"/>
              </w:rPr>
              <w:t>129,500</w:t>
            </w:r>
          </w:p>
        </w:tc>
      </w:tr>
      <w:tr w:rsidR="003D1E4F" w:rsidRPr="00D136FB" w:rsidTr="003D1E4F">
        <w:trPr>
          <w:jc w:val="center"/>
        </w:trPr>
        <w:tc>
          <w:tcPr>
            <w:tcW w:w="3920" w:type="dxa"/>
            <w:vMerge w:val="restart"/>
            <w:tcBorders>
              <w:top w:val="single" w:sz="4" w:space="0" w:color="auto"/>
              <w:left w:val="single" w:sz="4" w:space="0" w:color="auto"/>
              <w:bottom w:val="single" w:sz="4" w:space="0" w:color="auto"/>
              <w:right w:val="single" w:sz="4" w:space="0" w:color="auto"/>
            </w:tcBorders>
            <w:vAlign w:val="center"/>
            <w:hideMark/>
          </w:tcPr>
          <w:p w:rsidR="003D1E4F" w:rsidRPr="00D136FB" w:rsidRDefault="003D1E4F">
            <w:pPr>
              <w:spacing w:line="276" w:lineRule="auto"/>
              <w:jc w:val="left"/>
              <w:rPr>
                <w:b/>
                <w:noProof/>
                <w:lang w:eastAsia="bg-BG" w:bidi="bg-BG"/>
              </w:rPr>
            </w:pPr>
            <w:r w:rsidRPr="00D136FB">
              <w:rPr>
                <w:b/>
                <w:noProof/>
                <w:sz w:val="22"/>
              </w:rPr>
              <w:t xml:space="preserve">ОБЩО бюджетни кредити за </w:t>
            </w:r>
            <w:r w:rsidRPr="00D136FB">
              <w:rPr>
                <w:b/>
                <w:noProof/>
                <w:sz w:val="22"/>
              </w:rPr>
              <w:lastRenderedPageBreak/>
              <w:t>финансовия пакет на програмата</w:t>
            </w:r>
            <w:r w:rsidRPr="00D136FB">
              <w:rPr>
                <w:rStyle w:val="FootnoteReference"/>
                <w:b/>
                <w:noProof/>
                <w:sz w:val="22"/>
              </w:rPr>
              <w:footnoteReference w:id="38"/>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3D1E4F" w:rsidRPr="00D136FB" w:rsidRDefault="003D1E4F">
            <w:pPr>
              <w:spacing w:line="276" w:lineRule="auto"/>
              <w:jc w:val="left"/>
              <w:rPr>
                <w:b/>
                <w:noProof/>
                <w:sz w:val="18"/>
                <w:lang w:eastAsia="bg-BG" w:bidi="bg-BG"/>
              </w:rPr>
            </w:pPr>
            <w:r w:rsidRPr="00D136FB">
              <w:rPr>
                <w:b/>
                <w:noProof/>
                <w:sz w:val="18"/>
              </w:rPr>
              <w:lastRenderedPageBreak/>
              <w:t>Поети задължения</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3D1E4F" w:rsidRPr="00D136FB" w:rsidRDefault="003D1E4F">
            <w:pPr>
              <w:spacing w:line="276" w:lineRule="auto"/>
              <w:jc w:val="center"/>
              <w:rPr>
                <w:b/>
                <w:noProof/>
                <w:sz w:val="14"/>
                <w:lang w:eastAsia="bg-BG" w:bidi="bg-BG"/>
              </w:rPr>
            </w:pPr>
            <w:r w:rsidRPr="00D136FB">
              <w:rPr>
                <w:b/>
                <w:noProof/>
                <w:sz w:val="14"/>
              </w:rPr>
              <w:t>=1+3</w:t>
            </w:r>
          </w:p>
        </w:tc>
        <w:tc>
          <w:tcPr>
            <w:tcW w:w="992" w:type="dxa"/>
            <w:tcBorders>
              <w:top w:val="single" w:sz="4" w:space="0" w:color="auto"/>
              <w:left w:val="single" w:sz="4" w:space="0" w:color="auto"/>
              <w:bottom w:val="single" w:sz="4" w:space="0" w:color="auto"/>
              <w:right w:val="single" w:sz="4" w:space="0" w:color="auto"/>
            </w:tcBorders>
            <w:vAlign w:val="center"/>
            <w:hideMark/>
          </w:tcPr>
          <w:p w:rsidR="003D1E4F" w:rsidRPr="00D136FB" w:rsidRDefault="003D1E4F">
            <w:pPr>
              <w:spacing w:before="20" w:after="20" w:line="276" w:lineRule="auto"/>
              <w:jc w:val="right"/>
              <w:rPr>
                <w:b/>
                <w:noProof/>
                <w:sz w:val="20"/>
                <w:szCs w:val="20"/>
                <w:lang w:eastAsia="bg-BG" w:bidi="bg-BG"/>
              </w:rPr>
            </w:pPr>
            <w:r w:rsidRPr="00D136FB">
              <w:rPr>
                <w:b/>
                <w:noProof/>
                <w:sz w:val="20"/>
              </w:rPr>
              <w:t>249,042</w:t>
            </w:r>
          </w:p>
        </w:tc>
        <w:tc>
          <w:tcPr>
            <w:tcW w:w="895" w:type="dxa"/>
            <w:tcBorders>
              <w:top w:val="single" w:sz="4" w:space="0" w:color="auto"/>
              <w:left w:val="single" w:sz="4" w:space="0" w:color="auto"/>
              <w:bottom w:val="single" w:sz="4" w:space="0" w:color="auto"/>
              <w:right w:val="single" w:sz="4" w:space="0" w:color="auto"/>
            </w:tcBorders>
            <w:vAlign w:val="center"/>
            <w:hideMark/>
          </w:tcPr>
          <w:p w:rsidR="003D1E4F" w:rsidRPr="00D136FB" w:rsidRDefault="003D1E4F">
            <w:pPr>
              <w:spacing w:before="20" w:after="20" w:line="276" w:lineRule="auto"/>
              <w:jc w:val="right"/>
              <w:rPr>
                <w:b/>
                <w:noProof/>
                <w:sz w:val="20"/>
                <w:szCs w:val="20"/>
                <w:lang w:eastAsia="bg-BG" w:bidi="bg-BG"/>
              </w:rPr>
            </w:pPr>
            <w:r w:rsidRPr="00D136FB">
              <w:rPr>
                <w:b/>
                <w:noProof/>
                <w:sz w:val="20"/>
              </w:rPr>
              <w:t>254,023</w:t>
            </w:r>
          </w:p>
        </w:tc>
        <w:tc>
          <w:tcPr>
            <w:tcW w:w="868" w:type="dxa"/>
            <w:tcBorders>
              <w:top w:val="single" w:sz="4" w:space="0" w:color="auto"/>
              <w:left w:val="single" w:sz="4" w:space="0" w:color="auto"/>
              <w:bottom w:val="single" w:sz="4" w:space="0" w:color="auto"/>
              <w:right w:val="single" w:sz="4" w:space="0" w:color="auto"/>
            </w:tcBorders>
            <w:vAlign w:val="center"/>
            <w:hideMark/>
          </w:tcPr>
          <w:p w:rsidR="003D1E4F" w:rsidRPr="00D136FB" w:rsidRDefault="003D1E4F">
            <w:pPr>
              <w:spacing w:before="20" w:after="20" w:line="276" w:lineRule="auto"/>
              <w:jc w:val="right"/>
              <w:rPr>
                <w:b/>
                <w:noProof/>
                <w:sz w:val="20"/>
                <w:szCs w:val="20"/>
                <w:lang w:eastAsia="bg-BG" w:bidi="bg-BG"/>
              </w:rPr>
            </w:pPr>
            <w:r w:rsidRPr="00D136FB">
              <w:rPr>
                <w:b/>
                <w:noProof/>
                <w:sz w:val="20"/>
              </w:rPr>
              <w:t>259,103</w:t>
            </w:r>
          </w:p>
        </w:tc>
        <w:tc>
          <w:tcPr>
            <w:tcW w:w="868" w:type="dxa"/>
            <w:tcBorders>
              <w:top w:val="single" w:sz="4" w:space="0" w:color="auto"/>
              <w:left w:val="single" w:sz="4" w:space="0" w:color="auto"/>
              <w:bottom w:val="single" w:sz="4" w:space="0" w:color="auto"/>
              <w:right w:val="single" w:sz="4" w:space="0" w:color="auto"/>
            </w:tcBorders>
            <w:vAlign w:val="center"/>
            <w:hideMark/>
          </w:tcPr>
          <w:p w:rsidR="003D1E4F" w:rsidRPr="00D136FB" w:rsidRDefault="003D1E4F">
            <w:pPr>
              <w:spacing w:before="20" w:after="20" w:line="276" w:lineRule="auto"/>
              <w:jc w:val="right"/>
              <w:rPr>
                <w:b/>
                <w:noProof/>
                <w:sz w:val="20"/>
                <w:szCs w:val="20"/>
                <w:lang w:eastAsia="bg-BG" w:bidi="bg-BG"/>
              </w:rPr>
            </w:pPr>
            <w:r w:rsidRPr="00D136FB">
              <w:rPr>
                <w:b/>
                <w:noProof/>
                <w:sz w:val="20"/>
              </w:rPr>
              <w:t>264,286</w:t>
            </w:r>
          </w:p>
        </w:tc>
        <w:tc>
          <w:tcPr>
            <w:tcW w:w="868" w:type="dxa"/>
            <w:tcBorders>
              <w:top w:val="single" w:sz="4" w:space="0" w:color="auto"/>
              <w:left w:val="single" w:sz="4" w:space="0" w:color="auto"/>
              <w:bottom w:val="single" w:sz="4" w:space="0" w:color="auto"/>
              <w:right w:val="single" w:sz="4" w:space="0" w:color="auto"/>
            </w:tcBorders>
            <w:vAlign w:val="center"/>
            <w:hideMark/>
          </w:tcPr>
          <w:p w:rsidR="003D1E4F" w:rsidRPr="00D136FB" w:rsidRDefault="003D1E4F">
            <w:pPr>
              <w:spacing w:before="20" w:after="20" w:line="276" w:lineRule="auto"/>
              <w:jc w:val="right"/>
              <w:rPr>
                <w:b/>
                <w:noProof/>
                <w:sz w:val="20"/>
                <w:szCs w:val="20"/>
                <w:lang w:eastAsia="bg-BG" w:bidi="bg-BG"/>
              </w:rPr>
            </w:pPr>
            <w:r w:rsidRPr="00D136FB">
              <w:rPr>
                <w:b/>
                <w:noProof/>
                <w:sz w:val="20"/>
              </w:rPr>
              <w:t>269,571</w:t>
            </w:r>
          </w:p>
        </w:tc>
        <w:tc>
          <w:tcPr>
            <w:tcW w:w="868" w:type="dxa"/>
            <w:tcBorders>
              <w:top w:val="single" w:sz="4" w:space="0" w:color="auto"/>
              <w:left w:val="single" w:sz="4" w:space="0" w:color="auto"/>
              <w:bottom w:val="single" w:sz="4" w:space="0" w:color="auto"/>
              <w:right w:val="single" w:sz="4" w:space="0" w:color="auto"/>
            </w:tcBorders>
            <w:vAlign w:val="center"/>
            <w:hideMark/>
          </w:tcPr>
          <w:p w:rsidR="003D1E4F" w:rsidRPr="00D136FB" w:rsidRDefault="003D1E4F">
            <w:pPr>
              <w:spacing w:before="20" w:after="20" w:line="276" w:lineRule="auto"/>
              <w:jc w:val="right"/>
              <w:rPr>
                <w:b/>
                <w:noProof/>
                <w:sz w:val="20"/>
                <w:szCs w:val="20"/>
                <w:lang w:eastAsia="bg-BG" w:bidi="bg-BG"/>
              </w:rPr>
            </w:pPr>
            <w:r w:rsidRPr="00D136FB">
              <w:rPr>
                <w:b/>
                <w:noProof/>
                <w:sz w:val="20"/>
              </w:rPr>
              <w:t>274,963</w:t>
            </w:r>
          </w:p>
        </w:tc>
        <w:tc>
          <w:tcPr>
            <w:tcW w:w="868" w:type="dxa"/>
            <w:tcBorders>
              <w:top w:val="single" w:sz="4" w:space="0" w:color="auto"/>
              <w:left w:val="single" w:sz="4" w:space="0" w:color="auto"/>
              <w:bottom w:val="single" w:sz="4" w:space="0" w:color="auto"/>
              <w:right w:val="single" w:sz="4" w:space="0" w:color="auto"/>
            </w:tcBorders>
            <w:vAlign w:val="center"/>
            <w:hideMark/>
          </w:tcPr>
          <w:p w:rsidR="003D1E4F" w:rsidRPr="00D136FB" w:rsidRDefault="003D1E4F">
            <w:pPr>
              <w:spacing w:before="20" w:after="20" w:line="276" w:lineRule="auto"/>
              <w:jc w:val="right"/>
              <w:rPr>
                <w:b/>
                <w:noProof/>
                <w:sz w:val="20"/>
                <w:szCs w:val="20"/>
                <w:lang w:eastAsia="bg-BG" w:bidi="bg-BG"/>
              </w:rPr>
            </w:pPr>
            <w:r w:rsidRPr="00D136FB">
              <w:rPr>
                <w:b/>
                <w:noProof/>
                <w:sz w:val="20"/>
              </w:rPr>
              <w:t>279,012</w:t>
            </w:r>
          </w:p>
        </w:tc>
        <w:tc>
          <w:tcPr>
            <w:tcW w:w="100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3D1E4F" w:rsidRPr="00D136FB" w:rsidRDefault="003D1E4F">
            <w:pPr>
              <w:spacing w:before="20" w:after="20" w:line="276" w:lineRule="auto"/>
              <w:jc w:val="right"/>
              <w:rPr>
                <w:b/>
                <w:noProof/>
                <w:sz w:val="20"/>
                <w:szCs w:val="20"/>
                <w:lang w:eastAsia="bg-BG" w:bidi="bg-BG"/>
              </w:rPr>
            </w:pPr>
          </w:p>
        </w:tc>
        <w:tc>
          <w:tcPr>
            <w:tcW w:w="1196" w:type="dxa"/>
            <w:gridSpan w:val="2"/>
            <w:tcBorders>
              <w:top w:val="single" w:sz="4" w:space="0" w:color="auto"/>
              <w:left w:val="single" w:sz="4" w:space="0" w:color="auto"/>
              <w:bottom w:val="single" w:sz="4" w:space="0" w:color="auto"/>
              <w:right w:val="single" w:sz="4" w:space="0" w:color="auto"/>
            </w:tcBorders>
            <w:vAlign w:val="center"/>
            <w:hideMark/>
          </w:tcPr>
          <w:p w:rsidR="003D1E4F" w:rsidRPr="00D136FB" w:rsidRDefault="003D1E4F">
            <w:pPr>
              <w:spacing w:before="20" w:after="20" w:line="276" w:lineRule="auto"/>
              <w:jc w:val="right"/>
              <w:rPr>
                <w:b/>
                <w:noProof/>
                <w:sz w:val="20"/>
                <w:szCs w:val="20"/>
                <w:lang w:eastAsia="bg-BG" w:bidi="bg-BG"/>
              </w:rPr>
            </w:pPr>
            <w:r w:rsidRPr="00D136FB">
              <w:rPr>
                <w:b/>
                <w:noProof/>
                <w:sz w:val="20"/>
              </w:rPr>
              <w:t>1 850,000</w:t>
            </w:r>
          </w:p>
        </w:tc>
      </w:tr>
      <w:tr w:rsidR="003D1E4F" w:rsidRPr="00D136FB" w:rsidTr="003D1E4F">
        <w:trPr>
          <w:jc w:val="center"/>
        </w:trPr>
        <w:tc>
          <w:tcPr>
            <w:tcW w:w="6046" w:type="dxa"/>
            <w:vMerge/>
            <w:tcBorders>
              <w:top w:val="single" w:sz="4" w:space="0" w:color="auto"/>
              <w:left w:val="single" w:sz="4" w:space="0" w:color="auto"/>
              <w:bottom w:val="single" w:sz="4" w:space="0" w:color="auto"/>
              <w:right w:val="single" w:sz="4" w:space="0" w:color="auto"/>
            </w:tcBorders>
            <w:vAlign w:val="center"/>
            <w:hideMark/>
          </w:tcPr>
          <w:p w:rsidR="003D1E4F" w:rsidRPr="00D136FB" w:rsidRDefault="003D1E4F">
            <w:pPr>
              <w:spacing w:before="0" w:after="0"/>
              <w:jc w:val="left"/>
              <w:rPr>
                <w:b/>
                <w:noProof/>
                <w:lang w:eastAsia="bg-BG" w:bidi="bg-BG"/>
              </w:rPr>
            </w:pP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3D1E4F" w:rsidRPr="00D136FB" w:rsidRDefault="003D1E4F">
            <w:pPr>
              <w:spacing w:line="276" w:lineRule="auto"/>
              <w:jc w:val="left"/>
              <w:rPr>
                <w:b/>
                <w:noProof/>
                <w:sz w:val="18"/>
                <w:lang w:eastAsia="bg-BG" w:bidi="bg-BG"/>
              </w:rPr>
            </w:pPr>
            <w:r w:rsidRPr="00D136FB">
              <w:rPr>
                <w:b/>
                <w:noProof/>
                <w:sz w:val="18"/>
              </w:rPr>
              <w:t>Плащания</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3D1E4F" w:rsidRPr="00D136FB" w:rsidRDefault="003D1E4F">
            <w:pPr>
              <w:spacing w:line="276" w:lineRule="auto"/>
              <w:jc w:val="center"/>
              <w:rPr>
                <w:b/>
                <w:noProof/>
                <w:sz w:val="14"/>
                <w:lang w:eastAsia="bg-BG" w:bidi="bg-BG"/>
              </w:rPr>
            </w:pPr>
            <w:r w:rsidRPr="00D136FB">
              <w:rPr>
                <w:b/>
                <w:noProof/>
                <w:sz w:val="14"/>
              </w:rPr>
              <w:t>=2+3</w:t>
            </w:r>
          </w:p>
        </w:tc>
        <w:tc>
          <w:tcPr>
            <w:tcW w:w="992" w:type="dxa"/>
            <w:tcBorders>
              <w:top w:val="single" w:sz="4" w:space="0" w:color="auto"/>
              <w:left w:val="single" w:sz="4" w:space="0" w:color="auto"/>
              <w:bottom w:val="single" w:sz="4" w:space="0" w:color="auto"/>
              <w:right w:val="single" w:sz="4" w:space="0" w:color="auto"/>
            </w:tcBorders>
            <w:vAlign w:val="center"/>
            <w:hideMark/>
          </w:tcPr>
          <w:p w:rsidR="003D1E4F" w:rsidRPr="00D136FB" w:rsidRDefault="003D1E4F">
            <w:pPr>
              <w:spacing w:before="20" w:after="20" w:line="276" w:lineRule="auto"/>
              <w:jc w:val="right"/>
              <w:rPr>
                <w:b/>
                <w:noProof/>
                <w:sz w:val="20"/>
                <w:szCs w:val="20"/>
                <w:lang w:eastAsia="bg-BG" w:bidi="bg-BG"/>
              </w:rPr>
            </w:pPr>
            <w:r w:rsidRPr="00D136FB">
              <w:rPr>
                <w:b/>
                <w:noProof/>
                <w:sz w:val="20"/>
              </w:rPr>
              <w:t>141,448</w:t>
            </w:r>
          </w:p>
        </w:tc>
        <w:tc>
          <w:tcPr>
            <w:tcW w:w="895" w:type="dxa"/>
            <w:tcBorders>
              <w:top w:val="single" w:sz="4" w:space="0" w:color="auto"/>
              <w:left w:val="single" w:sz="4" w:space="0" w:color="auto"/>
              <w:bottom w:val="single" w:sz="4" w:space="0" w:color="auto"/>
              <w:right w:val="single" w:sz="4" w:space="0" w:color="auto"/>
            </w:tcBorders>
            <w:vAlign w:val="center"/>
            <w:hideMark/>
          </w:tcPr>
          <w:p w:rsidR="003D1E4F" w:rsidRPr="00D136FB" w:rsidRDefault="003D1E4F">
            <w:pPr>
              <w:spacing w:before="20" w:after="20" w:line="276" w:lineRule="auto"/>
              <w:jc w:val="right"/>
              <w:rPr>
                <w:b/>
                <w:noProof/>
                <w:sz w:val="20"/>
                <w:szCs w:val="20"/>
                <w:lang w:eastAsia="bg-BG" w:bidi="bg-BG"/>
              </w:rPr>
            </w:pPr>
            <w:r w:rsidRPr="00D136FB">
              <w:rPr>
                <w:b/>
                <w:noProof/>
                <w:sz w:val="20"/>
              </w:rPr>
              <w:t>182,852</w:t>
            </w:r>
          </w:p>
        </w:tc>
        <w:tc>
          <w:tcPr>
            <w:tcW w:w="868" w:type="dxa"/>
            <w:tcBorders>
              <w:top w:val="single" w:sz="4" w:space="0" w:color="auto"/>
              <w:left w:val="single" w:sz="4" w:space="0" w:color="auto"/>
              <w:bottom w:val="single" w:sz="4" w:space="0" w:color="auto"/>
              <w:right w:val="single" w:sz="4" w:space="0" w:color="auto"/>
            </w:tcBorders>
            <w:vAlign w:val="center"/>
            <w:hideMark/>
          </w:tcPr>
          <w:p w:rsidR="003D1E4F" w:rsidRPr="00D136FB" w:rsidRDefault="003D1E4F">
            <w:pPr>
              <w:spacing w:before="20" w:after="20" w:line="276" w:lineRule="auto"/>
              <w:jc w:val="right"/>
              <w:rPr>
                <w:b/>
                <w:noProof/>
                <w:sz w:val="20"/>
                <w:szCs w:val="20"/>
                <w:lang w:eastAsia="bg-BG" w:bidi="bg-BG"/>
              </w:rPr>
            </w:pPr>
            <w:r w:rsidRPr="00D136FB">
              <w:rPr>
                <w:b/>
                <w:noProof/>
                <w:sz w:val="20"/>
              </w:rPr>
              <w:t>225,767</w:t>
            </w:r>
          </w:p>
        </w:tc>
        <w:tc>
          <w:tcPr>
            <w:tcW w:w="868" w:type="dxa"/>
            <w:tcBorders>
              <w:top w:val="single" w:sz="4" w:space="0" w:color="auto"/>
              <w:left w:val="single" w:sz="4" w:space="0" w:color="auto"/>
              <w:bottom w:val="single" w:sz="4" w:space="0" w:color="auto"/>
              <w:right w:val="single" w:sz="4" w:space="0" w:color="auto"/>
            </w:tcBorders>
            <w:vAlign w:val="center"/>
            <w:hideMark/>
          </w:tcPr>
          <w:p w:rsidR="003D1E4F" w:rsidRPr="00D136FB" w:rsidRDefault="003D1E4F">
            <w:pPr>
              <w:spacing w:before="20" w:after="20" w:line="276" w:lineRule="auto"/>
              <w:jc w:val="right"/>
              <w:rPr>
                <w:b/>
                <w:noProof/>
                <w:sz w:val="20"/>
                <w:szCs w:val="20"/>
                <w:lang w:eastAsia="bg-BG" w:bidi="bg-BG"/>
              </w:rPr>
            </w:pPr>
            <w:r w:rsidRPr="00D136FB">
              <w:rPr>
                <w:b/>
                <w:noProof/>
                <w:sz w:val="20"/>
              </w:rPr>
              <w:t>240,465</w:t>
            </w:r>
          </w:p>
        </w:tc>
        <w:tc>
          <w:tcPr>
            <w:tcW w:w="868" w:type="dxa"/>
            <w:tcBorders>
              <w:top w:val="single" w:sz="4" w:space="0" w:color="auto"/>
              <w:left w:val="single" w:sz="4" w:space="0" w:color="auto"/>
              <w:bottom w:val="single" w:sz="4" w:space="0" w:color="auto"/>
              <w:right w:val="single" w:sz="4" w:space="0" w:color="auto"/>
            </w:tcBorders>
            <w:vAlign w:val="center"/>
            <w:hideMark/>
          </w:tcPr>
          <w:p w:rsidR="003D1E4F" w:rsidRPr="00D136FB" w:rsidRDefault="003D1E4F">
            <w:pPr>
              <w:spacing w:before="20" w:after="20" w:line="276" w:lineRule="auto"/>
              <w:jc w:val="right"/>
              <w:rPr>
                <w:b/>
                <w:noProof/>
                <w:sz w:val="20"/>
                <w:szCs w:val="20"/>
                <w:lang w:eastAsia="bg-BG" w:bidi="bg-BG"/>
              </w:rPr>
            </w:pPr>
            <w:r w:rsidRPr="00D136FB">
              <w:rPr>
                <w:b/>
                <w:noProof/>
                <w:sz w:val="20"/>
              </w:rPr>
              <w:t>248,504</w:t>
            </w:r>
          </w:p>
        </w:tc>
        <w:tc>
          <w:tcPr>
            <w:tcW w:w="868" w:type="dxa"/>
            <w:tcBorders>
              <w:top w:val="single" w:sz="4" w:space="0" w:color="auto"/>
              <w:left w:val="single" w:sz="4" w:space="0" w:color="auto"/>
              <w:bottom w:val="single" w:sz="4" w:space="0" w:color="auto"/>
              <w:right w:val="single" w:sz="4" w:space="0" w:color="auto"/>
            </w:tcBorders>
            <w:vAlign w:val="center"/>
            <w:hideMark/>
          </w:tcPr>
          <w:p w:rsidR="003D1E4F" w:rsidRPr="00D136FB" w:rsidRDefault="003D1E4F">
            <w:pPr>
              <w:spacing w:before="20" w:after="20" w:line="276" w:lineRule="auto"/>
              <w:jc w:val="right"/>
              <w:rPr>
                <w:b/>
                <w:noProof/>
                <w:sz w:val="20"/>
                <w:szCs w:val="20"/>
                <w:lang w:eastAsia="bg-BG" w:bidi="bg-BG"/>
              </w:rPr>
            </w:pPr>
            <w:r w:rsidRPr="00D136FB">
              <w:rPr>
                <w:b/>
                <w:noProof/>
                <w:sz w:val="20"/>
              </w:rPr>
              <w:t>255,522</w:t>
            </w:r>
          </w:p>
        </w:tc>
        <w:tc>
          <w:tcPr>
            <w:tcW w:w="868" w:type="dxa"/>
            <w:tcBorders>
              <w:top w:val="single" w:sz="4" w:space="0" w:color="auto"/>
              <w:left w:val="single" w:sz="4" w:space="0" w:color="auto"/>
              <w:bottom w:val="single" w:sz="4" w:space="0" w:color="auto"/>
              <w:right w:val="single" w:sz="4" w:space="0" w:color="auto"/>
            </w:tcBorders>
            <w:vAlign w:val="center"/>
            <w:hideMark/>
          </w:tcPr>
          <w:p w:rsidR="003D1E4F" w:rsidRPr="00D136FB" w:rsidRDefault="003D1E4F">
            <w:pPr>
              <w:spacing w:before="20" w:after="20" w:line="276" w:lineRule="auto"/>
              <w:jc w:val="right"/>
              <w:rPr>
                <w:b/>
                <w:noProof/>
                <w:sz w:val="20"/>
                <w:szCs w:val="20"/>
                <w:lang w:eastAsia="bg-BG" w:bidi="bg-BG"/>
              </w:rPr>
            </w:pPr>
            <w:r w:rsidRPr="00D136FB">
              <w:rPr>
                <w:b/>
                <w:noProof/>
                <w:sz w:val="20"/>
              </w:rPr>
              <w:t>260,963</w:t>
            </w:r>
          </w:p>
        </w:tc>
        <w:tc>
          <w:tcPr>
            <w:tcW w:w="1002" w:type="dxa"/>
            <w:tcBorders>
              <w:top w:val="single" w:sz="4" w:space="0" w:color="auto"/>
              <w:left w:val="single" w:sz="4" w:space="0" w:color="auto"/>
              <w:bottom w:val="single" w:sz="4" w:space="0" w:color="auto"/>
              <w:right w:val="single" w:sz="4" w:space="0" w:color="auto"/>
            </w:tcBorders>
            <w:vAlign w:val="center"/>
            <w:hideMark/>
          </w:tcPr>
          <w:p w:rsidR="003D1E4F" w:rsidRPr="00D136FB" w:rsidRDefault="003D1E4F">
            <w:pPr>
              <w:spacing w:before="20" w:after="20" w:line="276" w:lineRule="auto"/>
              <w:jc w:val="center"/>
              <w:rPr>
                <w:b/>
                <w:i/>
                <w:sz w:val="20"/>
                <w:lang w:eastAsia="bg-BG" w:bidi="bg-BG"/>
              </w:rPr>
            </w:pPr>
            <w:r w:rsidRPr="00D136FB">
              <w:rPr>
                <w:b/>
                <w:i/>
                <w:noProof/>
                <w:sz w:val="20"/>
              </w:rPr>
              <w:t>294,479</w:t>
            </w:r>
          </w:p>
        </w:tc>
        <w:tc>
          <w:tcPr>
            <w:tcW w:w="1196" w:type="dxa"/>
            <w:gridSpan w:val="2"/>
            <w:tcBorders>
              <w:top w:val="single" w:sz="4" w:space="0" w:color="auto"/>
              <w:left w:val="single" w:sz="4" w:space="0" w:color="auto"/>
              <w:bottom w:val="single" w:sz="4" w:space="0" w:color="auto"/>
              <w:right w:val="single" w:sz="4" w:space="0" w:color="auto"/>
            </w:tcBorders>
            <w:vAlign w:val="center"/>
            <w:hideMark/>
          </w:tcPr>
          <w:p w:rsidR="003D1E4F" w:rsidRPr="00D136FB" w:rsidRDefault="003D1E4F">
            <w:pPr>
              <w:spacing w:before="20" w:after="20" w:line="276" w:lineRule="auto"/>
              <w:jc w:val="right"/>
              <w:rPr>
                <w:b/>
                <w:noProof/>
                <w:sz w:val="20"/>
                <w:szCs w:val="20"/>
                <w:lang w:eastAsia="bg-BG" w:bidi="bg-BG"/>
              </w:rPr>
            </w:pPr>
            <w:r w:rsidRPr="00D136FB">
              <w:rPr>
                <w:b/>
                <w:noProof/>
                <w:sz w:val="20"/>
              </w:rPr>
              <w:t>1 850,000</w:t>
            </w:r>
          </w:p>
        </w:tc>
      </w:tr>
    </w:tbl>
    <w:p w:rsidR="003D1E4F" w:rsidRPr="00D136FB" w:rsidRDefault="003D1E4F" w:rsidP="00C26321">
      <w:pPr>
        <w:spacing w:before="0" w:after="0"/>
        <w:rPr>
          <w:noProof/>
          <w:lang w:eastAsia="bg-BG" w:bidi="bg-BG"/>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3D1E4F" w:rsidRPr="00D136FB" w:rsidTr="003D1E4F">
        <w:trPr>
          <w:jc w:val="center"/>
        </w:trPr>
        <w:tc>
          <w:tcPr>
            <w:tcW w:w="4744" w:type="dxa"/>
            <w:tcBorders>
              <w:top w:val="single" w:sz="4" w:space="0" w:color="auto"/>
              <w:left w:val="single" w:sz="4" w:space="0" w:color="auto"/>
              <w:bottom w:val="single" w:sz="4" w:space="0" w:color="auto"/>
              <w:right w:val="single" w:sz="4" w:space="0" w:color="auto"/>
            </w:tcBorders>
            <w:shd w:val="thinDiagStripe" w:color="C0C0C0" w:fill="auto"/>
            <w:vAlign w:val="center"/>
            <w:hideMark/>
          </w:tcPr>
          <w:p w:rsidR="003D1E4F" w:rsidRPr="00D136FB" w:rsidRDefault="003D1E4F">
            <w:pPr>
              <w:spacing w:before="60" w:after="60" w:line="276" w:lineRule="auto"/>
              <w:jc w:val="center"/>
              <w:rPr>
                <w:b/>
                <w:noProof/>
                <w:lang w:eastAsia="bg-BG" w:bidi="bg-BG"/>
              </w:rPr>
            </w:pPr>
            <w:r w:rsidRPr="00D136FB">
              <w:br w:type="page"/>
            </w:r>
            <w:r w:rsidRPr="00D136FB">
              <w:rPr>
                <w:b/>
                <w:noProof/>
                <w:sz w:val="22"/>
              </w:rPr>
              <w:t xml:space="preserve">Функция от многогодишната финансова </w:t>
            </w:r>
            <w:r w:rsidRPr="00D136FB">
              <w:rPr>
                <w:noProof/>
                <w:sz w:val="22"/>
              </w:rPr>
              <w:br/>
            </w:r>
            <w:r w:rsidRPr="00D136FB">
              <w:rPr>
                <w:b/>
                <w:noProof/>
                <w:sz w:val="22"/>
              </w:rPr>
              <w:t xml:space="preserve">рамка </w:t>
            </w:r>
          </w:p>
        </w:tc>
        <w:tc>
          <w:tcPr>
            <w:tcW w:w="1080" w:type="dxa"/>
            <w:tcBorders>
              <w:top w:val="single" w:sz="4" w:space="0" w:color="auto"/>
              <w:left w:val="single" w:sz="4" w:space="0" w:color="auto"/>
              <w:bottom w:val="single" w:sz="4" w:space="0" w:color="auto"/>
              <w:right w:val="single" w:sz="4" w:space="0" w:color="auto"/>
            </w:tcBorders>
            <w:shd w:val="thinDiagStripe" w:color="C0C0C0" w:fill="auto"/>
            <w:vAlign w:val="center"/>
            <w:hideMark/>
          </w:tcPr>
          <w:p w:rsidR="003D1E4F" w:rsidRPr="00D136FB" w:rsidRDefault="003D1E4F">
            <w:pPr>
              <w:spacing w:before="60" w:after="60" w:line="276" w:lineRule="auto"/>
              <w:jc w:val="center"/>
              <w:rPr>
                <w:noProof/>
                <w:lang w:eastAsia="bg-BG" w:bidi="bg-BG"/>
              </w:rPr>
            </w:pPr>
            <w:r w:rsidRPr="00D136FB">
              <w:t>7</w:t>
            </w:r>
          </w:p>
        </w:tc>
        <w:tc>
          <w:tcPr>
            <w:tcW w:w="7817" w:type="dxa"/>
            <w:tcBorders>
              <w:top w:val="single" w:sz="4" w:space="0" w:color="auto"/>
              <w:left w:val="single" w:sz="4" w:space="0" w:color="auto"/>
              <w:bottom w:val="single" w:sz="4" w:space="0" w:color="auto"/>
              <w:right w:val="single" w:sz="4" w:space="0" w:color="auto"/>
            </w:tcBorders>
            <w:vAlign w:val="center"/>
            <w:hideMark/>
          </w:tcPr>
          <w:p w:rsidR="003D1E4F" w:rsidRPr="00D136FB" w:rsidRDefault="003D1E4F">
            <w:pPr>
              <w:spacing w:before="60" w:after="60" w:line="276" w:lineRule="auto"/>
              <w:rPr>
                <w:noProof/>
                <w:lang w:eastAsia="bg-BG" w:bidi="bg-BG"/>
              </w:rPr>
            </w:pPr>
            <w:r w:rsidRPr="00D136FB">
              <w:rPr>
                <w:noProof/>
                <w:sz w:val="22"/>
              </w:rPr>
              <w:t>„Административни разходи“</w:t>
            </w:r>
          </w:p>
        </w:tc>
      </w:tr>
    </w:tbl>
    <w:p w:rsidR="003D1E4F" w:rsidRPr="00C26321" w:rsidRDefault="003D1E4F" w:rsidP="003D1E4F">
      <w:pPr>
        <w:jc w:val="left"/>
        <w:rPr>
          <w:noProof/>
          <w:spacing w:val="-6"/>
          <w:lang w:eastAsia="bg-BG" w:bidi="bg-BG"/>
        </w:rPr>
      </w:pPr>
      <w:r w:rsidRPr="00C26321">
        <w:rPr>
          <w:spacing w:val="-6"/>
        </w:rPr>
        <w:t xml:space="preserve">Тази част следва да бъде попълнена, като се използва таблицата за бюджетни данни от административно естество, която най-напред се въвежда в </w:t>
      </w:r>
      <w:hyperlink r:id="rId27" w:history="1">
        <w:r w:rsidRPr="00C26321">
          <w:rPr>
            <w:rStyle w:val="Hyperlink"/>
            <w:noProof/>
            <w:spacing w:val="-6"/>
          </w:rPr>
          <w:t>приложението към финансовата обосновка</w:t>
        </w:r>
      </w:hyperlink>
      <w:r w:rsidRPr="00C26321">
        <w:rPr>
          <w:spacing w:val="-6"/>
        </w:rPr>
        <w:t>), което се качва в DECIDE за провеждането на вътрешни консултации между службите.</w:t>
      </w:r>
    </w:p>
    <w:p w:rsidR="003D1E4F" w:rsidRPr="00D136FB" w:rsidRDefault="003D1E4F" w:rsidP="003D1E4F">
      <w:pPr>
        <w:jc w:val="right"/>
        <w:rPr>
          <w:noProof/>
          <w:sz w:val="20"/>
        </w:rPr>
      </w:pPr>
      <w:r w:rsidRPr="00D136FB">
        <w:rPr>
          <w:noProof/>
          <w:sz w:val="20"/>
        </w:rPr>
        <w:t>млн. евро (до 3-тия знак след десетичната запетая)</w:t>
      </w:r>
    </w:p>
    <w:tbl>
      <w:tblPr>
        <w:tblW w:w="14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02"/>
        <w:gridCol w:w="2048"/>
        <w:gridCol w:w="869"/>
        <w:gridCol w:w="868"/>
        <w:gridCol w:w="868"/>
        <w:gridCol w:w="868"/>
        <w:gridCol w:w="868"/>
        <w:gridCol w:w="868"/>
        <w:gridCol w:w="868"/>
        <w:gridCol w:w="1110"/>
        <w:gridCol w:w="1068"/>
      </w:tblGrid>
      <w:tr w:rsidR="003D1E4F" w:rsidRPr="00D136FB" w:rsidTr="003D1E4F">
        <w:trPr>
          <w:jc w:val="center"/>
        </w:trPr>
        <w:tc>
          <w:tcPr>
            <w:tcW w:w="6245" w:type="dxa"/>
            <w:gridSpan w:val="2"/>
            <w:tcBorders>
              <w:top w:val="nil"/>
              <w:left w:val="nil"/>
              <w:bottom w:val="single" w:sz="4" w:space="0" w:color="auto"/>
              <w:right w:val="single" w:sz="4" w:space="0" w:color="auto"/>
            </w:tcBorders>
            <w:vAlign w:val="center"/>
          </w:tcPr>
          <w:p w:rsidR="003D1E4F" w:rsidRPr="00D136FB" w:rsidRDefault="003D1E4F">
            <w:pPr>
              <w:spacing w:line="276" w:lineRule="auto"/>
              <w:jc w:val="center"/>
              <w:rPr>
                <w:noProof/>
                <w:sz w:val="20"/>
                <w:lang w:eastAsia="bg-BG" w:bidi="bg-BG"/>
              </w:rPr>
            </w:pPr>
          </w:p>
        </w:tc>
        <w:tc>
          <w:tcPr>
            <w:tcW w:w="868" w:type="dxa"/>
            <w:tcBorders>
              <w:top w:val="single" w:sz="4" w:space="0" w:color="auto"/>
              <w:left w:val="single" w:sz="4" w:space="0" w:color="auto"/>
              <w:bottom w:val="single" w:sz="4" w:space="0" w:color="auto"/>
              <w:right w:val="single" w:sz="4" w:space="0" w:color="auto"/>
            </w:tcBorders>
            <w:vAlign w:val="center"/>
            <w:hideMark/>
          </w:tcPr>
          <w:p w:rsidR="003D1E4F" w:rsidRPr="00D136FB" w:rsidRDefault="003D1E4F">
            <w:pPr>
              <w:spacing w:line="276" w:lineRule="auto"/>
              <w:jc w:val="center"/>
              <w:rPr>
                <w:b/>
                <w:noProof/>
                <w:sz w:val="20"/>
                <w:lang w:eastAsia="bg-BG" w:bidi="bg-BG"/>
              </w:rPr>
            </w:pPr>
            <w:r w:rsidRPr="00D136FB">
              <w:rPr>
                <w:b/>
                <w:noProof/>
                <w:sz w:val="20"/>
              </w:rPr>
              <w:t>2021 г.</w:t>
            </w:r>
          </w:p>
        </w:tc>
        <w:tc>
          <w:tcPr>
            <w:tcW w:w="868" w:type="dxa"/>
            <w:tcBorders>
              <w:top w:val="single" w:sz="4" w:space="0" w:color="auto"/>
              <w:left w:val="single" w:sz="4" w:space="0" w:color="auto"/>
              <w:bottom w:val="single" w:sz="4" w:space="0" w:color="auto"/>
              <w:right w:val="single" w:sz="4" w:space="0" w:color="auto"/>
            </w:tcBorders>
            <w:vAlign w:val="center"/>
            <w:hideMark/>
          </w:tcPr>
          <w:p w:rsidR="003D1E4F" w:rsidRPr="00D136FB" w:rsidRDefault="003D1E4F">
            <w:pPr>
              <w:spacing w:line="276" w:lineRule="auto"/>
              <w:jc w:val="center"/>
              <w:rPr>
                <w:b/>
                <w:noProof/>
                <w:sz w:val="20"/>
                <w:lang w:eastAsia="bg-BG" w:bidi="bg-BG"/>
              </w:rPr>
            </w:pPr>
            <w:r w:rsidRPr="00D136FB">
              <w:rPr>
                <w:b/>
                <w:noProof/>
                <w:sz w:val="20"/>
              </w:rPr>
              <w:t>2022 г.</w:t>
            </w:r>
          </w:p>
        </w:tc>
        <w:tc>
          <w:tcPr>
            <w:tcW w:w="868" w:type="dxa"/>
            <w:tcBorders>
              <w:top w:val="single" w:sz="4" w:space="0" w:color="auto"/>
              <w:left w:val="single" w:sz="4" w:space="0" w:color="auto"/>
              <w:bottom w:val="single" w:sz="4" w:space="0" w:color="auto"/>
              <w:right w:val="single" w:sz="4" w:space="0" w:color="auto"/>
            </w:tcBorders>
            <w:vAlign w:val="center"/>
            <w:hideMark/>
          </w:tcPr>
          <w:p w:rsidR="003D1E4F" w:rsidRPr="00D136FB" w:rsidRDefault="003D1E4F">
            <w:pPr>
              <w:spacing w:line="276" w:lineRule="auto"/>
              <w:jc w:val="center"/>
              <w:rPr>
                <w:b/>
                <w:noProof/>
                <w:sz w:val="20"/>
                <w:lang w:eastAsia="bg-BG" w:bidi="bg-BG"/>
              </w:rPr>
            </w:pPr>
            <w:r w:rsidRPr="00D136FB">
              <w:rPr>
                <w:b/>
                <w:noProof/>
                <w:sz w:val="20"/>
              </w:rPr>
              <w:t>2023 г.</w:t>
            </w:r>
          </w:p>
        </w:tc>
        <w:tc>
          <w:tcPr>
            <w:tcW w:w="868" w:type="dxa"/>
            <w:tcBorders>
              <w:top w:val="single" w:sz="4" w:space="0" w:color="auto"/>
              <w:left w:val="single" w:sz="4" w:space="0" w:color="auto"/>
              <w:bottom w:val="single" w:sz="4" w:space="0" w:color="auto"/>
              <w:right w:val="single" w:sz="4" w:space="0" w:color="auto"/>
            </w:tcBorders>
            <w:vAlign w:val="center"/>
            <w:hideMark/>
          </w:tcPr>
          <w:p w:rsidR="003D1E4F" w:rsidRPr="00D136FB" w:rsidRDefault="003D1E4F">
            <w:pPr>
              <w:spacing w:line="276" w:lineRule="auto"/>
              <w:jc w:val="center"/>
              <w:rPr>
                <w:b/>
                <w:noProof/>
                <w:sz w:val="20"/>
                <w:lang w:eastAsia="bg-BG" w:bidi="bg-BG"/>
              </w:rPr>
            </w:pPr>
            <w:r w:rsidRPr="00D136FB">
              <w:rPr>
                <w:b/>
                <w:noProof/>
                <w:sz w:val="20"/>
              </w:rPr>
              <w:t>2024 г.</w:t>
            </w:r>
          </w:p>
        </w:tc>
        <w:tc>
          <w:tcPr>
            <w:tcW w:w="868" w:type="dxa"/>
            <w:tcBorders>
              <w:top w:val="single" w:sz="4" w:space="0" w:color="auto"/>
              <w:left w:val="single" w:sz="4" w:space="0" w:color="auto"/>
              <w:bottom w:val="single" w:sz="4" w:space="0" w:color="auto"/>
              <w:right w:val="single" w:sz="4" w:space="0" w:color="auto"/>
            </w:tcBorders>
            <w:vAlign w:val="center"/>
            <w:hideMark/>
          </w:tcPr>
          <w:p w:rsidR="003D1E4F" w:rsidRPr="00D136FB" w:rsidRDefault="003D1E4F">
            <w:pPr>
              <w:spacing w:line="276" w:lineRule="auto"/>
              <w:jc w:val="center"/>
              <w:rPr>
                <w:b/>
                <w:noProof/>
                <w:sz w:val="18"/>
                <w:lang w:eastAsia="bg-BG" w:bidi="bg-BG"/>
              </w:rPr>
            </w:pPr>
            <w:r w:rsidRPr="00D136FB">
              <w:rPr>
                <w:b/>
                <w:noProof/>
                <w:sz w:val="18"/>
              </w:rPr>
              <w:t>2025 г.</w:t>
            </w:r>
          </w:p>
        </w:tc>
        <w:tc>
          <w:tcPr>
            <w:tcW w:w="868" w:type="dxa"/>
            <w:tcBorders>
              <w:top w:val="single" w:sz="4" w:space="0" w:color="auto"/>
              <w:left w:val="single" w:sz="4" w:space="0" w:color="auto"/>
              <w:bottom w:val="single" w:sz="4" w:space="0" w:color="auto"/>
              <w:right w:val="single" w:sz="4" w:space="0" w:color="auto"/>
            </w:tcBorders>
            <w:vAlign w:val="center"/>
            <w:hideMark/>
          </w:tcPr>
          <w:p w:rsidR="003D1E4F" w:rsidRPr="00D136FB" w:rsidRDefault="003D1E4F">
            <w:pPr>
              <w:spacing w:line="276" w:lineRule="auto"/>
              <w:jc w:val="center"/>
              <w:rPr>
                <w:b/>
                <w:noProof/>
                <w:sz w:val="18"/>
                <w:lang w:eastAsia="bg-BG" w:bidi="bg-BG"/>
              </w:rPr>
            </w:pPr>
            <w:r w:rsidRPr="00D136FB">
              <w:rPr>
                <w:b/>
                <w:noProof/>
                <w:sz w:val="18"/>
              </w:rPr>
              <w:t>2026 г.</w:t>
            </w:r>
          </w:p>
        </w:tc>
        <w:tc>
          <w:tcPr>
            <w:tcW w:w="868" w:type="dxa"/>
            <w:tcBorders>
              <w:top w:val="single" w:sz="4" w:space="0" w:color="auto"/>
              <w:left w:val="single" w:sz="4" w:space="0" w:color="auto"/>
              <w:bottom w:val="single" w:sz="4" w:space="0" w:color="auto"/>
              <w:right w:val="single" w:sz="4" w:space="0" w:color="auto"/>
            </w:tcBorders>
            <w:vAlign w:val="center"/>
            <w:hideMark/>
          </w:tcPr>
          <w:p w:rsidR="003D1E4F" w:rsidRPr="00D136FB" w:rsidRDefault="003D1E4F">
            <w:pPr>
              <w:spacing w:line="276" w:lineRule="auto"/>
              <w:jc w:val="center"/>
              <w:rPr>
                <w:b/>
                <w:noProof/>
                <w:sz w:val="18"/>
                <w:lang w:eastAsia="bg-BG" w:bidi="bg-BG"/>
              </w:rPr>
            </w:pPr>
            <w:r w:rsidRPr="00D136FB">
              <w:rPr>
                <w:b/>
                <w:noProof/>
                <w:sz w:val="18"/>
              </w:rPr>
              <w:t>2027 г.</w:t>
            </w:r>
          </w:p>
        </w:tc>
        <w:tc>
          <w:tcPr>
            <w:tcW w:w="1110" w:type="dxa"/>
            <w:tcBorders>
              <w:top w:val="single" w:sz="4" w:space="0" w:color="auto"/>
              <w:left w:val="single" w:sz="4" w:space="0" w:color="auto"/>
              <w:bottom w:val="single" w:sz="4" w:space="0" w:color="auto"/>
              <w:right w:val="single" w:sz="4" w:space="0" w:color="auto"/>
            </w:tcBorders>
            <w:hideMark/>
          </w:tcPr>
          <w:p w:rsidR="003D1E4F" w:rsidRPr="00D136FB" w:rsidRDefault="003D1E4F" w:rsidP="00C26321">
            <w:pPr>
              <w:spacing w:before="60" w:after="60"/>
              <w:jc w:val="center"/>
              <w:rPr>
                <w:b/>
                <w:noProof/>
                <w:sz w:val="20"/>
                <w:lang w:eastAsia="bg-BG" w:bidi="bg-BG"/>
              </w:rPr>
            </w:pPr>
            <w:r w:rsidRPr="00D136FB">
              <w:rPr>
                <w:b/>
                <w:i/>
                <w:noProof/>
                <w:sz w:val="20"/>
              </w:rPr>
              <w:t>След 2027 г.</w:t>
            </w:r>
          </w:p>
        </w:tc>
        <w:tc>
          <w:tcPr>
            <w:tcW w:w="1068" w:type="dxa"/>
            <w:tcBorders>
              <w:top w:val="single" w:sz="4" w:space="0" w:color="auto"/>
              <w:left w:val="single" w:sz="4" w:space="0" w:color="auto"/>
              <w:bottom w:val="single" w:sz="4" w:space="0" w:color="auto"/>
              <w:right w:val="single" w:sz="4" w:space="0" w:color="auto"/>
            </w:tcBorders>
            <w:vAlign w:val="center"/>
            <w:hideMark/>
          </w:tcPr>
          <w:p w:rsidR="003D1E4F" w:rsidRPr="00D136FB" w:rsidRDefault="003D1E4F">
            <w:pPr>
              <w:spacing w:line="276" w:lineRule="auto"/>
              <w:jc w:val="center"/>
              <w:rPr>
                <w:b/>
                <w:noProof/>
                <w:sz w:val="20"/>
                <w:lang w:eastAsia="bg-BG" w:bidi="bg-BG"/>
              </w:rPr>
            </w:pPr>
            <w:r w:rsidRPr="00D136FB">
              <w:rPr>
                <w:b/>
                <w:noProof/>
                <w:sz w:val="20"/>
              </w:rPr>
              <w:t>ОБЩО</w:t>
            </w:r>
          </w:p>
        </w:tc>
      </w:tr>
      <w:tr w:rsidR="003D1E4F" w:rsidRPr="00D136FB" w:rsidTr="003D1E4F">
        <w:trPr>
          <w:trHeight w:val="313"/>
          <w:jc w:val="center"/>
        </w:trPr>
        <w:tc>
          <w:tcPr>
            <w:tcW w:w="6245" w:type="dxa"/>
            <w:gridSpan w:val="2"/>
            <w:tcBorders>
              <w:top w:val="single" w:sz="4" w:space="0" w:color="auto"/>
              <w:left w:val="single" w:sz="4" w:space="0" w:color="auto"/>
              <w:bottom w:val="single" w:sz="4" w:space="0" w:color="auto"/>
              <w:right w:val="single" w:sz="4" w:space="0" w:color="auto"/>
            </w:tcBorders>
            <w:vAlign w:val="center"/>
            <w:hideMark/>
          </w:tcPr>
          <w:p w:rsidR="003D1E4F" w:rsidRPr="00D136FB" w:rsidRDefault="003D1E4F">
            <w:pPr>
              <w:spacing w:before="20" w:after="20" w:line="276" w:lineRule="auto"/>
              <w:rPr>
                <w:noProof/>
                <w:lang w:eastAsia="bg-BG" w:bidi="bg-BG"/>
              </w:rPr>
            </w:pPr>
            <w:r w:rsidRPr="00D136FB">
              <w:rPr>
                <w:noProof/>
                <w:sz w:val="22"/>
              </w:rPr>
              <w:t>Човешки ресурси</w:t>
            </w:r>
            <w:r w:rsidRPr="00D136FB">
              <w:rPr>
                <w:rStyle w:val="FootnoteReference"/>
                <w:noProof/>
                <w:sz w:val="22"/>
              </w:rPr>
              <w:footnoteReference w:id="39"/>
            </w:r>
            <w:r w:rsidRPr="00D136FB">
              <w:rPr>
                <w:noProof/>
                <w:sz w:val="22"/>
              </w:rPr>
              <w:t xml:space="preserve"> </w:t>
            </w:r>
          </w:p>
        </w:tc>
        <w:tc>
          <w:tcPr>
            <w:tcW w:w="868" w:type="dxa"/>
            <w:tcBorders>
              <w:top w:val="single" w:sz="4" w:space="0" w:color="auto"/>
              <w:left w:val="single" w:sz="4" w:space="0" w:color="auto"/>
              <w:bottom w:val="single" w:sz="4" w:space="0" w:color="auto"/>
              <w:right w:val="single" w:sz="4" w:space="0" w:color="auto"/>
            </w:tcBorders>
            <w:vAlign w:val="center"/>
            <w:hideMark/>
          </w:tcPr>
          <w:p w:rsidR="003D1E4F" w:rsidRPr="00D136FB" w:rsidRDefault="003D1E4F">
            <w:pPr>
              <w:spacing w:before="20" w:after="20" w:line="276" w:lineRule="auto"/>
              <w:jc w:val="right"/>
              <w:rPr>
                <w:noProof/>
                <w:sz w:val="20"/>
                <w:lang w:eastAsia="bg-BG" w:bidi="bg-BG"/>
              </w:rPr>
            </w:pPr>
            <w:r w:rsidRPr="00D136FB">
              <w:rPr>
                <w:noProof/>
                <w:sz w:val="20"/>
              </w:rPr>
              <w:t>14,301</w:t>
            </w:r>
          </w:p>
        </w:tc>
        <w:tc>
          <w:tcPr>
            <w:tcW w:w="868" w:type="dxa"/>
            <w:tcBorders>
              <w:top w:val="single" w:sz="4" w:space="0" w:color="auto"/>
              <w:left w:val="single" w:sz="4" w:space="0" w:color="auto"/>
              <w:bottom w:val="single" w:sz="4" w:space="0" w:color="auto"/>
              <w:right w:val="single" w:sz="4" w:space="0" w:color="auto"/>
            </w:tcBorders>
            <w:vAlign w:val="center"/>
            <w:hideMark/>
          </w:tcPr>
          <w:p w:rsidR="003D1E4F" w:rsidRPr="00D136FB" w:rsidRDefault="003D1E4F">
            <w:pPr>
              <w:spacing w:before="20" w:after="20" w:line="276" w:lineRule="auto"/>
              <w:jc w:val="right"/>
              <w:rPr>
                <w:noProof/>
                <w:sz w:val="20"/>
                <w:lang w:eastAsia="bg-BG" w:bidi="bg-BG"/>
              </w:rPr>
            </w:pPr>
            <w:r w:rsidRPr="00D136FB">
              <w:rPr>
                <w:noProof/>
                <w:sz w:val="20"/>
              </w:rPr>
              <w:t>15,601</w:t>
            </w:r>
          </w:p>
        </w:tc>
        <w:tc>
          <w:tcPr>
            <w:tcW w:w="868" w:type="dxa"/>
            <w:tcBorders>
              <w:top w:val="single" w:sz="4" w:space="0" w:color="auto"/>
              <w:left w:val="single" w:sz="4" w:space="0" w:color="auto"/>
              <w:bottom w:val="single" w:sz="4" w:space="0" w:color="auto"/>
              <w:right w:val="single" w:sz="4" w:space="0" w:color="auto"/>
            </w:tcBorders>
            <w:vAlign w:val="center"/>
            <w:hideMark/>
          </w:tcPr>
          <w:p w:rsidR="003D1E4F" w:rsidRPr="00D136FB" w:rsidRDefault="003D1E4F">
            <w:pPr>
              <w:spacing w:before="20" w:after="20" w:line="276" w:lineRule="auto"/>
              <w:jc w:val="right"/>
              <w:rPr>
                <w:noProof/>
                <w:sz w:val="20"/>
                <w:lang w:eastAsia="bg-BG" w:bidi="bg-BG"/>
              </w:rPr>
            </w:pPr>
            <w:r w:rsidRPr="00D136FB">
              <w:rPr>
                <w:noProof/>
                <w:sz w:val="20"/>
              </w:rPr>
              <w:t>16,745</w:t>
            </w:r>
          </w:p>
        </w:tc>
        <w:tc>
          <w:tcPr>
            <w:tcW w:w="868" w:type="dxa"/>
            <w:tcBorders>
              <w:top w:val="single" w:sz="4" w:space="0" w:color="auto"/>
              <w:left w:val="single" w:sz="4" w:space="0" w:color="auto"/>
              <w:bottom w:val="single" w:sz="4" w:space="0" w:color="auto"/>
              <w:right w:val="single" w:sz="4" w:space="0" w:color="auto"/>
            </w:tcBorders>
            <w:vAlign w:val="center"/>
            <w:hideMark/>
          </w:tcPr>
          <w:p w:rsidR="003D1E4F" w:rsidRPr="00D136FB" w:rsidRDefault="003D1E4F">
            <w:pPr>
              <w:spacing w:before="20" w:after="20" w:line="276" w:lineRule="auto"/>
              <w:jc w:val="right"/>
              <w:rPr>
                <w:noProof/>
                <w:sz w:val="20"/>
                <w:lang w:eastAsia="bg-BG" w:bidi="bg-BG"/>
              </w:rPr>
            </w:pPr>
            <w:r w:rsidRPr="00D136FB">
              <w:rPr>
                <w:noProof/>
                <w:sz w:val="20"/>
              </w:rPr>
              <w:t>16,745</w:t>
            </w:r>
          </w:p>
        </w:tc>
        <w:tc>
          <w:tcPr>
            <w:tcW w:w="868" w:type="dxa"/>
            <w:tcBorders>
              <w:top w:val="single" w:sz="4" w:space="0" w:color="auto"/>
              <w:left w:val="single" w:sz="4" w:space="0" w:color="auto"/>
              <w:bottom w:val="single" w:sz="4" w:space="0" w:color="auto"/>
              <w:right w:val="single" w:sz="4" w:space="0" w:color="auto"/>
            </w:tcBorders>
            <w:vAlign w:val="center"/>
            <w:hideMark/>
          </w:tcPr>
          <w:p w:rsidR="003D1E4F" w:rsidRPr="00D136FB" w:rsidRDefault="003D1E4F">
            <w:pPr>
              <w:spacing w:before="20" w:after="20" w:line="276" w:lineRule="auto"/>
              <w:jc w:val="right"/>
              <w:rPr>
                <w:noProof/>
                <w:sz w:val="20"/>
                <w:lang w:eastAsia="bg-BG" w:bidi="bg-BG"/>
              </w:rPr>
            </w:pPr>
            <w:r w:rsidRPr="00D136FB">
              <w:rPr>
                <w:noProof/>
                <w:sz w:val="20"/>
              </w:rPr>
              <w:t>16,745</w:t>
            </w:r>
          </w:p>
        </w:tc>
        <w:tc>
          <w:tcPr>
            <w:tcW w:w="868" w:type="dxa"/>
            <w:tcBorders>
              <w:top w:val="single" w:sz="4" w:space="0" w:color="auto"/>
              <w:left w:val="single" w:sz="4" w:space="0" w:color="auto"/>
              <w:bottom w:val="single" w:sz="4" w:space="0" w:color="auto"/>
              <w:right w:val="single" w:sz="4" w:space="0" w:color="auto"/>
            </w:tcBorders>
            <w:vAlign w:val="center"/>
            <w:hideMark/>
          </w:tcPr>
          <w:p w:rsidR="003D1E4F" w:rsidRPr="00D136FB" w:rsidRDefault="003D1E4F">
            <w:pPr>
              <w:spacing w:before="20" w:after="20" w:line="276" w:lineRule="auto"/>
              <w:jc w:val="right"/>
              <w:rPr>
                <w:noProof/>
                <w:sz w:val="20"/>
                <w:lang w:eastAsia="bg-BG" w:bidi="bg-BG"/>
              </w:rPr>
            </w:pPr>
            <w:r w:rsidRPr="00D136FB">
              <w:rPr>
                <w:noProof/>
                <w:sz w:val="20"/>
              </w:rPr>
              <w:t>16,745</w:t>
            </w:r>
          </w:p>
        </w:tc>
        <w:tc>
          <w:tcPr>
            <w:tcW w:w="868" w:type="dxa"/>
            <w:tcBorders>
              <w:top w:val="single" w:sz="4" w:space="0" w:color="auto"/>
              <w:left w:val="single" w:sz="4" w:space="0" w:color="auto"/>
              <w:bottom w:val="single" w:sz="4" w:space="0" w:color="auto"/>
              <w:right w:val="single" w:sz="4" w:space="0" w:color="auto"/>
            </w:tcBorders>
            <w:vAlign w:val="center"/>
            <w:hideMark/>
          </w:tcPr>
          <w:p w:rsidR="003D1E4F" w:rsidRPr="00D136FB" w:rsidRDefault="003D1E4F">
            <w:pPr>
              <w:spacing w:before="20" w:after="20" w:line="276" w:lineRule="auto"/>
              <w:jc w:val="right"/>
              <w:rPr>
                <w:sz w:val="20"/>
                <w:lang w:eastAsia="bg-BG" w:bidi="bg-BG"/>
              </w:rPr>
            </w:pPr>
            <w:r w:rsidRPr="00D136FB">
              <w:rPr>
                <w:noProof/>
                <w:sz w:val="20"/>
              </w:rPr>
              <w:t>16,745</w:t>
            </w:r>
          </w:p>
        </w:tc>
        <w:tc>
          <w:tcPr>
            <w:tcW w:w="111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3D1E4F" w:rsidRPr="00D136FB" w:rsidRDefault="003D1E4F">
            <w:pPr>
              <w:spacing w:before="20" w:after="20" w:line="276" w:lineRule="auto"/>
              <w:jc w:val="right"/>
              <w:rPr>
                <w:b/>
                <w:noProof/>
                <w:sz w:val="20"/>
                <w:lang w:eastAsia="bg-BG" w:bidi="bg-BG"/>
              </w:rPr>
            </w:pPr>
          </w:p>
        </w:tc>
        <w:tc>
          <w:tcPr>
            <w:tcW w:w="1068" w:type="dxa"/>
            <w:tcBorders>
              <w:top w:val="single" w:sz="4" w:space="0" w:color="auto"/>
              <w:left w:val="single" w:sz="4" w:space="0" w:color="auto"/>
              <w:bottom w:val="single" w:sz="4" w:space="0" w:color="auto"/>
              <w:right w:val="single" w:sz="4" w:space="0" w:color="auto"/>
            </w:tcBorders>
            <w:vAlign w:val="center"/>
            <w:hideMark/>
          </w:tcPr>
          <w:p w:rsidR="003D1E4F" w:rsidRPr="00D136FB" w:rsidRDefault="003D1E4F">
            <w:pPr>
              <w:spacing w:before="20" w:after="20" w:line="276" w:lineRule="auto"/>
              <w:jc w:val="right"/>
              <w:rPr>
                <w:b/>
                <w:noProof/>
                <w:sz w:val="20"/>
                <w:lang w:eastAsia="bg-BG" w:bidi="bg-BG"/>
              </w:rPr>
            </w:pPr>
            <w:r w:rsidRPr="00D136FB">
              <w:rPr>
                <w:b/>
                <w:noProof/>
                <w:sz w:val="20"/>
              </w:rPr>
              <w:t>113,627</w:t>
            </w:r>
          </w:p>
        </w:tc>
      </w:tr>
      <w:tr w:rsidR="003D1E4F" w:rsidRPr="00D136FB" w:rsidTr="003D1E4F">
        <w:trPr>
          <w:trHeight w:val="351"/>
          <w:jc w:val="center"/>
        </w:trPr>
        <w:tc>
          <w:tcPr>
            <w:tcW w:w="6245" w:type="dxa"/>
            <w:gridSpan w:val="2"/>
            <w:tcBorders>
              <w:top w:val="single" w:sz="4" w:space="0" w:color="auto"/>
              <w:left w:val="single" w:sz="4" w:space="0" w:color="auto"/>
              <w:bottom w:val="single" w:sz="4" w:space="0" w:color="auto"/>
              <w:right w:val="single" w:sz="4" w:space="0" w:color="auto"/>
            </w:tcBorders>
            <w:vAlign w:val="center"/>
            <w:hideMark/>
          </w:tcPr>
          <w:p w:rsidR="003D1E4F" w:rsidRPr="00D136FB" w:rsidRDefault="003D1E4F">
            <w:pPr>
              <w:spacing w:before="20" w:after="20" w:line="276" w:lineRule="auto"/>
              <w:rPr>
                <w:noProof/>
                <w:lang w:eastAsia="bg-BG" w:bidi="bg-BG"/>
              </w:rPr>
            </w:pPr>
            <w:r w:rsidRPr="00D136FB">
              <w:rPr>
                <w:noProof/>
                <w:sz w:val="22"/>
              </w:rPr>
              <w:t xml:space="preserve">Други административни разходи </w:t>
            </w:r>
          </w:p>
        </w:tc>
        <w:tc>
          <w:tcPr>
            <w:tcW w:w="868" w:type="dxa"/>
            <w:tcBorders>
              <w:top w:val="single" w:sz="4" w:space="0" w:color="auto"/>
              <w:left w:val="single" w:sz="4" w:space="0" w:color="auto"/>
              <w:bottom w:val="single" w:sz="4" w:space="0" w:color="auto"/>
              <w:right w:val="single" w:sz="4" w:space="0" w:color="auto"/>
            </w:tcBorders>
            <w:vAlign w:val="center"/>
            <w:hideMark/>
          </w:tcPr>
          <w:p w:rsidR="003D1E4F" w:rsidRPr="00D136FB" w:rsidRDefault="003D1E4F">
            <w:pPr>
              <w:spacing w:before="20" w:after="20" w:line="276" w:lineRule="auto"/>
              <w:jc w:val="right"/>
              <w:rPr>
                <w:sz w:val="20"/>
                <w:lang w:eastAsia="bg-BG" w:bidi="bg-BG"/>
              </w:rPr>
            </w:pPr>
            <w:r w:rsidRPr="00D136FB">
              <w:rPr>
                <w:sz w:val="20"/>
              </w:rPr>
              <w:t>0,888</w:t>
            </w:r>
          </w:p>
        </w:tc>
        <w:tc>
          <w:tcPr>
            <w:tcW w:w="868" w:type="dxa"/>
            <w:tcBorders>
              <w:top w:val="single" w:sz="4" w:space="0" w:color="auto"/>
              <w:left w:val="single" w:sz="4" w:space="0" w:color="auto"/>
              <w:bottom w:val="single" w:sz="4" w:space="0" w:color="auto"/>
              <w:right w:val="single" w:sz="4" w:space="0" w:color="auto"/>
            </w:tcBorders>
            <w:vAlign w:val="center"/>
            <w:hideMark/>
          </w:tcPr>
          <w:p w:rsidR="003D1E4F" w:rsidRPr="00D136FB" w:rsidRDefault="003D1E4F">
            <w:pPr>
              <w:spacing w:before="20" w:after="20" w:line="276" w:lineRule="auto"/>
              <w:jc w:val="right"/>
              <w:rPr>
                <w:sz w:val="20"/>
                <w:lang w:eastAsia="bg-BG" w:bidi="bg-BG"/>
              </w:rPr>
            </w:pPr>
            <w:r w:rsidRPr="00D136FB">
              <w:rPr>
                <w:sz w:val="20"/>
              </w:rPr>
              <w:t>0,888</w:t>
            </w:r>
          </w:p>
        </w:tc>
        <w:tc>
          <w:tcPr>
            <w:tcW w:w="868" w:type="dxa"/>
            <w:tcBorders>
              <w:top w:val="single" w:sz="4" w:space="0" w:color="auto"/>
              <w:left w:val="single" w:sz="4" w:space="0" w:color="auto"/>
              <w:bottom w:val="single" w:sz="4" w:space="0" w:color="auto"/>
              <w:right w:val="single" w:sz="4" w:space="0" w:color="auto"/>
            </w:tcBorders>
            <w:vAlign w:val="center"/>
            <w:hideMark/>
          </w:tcPr>
          <w:p w:rsidR="003D1E4F" w:rsidRPr="00D136FB" w:rsidRDefault="003D1E4F">
            <w:pPr>
              <w:spacing w:before="20" w:after="20" w:line="276" w:lineRule="auto"/>
              <w:jc w:val="right"/>
              <w:rPr>
                <w:sz w:val="20"/>
                <w:lang w:eastAsia="bg-BG" w:bidi="bg-BG"/>
              </w:rPr>
            </w:pPr>
            <w:r w:rsidRPr="00D136FB">
              <w:rPr>
                <w:sz w:val="20"/>
              </w:rPr>
              <w:t>0,888</w:t>
            </w:r>
          </w:p>
        </w:tc>
        <w:tc>
          <w:tcPr>
            <w:tcW w:w="868" w:type="dxa"/>
            <w:tcBorders>
              <w:top w:val="single" w:sz="4" w:space="0" w:color="auto"/>
              <w:left w:val="single" w:sz="4" w:space="0" w:color="auto"/>
              <w:bottom w:val="single" w:sz="4" w:space="0" w:color="auto"/>
              <w:right w:val="single" w:sz="4" w:space="0" w:color="auto"/>
            </w:tcBorders>
            <w:vAlign w:val="center"/>
            <w:hideMark/>
          </w:tcPr>
          <w:p w:rsidR="003D1E4F" w:rsidRPr="00D136FB" w:rsidRDefault="003D1E4F">
            <w:pPr>
              <w:spacing w:before="20" w:after="20" w:line="276" w:lineRule="auto"/>
              <w:jc w:val="right"/>
              <w:rPr>
                <w:sz w:val="20"/>
                <w:lang w:eastAsia="bg-BG" w:bidi="bg-BG"/>
              </w:rPr>
            </w:pPr>
            <w:r w:rsidRPr="00D136FB">
              <w:rPr>
                <w:sz w:val="20"/>
              </w:rPr>
              <w:t>0,888</w:t>
            </w:r>
          </w:p>
        </w:tc>
        <w:tc>
          <w:tcPr>
            <w:tcW w:w="868" w:type="dxa"/>
            <w:tcBorders>
              <w:top w:val="single" w:sz="4" w:space="0" w:color="auto"/>
              <w:left w:val="single" w:sz="4" w:space="0" w:color="auto"/>
              <w:bottom w:val="single" w:sz="4" w:space="0" w:color="auto"/>
              <w:right w:val="single" w:sz="4" w:space="0" w:color="auto"/>
            </w:tcBorders>
            <w:vAlign w:val="center"/>
            <w:hideMark/>
          </w:tcPr>
          <w:p w:rsidR="003D1E4F" w:rsidRPr="00D136FB" w:rsidRDefault="003D1E4F">
            <w:pPr>
              <w:spacing w:before="20" w:after="20" w:line="276" w:lineRule="auto"/>
              <w:jc w:val="right"/>
              <w:rPr>
                <w:sz w:val="20"/>
                <w:lang w:eastAsia="bg-BG" w:bidi="bg-BG"/>
              </w:rPr>
            </w:pPr>
            <w:r w:rsidRPr="00D136FB">
              <w:rPr>
                <w:sz w:val="20"/>
              </w:rPr>
              <w:t>0,888</w:t>
            </w:r>
          </w:p>
        </w:tc>
        <w:tc>
          <w:tcPr>
            <w:tcW w:w="868" w:type="dxa"/>
            <w:tcBorders>
              <w:top w:val="single" w:sz="4" w:space="0" w:color="auto"/>
              <w:left w:val="single" w:sz="4" w:space="0" w:color="auto"/>
              <w:bottom w:val="single" w:sz="4" w:space="0" w:color="auto"/>
              <w:right w:val="single" w:sz="4" w:space="0" w:color="auto"/>
            </w:tcBorders>
            <w:vAlign w:val="center"/>
            <w:hideMark/>
          </w:tcPr>
          <w:p w:rsidR="003D1E4F" w:rsidRPr="00D136FB" w:rsidRDefault="003D1E4F">
            <w:pPr>
              <w:spacing w:before="20" w:after="20" w:line="276" w:lineRule="auto"/>
              <w:jc w:val="right"/>
              <w:rPr>
                <w:sz w:val="20"/>
                <w:lang w:eastAsia="bg-BG" w:bidi="bg-BG"/>
              </w:rPr>
            </w:pPr>
            <w:r w:rsidRPr="00D136FB">
              <w:rPr>
                <w:sz w:val="20"/>
              </w:rPr>
              <w:t>0,888</w:t>
            </w:r>
          </w:p>
        </w:tc>
        <w:tc>
          <w:tcPr>
            <w:tcW w:w="868" w:type="dxa"/>
            <w:tcBorders>
              <w:top w:val="single" w:sz="4" w:space="0" w:color="auto"/>
              <w:left w:val="single" w:sz="4" w:space="0" w:color="auto"/>
              <w:bottom w:val="single" w:sz="4" w:space="0" w:color="auto"/>
              <w:right w:val="single" w:sz="4" w:space="0" w:color="auto"/>
            </w:tcBorders>
            <w:vAlign w:val="center"/>
            <w:hideMark/>
          </w:tcPr>
          <w:p w:rsidR="003D1E4F" w:rsidRPr="00D136FB" w:rsidRDefault="003D1E4F">
            <w:pPr>
              <w:spacing w:before="20" w:after="20" w:line="276" w:lineRule="auto"/>
              <w:jc w:val="right"/>
              <w:rPr>
                <w:sz w:val="20"/>
                <w:lang w:eastAsia="bg-BG" w:bidi="bg-BG"/>
              </w:rPr>
            </w:pPr>
            <w:r w:rsidRPr="00D136FB">
              <w:rPr>
                <w:sz w:val="20"/>
              </w:rPr>
              <w:t>0,888</w:t>
            </w:r>
          </w:p>
        </w:tc>
        <w:tc>
          <w:tcPr>
            <w:tcW w:w="111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3D1E4F" w:rsidRPr="00D136FB" w:rsidRDefault="003D1E4F">
            <w:pPr>
              <w:spacing w:before="20" w:after="20" w:line="276" w:lineRule="auto"/>
              <w:jc w:val="right"/>
              <w:rPr>
                <w:b/>
                <w:noProof/>
                <w:sz w:val="20"/>
                <w:lang w:eastAsia="bg-BG" w:bidi="bg-BG"/>
              </w:rPr>
            </w:pPr>
          </w:p>
        </w:tc>
        <w:tc>
          <w:tcPr>
            <w:tcW w:w="1068" w:type="dxa"/>
            <w:tcBorders>
              <w:top w:val="single" w:sz="4" w:space="0" w:color="auto"/>
              <w:left w:val="single" w:sz="4" w:space="0" w:color="auto"/>
              <w:bottom w:val="single" w:sz="4" w:space="0" w:color="auto"/>
              <w:right w:val="single" w:sz="4" w:space="0" w:color="auto"/>
            </w:tcBorders>
            <w:vAlign w:val="center"/>
            <w:hideMark/>
          </w:tcPr>
          <w:p w:rsidR="003D1E4F" w:rsidRPr="00D136FB" w:rsidRDefault="003D1E4F">
            <w:pPr>
              <w:spacing w:before="20" w:after="20" w:line="276" w:lineRule="auto"/>
              <w:jc w:val="right"/>
              <w:rPr>
                <w:b/>
                <w:noProof/>
                <w:sz w:val="20"/>
                <w:lang w:eastAsia="bg-BG" w:bidi="bg-BG"/>
              </w:rPr>
            </w:pPr>
            <w:r w:rsidRPr="00D136FB">
              <w:rPr>
                <w:b/>
                <w:noProof/>
                <w:sz w:val="20"/>
              </w:rPr>
              <w:t>6,213</w:t>
            </w:r>
          </w:p>
        </w:tc>
      </w:tr>
      <w:tr w:rsidR="003D1E4F" w:rsidRPr="00D136FB" w:rsidTr="003D1E4F">
        <w:trPr>
          <w:trHeight w:val="351"/>
          <w:jc w:val="center"/>
        </w:trPr>
        <w:tc>
          <w:tcPr>
            <w:tcW w:w="4199" w:type="dxa"/>
            <w:tcBorders>
              <w:top w:val="single" w:sz="4" w:space="0" w:color="auto"/>
              <w:left w:val="single" w:sz="4" w:space="0" w:color="auto"/>
              <w:bottom w:val="single" w:sz="4" w:space="0" w:color="auto"/>
              <w:right w:val="single" w:sz="4" w:space="0" w:color="auto"/>
            </w:tcBorders>
            <w:vAlign w:val="center"/>
            <w:hideMark/>
          </w:tcPr>
          <w:p w:rsidR="003D1E4F" w:rsidRPr="00D136FB" w:rsidRDefault="003D1E4F">
            <w:pPr>
              <w:spacing w:before="20" w:after="20" w:line="276" w:lineRule="auto"/>
              <w:jc w:val="left"/>
              <w:rPr>
                <w:b/>
                <w:noProof/>
                <w:sz w:val="22"/>
                <w:lang w:eastAsia="bg-BG" w:bidi="bg-BG"/>
              </w:rPr>
            </w:pPr>
            <w:r w:rsidRPr="00D136FB">
              <w:rPr>
                <w:b/>
                <w:noProof/>
                <w:sz w:val="22"/>
              </w:rPr>
              <w:t>ОБЩО бюджетни кредити за ФУНКЦИЯ 7 от многогодишната финансова рамка</w:t>
            </w:r>
          </w:p>
        </w:tc>
        <w:tc>
          <w:tcPr>
            <w:tcW w:w="2046" w:type="dxa"/>
            <w:tcBorders>
              <w:top w:val="single" w:sz="4" w:space="0" w:color="auto"/>
              <w:left w:val="single" w:sz="4" w:space="0" w:color="auto"/>
              <w:bottom w:val="single" w:sz="4" w:space="0" w:color="auto"/>
              <w:right w:val="single" w:sz="4" w:space="0" w:color="auto"/>
            </w:tcBorders>
            <w:vAlign w:val="center"/>
            <w:hideMark/>
          </w:tcPr>
          <w:p w:rsidR="003D1E4F" w:rsidRPr="00D136FB" w:rsidRDefault="003D1E4F">
            <w:pPr>
              <w:spacing w:before="20" w:after="20" w:line="276" w:lineRule="auto"/>
              <w:rPr>
                <w:noProof/>
                <w:sz w:val="22"/>
                <w:lang w:eastAsia="bg-BG" w:bidi="bg-BG"/>
              </w:rPr>
            </w:pPr>
            <w:r w:rsidRPr="00D136FB">
              <w:rPr>
                <w:noProof/>
                <w:sz w:val="18"/>
              </w:rPr>
              <w:t>(Общо поети задължения = oбщо плащания)</w:t>
            </w:r>
          </w:p>
        </w:tc>
        <w:tc>
          <w:tcPr>
            <w:tcW w:w="868" w:type="dxa"/>
            <w:tcBorders>
              <w:top w:val="single" w:sz="4" w:space="0" w:color="auto"/>
              <w:left w:val="single" w:sz="4" w:space="0" w:color="auto"/>
              <w:bottom w:val="single" w:sz="4" w:space="0" w:color="auto"/>
              <w:right w:val="single" w:sz="4" w:space="0" w:color="auto"/>
            </w:tcBorders>
            <w:vAlign w:val="bottom"/>
            <w:hideMark/>
          </w:tcPr>
          <w:p w:rsidR="003D1E4F" w:rsidRPr="00D136FB" w:rsidRDefault="003D1E4F">
            <w:pPr>
              <w:spacing w:line="276" w:lineRule="auto"/>
              <w:jc w:val="right"/>
              <w:rPr>
                <w:b/>
                <w:sz w:val="22"/>
                <w:lang w:eastAsia="bg-BG" w:bidi="bg-BG"/>
              </w:rPr>
            </w:pPr>
            <w:r w:rsidRPr="00D136FB">
              <w:rPr>
                <w:sz w:val="20"/>
              </w:rPr>
              <w:t>15,189</w:t>
            </w:r>
          </w:p>
        </w:tc>
        <w:tc>
          <w:tcPr>
            <w:tcW w:w="868" w:type="dxa"/>
            <w:tcBorders>
              <w:top w:val="single" w:sz="4" w:space="0" w:color="auto"/>
              <w:left w:val="single" w:sz="4" w:space="0" w:color="auto"/>
              <w:bottom w:val="single" w:sz="4" w:space="0" w:color="auto"/>
              <w:right w:val="single" w:sz="4" w:space="0" w:color="auto"/>
            </w:tcBorders>
            <w:vAlign w:val="bottom"/>
            <w:hideMark/>
          </w:tcPr>
          <w:p w:rsidR="003D1E4F" w:rsidRPr="00D136FB" w:rsidRDefault="003D1E4F">
            <w:pPr>
              <w:spacing w:line="276" w:lineRule="auto"/>
              <w:jc w:val="right"/>
              <w:rPr>
                <w:b/>
                <w:sz w:val="22"/>
                <w:lang w:eastAsia="bg-BG" w:bidi="bg-BG"/>
              </w:rPr>
            </w:pPr>
            <w:r w:rsidRPr="00D136FB">
              <w:rPr>
                <w:sz w:val="20"/>
              </w:rPr>
              <w:t>16,489</w:t>
            </w:r>
          </w:p>
        </w:tc>
        <w:tc>
          <w:tcPr>
            <w:tcW w:w="868" w:type="dxa"/>
            <w:tcBorders>
              <w:top w:val="single" w:sz="4" w:space="0" w:color="auto"/>
              <w:left w:val="single" w:sz="4" w:space="0" w:color="auto"/>
              <w:bottom w:val="single" w:sz="4" w:space="0" w:color="auto"/>
              <w:right w:val="single" w:sz="4" w:space="0" w:color="auto"/>
            </w:tcBorders>
            <w:vAlign w:val="bottom"/>
            <w:hideMark/>
          </w:tcPr>
          <w:p w:rsidR="003D1E4F" w:rsidRPr="00D136FB" w:rsidRDefault="003D1E4F">
            <w:pPr>
              <w:spacing w:line="276" w:lineRule="auto"/>
              <w:jc w:val="right"/>
              <w:rPr>
                <w:b/>
                <w:sz w:val="22"/>
                <w:lang w:eastAsia="bg-BG" w:bidi="bg-BG"/>
              </w:rPr>
            </w:pPr>
            <w:r w:rsidRPr="00D136FB">
              <w:rPr>
                <w:sz w:val="20"/>
              </w:rPr>
              <w:t>17,633</w:t>
            </w:r>
          </w:p>
        </w:tc>
        <w:tc>
          <w:tcPr>
            <w:tcW w:w="868" w:type="dxa"/>
            <w:tcBorders>
              <w:top w:val="single" w:sz="4" w:space="0" w:color="auto"/>
              <w:left w:val="single" w:sz="4" w:space="0" w:color="auto"/>
              <w:bottom w:val="single" w:sz="4" w:space="0" w:color="auto"/>
              <w:right w:val="single" w:sz="4" w:space="0" w:color="auto"/>
            </w:tcBorders>
            <w:vAlign w:val="bottom"/>
            <w:hideMark/>
          </w:tcPr>
          <w:p w:rsidR="003D1E4F" w:rsidRPr="00D136FB" w:rsidRDefault="003D1E4F">
            <w:pPr>
              <w:spacing w:line="276" w:lineRule="auto"/>
              <w:jc w:val="right"/>
              <w:rPr>
                <w:b/>
                <w:sz w:val="22"/>
                <w:lang w:eastAsia="bg-BG" w:bidi="bg-BG"/>
              </w:rPr>
            </w:pPr>
            <w:r w:rsidRPr="00D136FB">
              <w:rPr>
                <w:sz w:val="20"/>
              </w:rPr>
              <w:t>17,633</w:t>
            </w:r>
          </w:p>
        </w:tc>
        <w:tc>
          <w:tcPr>
            <w:tcW w:w="868" w:type="dxa"/>
            <w:tcBorders>
              <w:top w:val="single" w:sz="4" w:space="0" w:color="auto"/>
              <w:left w:val="single" w:sz="4" w:space="0" w:color="auto"/>
              <w:bottom w:val="single" w:sz="4" w:space="0" w:color="auto"/>
              <w:right w:val="single" w:sz="4" w:space="0" w:color="auto"/>
            </w:tcBorders>
            <w:hideMark/>
          </w:tcPr>
          <w:p w:rsidR="003D1E4F" w:rsidRPr="00D136FB" w:rsidRDefault="003D1E4F">
            <w:pPr>
              <w:spacing w:line="276" w:lineRule="auto"/>
              <w:jc w:val="right"/>
              <w:rPr>
                <w:b/>
                <w:sz w:val="22"/>
                <w:lang w:eastAsia="bg-BG" w:bidi="bg-BG"/>
              </w:rPr>
            </w:pPr>
            <w:r w:rsidRPr="00D136FB">
              <w:rPr>
                <w:sz w:val="20"/>
              </w:rPr>
              <w:t>17,633</w:t>
            </w:r>
          </w:p>
        </w:tc>
        <w:tc>
          <w:tcPr>
            <w:tcW w:w="868" w:type="dxa"/>
            <w:tcBorders>
              <w:top w:val="single" w:sz="4" w:space="0" w:color="auto"/>
              <w:left w:val="single" w:sz="4" w:space="0" w:color="auto"/>
              <w:bottom w:val="single" w:sz="4" w:space="0" w:color="auto"/>
              <w:right w:val="single" w:sz="4" w:space="0" w:color="auto"/>
            </w:tcBorders>
            <w:hideMark/>
          </w:tcPr>
          <w:p w:rsidR="003D1E4F" w:rsidRPr="00D136FB" w:rsidRDefault="003D1E4F">
            <w:pPr>
              <w:spacing w:line="276" w:lineRule="auto"/>
              <w:jc w:val="right"/>
              <w:rPr>
                <w:b/>
                <w:sz w:val="22"/>
                <w:lang w:eastAsia="bg-BG" w:bidi="bg-BG"/>
              </w:rPr>
            </w:pPr>
            <w:r w:rsidRPr="00D136FB">
              <w:rPr>
                <w:sz w:val="20"/>
              </w:rPr>
              <w:t>17,633</w:t>
            </w:r>
          </w:p>
        </w:tc>
        <w:tc>
          <w:tcPr>
            <w:tcW w:w="868" w:type="dxa"/>
            <w:tcBorders>
              <w:top w:val="single" w:sz="4" w:space="0" w:color="auto"/>
              <w:left w:val="single" w:sz="4" w:space="0" w:color="auto"/>
              <w:bottom w:val="single" w:sz="4" w:space="0" w:color="auto"/>
              <w:right w:val="single" w:sz="4" w:space="0" w:color="auto"/>
            </w:tcBorders>
            <w:hideMark/>
          </w:tcPr>
          <w:p w:rsidR="003D1E4F" w:rsidRPr="00D136FB" w:rsidRDefault="003D1E4F">
            <w:pPr>
              <w:spacing w:line="276" w:lineRule="auto"/>
              <w:jc w:val="right"/>
              <w:rPr>
                <w:b/>
                <w:sz w:val="22"/>
                <w:lang w:eastAsia="bg-BG" w:bidi="bg-BG"/>
              </w:rPr>
            </w:pPr>
            <w:r w:rsidRPr="00D136FB">
              <w:rPr>
                <w:sz w:val="20"/>
              </w:rPr>
              <w:t>17,633</w:t>
            </w:r>
          </w:p>
        </w:tc>
        <w:tc>
          <w:tcPr>
            <w:tcW w:w="111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rsidR="003D1E4F" w:rsidRPr="00D136FB" w:rsidRDefault="003D1E4F">
            <w:pPr>
              <w:spacing w:before="20" w:after="20" w:line="276" w:lineRule="auto"/>
              <w:jc w:val="right"/>
              <w:rPr>
                <w:b/>
                <w:noProof/>
                <w:sz w:val="20"/>
                <w:lang w:eastAsia="bg-BG" w:bidi="bg-BG"/>
              </w:rPr>
            </w:pPr>
          </w:p>
        </w:tc>
        <w:tc>
          <w:tcPr>
            <w:tcW w:w="1068" w:type="dxa"/>
            <w:tcBorders>
              <w:top w:val="single" w:sz="4" w:space="0" w:color="auto"/>
              <w:left w:val="single" w:sz="4" w:space="0" w:color="auto"/>
              <w:bottom w:val="single" w:sz="4" w:space="0" w:color="auto"/>
              <w:right w:val="single" w:sz="4" w:space="0" w:color="auto"/>
            </w:tcBorders>
            <w:vAlign w:val="bottom"/>
            <w:hideMark/>
          </w:tcPr>
          <w:p w:rsidR="003D1E4F" w:rsidRPr="00D136FB" w:rsidRDefault="003D1E4F">
            <w:pPr>
              <w:spacing w:line="276" w:lineRule="auto"/>
              <w:jc w:val="right"/>
              <w:rPr>
                <w:b/>
                <w:sz w:val="22"/>
                <w:lang w:eastAsia="bg-BG" w:bidi="bg-BG"/>
              </w:rPr>
            </w:pPr>
            <w:r w:rsidRPr="00D136FB">
              <w:rPr>
                <w:b/>
                <w:noProof/>
                <w:sz w:val="20"/>
              </w:rPr>
              <w:t>119,840</w:t>
            </w:r>
          </w:p>
        </w:tc>
      </w:tr>
    </w:tbl>
    <w:p w:rsidR="003D1E4F" w:rsidRPr="00D136FB" w:rsidRDefault="003D1E4F" w:rsidP="003D1E4F">
      <w:pPr>
        <w:jc w:val="right"/>
        <w:rPr>
          <w:noProof/>
          <w:sz w:val="20"/>
          <w:lang w:eastAsia="bg-BG" w:bidi="bg-BG"/>
        </w:rPr>
      </w:pPr>
      <w:r w:rsidRPr="00D136FB">
        <w:rPr>
          <w:noProof/>
          <w:sz w:val="20"/>
        </w:rPr>
        <w:t>млн. евро (до 3-тия знак след десетичната запетая)</w:t>
      </w:r>
    </w:p>
    <w:tbl>
      <w:tblPr>
        <w:tblW w:w="14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0"/>
        <w:gridCol w:w="1558"/>
        <w:gridCol w:w="533"/>
        <w:gridCol w:w="868"/>
        <w:gridCol w:w="868"/>
        <w:gridCol w:w="868"/>
        <w:gridCol w:w="868"/>
        <w:gridCol w:w="868"/>
        <w:gridCol w:w="868"/>
        <w:gridCol w:w="868"/>
        <w:gridCol w:w="877"/>
        <w:gridCol w:w="1291"/>
      </w:tblGrid>
      <w:tr w:rsidR="003D1E4F" w:rsidRPr="00D136FB" w:rsidTr="003D1E4F">
        <w:trPr>
          <w:jc w:val="center"/>
        </w:trPr>
        <w:tc>
          <w:tcPr>
            <w:tcW w:w="4173" w:type="dxa"/>
            <w:tcBorders>
              <w:top w:val="nil"/>
              <w:left w:val="nil"/>
              <w:bottom w:val="single" w:sz="4" w:space="0" w:color="auto"/>
              <w:right w:val="nil"/>
            </w:tcBorders>
            <w:vAlign w:val="center"/>
          </w:tcPr>
          <w:p w:rsidR="003D1E4F" w:rsidRPr="00D136FB" w:rsidRDefault="003D1E4F">
            <w:pPr>
              <w:spacing w:line="276" w:lineRule="auto"/>
              <w:jc w:val="center"/>
              <w:rPr>
                <w:noProof/>
                <w:lang w:eastAsia="bg-BG" w:bidi="bg-BG"/>
              </w:rPr>
            </w:pPr>
          </w:p>
        </w:tc>
        <w:tc>
          <w:tcPr>
            <w:tcW w:w="1560" w:type="dxa"/>
            <w:tcBorders>
              <w:top w:val="nil"/>
              <w:left w:val="nil"/>
              <w:bottom w:val="single" w:sz="4" w:space="0" w:color="auto"/>
              <w:right w:val="nil"/>
            </w:tcBorders>
          </w:tcPr>
          <w:p w:rsidR="003D1E4F" w:rsidRPr="00D136FB" w:rsidRDefault="003D1E4F">
            <w:pPr>
              <w:spacing w:line="276" w:lineRule="auto"/>
              <w:rPr>
                <w:noProof/>
                <w:sz w:val="20"/>
                <w:lang w:eastAsia="bg-BG" w:bidi="bg-BG"/>
              </w:rPr>
            </w:pPr>
          </w:p>
        </w:tc>
        <w:tc>
          <w:tcPr>
            <w:tcW w:w="534" w:type="dxa"/>
            <w:tcBorders>
              <w:top w:val="nil"/>
              <w:left w:val="nil"/>
              <w:bottom w:val="single" w:sz="4" w:space="0" w:color="auto"/>
              <w:right w:val="single" w:sz="4" w:space="0" w:color="auto"/>
            </w:tcBorders>
          </w:tcPr>
          <w:p w:rsidR="003D1E4F" w:rsidRPr="00D136FB" w:rsidRDefault="003D1E4F">
            <w:pPr>
              <w:spacing w:line="276" w:lineRule="auto"/>
              <w:jc w:val="center"/>
              <w:rPr>
                <w:noProof/>
                <w:sz w:val="20"/>
                <w:lang w:eastAsia="bg-BG" w:bidi="bg-BG"/>
              </w:rPr>
            </w:pPr>
          </w:p>
        </w:tc>
        <w:tc>
          <w:tcPr>
            <w:tcW w:w="868" w:type="dxa"/>
            <w:tcBorders>
              <w:top w:val="single" w:sz="4" w:space="0" w:color="auto"/>
              <w:left w:val="single" w:sz="4" w:space="0" w:color="auto"/>
              <w:bottom w:val="single" w:sz="4" w:space="0" w:color="auto"/>
              <w:right w:val="single" w:sz="4" w:space="0" w:color="auto"/>
            </w:tcBorders>
            <w:vAlign w:val="center"/>
            <w:hideMark/>
          </w:tcPr>
          <w:p w:rsidR="003D1E4F" w:rsidRPr="00D136FB" w:rsidRDefault="003D1E4F">
            <w:pPr>
              <w:spacing w:line="276" w:lineRule="auto"/>
              <w:jc w:val="center"/>
              <w:rPr>
                <w:noProof/>
                <w:sz w:val="20"/>
                <w:lang w:eastAsia="bg-BG" w:bidi="bg-BG"/>
              </w:rPr>
            </w:pPr>
            <w:r w:rsidRPr="00D136FB">
              <w:rPr>
                <w:b/>
                <w:noProof/>
                <w:sz w:val="20"/>
              </w:rPr>
              <w:t>2021 г.</w:t>
            </w:r>
          </w:p>
        </w:tc>
        <w:tc>
          <w:tcPr>
            <w:tcW w:w="868" w:type="dxa"/>
            <w:tcBorders>
              <w:top w:val="single" w:sz="4" w:space="0" w:color="auto"/>
              <w:left w:val="single" w:sz="4" w:space="0" w:color="auto"/>
              <w:bottom w:val="single" w:sz="4" w:space="0" w:color="auto"/>
              <w:right w:val="single" w:sz="4" w:space="0" w:color="auto"/>
            </w:tcBorders>
            <w:vAlign w:val="center"/>
            <w:hideMark/>
          </w:tcPr>
          <w:p w:rsidR="003D1E4F" w:rsidRPr="00D136FB" w:rsidRDefault="003D1E4F">
            <w:pPr>
              <w:spacing w:line="276" w:lineRule="auto"/>
              <w:jc w:val="center"/>
              <w:rPr>
                <w:noProof/>
                <w:sz w:val="20"/>
                <w:lang w:eastAsia="bg-BG" w:bidi="bg-BG"/>
              </w:rPr>
            </w:pPr>
            <w:r w:rsidRPr="00D136FB">
              <w:rPr>
                <w:b/>
                <w:noProof/>
                <w:sz w:val="20"/>
              </w:rPr>
              <w:t>2022 г.</w:t>
            </w:r>
          </w:p>
        </w:tc>
        <w:tc>
          <w:tcPr>
            <w:tcW w:w="868" w:type="dxa"/>
            <w:tcBorders>
              <w:top w:val="single" w:sz="4" w:space="0" w:color="auto"/>
              <w:left w:val="single" w:sz="4" w:space="0" w:color="auto"/>
              <w:bottom w:val="single" w:sz="4" w:space="0" w:color="auto"/>
              <w:right w:val="single" w:sz="4" w:space="0" w:color="auto"/>
            </w:tcBorders>
            <w:vAlign w:val="center"/>
            <w:hideMark/>
          </w:tcPr>
          <w:p w:rsidR="003D1E4F" w:rsidRPr="00D136FB" w:rsidRDefault="003D1E4F">
            <w:pPr>
              <w:spacing w:line="276" w:lineRule="auto"/>
              <w:jc w:val="center"/>
              <w:rPr>
                <w:noProof/>
                <w:sz w:val="20"/>
                <w:lang w:eastAsia="bg-BG" w:bidi="bg-BG"/>
              </w:rPr>
            </w:pPr>
            <w:r w:rsidRPr="00D136FB">
              <w:rPr>
                <w:b/>
                <w:noProof/>
                <w:sz w:val="20"/>
              </w:rPr>
              <w:t>2023 г.</w:t>
            </w:r>
          </w:p>
        </w:tc>
        <w:tc>
          <w:tcPr>
            <w:tcW w:w="868" w:type="dxa"/>
            <w:tcBorders>
              <w:top w:val="single" w:sz="4" w:space="0" w:color="auto"/>
              <w:left w:val="single" w:sz="4" w:space="0" w:color="auto"/>
              <w:bottom w:val="single" w:sz="4" w:space="0" w:color="auto"/>
              <w:right w:val="single" w:sz="4" w:space="0" w:color="auto"/>
            </w:tcBorders>
            <w:vAlign w:val="center"/>
            <w:hideMark/>
          </w:tcPr>
          <w:p w:rsidR="003D1E4F" w:rsidRPr="00D136FB" w:rsidRDefault="003D1E4F">
            <w:pPr>
              <w:spacing w:line="276" w:lineRule="auto"/>
              <w:jc w:val="center"/>
              <w:rPr>
                <w:noProof/>
                <w:sz w:val="20"/>
                <w:lang w:eastAsia="bg-BG" w:bidi="bg-BG"/>
              </w:rPr>
            </w:pPr>
            <w:r w:rsidRPr="00D136FB">
              <w:rPr>
                <w:b/>
                <w:noProof/>
                <w:sz w:val="20"/>
              </w:rPr>
              <w:t>2024 г.</w:t>
            </w:r>
          </w:p>
        </w:tc>
        <w:tc>
          <w:tcPr>
            <w:tcW w:w="868" w:type="dxa"/>
            <w:tcBorders>
              <w:top w:val="single" w:sz="4" w:space="0" w:color="auto"/>
              <w:left w:val="single" w:sz="4" w:space="0" w:color="auto"/>
              <w:bottom w:val="single" w:sz="4" w:space="0" w:color="auto"/>
              <w:right w:val="single" w:sz="4" w:space="0" w:color="auto"/>
            </w:tcBorders>
            <w:vAlign w:val="center"/>
            <w:hideMark/>
          </w:tcPr>
          <w:p w:rsidR="003D1E4F" w:rsidRPr="00D136FB" w:rsidRDefault="003D1E4F">
            <w:pPr>
              <w:spacing w:line="276" w:lineRule="auto"/>
              <w:jc w:val="center"/>
              <w:rPr>
                <w:b/>
                <w:noProof/>
                <w:sz w:val="18"/>
                <w:lang w:eastAsia="bg-BG" w:bidi="bg-BG"/>
              </w:rPr>
            </w:pPr>
            <w:r w:rsidRPr="00D136FB">
              <w:rPr>
                <w:b/>
                <w:noProof/>
                <w:sz w:val="18"/>
              </w:rPr>
              <w:t>2025 г.</w:t>
            </w:r>
          </w:p>
        </w:tc>
        <w:tc>
          <w:tcPr>
            <w:tcW w:w="868" w:type="dxa"/>
            <w:tcBorders>
              <w:top w:val="single" w:sz="4" w:space="0" w:color="auto"/>
              <w:left w:val="single" w:sz="4" w:space="0" w:color="auto"/>
              <w:bottom w:val="single" w:sz="4" w:space="0" w:color="auto"/>
              <w:right w:val="single" w:sz="4" w:space="0" w:color="auto"/>
            </w:tcBorders>
            <w:vAlign w:val="center"/>
            <w:hideMark/>
          </w:tcPr>
          <w:p w:rsidR="003D1E4F" w:rsidRPr="00D136FB" w:rsidRDefault="003D1E4F">
            <w:pPr>
              <w:spacing w:line="276" w:lineRule="auto"/>
              <w:jc w:val="center"/>
              <w:rPr>
                <w:b/>
                <w:noProof/>
                <w:sz w:val="18"/>
                <w:lang w:eastAsia="bg-BG" w:bidi="bg-BG"/>
              </w:rPr>
            </w:pPr>
            <w:r w:rsidRPr="00D136FB">
              <w:rPr>
                <w:b/>
                <w:noProof/>
                <w:sz w:val="18"/>
              </w:rPr>
              <w:t>2026 г.</w:t>
            </w:r>
          </w:p>
        </w:tc>
        <w:tc>
          <w:tcPr>
            <w:tcW w:w="868" w:type="dxa"/>
            <w:tcBorders>
              <w:top w:val="single" w:sz="4" w:space="0" w:color="auto"/>
              <w:left w:val="single" w:sz="4" w:space="0" w:color="auto"/>
              <w:bottom w:val="single" w:sz="4" w:space="0" w:color="auto"/>
              <w:right w:val="single" w:sz="4" w:space="0" w:color="auto"/>
            </w:tcBorders>
            <w:vAlign w:val="center"/>
            <w:hideMark/>
          </w:tcPr>
          <w:p w:rsidR="003D1E4F" w:rsidRPr="00D136FB" w:rsidRDefault="003D1E4F">
            <w:pPr>
              <w:spacing w:line="276" w:lineRule="auto"/>
              <w:jc w:val="center"/>
              <w:rPr>
                <w:b/>
                <w:noProof/>
                <w:sz w:val="18"/>
                <w:lang w:eastAsia="bg-BG" w:bidi="bg-BG"/>
              </w:rPr>
            </w:pPr>
            <w:r w:rsidRPr="00D136FB">
              <w:rPr>
                <w:b/>
                <w:noProof/>
                <w:sz w:val="18"/>
              </w:rPr>
              <w:t>2027 г.</w:t>
            </w:r>
          </w:p>
        </w:tc>
        <w:tc>
          <w:tcPr>
            <w:tcW w:w="877" w:type="dxa"/>
            <w:tcBorders>
              <w:top w:val="single" w:sz="4" w:space="0" w:color="auto"/>
              <w:left w:val="single" w:sz="4" w:space="0" w:color="auto"/>
              <w:bottom w:val="single" w:sz="4" w:space="0" w:color="auto"/>
              <w:right w:val="single" w:sz="4" w:space="0" w:color="auto"/>
            </w:tcBorders>
            <w:hideMark/>
          </w:tcPr>
          <w:p w:rsidR="003D1E4F" w:rsidRPr="00D136FB" w:rsidRDefault="003D1E4F" w:rsidP="00C26321">
            <w:pPr>
              <w:spacing w:before="60" w:after="60"/>
              <w:jc w:val="center"/>
              <w:rPr>
                <w:b/>
                <w:noProof/>
                <w:sz w:val="20"/>
                <w:lang w:eastAsia="bg-BG" w:bidi="bg-BG"/>
              </w:rPr>
            </w:pPr>
            <w:r w:rsidRPr="00D136FB">
              <w:rPr>
                <w:b/>
                <w:i/>
                <w:noProof/>
                <w:sz w:val="20"/>
              </w:rPr>
              <w:t>След 2027 г.</w:t>
            </w:r>
          </w:p>
        </w:tc>
        <w:tc>
          <w:tcPr>
            <w:tcW w:w="1292" w:type="dxa"/>
            <w:tcBorders>
              <w:top w:val="single" w:sz="4" w:space="0" w:color="auto"/>
              <w:left w:val="single" w:sz="4" w:space="0" w:color="auto"/>
              <w:bottom w:val="single" w:sz="4" w:space="0" w:color="auto"/>
              <w:right w:val="single" w:sz="4" w:space="0" w:color="auto"/>
            </w:tcBorders>
            <w:vAlign w:val="center"/>
            <w:hideMark/>
          </w:tcPr>
          <w:p w:rsidR="003D1E4F" w:rsidRPr="00D136FB" w:rsidRDefault="003D1E4F">
            <w:pPr>
              <w:spacing w:line="276" w:lineRule="auto"/>
              <w:jc w:val="center"/>
              <w:rPr>
                <w:b/>
                <w:noProof/>
                <w:sz w:val="20"/>
                <w:lang w:eastAsia="bg-BG" w:bidi="bg-BG"/>
              </w:rPr>
            </w:pPr>
            <w:r w:rsidRPr="00D136FB">
              <w:rPr>
                <w:b/>
                <w:noProof/>
                <w:sz w:val="20"/>
              </w:rPr>
              <w:t>ОБЩО</w:t>
            </w:r>
          </w:p>
        </w:tc>
      </w:tr>
      <w:tr w:rsidR="003D1E4F" w:rsidRPr="00D136FB" w:rsidTr="003D1E4F">
        <w:trPr>
          <w:jc w:val="center"/>
        </w:trPr>
        <w:tc>
          <w:tcPr>
            <w:tcW w:w="4173" w:type="dxa"/>
            <w:vMerge w:val="restart"/>
            <w:tcBorders>
              <w:top w:val="single" w:sz="4" w:space="0" w:color="auto"/>
              <w:left w:val="single" w:sz="4" w:space="0" w:color="auto"/>
              <w:bottom w:val="single" w:sz="4" w:space="0" w:color="auto"/>
              <w:right w:val="single" w:sz="4" w:space="0" w:color="auto"/>
            </w:tcBorders>
            <w:shd w:val="clear" w:color="auto" w:fill="C0C0C0"/>
            <w:vAlign w:val="center"/>
            <w:hideMark/>
          </w:tcPr>
          <w:p w:rsidR="003D1E4F" w:rsidRPr="00D136FB" w:rsidRDefault="003D1E4F">
            <w:pPr>
              <w:spacing w:line="276" w:lineRule="auto"/>
              <w:jc w:val="center"/>
              <w:rPr>
                <w:b/>
                <w:noProof/>
                <w:lang w:eastAsia="bg-BG" w:bidi="bg-BG"/>
              </w:rPr>
            </w:pPr>
            <w:r w:rsidRPr="00D136FB">
              <w:rPr>
                <w:b/>
                <w:noProof/>
                <w:sz w:val="22"/>
              </w:rPr>
              <w:t xml:space="preserve">ОБЩО бюджетни кредити </w:t>
            </w:r>
            <w:r w:rsidRPr="00D136FB">
              <w:rPr>
                <w:noProof/>
                <w:sz w:val="22"/>
              </w:rPr>
              <w:br/>
            </w:r>
            <w:r w:rsidRPr="00D136FB">
              <w:rPr>
                <w:b/>
                <w:noProof/>
                <w:sz w:val="22"/>
              </w:rPr>
              <w:t xml:space="preserve">по всички ФУНКЦИИ </w:t>
            </w:r>
            <w:r w:rsidRPr="00D136FB">
              <w:rPr>
                <w:noProof/>
                <w:sz w:val="22"/>
              </w:rPr>
              <w:br/>
              <w:t>от многогодишната финансова рамка</w:t>
            </w:r>
            <w:r w:rsidRPr="00D136FB">
              <w:rPr>
                <w:b/>
                <w:noProof/>
                <w:sz w:val="22"/>
              </w:rPr>
              <w:t xml:space="preserve"> </w:t>
            </w:r>
          </w:p>
        </w:tc>
        <w:tc>
          <w:tcPr>
            <w:tcW w:w="2094" w:type="dxa"/>
            <w:gridSpan w:val="2"/>
            <w:tcBorders>
              <w:top w:val="single" w:sz="4" w:space="0" w:color="auto"/>
              <w:left w:val="single" w:sz="4" w:space="0" w:color="auto"/>
              <w:bottom w:val="single" w:sz="4" w:space="0" w:color="auto"/>
              <w:right w:val="single" w:sz="4" w:space="0" w:color="auto"/>
            </w:tcBorders>
            <w:vAlign w:val="center"/>
            <w:hideMark/>
          </w:tcPr>
          <w:p w:rsidR="003D1E4F" w:rsidRPr="00D136FB" w:rsidRDefault="003D1E4F">
            <w:pPr>
              <w:spacing w:line="276" w:lineRule="auto"/>
              <w:rPr>
                <w:noProof/>
                <w:sz w:val="14"/>
                <w:lang w:eastAsia="bg-BG" w:bidi="bg-BG"/>
              </w:rPr>
            </w:pPr>
            <w:r w:rsidRPr="00D136FB">
              <w:rPr>
                <w:noProof/>
                <w:sz w:val="18"/>
              </w:rPr>
              <w:t>Поети задължения</w:t>
            </w:r>
          </w:p>
        </w:tc>
        <w:tc>
          <w:tcPr>
            <w:tcW w:w="868" w:type="dxa"/>
            <w:tcBorders>
              <w:top w:val="single" w:sz="4" w:space="0" w:color="auto"/>
              <w:left w:val="single" w:sz="4" w:space="0" w:color="auto"/>
              <w:bottom w:val="single" w:sz="4" w:space="0" w:color="auto"/>
              <w:right w:val="single" w:sz="4" w:space="0" w:color="auto"/>
            </w:tcBorders>
            <w:vAlign w:val="bottom"/>
            <w:hideMark/>
          </w:tcPr>
          <w:p w:rsidR="003D1E4F" w:rsidRPr="00D136FB" w:rsidRDefault="003D1E4F">
            <w:pPr>
              <w:spacing w:line="276" w:lineRule="auto"/>
              <w:jc w:val="center"/>
              <w:rPr>
                <w:sz w:val="20"/>
                <w:lang w:eastAsia="bg-BG" w:bidi="bg-BG"/>
              </w:rPr>
            </w:pPr>
            <w:r w:rsidRPr="00D136FB">
              <w:rPr>
                <w:sz w:val="20"/>
              </w:rPr>
              <w:t>264,231</w:t>
            </w:r>
          </w:p>
        </w:tc>
        <w:tc>
          <w:tcPr>
            <w:tcW w:w="868" w:type="dxa"/>
            <w:tcBorders>
              <w:top w:val="single" w:sz="4" w:space="0" w:color="auto"/>
              <w:left w:val="single" w:sz="4" w:space="0" w:color="auto"/>
              <w:bottom w:val="single" w:sz="4" w:space="0" w:color="auto"/>
              <w:right w:val="single" w:sz="4" w:space="0" w:color="auto"/>
            </w:tcBorders>
            <w:vAlign w:val="bottom"/>
            <w:hideMark/>
          </w:tcPr>
          <w:p w:rsidR="003D1E4F" w:rsidRPr="00D136FB" w:rsidRDefault="003D1E4F">
            <w:pPr>
              <w:spacing w:line="276" w:lineRule="auto"/>
              <w:jc w:val="center"/>
              <w:rPr>
                <w:sz w:val="20"/>
                <w:lang w:eastAsia="bg-BG" w:bidi="bg-BG"/>
              </w:rPr>
            </w:pPr>
            <w:r w:rsidRPr="00D136FB">
              <w:rPr>
                <w:sz w:val="20"/>
              </w:rPr>
              <w:t>270,512</w:t>
            </w:r>
          </w:p>
        </w:tc>
        <w:tc>
          <w:tcPr>
            <w:tcW w:w="868" w:type="dxa"/>
            <w:tcBorders>
              <w:top w:val="single" w:sz="4" w:space="0" w:color="auto"/>
              <w:left w:val="single" w:sz="4" w:space="0" w:color="auto"/>
              <w:bottom w:val="single" w:sz="4" w:space="0" w:color="auto"/>
              <w:right w:val="single" w:sz="4" w:space="0" w:color="auto"/>
            </w:tcBorders>
            <w:vAlign w:val="bottom"/>
            <w:hideMark/>
          </w:tcPr>
          <w:p w:rsidR="003D1E4F" w:rsidRPr="00D136FB" w:rsidRDefault="003D1E4F">
            <w:pPr>
              <w:spacing w:line="276" w:lineRule="auto"/>
              <w:jc w:val="center"/>
              <w:rPr>
                <w:sz w:val="20"/>
                <w:lang w:eastAsia="bg-BG" w:bidi="bg-BG"/>
              </w:rPr>
            </w:pPr>
            <w:r w:rsidRPr="00D136FB">
              <w:rPr>
                <w:sz w:val="20"/>
              </w:rPr>
              <w:t>276,736</w:t>
            </w:r>
          </w:p>
        </w:tc>
        <w:tc>
          <w:tcPr>
            <w:tcW w:w="868" w:type="dxa"/>
            <w:tcBorders>
              <w:top w:val="single" w:sz="4" w:space="0" w:color="auto"/>
              <w:left w:val="single" w:sz="4" w:space="0" w:color="auto"/>
              <w:bottom w:val="single" w:sz="4" w:space="0" w:color="auto"/>
              <w:right w:val="single" w:sz="4" w:space="0" w:color="auto"/>
            </w:tcBorders>
            <w:vAlign w:val="bottom"/>
            <w:hideMark/>
          </w:tcPr>
          <w:p w:rsidR="003D1E4F" w:rsidRPr="00D136FB" w:rsidRDefault="003D1E4F">
            <w:pPr>
              <w:spacing w:line="276" w:lineRule="auto"/>
              <w:jc w:val="center"/>
              <w:rPr>
                <w:sz w:val="20"/>
                <w:lang w:eastAsia="bg-BG" w:bidi="bg-BG"/>
              </w:rPr>
            </w:pPr>
            <w:r w:rsidRPr="00D136FB">
              <w:rPr>
                <w:sz w:val="20"/>
              </w:rPr>
              <w:t>281,919</w:t>
            </w:r>
          </w:p>
        </w:tc>
        <w:tc>
          <w:tcPr>
            <w:tcW w:w="868" w:type="dxa"/>
            <w:tcBorders>
              <w:top w:val="single" w:sz="4" w:space="0" w:color="auto"/>
              <w:left w:val="single" w:sz="4" w:space="0" w:color="auto"/>
              <w:bottom w:val="single" w:sz="4" w:space="0" w:color="auto"/>
              <w:right w:val="single" w:sz="4" w:space="0" w:color="auto"/>
            </w:tcBorders>
            <w:vAlign w:val="bottom"/>
            <w:hideMark/>
          </w:tcPr>
          <w:p w:rsidR="003D1E4F" w:rsidRPr="00D136FB" w:rsidRDefault="003D1E4F">
            <w:pPr>
              <w:spacing w:line="276" w:lineRule="auto"/>
              <w:jc w:val="center"/>
              <w:rPr>
                <w:sz w:val="20"/>
                <w:lang w:eastAsia="bg-BG" w:bidi="bg-BG"/>
              </w:rPr>
            </w:pPr>
            <w:r w:rsidRPr="00D136FB">
              <w:rPr>
                <w:sz w:val="20"/>
              </w:rPr>
              <w:t>287,204</w:t>
            </w:r>
          </w:p>
        </w:tc>
        <w:tc>
          <w:tcPr>
            <w:tcW w:w="868" w:type="dxa"/>
            <w:tcBorders>
              <w:top w:val="single" w:sz="4" w:space="0" w:color="auto"/>
              <w:left w:val="single" w:sz="4" w:space="0" w:color="auto"/>
              <w:bottom w:val="single" w:sz="4" w:space="0" w:color="auto"/>
              <w:right w:val="single" w:sz="4" w:space="0" w:color="auto"/>
            </w:tcBorders>
            <w:vAlign w:val="bottom"/>
            <w:hideMark/>
          </w:tcPr>
          <w:p w:rsidR="003D1E4F" w:rsidRPr="00D136FB" w:rsidRDefault="003D1E4F">
            <w:pPr>
              <w:spacing w:line="276" w:lineRule="auto"/>
              <w:jc w:val="center"/>
              <w:rPr>
                <w:sz w:val="20"/>
                <w:lang w:eastAsia="bg-BG" w:bidi="bg-BG"/>
              </w:rPr>
            </w:pPr>
            <w:r w:rsidRPr="00D136FB">
              <w:rPr>
                <w:sz w:val="20"/>
              </w:rPr>
              <w:t>292,596</w:t>
            </w:r>
          </w:p>
        </w:tc>
        <w:tc>
          <w:tcPr>
            <w:tcW w:w="868" w:type="dxa"/>
            <w:tcBorders>
              <w:top w:val="single" w:sz="4" w:space="0" w:color="auto"/>
              <w:left w:val="single" w:sz="4" w:space="0" w:color="auto"/>
              <w:bottom w:val="single" w:sz="4" w:space="0" w:color="auto"/>
              <w:right w:val="single" w:sz="4" w:space="0" w:color="auto"/>
            </w:tcBorders>
            <w:vAlign w:val="bottom"/>
            <w:hideMark/>
          </w:tcPr>
          <w:p w:rsidR="003D1E4F" w:rsidRPr="00D136FB" w:rsidRDefault="003D1E4F">
            <w:pPr>
              <w:spacing w:line="276" w:lineRule="auto"/>
              <w:jc w:val="center"/>
              <w:rPr>
                <w:sz w:val="20"/>
                <w:lang w:eastAsia="bg-BG" w:bidi="bg-BG"/>
              </w:rPr>
            </w:pPr>
            <w:r w:rsidRPr="00D136FB">
              <w:rPr>
                <w:sz w:val="20"/>
              </w:rPr>
              <w:t>296,645</w:t>
            </w:r>
          </w:p>
        </w:tc>
        <w:tc>
          <w:tcPr>
            <w:tcW w:w="87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3D1E4F" w:rsidRPr="00D136FB" w:rsidRDefault="003D1E4F">
            <w:pPr>
              <w:spacing w:before="60" w:after="60" w:line="276" w:lineRule="auto"/>
              <w:jc w:val="center"/>
              <w:rPr>
                <w:b/>
                <w:noProof/>
                <w:sz w:val="20"/>
                <w:szCs w:val="20"/>
                <w:lang w:eastAsia="bg-BG" w:bidi="bg-BG"/>
              </w:rPr>
            </w:pPr>
          </w:p>
        </w:tc>
        <w:tc>
          <w:tcPr>
            <w:tcW w:w="1292" w:type="dxa"/>
            <w:tcBorders>
              <w:top w:val="single" w:sz="4" w:space="0" w:color="auto"/>
              <w:left w:val="single" w:sz="4" w:space="0" w:color="auto"/>
              <w:bottom w:val="single" w:sz="4" w:space="0" w:color="auto"/>
              <w:right w:val="single" w:sz="4" w:space="0" w:color="auto"/>
            </w:tcBorders>
            <w:vAlign w:val="center"/>
            <w:hideMark/>
          </w:tcPr>
          <w:p w:rsidR="003D1E4F" w:rsidRPr="00D136FB" w:rsidRDefault="003D1E4F">
            <w:pPr>
              <w:spacing w:line="276" w:lineRule="auto"/>
              <w:jc w:val="center"/>
              <w:rPr>
                <w:b/>
                <w:sz w:val="20"/>
                <w:lang w:eastAsia="bg-BG" w:bidi="bg-BG"/>
              </w:rPr>
            </w:pPr>
            <w:r w:rsidRPr="00D136FB">
              <w:rPr>
                <w:b/>
                <w:sz w:val="20"/>
              </w:rPr>
              <w:t>1 969,840</w:t>
            </w:r>
          </w:p>
        </w:tc>
      </w:tr>
      <w:tr w:rsidR="003D1E4F" w:rsidRPr="00D136FB" w:rsidTr="003D1E4F">
        <w:trPr>
          <w:jc w:val="center"/>
        </w:trPr>
        <w:tc>
          <w:tcPr>
            <w:tcW w:w="4173" w:type="dxa"/>
            <w:vMerge/>
            <w:tcBorders>
              <w:top w:val="single" w:sz="4" w:space="0" w:color="auto"/>
              <w:left w:val="single" w:sz="4" w:space="0" w:color="auto"/>
              <w:bottom w:val="single" w:sz="4" w:space="0" w:color="auto"/>
              <w:right w:val="single" w:sz="4" w:space="0" w:color="auto"/>
            </w:tcBorders>
            <w:vAlign w:val="center"/>
            <w:hideMark/>
          </w:tcPr>
          <w:p w:rsidR="003D1E4F" w:rsidRPr="00D136FB" w:rsidRDefault="003D1E4F">
            <w:pPr>
              <w:spacing w:before="0" w:after="0"/>
              <w:jc w:val="left"/>
              <w:rPr>
                <w:b/>
                <w:noProof/>
                <w:lang w:eastAsia="bg-BG" w:bidi="bg-BG"/>
              </w:rPr>
            </w:pPr>
          </w:p>
        </w:tc>
        <w:tc>
          <w:tcPr>
            <w:tcW w:w="2094" w:type="dxa"/>
            <w:gridSpan w:val="2"/>
            <w:tcBorders>
              <w:top w:val="single" w:sz="4" w:space="0" w:color="auto"/>
              <w:left w:val="single" w:sz="4" w:space="0" w:color="auto"/>
              <w:bottom w:val="single" w:sz="4" w:space="0" w:color="auto"/>
              <w:right w:val="single" w:sz="4" w:space="0" w:color="auto"/>
            </w:tcBorders>
            <w:vAlign w:val="center"/>
            <w:hideMark/>
          </w:tcPr>
          <w:p w:rsidR="003D1E4F" w:rsidRPr="00D136FB" w:rsidRDefault="003D1E4F">
            <w:pPr>
              <w:spacing w:line="276" w:lineRule="auto"/>
              <w:rPr>
                <w:noProof/>
                <w:sz w:val="14"/>
                <w:lang w:eastAsia="bg-BG" w:bidi="bg-BG"/>
              </w:rPr>
            </w:pPr>
            <w:r w:rsidRPr="00D136FB">
              <w:rPr>
                <w:noProof/>
                <w:sz w:val="18"/>
              </w:rPr>
              <w:t>Плащания</w:t>
            </w:r>
          </w:p>
        </w:tc>
        <w:tc>
          <w:tcPr>
            <w:tcW w:w="868" w:type="dxa"/>
            <w:tcBorders>
              <w:top w:val="single" w:sz="4" w:space="0" w:color="auto"/>
              <w:left w:val="single" w:sz="4" w:space="0" w:color="auto"/>
              <w:bottom w:val="single" w:sz="4" w:space="0" w:color="auto"/>
              <w:right w:val="single" w:sz="4" w:space="0" w:color="auto"/>
            </w:tcBorders>
            <w:vAlign w:val="center"/>
            <w:hideMark/>
          </w:tcPr>
          <w:p w:rsidR="003D1E4F" w:rsidRPr="00D136FB" w:rsidRDefault="003D1E4F">
            <w:pPr>
              <w:spacing w:before="60" w:after="60" w:line="276" w:lineRule="auto"/>
              <w:jc w:val="right"/>
              <w:rPr>
                <w:noProof/>
                <w:sz w:val="20"/>
                <w:lang w:eastAsia="bg-BG" w:bidi="bg-BG"/>
              </w:rPr>
            </w:pPr>
            <w:r w:rsidRPr="00D136FB">
              <w:rPr>
                <w:sz w:val="20"/>
              </w:rPr>
              <w:t>156,637</w:t>
            </w:r>
          </w:p>
        </w:tc>
        <w:tc>
          <w:tcPr>
            <w:tcW w:w="868" w:type="dxa"/>
            <w:tcBorders>
              <w:top w:val="single" w:sz="4" w:space="0" w:color="auto"/>
              <w:left w:val="single" w:sz="4" w:space="0" w:color="auto"/>
              <w:bottom w:val="single" w:sz="4" w:space="0" w:color="auto"/>
              <w:right w:val="single" w:sz="4" w:space="0" w:color="auto"/>
            </w:tcBorders>
            <w:vAlign w:val="center"/>
            <w:hideMark/>
          </w:tcPr>
          <w:p w:rsidR="003D1E4F" w:rsidRPr="00D136FB" w:rsidRDefault="003D1E4F">
            <w:pPr>
              <w:spacing w:before="60" w:after="60" w:line="276" w:lineRule="auto"/>
              <w:jc w:val="right"/>
              <w:rPr>
                <w:noProof/>
                <w:sz w:val="20"/>
                <w:lang w:eastAsia="bg-BG" w:bidi="bg-BG"/>
              </w:rPr>
            </w:pPr>
            <w:r w:rsidRPr="00D136FB">
              <w:rPr>
                <w:sz w:val="20"/>
              </w:rPr>
              <w:t>199,341</w:t>
            </w:r>
          </w:p>
        </w:tc>
        <w:tc>
          <w:tcPr>
            <w:tcW w:w="868" w:type="dxa"/>
            <w:tcBorders>
              <w:top w:val="single" w:sz="4" w:space="0" w:color="auto"/>
              <w:left w:val="single" w:sz="4" w:space="0" w:color="auto"/>
              <w:bottom w:val="single" w:sz="4" w:space="0" w:color="auto"/>
              <w:right w:val="single" w:sz="4" w:space="0" w:color="auto"/>
            </w:tcBorders>
            <w:vAlign w:val="center"/>
            <w:hideMark/>
          </w:tcPr>
          <w:p w:rsidR="003D1E4F" w:rsidRPr="00D136FB" w:rsidRDefault="003D1E4F">
            <w:pPr>
              <w:spacing w:before="60" w:after="60" w:line="276" w:lineRule="auto"/>
              <w:jc w:val="right"/>
              <w:rPr>
                <w:noProof/>
                <w:sz w:val="20"/>
                <w:lang w:eastAsia="bg-BG" w:bidi="bg-BG"/>
              </w:rPr>
            </w:pPr>
            <w:r w:rsidRPr="00D136FB">
              <w:rPr>
                <w:sz w:val="20"/>
              </w:rPr>
              <w:t>243,4</w:t>
            </w:r>
          </w:p>
        </w:tc>
        <w:tc>
          <w:tcPr>
            <w:tcW w:w="868" w:type="dxa"/>
            <w:tcBorders>
              <w:top w:val="single" w:sz="4" w:space="0" w:color="auto"/>
              <w:left w:val="single" w:sz="4" w:space="0" w:color="auto"/>
              <w:bottom w:val="single" w:sz="4" w:space="0" w:color="auto"/>
              <w:right w:val="single" w:sz="4" w:space="0" w:color="auto"/>
            </w:tcBorders>
            <w:vAlign w:val="center"/>
            <w:hideMark/>
          </w:tcPr>
          <w:p w:rsidR="003D1E4F" w:rsidRPr="00D136FB" w:rsidRDefault="003D1E4F">
            <w:pPr>
              <w:spacing w:before="60" w:after="60" w:line="276" w:lineRule="auto"/>
              <w:jc w:val="right"/>
              <w:rPr>
                <w:noProof/>
                <w:sz w:val="20"/>
                <w:lang w:eastAsia="bg-BG" w:bidi="bg-BG"/>
              </w:rPr>
            </w:pPr>
            <w:r w:rsidRPr="00D136FB">
              <w:rPr>
                <w:sz w:val="20"/>
              </w:rPr>
              <w:t>258,098</w:t>
            </w:r>
          </w:p>
        </w:tc>
        <w:tc>
          <w:tcPr>
            <w:tcW w:w="868" w:type="dxa"/>
            <w:tcBorders>
              <w:top w:val="single" w:sz="4" w:space="0" w:color="auto"/>
              <w:left w:val="single" w:sz="4" w:space="0" w:color="auto"/>
              <w:bottom w:val="single" w:sz="4" w:space="0" w:color="auto"/>
              <w:right w:val="single" w:sz="4" w:space="0" w:color="auto"/>
            </w:tcBorders>
            <w:vAlign w:val="center"/>
            <w:hideMark/>
          </w:tcPr>
          <w:p w:rsidR="003D1E4F" w:rsidRPr="00D136FB" w:rsidRDefault="003D1E4F">
            <w:pPr>
              <w:spacing w:before="60" w:after="60" w:line="276" w:lineRule="auto"/>
              <w:jc w:val="right"/>
              <w:rPr>
                <w:noProof/>
                <w:sz w:val="20"/>
                <w:lang w:eastAsia="bg-BG" w:bidi="bg-BG"/>
              </w:rPr>
            </w:pPr>
            <w:r w:rsidRPr="00D136FB">
              <w:rPr>
                <w:sz w:val="20"/>
              </w:rPr>
              <w:t>266,137</w:t>
            </w:r>
          </w:p>
        </w:tc>
        <w:tc>
          <w:tcPr>
            <w:tcW w:w="868" w:type="dxa"/>
            <w:tcBorders>
              <w:top w:val="single" w:sz="4" w:space="0" w:color="auto"/>
              <w:left w:val="single" w:sz="4" w:space="0" w:color="auto"/>
              <w:bottom w:val="single" w:sz="4" w:space="0" w:color="auto"/>
              <w:right w:val="single" w:sz="4" w:space="0" w:color="auto"/>
            </w:tcBorders>
            <w:vAlign w:val="center"/>
            <w:hideMark/>
          </w:tcPr>
          <w:p w:rsidR="003D1E4F" w:rsidRPr="00D136FB" w:rsidRDefault="003D1E4F">
            <w:pPr>
              <w:spacing w:before="60" w:after="60" w:line="276" w:lineRule="auto"/>
              <w:jc w:val="right"/>
              <w:rPr>
                <w:noProof/>
                <w:sz w:val="20"/>
                <w:lang w:eastAsia="bg-BG" w:bidi="bg-BG"/>
              </w:rPr>
            </w:pPr>
            <w:r w:rsidRPr="00D136FB">
              <w:rPr>
                <w:sz w:val="20"/>
              </w:rPr>
              <w:t>273,155</w:t>
            </w:r>
          </w:p>
        </w:tc>
        <w:tc>
          <w:tcPr>
            <w:tcW w:w="868" w:type="dxa"/>
            <w:tcBorders>
              <w:top w:val="single" w:sz="4" w:space="0" w:color="auto"/>
              <w:left w:val="single" w:sz="4" w:space="0" w:color="auto"/>
              <w:bottom w:val="single" w:sz="4" w:space="0" w:color="auto"/>
              <w:right w:val="single" w:sz="4" w:space="0" w:color="auto"/>
            </w:tcBorders>
            <w:vAlign w:val="center"/>
            <w:hideMark/>
          </w:tcPr>
          <w:p w:rsidR="003D1E4F" w:rsidRPr="00D136FB" w:rsidRDefault="003D1E4F">
            <w:pPr>
              <w:spacing w:before="60" w:after="60" w:line="276" w:lineRule="auto"/>
              <w:jc w:val="center"/>
              <w:rPr>
                <w:sz w:val="20"/>
                <w:lang w:eastAsia="bg-BG" w:bidi="bg-BG"/>
              </w:rPr>
            </w:pPr>
            <w:r w:rsidRPr="00D136FB">
              <w:rPr>
                <w:sz w:val="20"/>
              </w:rPr>
              <w:t>278,596</w:t>
            </w:r>
          </w:p>
        </w:tc>
        <w:tc>
          <w:tcPr>
            <w:tcW w:w="877" w:type="dxa"/>
            <w:tcBorders>
              <w:top w:val="single" w:sz="4" w:space="0" w:color="auto"/>
              <w:left w:val="single" w:sz="4" w:space="0" w:color="auto"/>
              <w:bottom w:val="single" w:sz="4" w:space="0" w:color="auto"/>
              <w:right w:val="single" w:sz="4" w:space="0" w:color="auto"/>
            </w:tcBorders>
            <w:vAlign w:val="center"/>
            <w:hideMark/>
          </w:tcPr>
          <w:p w:rsidR="003D1E4F" w:rsidRPr="00D136FB" w:rsidRDefault="003D1E4F">
            <w:pPr>
              <w:spacing w:before="60" w:after="60" w:line="276" w:lineRule="auto"/>
              <w:jc w:val="center"/>
              <w:rPr>
                <w:sz w:val="20"/>
                <w:lang w:eastAsia="bg-BG" w:bidi="bg-BG"/>
              </w:rPr>
            </w:pPr>
            <w:r w:rsidRPr="00D136FB">
              <w:rPr>
                <w:sz w:val="20"/>
              </w:rPr>
              <w:t>294,479</w:t>
            </w:r>
          </w:p>
        </w:tc>
        <w:tc>
          <w:tcPr>
            <w:tcW w:w="1292" w:type="dxa"/>
            <w:tcBorders>
              <w:top w:val="single" w:sz="4" w:space="0" w:color="auto"/>
              <w:left w:val="single" w:sz="4" w:space="0" w:color="auto"/>
              <w:bottom w:val="single" w:sz="4" w:space="0" w:color="auto"/>
              <w:right w:val="single" w:sz="4" w:space="0" w:color="auto"/>
            </w:tcBorders>
            <w:vAlign w:val="center"/>
            <w:hideMark/>
          </w:tcPr>
          <w:p w:rsidR="003D1E4F" w:rsidRPr="00D136FB" w:rsidRDefault="003D1E4F">
            <w:pPr>
              <w:spacing w:before="60" w:after="60" w:line="276" w:lineRule="auto"/>
              <w:jc w:val="center"/>
              <w:rPr>
                <w:b/>
                <w:noProof/>
                <w:sz w:val="20"/>
                <w:lang w:eastAsia="bg-BG" w:bidi="bg-BG"/>
              </w:rPr>
            </w:pPr>
            <w:r w:rsidRPr="00D136FB">
              <w:rPr>
                <w:b/>
                <w:noProof/>
                <w:sz w:val="20"/>
              </w:rPr>
              <w:t>1 969,840</w:t>
            </w:r>
          </w:p>
        </w:tc>
      </w:tr>
    </w:tbl>
    <w:p w:rsidR="003D1E4F" w:rsidRPr="00D136FB" w:rsidRDefault="003D1E4F" w:rsidP="003D1E4F">
      <w:pPr>
        <w:spacing w:before="0" w:after="0"/>
        <w:jc w:val="left"/>
        <w:rPr>
          <w:noProof/>
        </w:rPr>
        <w:sectPr w:rsidR="003D1E4F" w:rsidRPr="00D136FB" w:rsidSect="00377BF1">
          <w:headerReference w:type="default" r:id="rId28"/>
          <w:footerReference w:type="default" r:id="rId29"/>
          <w:headerReference w:type="first" r:id="rId30"/>
          <w:footerReference w:type="first" r:id="rId31"/>
          <w:pgSz w:w="16840" w:h="11907" w:orient="landscape"/>
          <w:pgMar w:top="1134" w:right="1418" w:bottom="1134" w:left="1418" w:header="709" w:footer="709" w:gutter="0"/>
          <w:cols w:space="720"/>
          <w:docGrid w:linePitch="326"/>
        </w:sectPr>
      </w:pPr>
    </w:p>
    <w:p w:rsidR="003D1E4F" w:rsidRPr="00D136FB" w:rsidRDefault="003D1E4F" w:rsidP="00EF7A5B">
      <w:pPr>
        <w:pStyle w:val="Heading3"/>
        <w:numPr>
          <w:ilvl w:val="2"/>
          <w:numId w:val="15"/>
        </w:numPr>
        <w:rPr>
          <w:bCs w:val="0"/>
          <w:noProof/>
          <w:szCs w:val="24"/>
          <w:lang w:eastAsia="bg-BG" w:bidi="bg-BG"/>
        </w:rPr>
      </w:pPr>
      <w:r w:rsidRPr="00D136FB">
        <w:lastRenderedPageBreak/>
        <w:t>Резюме на очаквано отражение върху бюджетните кредити за административни разходи</w:t>
      </w:r>
    </w:p>
    <w:p w:rsidR="003D1E4F" w:rsidRPr="00D136FB" w:rsidRDefault="003D1E4F" w:rsidP="003D1E4F">
      <w:pPr>
        <w:pStyle w:val="ListDash1"/>
      </w:pPr>
      <w:r w:rsidRPr="00D136FB">
        <w:sym w:font="Wingdings" w:char="F0A8"/>
      </w:r>
      <w:r w:rsidRPr="00D136FB">
        <w:tab/>
        <w:t xml:space="preserve">Предложението/инициативата не налага използване на бюджетни кредити за административни разходи </w:t>
      </w:r>
    </w:p>
    <w:p w:rsidR="003D1E4F" w:rsidRPr="00D136FB" w:rsidRDefault="003D1E4F" w:rsidP="003D1E4F">
      <w:pPr>
        <w:pStyle w:val="ListDash1"/>
      </w:pPr>
      <w:r w:rsidRPr="00D136FB">
        <w:sym w:font="Wingdings" w:char="F078"/>
      </w:r>
      <w:r w:rsidRPr="00D136FB">
        <w:tab/>
        <w:t>Предложението/инициативата налага използване на бюджетни кредити за административни разходи съгласно обяснението по-долу:</w:t>
      </w:r>
    </w:p>
    <w:p w:rsidR="003D1E4F" w:rsidRPr="00D136FB" w:rsidRDefault="003D1E4F" w:rsidP="003D1E4F">
      <w:pPr>
        <w:rPr>
          <w:noProof/>
          <w:sz w:val="20"/>
        </w:rPr>
      </w:pPr>
      <w:r w:rsidRPr="00D136FB">
        <w:rPr>
          <w:noProof/>
          <w:sz w:val="20"/>
        </w:rPr>
        <w:t>млн. евро (до 3-тия знак след десетичната запетая)</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3D1E4F" w:rsidRPr="00D136FB" w:rsidTr="003D1E4F">
        <w:trPr>
          <w:trHeight w:val="585"/>
        </w:trPr>
        <w:tc>
          <w:tcPr>
            <w:tcW w:w="1980" w:type="dxa"/>
            <w:tcBorders>
              <w:top w:val="single" w:sz="2" w:space="0" w:color="auto"/>
              <w:left w:val="single" w:sz="2" w:space="0" w:color="auto"/>
              <w:bottom w:val="single" w:sz="2" w:space="0" w:color="auto"/>
              <w:right w:val="single" w:sz="2" w:space="0" w:color="auto"/>
            </w:tcBorders>
            <w:vAlign w:val="center"/>
            <w:hideMark/>
          </w:tcPr>
          <w:p w:rsidR="003D1E4F" w:rsidRPr="00D136FB" w:rsidRDefault="003D1E4F">
            <w:pPr>
              <w:spacing w:before="60" w:after="60" w:line="200" w:lineRule="exact"/>
              <w:jc w:val="center"/>
              <w:rPr>
                <w:b/>
                <w:noProof/>
                <w:sz w:val="16"/>
                <w:szCs w:val="16"/>
                <w:lang w:eastAsia="bg-BG" w:bidi="bg-BG"/>
              </w:rPr>
            </w:pPr>
            <w:r w:rsidRPr="00D136FB">
              <w:rPr>
                <w:b/>
                <w:noProof/>
                <w:sz w:val="16"/>
              </w:rPr>
              <w:t>Година</w:t>
            </w:r>
          </w:p>
        </w:tc>
        <w:tc>
          <w:tcPr>
            <w:tcW w:w="1080" w:type="dxa"/>
            <w:tcBorders>
              <w:top w:val="single" w:sz="2" w:space="0" w:color="auto"/>
              <w:left w:val="single" w:sz="2" w:space="0" w:color="auto"/>
              <w:bottom w:val="single" w:sz="2" w:space="0" w:color="auto"/>
              <w:right w:val="single" w:sz="2" w:space="0" w:color="auto"/>
            </w:tcBorders>
            <w:vAlign w:val="center"/>
            <w:hideMark/>
          </w:tcPr>
          <w:p w:rsidR="003D1E4F" w:rsidRPr="00D136FB" w:rsidRDefault="003D1E4F">
            <w:pPr>
              <w:spacing w:before="60" w:after="60" w:line="200" w:lineRule="exact"/>
              <w:jc w:val="center"/>
              <w:rPr>
                <w:noProof/>
                <w:sz w:val="16"/>
                <w:szCs w:val="16"/>
                <w:lang w:eastAsia="bg-BG" w:bidi="bg-BG"/>
              </w:rPr>
            </w:pPr>
            <w:r w:rsidRPr="00D136FB">
              <w:rPr>
                <w:b/>
                <w:noProof/>
                <w:sz w:val="20"/>
              </w:rPr>
              <w:t>2021 г.</w:t>
            </w:r>
          </w:p>
        </w:tc>
        <w:tc>
          <w:tcPr>
            <w:tcW w:w="1080" w:type="dxa"/>
            <w:tcBorders>
              <w:top w:val="single" w:sz="2" w:space="0" w:color="auto"/>
              <w:left w:val="single" w:sz="2" w:space="0" w:color="auto"/>
              <w:bottom w:val="single" w:sz="2" w:space="0" w:color="auto"/>
              <w:right w:val="single" w:sz="2" w:space="0" w:color="auto"/>
            </w:tcBorders>
            <w:vAlign w:val="center"/>
            <w:hideMark/>
          </w:tcPr>
          <w:p w:rsidR="003D1E4F" w:rsidRPr="00D136FB" w:rsidRDefault="003D1E4F">
            <w:pPr>
              <w:spacing w:before="60" w:after="60" w:line="200" w:lineRule="exact"/>
              <w:jc w:val="center"/>
              <w:rPr>
                <w:noProof/>
                <w:sz w:val="16"/>
                <w:szCs w:val="16"/>
                <w:lang w:eastAsia="bg-BG" w:bidi="bg-BG"/>
              </w:rPr>
            </w:pPr>
            <w:r w:rsidRPr="00D136FB">
              <w:rPr>
                <w:b/>
                <w:noProof/>
                <w:sz w:val="20"/>
              </w:rPr>
              <w:t>2022 г.</w:t>
            </w:r>
          </w:p>
        </w:tc>
        <w:tc>
          <w:tcPr>
            <w:tcW w:w="1080" w:type="dxa"/>
            <w:tcBorders>
              <w:top w:val="single" w:sz="2" w:space="0" w:color="auto"/>
              <w:left w:val="single" w:sz="2" w:space="0" w:color="auto"/>
              <w:bottom w:val="single" w:sz="2" w:space="0" w:color="auto"/>
              <w:right w:val="single" w:sz="2" w:space="0" w:color="auto"/>
            </w:tcBorders>
            <w:vAlign w:val="center"/>
            <w:hideMark/>
          </w:tcPr>
          <w:p w:rsidR="003D1E4F" w:rsidRPr="00D136FB" w:rsidRDefault="003D1E4F">
            <w:pPr>
              <w:spacing w:before="60" w:after="60" w:line="200" w:lineRule="exact"/>
              <w:jc w:val="center"/>
              <w:rPr>
                <w:noProof/>
                <w:sz w:val="16"/>
                <w:szCs w:val="16"/>
                <w:lang w:eastAsia="bg-BG" w:bidi="bg-BG"/>
              </w:rPr>
            </w:pPr>
            <w:r w:rsidRPr="00D136FB">
              <w:rPr>
                <w:b/>
                <w:noProof/>
                <w:sz w:val="20"/>
              </w:rPr>
              <w:t>2023 г.</w:t>
            </w:r>
          </w:p>
        </w:tc>
        <w:tc>
          <w:tcPr>
            <w:tcW w:w="1080" w:type="dxa"/>
            <w:tcBorders>
              <w:top w:val="single" w:sz="2" w:space="0" w:color="auto"/>
              <w:left w:val="single" w:sz="2" w:space="0" w:color="auto"/>
              <w:bottom w:val="single" w:sz="2" w:space="0" w:color="auto"/>
              <w:right w:val="single" w:sz="2" w:space="0" w:color="auto"/>
            </w:tcBorders>
            <w:vAlign w:val="center"/>
            <w:hideMark/>
          </w:tcPr>
          <w:p w:rsidR="003D1E4F" w:rsidRPr="00D136FB" w:rsidRDefault="003D1E4F">
            <w:pPr>
              <w:spacing w:before="60" w:after="60" w:line="200" w:lineRule="exact"/>
              <w:jc w:val="center"/>
              <w:rPr>
                <w:noProof/>
                <w:sz w:val="16"/>
                <w:szCs w:val="16"/>
                <w:lang w:eastAsia="bg-BG" w:bidi="bg-BG"/>
              </w:rPr>
            </w:pPr>
            <w:r w:rsidRPr="00D136FB">
              <w:rPr>
                <w:b/>
                <w:noProof/>
                <w:sz w:val="20"/>
              </w:rPr>
              <w:t>2024 г.</w:t>
            </w:r>
          </w:p>
        </w:tc>
        <w:tc>
          <w:tcPr>
            <w:tcW w:w="1080" w:type="dxa"/>
            <w:tcBorders>
              <w:top w:val="single" w:sz="2" w:space="0" w:color="auto"/>
              <w:left w:val="single" w:sz="2" w:space="0" w:color="auto"/>
              <w:bottom w:val="single" w:sz="2" w:space="0" w:color="auto"/>
              <w:right w:val="single" w:sz="2" w:space="0" w:color="auto"/>
            </w:tcBorders>
            <w:vAlign w:val="center"/>
            <w:hideMark/>
          </w:tcPr>
          <w:p w:rsidR="003D1E4F" w:rsidRPr="00D136FB" w:rsidRDefault="003D1E4F">
            <w:pPr>
              <w:spacing w:line="200" w:lineRule="exact"/>
              <w:jc w:val="center"/>
              <w:rPr>
                <w:b/>
                <w:noProof/>
                <w:sz w:val="16"/>
                <w:szCs w:val="16"/>
                <w:lang w:eastAsia="bg-BG" w:bidi="bg-BG"/>
              </w:rPr>
            </w:pPr>
            <w:r w:rsidRPr="00D136FB">
              <w:rPr>
                <w:b/>
                <w:noProof/>
                <w:sz w:val="18"/>
              </w:rPr>
              <w:t>2025 г.</w:t>
            </w:r>
          </w:p>
        </w:tc>
        <w:tc>
          <w:tcPr>
            <w:tcW w:w="1080" w:type="dxa"/>
            <w:tcBorders>
              <w:top w:val="single" w:sz="2" w:space="0" w:color="auto"/>
              <w:left w:val="single" w:sz="2" w:space="0" w:color="auto"/>
              <w:bottom w:val="single" w:sz="2" w:space="0" w:color="auto"/>
              <w:right w:val="single" w:sz="2" w:space="0" w:color="auto"/>
            </w:tcBorders>
            <w:vAlign w:val="center"/>
            <w:hideMark/>
          </w:tcPr>
          <w:p w:rsidR="003D1E4F" w:rsidRPr="00D136FB" w:rsidRDefault="003D1E4F">
            <w:pPr>
              <w:spacing w:line="200" w:lineRule="exact"/>
              <w:jc w:val="center"/>
              <w:rPr>
                <w:b/>
                <w:noProof/>
                <w:sz w:val="16"/>
                <w:szCs w:val="16"/>
                <w:lang w:eastAsia="bg-BG" w:bidi="bg-BG"/>
              </w:rPr>
            </w:pPr>
            <w:r w:rsidRPr="00D136FB">
              <w:rPr>
                <w:b/>
                <w:noProof/>
                <w:sz w:val="18"/>
              </w:rPr>
              <w:t>2026 г.</w:t>
            </w:r>
          </w:p>
        </w:tc>
        <w:tc>
          <w:tcPr>
            <w:tcW w:w="1080" w:type="dxa"/>
            <w:tcBorders>
              <w:top w:val="single" w:sz="2" w:space="0" w:color="auto"/>
              <w:left w:val="single" w:sz="2" w:space="0" w:color="auto"/>
              <w:bottom w:val="single" w:sz="2" w:space="0" w:color="auto"/>
              <w:right w:val="single" w:sz="2" w:space="0" w:color="auto"/>
            </w:tcBorders>
            <w:vAlign w:val="center"/>
            <w:hideMark/>
          </w:tcPr>
          <w:p w:rsidR="003D1E4F" w:rsidRPr="00D136FB" w:rsidRDefault="003D1E4F">
            <w:pPr>
              <w:spacing w:line="200" w:lineRule="exact"/>
              <w:jc w:val="center"/>
              <w:rPr>
                <w:b/>
                <w:noProof/>
                <w:sz w:val="16"/>
                <w:szCs w:val="16"/>
                <w:lang w:eastAsia="bg-BG" w:bidi="bg-BG"/>
              </w:rPr>
            </w:pPr>
            <w:r w:rsidRPr="00D136FB">
              <w:rPr>
                <w:b/>
                <w:noProof/>
                <w:sz w:val="18"/>
              </w:rPr>
              <w:t>2027 г.</w:t>
            </w:r>
          </w:p>
        </w:tc>
        <w:tc>
          <w:tcPr>
            <w:tcW w:w="1080" w:type="dxa"/>
            <w:tcBorders>
              <w:top w:val="single" w:sz="2" w:space="0" w:color="auto"/>
              <w:left w:val="single" w:sz="2" w:space="0" w:color="auto"/>
              <w:bottom w:val="single" w:sz="2" w:space="0" w:color="auto"/>
              <w:right w:val="single" w:sz="2" w:space="0" w:color="auto"/>
            </w:tcBorders>
            <w:vAlign w:val="center"/>
            <w:hideMark/>
          </w:tcPr>
          <w:p w:rsidR="003D1E4F" w:rsidRPr="00D136FB" w:rsidRDefault="003D1E4F">
            <w:pPr>
              <w:spacing w:before="60" w:after="60" w:line="200" w:lineRule="exact"/>
              <w:jc w:val="center"/>
              <w:rPr>
                <w:b/>
                <w:noProof/>
                <w:sz w:val="16"/>
                <w:szCs w:val="16"/>
                <w:lang w:eastAsia="bg-BG" w:bidi="bg-BG"/>
              </w:rPr>
            </w:pPr>
            <w:r w:rsidRPr="00D136FB">
              <w:rPr>
                <w:b/>
                <w:noProof/>
                <w:sz w:val="16"/>
              </w:rPr>
              <w:t>ОБЩО</w:t>
            </w:r>
          </w:p>
        </w:tc>
      </w:tr>
    </w:tbl>
    <w:p w:rsidR="003D1E4F" w:rsidRPr="00D136FB" w:rsidRDefault="003D1E4F" w:rsidP="003D1E4F">
      <w:pPr>
        <w:spacing w:line="200" w:lineRule="exact"/>
        <w:rPr>
          <w:noProof/>
          <w:sz w:val="16"/>
          <w:szCs w:val="16"/>
          <w:lang w:eastAsia="bg-BG" w:bidi="bg-BG"/>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3D1E4F" w:rsidRPr="00D136FB" w:rsidTr="003D1E4F">
        <w:trPr>
          <w:trHeight w:val="585"/>
        </w:trPr>
        <w:tc>
          <w:tcPr>
            <w:tcW w:w="1980" w:type="dxa"/>
            <w:tcBorders>
              <w:top w:val="single" w:sz="2" w:space="0" w:color="auto"/>
              <w:left w:val="single" w:sz="2" w:space="0" w:color="auto"/>
              <w:bottom w:val="single" w:sz="2" w:space="0" w:color="auto"/>
              <w:right w:val="single" w:sz="2" w:space="0" w:color="auto"/>
            </w:tcBorders>
            <w:shd w:val="clear" w:color="auto" w:fill="CCCCCC"/>
            <w:vAlign w:val="center"/>
            <w:hideMark/>
          </w:tcPr>
          <w:p w:rsidR="003D1E4F" w:rsidRPr="00D136FB" w:rsidRDefault="003D1E4F">
            <w:pPr>
              <w:spacing w:before="60" w:after="60" w:line="200" w:lineRule="exact"/>
              <w:jc w:val="center"/>
              <w:rPr>
                <w:b/>
                <w:noProof/>
                <w:sz w:val="16"/>
                <w:szCs w:val="16"/>
                <w:lang w:eastAsia="bg-BG" w:bidi="bg-BG"/>
              </w:rPr>
            </w:pPr>
            <w:r w:rsidRPr="00D136FB">
              <w:rPr>
                <w:b/>
                <w:noProof/>
                <w:sz w:val="16"/>
              </w:rPr>
              <w:t>ФУНКЦИЯ 7</w:t>
            </w:r>
            <w:r w:rsidRPr="00D136FB">
              <w:rPr>
                <w:noProof/>
                <w:sz w:val="22"/>
              </w:rPr>
              <w:br/>
            </w:r>
            <w:r w:rsidRPr="00D136FB">
              <w:rPr>
                <w:b/>
                <w:noProof/>
                <w:sz w:val="16"/>
              </w:rPr>
              <w:t>от многогодишната финансова рамка</w:t>
            </w:r>
          </w:p>
        </w:tc>
        <w:tc>
          <w:tcPr>
            <w:tcW w:w="1080" w:type="dxa"/>
            <w:tcBorders>
              <w:top w:val="single" w:sz="2" w:space="0" w:color="auto"/>
              <w:left w:val="single" w:sz="2" w:space="0" w:color="auto"/>
              <w:bottom w:val="single" w:sz="2" w:space="0" w:color="auto"/>
              <w:right w:val="single" w:sz="2" w:space="0" w:color="auto"/>
            </w:tcBorders>
            <w:vAlign w:val="center"/>
          </w:tcPr>
          <w:p w:rsidR="003D1E4F" w:rsidRPr="00D136FB" w:rsidRDefault="003D1E4F">
            <w:pPr>
              <w:spacing w:before="60" w:after="60" w:line="200" w:lineRule="exact"/>
              <w:jc w:val="right"/>
              <w:rPr>
                <w:noProof/>
                <w:sz w:val="16"/>
                <w:szCs w:val="16"/>
                <w:lang w:eastAsia="bg-BG" w:bidi="bg-BG"/>
              </w:rPr>
            </w:pPr>
          </w:p>
        </w:tc>
        <w:tc>
          <w:tcPr>
            <w:tcW w:w="1080" w:type="dxa"/>
            <w:tcBorders>
              <w:top w:val="single" w:sz="2" w:space="0" w:color="auto"/>
              <w:left w:val="single" w:sz="2" w:space="0" w:color="auto"/>
              <w:bottom w:val="single" w:sz="2" w:space="0" w:color="auto"/>
              <w:right w:val="single" w:sz="2" w:space="0" w:color="auto"/>
            </w:tcBorders>
            <w:vAlign w:val="center"/>
          </w:tcPr>
          <w:p w:rsidR="003D1E4F" w:rsidRPr="00D136FB" w:rsidRDefault="003D1E4F">
            <w:pPr>
              <w:spacing w:before="60" w:after="60" w:line="200" w:lineRule="exact"/>
              <w:jc w:val="right"/>
              <w:rPr>
                <w:noProof/>
                <w:sz w:val="16"/>
                <w:szCs w:val="16"/>
                <w:lang w:eastAsia="bg-BG" w:bidi="bg-BG"/>
              </w:rPr>
            </w:pPr>
          </w:p>
        </w:tc>
        <w:tc>
          <w:tcPr>
            <w:tcW w:w="1080" w:type="dxa"/>
            <w:tcBorders>
              <w:top w:val="single" w:sz="2" w:space="0" w:color="auto"/>
              <w:left w:val="single" w:sz="2" w:space="0" w:color="auto"/>
              <w:bottom w:val="single" w:sz="2" w:space="0" w:color="auto"/>
              <w:right w:val="single" w:sz="2" w:space="0" w:color="auto"/>
            </w:tcBorders>
            <w:vAlign w:val="center"/>
          </w:tcPr>
          <w:p w:rsidR="003D1E4F" w:rsidRPr="00D136FB" w:rsidRDefault="003D1E4F">
            <w:pPr>
              <w:spacing w:before="60" w:after="60" w:line="200" w:lineRule="exact"/>
              <w:jc w:val="right"/>
              <w:rPr>
                <w:noProof/>
                <w:sz w:val="16"/>
                <w:szCs w:val="16"/>
                <w:lang w:eastAsia="bg-BG" w:bidi="bg-BG"/>
              </w:rPr>
            </w:pPr>
          </w:p>
        </w:tc>
        <w:tc>
          <w:tcPr>
            <w:tcW w:w="1080" w:type="dxa"/>
            <w:tcBorders>
              <w:top w:val="single" w:sz="2" w:space="0" w:color="auto"/>
              <w:left w:val="single" w:sz="2" w:space="0" w:color="auto"/>
              <w:bottom w:val="single" w:sz="2" w:space="0" w:color="auto"/>
              <w:right w:val="single" w:sz="2" w:space="0" w:color="auto"/>
            </w:tcBorders>
            <w:vAlign w:val="center"/>
          </w:tcPr>
          <w:p w:rsidR="003D1E4F" w:rsidRPr="00D136FB" w:rsidRDefault="003D1E4F">
            <w:pPr>
              <w:spacing w:before="60" w:after="60" w:line="200" w:lineRule="exact"/>
              <w:jc w:val="right"/>
              <w:rPr>
                <w:noProof/>
                <w:sz w:val="16"/>
                <w:szCs w:val="16"/>
                <w:lang w:eastAsia="bg-BG" w:bidi="bg-BG"/>
              </w:rPr>
            </w:pPr>
          </w:p>
        </w:tc>
        <w:tc>
          <w:tcPr>
            <w:tcW w:w="1080" w:type="dxa"/>
            <w:tcBorders>
              <w:top w:val="single" w:sz="2" w:space="0" w:color="auto"/>
              <w:left w:val="single" w:sz="2" w:space="0" w:color="auto"/>
              <w:bottom w:val="single" w:sz="2" w:space="0" w:color="auto"/>
              <w:right w:val="single" w:sz="2" w:space="0" w:color="auto"/>
            </w:tcBorders>
            <w:vAlign w:val="center"/>
          </w:tcPr>
          <w:p w:rsidR="003D1E4F" w:rsidRPr="00D136FB" w:rsidRDefault="003D1E4F">
            <w:pPr>
              <w:spacing w:before="60" w:after="60" w:line="200" w:lineRule="exact"/>
              <w:jc w:val="right"/>
              <w:rPr>
                <w:noProof/>
                <w:sz w:val="16"/>
                <w:szCs w:val="16"/>
                <w:lang w:eastAsia="bg-BG" w:bidi="bg-BG"/>
              </w:rPr>
            </w:pPr>
          </w:p>
        </w:tc>
        <w:tc>
          <w:tcPr>
            <w:tcW w:w="1080" w:type="dxa"/>
            <w:tcBorders>
              <w:top w:val="single" w:sz="2" w:space="0" w:color="auto"/>
              <w:left w:val="single" w:sz="2" w:space="0" w:color="auto"/>
              <w:bottom w:val="single" w:sz="2" w:space="0" w:color="auto"/>
              <w:right w:val="single" w:sz="2" w:space="0" w:color="auto"/>
            </w:tcBorders>
            <w:vAlign w:val="center"/>
          </w:tcPr>
          <w:p w:rsidR="003D1E4F" w:rsidRPr="00D136FB" w:rsidRDefault="003D1E4F">
            <w:pPr>
              <w:spacing w:before="60" w:after="60" w:line="200" w:lineRule="exact"/>
              <w:jc w:val="right"/>
              <w:rPr>
                <w:noProof/>
                <w:sz w:val="16"/>
                <w:szCs w:val="16"/>
                <w:lang w:eastAsia="bg-BG" w:bidi="bg-BG"/>
              </w:rPr>
            </w:pPr>
          </w:p>
        </w:tc>
        <w:tc>
          <w:tcPr>
            <w:tcW w:w="1080" w:type="dxa"/>
            <w:tcBorders>
              <w:top w:val="single" w:sz="2" w:space="0" w:color="auto"/>
              <w:left w:val="single" w:sz="2" w:space="0" w:color="auto"/>
              <w:bottom w:val="single" w:sz="2" w:space="0" w:color="auto"/>
              <w:right w:val="single" w:sz="2" w:space="0" w:color="auto"/>
            </w:tcBorders>
            <w:vAlign w:val="center"/>
          </w:tcPr>
          <w:p w:rsidR="003D1E4F" w:rsidRPr="00D136FB" w:rsidRDefault="003D1E4F">
            <w:pPr>
              <w:spacing w:before="60" w:after="60" w:line="200" w:lineRule="exact"/>
              <w:jc w:val="right"/>
              <w:rPr>
                <w:b/>
                <w:noProof/>
                <w:sz w:val="16"/>
                <w:szCs w:val="16"/>
                <w:lang w:eastAsia="bg-BG" w:bidi="bg-BG"/>
              </w:rPr>
            </w:pPr>
          </w:p>
        </w:tc>
        <w:tc>
          <w:tcPr>
            <w:tcW w:w="1080" w:type="dxa"/>
            <w:tcBorders>
              <w:top w:val="single" w:sz="2" w:space="0" w:color="auto"/>
              <w:left w:val="single" w:sz="2" w:space="0" w:color="auto"/>
              <w:bottom w:val="single" w:sz="2" w:space="0" w:color="auto"/>
              <w:right w:val="single" w:sz="2" w:space="0" w:color="auto"/>
            </w:tcBorders>
            <w:vAlign w:val="center"/>
          </w:tcPr>
          <w:p w:rsidR="003D1E4F" w:rsidRPr="00D136FB" w:rsidRDefault="003D1E4F">
            <w:pPr>
              <w:spacing w:before="60" w:after="60" w:line="200" w:lineRule="exact"/>
              <w:jc w:val="right"/>
              <w:rPr>
                <w:b/>
                <w:noProof/>
                <w:sz w:val="16"/>
                <w:szCs w:val="16"/>
                <w:lang w:eastAsia="bg-BG" w:bidi="bg-BG"/>
              </w:rPr>
            </w:pPr>
          </w:p>
        </w:tc>
      </w:tr>
      <w:tr w:rsidR="003D1E4F" w:rsidRPr="00D136FB" w:rsidTr="003D1E4F">
        <w:trPr>
          <w:trHeight w:val="585"/>
        </w:trPr>
        <w:tc>
          <w:tcPr>
            <w:tcW w:w="1980" w:type="dxa"/>
            <w:tcBorders>
              <w:top w:val="single" w:sz="2" w:space="0" w:color="auto"/>
              <w:left w:val="single" w:sz="2" w:space="0" w:color="auto"/>
              <w:bottom w:val="single" w:sz="2" w:space="0" w:color="auto"/>
              <w:right w:val="single" w:sz="2" w:space="0" w:color="auto"/>
            </w:tcBorders>
            <w:vAlign w:val="center"/>
            <w:hideMark/>
          </w:tcPr>
          <w:p w:rsidR="003D1E4F" w:rsidRPr="00D136FB" w:rsidRDefault="003D1E4F">
            <w:pPr>
              <w:spacing w:before="60" w:after="60" w:line="200" w:lineRule="exact"/>
              <w:ind w:left="72"/>
              <w:jc w:val="left"/>
              <w:rPr>
                <w:noProof/>
                <w:sz w:val="16"/>
                <w:szCs w:val="16"/>
                <w:lang w:eastAsia="bg-BG" w:bidi="bg-BG"/>
              </w:rPr>
            </w:pPr>
            <w:r w:rsidRPr="00D136FB">
              <w:rPr>
                <w:noProof/>
                <w:sz w:val="16"/>
              </w:rPr>
              <w:t xml:space="preserve">Човешки ресурси </w:t>
            </w:r>
          </w:p>
        </w:tc>
        <w:tc>
          <w:tcPr>
            <w:tcW w:w="1080" w:type="dxa"/>
            <w:tcBorders>
              <w:top w:val="single" w:sz="2" w:space="0" w:color="auto"/>
              <w:left w:val="single" w:sz="2" w:space="0" w:color="auto"/>
              <w:bottom w:val="single" w:sz="2" w:space="0" w:color="auto"/>
              <w:right w:val="single" w:sz="2" w:space="0" w:color="auto"/>
            </w:tcBorders>
            <w:vAlign w:val="center"/>
            <w:hideMark/>
          </w:tcPr>
          <w:p w:rsidR="003D1E4F" w:rsidRPr="00D136FB" w:rsidRDefault="003D1E4F">
            <w:pPr>
              <w:spacing w:before="20" w:after="20" w:line="276" w:lineRule="auto"/>
              <w:jc w:val="right"/>
              <w:rPr>
                <w:sz w:val="20"/>
                <w:lang w:eastAsia="bg-BG" w:bidi="bg-BG"/>
              </w:rPr>
            </w:pPr>
            <w:r w:rsidRPr="00D136FB">
              <w:rPr>
                <w:noProof/>
                <w:sz w:val="20"/>
              </w:rPr>
              <w:t>14,301</w:t>
            </w:r>
          </w:p>
        </w:tc>
        <w:tc>
          <w:tcPr>
            <w:tcW w:w="1080" w:type="dxa"/>
            <w:tcBorders>
              <w:top w:val="single" w:sz="2" w:space="0" w:color="auto"/>
              <w:left w:val="single" w:sz="2" w:space="0" w:color="auto"/>
              <w:bottom w:val="single" w:sz="2" w:space="0" w:color="auto"/>
              <w:right w:val="single" w:sz="2" w:space="0" w:color="auto"/>
            </w:tcBorders>
            <w:vAlign w:val="center"/>
            <w:hideMark/>
          </w:tcPr>
          <w:p w:rsidR="003D1E4F" w:rsidRPr="00D136FB" w:rsidRDefault="003D1E4F">
            <w:pPr>
              <w:spacing w:before="20" w:after="20" w:line="276" w:lineRule="auto"/>
              <w:jc w:val="right"/>
              <w:rPr>
                <w:sz w:val="20"/>
                <w:lang w:eastAsia="bg-BG" w:bidi="bg-BG"/>
              </w:rPr>
            </w:pPr>
            <w:r w:rsidRPr="00D136FB">
              <w:rPr>
                <w:noProof/>
                <w:sz w:val="20"/>
              </w:rPr>
              <w:t>15,601</w:t>
            </w:r>
          </w:p>
        </w:tc>
        <w:tc>
          <w:tcPr>
            <w:tcW w:w="1080" w:type="dxa"/>
            <w:tcBorders>
              <w:top w:val="single" w:sz="2" w:space="0" w:color="auto"/>
              <w:left w:val="single" w:sz="2" w:space="0" w:color="auto"/>
              <w:bottom w:val="single" w:sz="2" w:space="0" w:color="auto"/>
              <w:right w:val="single" w:sz="2" w:space="0" w:color="auto"/>
            </w:tcBorders>
            <w:vAlign w:val="center"/>
            <w:hideMark/>
          </w:tcPr>
          <w:p w:rsidR="003D1E4F" w:rsidRPr="00D136FB" w:rsidRDefault="003D1E4F">
            <w:pPr>
              <w:spacing w:before="20" w:after="20" w:line="276" w:lineRule="auto"/>
              <w:jc w:val="right"/>
              <w:rPr>
                <w:sz w:val="20"/>
                <w:lang w:eastAsia="bg-BG" w:bidi="bg-BG"/>
              </w:rPr>
            </w:pPr>
            <w:r w:rsidRPr="00D136FB">
              <w:rPr>
                <w:noProof/>
                <w:sz w:val="20"/>
              </w:rPr>
              <w:t>16,745</w:t>
            </w:r>
          </w:p>
        </w:tc>
        <w:tc>
          <w:tcPr>
            <w:tcW w:w="1080" w:type="dxa"/>
            <w:tcBorders>
              <w:top w:val="single" w:sz="2" w:space="0" w:color="auto"/>
              <w:left w:val="single" w:sz="2" w:space="0" w:color="auto"/>
              <w:bottom w:val="single" w:sz="2" w:space="0" w:color="auto"/>
              <w:right w:val="single" w:sz="2" w:space="0" w:color="auto"/>
            </w:tcBorders>
            <w:vAlign w:val="center"/>
            <w:hideMark/>
          </w:tcPr>
          <w:p w:rsidR="003D1E4F" w:rsidRPr="00D136FB" w:rsidRDefault="003D1E4F">
            <w:pPr>
              <w:spacing w:before="20" w:after="20" w:line="276" w:lineRule="auto"/>
              <w:jc w:val="right"/>
              <w:rPr>
                <w:sz w:val="20"/>
                <w:lang w:eastAsia="bg-BG" w:bidi="bg-BG"/>
              </w:rPr>
            </w:pPr>
            <w:r w:rsidRPr="00D136FB">
              <w:rPr>
                <w:noProof/>
                <w:sz w:val="20"/>
              </w:rPr>
              <w:t>16,745</w:t>
            </w:r>
          </w:p>
        </w:tc>
        <w:tc>
          <w:tcPr>
            <w:tcW w:w="1080" w:type="dxa"/>
            <w:tcBorders>
              <w:top w:val="single" w:sz="2" w:space="0" w:color="auto"/>
              <w:left w:val="single" w:sz="2" w:space="0" w:color="auto"/>
              <w:bottom w:val="single" w:sz="2" w:space="0" w:color="auto"/>
              <w:right w:val="single" w:sz="2" w:space="0" w:color="auto"/>
            </w:tcBorders>
            <w:vAlign w:val="center"/>
            <w:hideMark/>
          </w:tcPr>
          <w:p w:rsidR="003D1E4F" w:rsidRPr="00D136FB" w:rsidRDefault="003D1E4F">
            <w:pPr>
              <w:spacing w:before="20" w:after="20" w:line="276" w:lineRule="auto"/>
              <w:jc w:val="right"/>
              <w:rPr>
                <w:sz w:val="20"/>
                <w:lang w:eastAsia="bg-BG" w:bidi="bg-BG"/>
              </w:rPr>
            </w:pPr>
            <w:r w:rsidRPr="00D136FB">
              <w:rPr>
                <w:noProof/>
                <w:sz w:val="20"/>
              </w:rPr>
              <w:t>16,745</w:t>
            </w:r>
          </w:p>
        </w:tc>
        <w:tc>
          <w:tcPr>
            <w:tcW w:w="1080" w:type="dxa"/>
            <w:tcBorders>
              <w:top w:val="single" w:sz="2" w:space="0" w:color="auto"/>
              <w:left w:val="single" w:sz="2" w:space="0" w:color="auto"/>
              <w:bottom w:val="single" w:sz="2" w:space="0" w:color="auto"/>
              <w:right w:val="single" w:sz="2" w:space="0" w:color="auto"/>
            </w:tcBorders>
            <w:vAlign w:val="center"/>
            <w:hideMark/>
          </w:tcPr>
          <w:p w:rsidR="003D1E4F" w:rsidRPr="00D136FB" w:rsidRDefault="003D1E4F">
            <w:pPr>
              <w:spacing w:before="20" w:after="20" w:line="276" w:lineRule="auto"/>
              <w:jc w:val="right"/>
              <w:rPr>
                <w:sz w:val="20"/>
                <w:lang w:eastAsia="bg-BG" w:bidi="bg-BG"/>
              </w:rPr>
            </w:pPr>
            <w:r w:rsidRPr="00D136FB">
              <w:rPr>
                <w:noProof/>
                <w:sz w:val="20"/>
              </w:rPr>
              <w:t>16,745</w:t>
            </w:r>
          </w:p>
        </w:tc>
        <w:tc>
          <w:tcPr>
            <w:tcW w:w="1080" w:type="dxa"/>
            <w:tcBorders>
              <w:top w:val="single" w:sz="2" w:space="0" w:color="auto"/>
              <w:left w:val="single" w:sz="2" w:space="0" w:color="auto"/>
              <w:bottom w:val="single" w:sz="2" w:space="0" w:color="auto"/>
              <w:right w:val="single" w:sz="2" w:space="0" w:color="auto"/>
            </w:tcBorders>
            <w:vAlign w:val="center"/>
            <w:hideMark/>
          </w:tcPr>
          <w:p w:rsidR="003D1E4F" w:rsidRPr="00D136FB" w:rsidRDefault="003D1E4F">
            <w:pPr>
              <w:spacing w:before="20" w:after="20" w:line="276" w:lineRule="auto"/>
              <w:jc w:val="right"/>
              <w:rPr>
                <w:sz w:val="20"/>
                <w:lang w:eastAsia="bg-BG" w:bidi="bg-BG"/>
              </w:rPr>
            </w:pPr>
            <w:r w:rsidRPr="00D136FB">
              <w:rPr>
                <w:noProof/>
                <w:sz w:val="20"/>
              </w:rPr>
              <w:t>16,745</w:t>
            </w:r>
          </w:p>
        </w:tc>
        <w:tc>
          <w:tcPr>
            <w:tcW w:w="1080" w:type="dxa"/>
            <w:tcBorders>
              <w:top w:val="single" w:sz="2" w:space="0" w:color="auto"/>
              <w:left w:val="single" w:sz="2" w:space="0" w:color="auto"/>
              <w:bottom w:val="single" w:sz="2" w:space="0" w:color="auto"/>
              <w:right w:val="single" w:sz="2" w:space="0" w:color="auto"/>
            </w:tcBorders>
            <w:vAlign w:val="center"/>
            <w:hideMark/>
          </w:tcPr>
          <w:p w:rsidR="003D1E4F" w:rsidRPr="00D136FB" w:rsidRDefault="003D1E4F">
            <w:pPr>
              <w:spacing w:before="60" w:after="60" w:line="200" w:lineRule="exact"/>
              <w:jc w:val="right"/>
              <w:rPr>
                <w:b/>
                <w:noProof/>
                <w:sz w:val="16"/>
                <w:szCs w:val="16"/>
                <w:lang w:eastAsia="bg-BG" w:bidi="bg-BG"/>
              </w:rPr>
            </w:pPr>
            <w:r w:rsidRPr="00D136FB">
              <w:rPr>
                <w:noProof/>
                <w:sz w:val="20"/>
              </w:rPr>
              <w:t>113,627</w:t>
            </w:r>
          </w:p>
        </w:tc>
      </w:tr>
      <w:tr w:rsidR="003D1E4F" w:rsidRPr="00D136FB" w:rsidTr="003D1E4F">
        <w:trPr>
          <w:trHeight w:val="585"/>
        </w:trPr>
        <w:tc>
          <w:tcPr>
            <w:tcW w:w="1980" w:type="dxa"/>
            <w:tcBorders>
              <w:top w:val="single" w:sz="2" w:space="0" w:color="auto"/>
              <w:left w:val="single" w:sz="2" w:space="0" w:color="auto"/>
              <w:bottom w:val="single" w:sz="2" w:space="0" w:color="auto"/>
              <w:right w:val="single" w:sz="2" w:space="0" w:color="auto"/>
            </w:tcBorders>
            <w:vAlign w:val="center"/>
            <w:hideMark/>
          </w:tcPr>
          <w:p w:rsidR="003D1E4F" w:rsidRPr="00D136FB" w:rsidRDefault="003D1E4F">
            <w:pPr>
              <w:spacing w:before="60" w:after="60" w:line="200" w:lineRule="exact"/>
              <w:ind w:left="72"/>
              <w:jc w:val="left"/>
              <w:rPr>
                <w:noProof/>
                <w:sz w:val="16"/>
                <w:szCs w:val="16"/>
                <w:lang w:eastAsia="bg-BG" w:bidi="bg-BG"/>
              </w:rPr>
            </w:pPr>
            <w:r w:rsidRPr="00D136FB">
              <w:rPr>
                <w:noProof/>
                <w:sz w:val="16"/>
              </w:rPr>
              <w:t xml:space="preserve">Други административни разходи </w:t>
            </w:r>
          </w:p>
        </w:tc>
        <w:tc>
          <w:tcPr>
            <w:tcW w:w="1080" w:type="dxa"/>
            <w:tcBorders>
              <w:top w:val="single" w:sz="2" w:space="0" w:color="auto"/>
              <w:left w:val="single" w:sz="2" w:space="0" w:color="auto"/>
              <w:bottom w:val="single" w:sz="2" w:space="0" w:color="auto"/>
              <w:right w:val="single" w:sz="2" w:space="0" w:color="auto"/>
            </w:tcBorders>
            <w:vAlign w:val="center"/>
            <w:hideMark/>
          </w:tcPr>
          <w:p w:rsidR="003D1E4F" w:rsidRPr="00D136FB" w:rsidRDefault="003D1E4F">
            <w:pPr>
              <w:spacing w:before="60" w:after="60" w:line="200" w:lineRule="exact"/>
              <w:jc w:val="right"/>
              <w:rPr>
                <w:sz w:val="20"/>
                <w:lang w:eastAsia="bg-BG" w:bidi="bg-BG"/>
              </w:rPr>
            </w:pPr>
            <w:r w:rsidRPr="00D136FB">
              <w:rPr>
                <w:sz w:val="20"/>
              </w:rPr>
              <w:t>0,888</w:t>
            </w:r>
          </w:p>
        </w:tc>
        <w:tc>
          <w:tcPr>
            <w:tcW w:w="1080" w:type="dxa"/>
            <w:tcBorders>
              <w:top w:val="single" w:sz="2" w:space="0" w:color="auto"/>
              <w:left w:val="single" w:sz="2" w:space="0" w:color="auto"/>
              <w:bottom w:val="single" w:sz="2" w:space="0" w:color="auto"/>
              <w:right w:val="single" w:sz="2" w:space="0" w:color="auto"/>
            </w:tcBorders>
            <w:vAlign w:val="center"/>
            <w:hideMark/>
          </w:tcPr>
          <w:p w:rsidR="003D1E4F" w:rsidRPr="00D136FB" w:rsidRDefault="003D1E4F">
            <w:pPr>
              <w:spacing w:before="60" w:after="60" w:line="200" w:lineRule="exact"/>
              <w:jc w:val="right"/>
              <w:rPr>
                <w:sz w:val="20"/>
                <w:lang w:eastAsia="bg-BG" w:bidi="bg-BG"/>
              </w:rPr>
            </w:pPr>
            <w:r w:rsidRPr="00D136FB">
              <w:rPr>
                <w:sz w:val="20"/>
              </w:rPr>
              <w:t>0,888</w:t>
            </w:r>
          </w:p>
        </w:tc>
        <w:tc>
          <w:tcPr>
            <w:tcW w:w="1080" w:type="dxa"/>
            <w:tcBorders>
              <w:top w:val="single" w:sz="2" w:space="0" w:color="auto"/>
              <w:left w:val="single" w:sz="2" w:space="0" w:color="auto"/>
              <w:bottom w:val="single" w:sz="2" w:space="0" w:color="auto"/>
              <w:right w:val="single" w:sz="2" w:space="0" w:color="auto"/>
            </w:tcBorders>
            <w:vAlign w:val="center"/>
            <w:hideMark/>
          </w:tcPr>
          <w:p w:rsidR="003D1E4F" w:rsidRPr="00D136FB" w:rsidRDefault="003D1E4F">
            <w:pPr>
              <w:spacing w:before="60" w:after="60" w:line="200" w:lineRule="exact"/>
              <w:jc w:val="right"/>
              <w:rPr>
                <w:sz w:val="20"/>
                <w:lang w:eastAsia="bg-BG" w:bidi="bg-BG"/>
              </w:rPr>
            </w:pPr>
            <w:r w:rsidRPr="00D136FB">
              <w:rPr>
                <w:sz w:val="20"/>
              </w:rPr>
              <w:t>0,888</w:t>
            </w:r>
          </w:p>
        </w:tc>
        <w:tc>
          <w:tcPr>
            <w:tcW w:w="1080" w:type="dxa"/>
            <w:tcBorders>
              <w:top w:val="single" w:sz="2" w:space="0" w:color="auto"/>
              <w:left w:val="single" w:sz="2" w:space="0" w:color="auto"/>
              <w:bottom w:val="single" w:sz="2" w:space="0" w:color="auto"/>
              <w:right w:val="single" w:sz="2" w:space="0" w:color="auto"/>
            </w:tcBorders>
            <w:vAlign w:val="center"/>
            <w:hideMark/>
          </w:tcPr>
          <w:p w:rsidR="003D1E4F" w:rsidRPr="00D136FB" w:rsidRDefault="003D1E4F">
            <w:pPr>
              <w:spacing w:before="60" w:after="60" w:line="200" w:lineRule="exact"/>
              <w:jc w:val="right"/>
              <w:rPr>
                <w:sz w:val="20"/>
                <w:lang w:eastAsia="bg-BG" w:bidi="bg-BG"/>
              </w:rPr>
            </w:pPr>
            <w:r w:rsidRPr="00D136FB">
              <w:rPr>
                <w:sz w:val="20"/>
              </w:rPr>
              <w:t>0,888</w:t>
            </w:r>
          </w:p>
        </w:tc>
        <w:tc>
          <w:tcPr>
            <w:tcW w:w="1080" w:type="dxa"/>
            <w:tcBorders>
              <w:top w:val="single" w:sz="2" w:space="0" w:color="auto"/>
              <w:left w:val="single" w:sz="2" w:space="0" w:color="auto"/>
              <w:bottom w:val="single" w:sz="2" w:space="0" w:color="auto"/>
              <w:right w:val="single" w:sz="2" w:space="0" w:color="auto"/>
            </w:tcBorders>
            <w:vAlign w:val="center"/>
            <w:hideMark/>
          </w:tcPr>
          <w:p w:rsidR="003D1E4F" w:rsidRPr="00D136FB" w:rsidRDefault="003D1E4F">
            <w:pPr>
              <w:spacing w:before="60" w:after="60" w:line="200" w:lineRule="exact"/>
              <w:jc w:val="right"/>
              <w:rPr>
                <w:sz w:val="20"/>
                <w:lang w:eastAsia="bg-BG" w:bidi="bg-BG"/>
              </w:rPr>
            </w:pPr>
            <w:r w:rsidRPr="00D136FB">
              <w:rPr>
                <w:sz w:val="20"/>
              </w:rPr>
              <w:t>0,888</w:t>
            </w:r>
          </w:p>
        </w:tc>
        <w:tc>
          <w:tcPr>
            <w:tcW w:w="1080" w:type="dxa"/>
            <w:tcBorders>
              <w:top w:val="single" w:sz="2" w:space="0" w:color="auto"/>
              <w:left w:val="single" w:sz="2" w:space="0" w:color="auto"/>
              <w:bottom w:val="single" w:sz="2" w:space="0" w:color="auto"/>
              <w:right w:val="single" w:sz="2" w:space="0" w:color="auto"/>
            </w:tcBorders>
            <w:vAlign w:val="center"/>
            <w:hideMark/>
          </w:tcPr>
          <w:p w:rsidR="003D1E4F" w:rsidRPr="00D136FB" w:rsidRDefault="003D1E4F">
            <w:pPr>
              <w:spacing w:before="60" w:after="60" w:line="200" w:lineRule="exact"/>
              <w:jc w:val="right"/>
              <w:rPr>
                <w:sz w:val="20"/>
                <w:lang w:eastAsia="bg-BG" w:bidi="bg-BG"/>
              </w:rPr>
            </w:pPr>
            <w:r w:rsidRPr="00D136FB">
              <w:rPr>
                <w:sz w:val="20"/>
              </w:rPr>
              <w:t>0,888</w:t>
            </w:r>
          </w:p>
        </w:tc>
        <w:tc>
          <w:tcPr>
            <w:tcW w:w="1080" w:type="dxa"/>
            <w:tcBorders>
              <w:top w:val="single" w:sz="2" w:space="0" w:color="auto"/>
              <w:left w:val="single" w:sz="2" w:space="0" w:color="auto"/>
              <w:bottom w:val="single" w:sz="2" w:space="0" w:color="auto"/>
              <w:right w:val="single" w:sz="2" w:space="0" w:color="auto"/>
            </w:tcBorders>
            <w:vAlign w:val="center"/>
            <w:hideMark/>
          </w:tcPr>
          <w:p w:rsidR="003D1E4F" w:rsidRPr="00D136FB" w:rsidRDefault="003D1E4F">
            <w:pPr>
              <w:spacing w:before="60" w:after="60" w:line="200" w:lineRule="exact"/>
              <w:jc w:val="right"/>
              <w:rPr>
                <w:sz w:val="20"/>
                <w:lang w:eastAsia="bg-BG" w:bidi="bg-BG"/>
              </w:rPr>
            </w:pPr>
            <w:r w:rsidRPr="00D136FB">
              <w:rPr>
                <w:sz w:val="20"/>
              </w:rPr>
              <w:t>0,888</w:t>
            </w:r>
          </w:p>
        </w:tc>
        <w:tc>
          <w:tcPr>
            <w:tcW w:w="1080" w:type="dxa"/>
            <w:tcBorders>
              <w:top w:val="single" w:sz="2" w:space="0" w:color="auto"/>
              <w:left w:val="single" w:sz="2" w:space="0" w:color="auto"/>
              <w:bottom w:val="single" w:sz="2" w:space="0" w:color="auto"/>
              <w:right w:val="single" w:sz="2" w:space="0" w:color="auto"/>
            </w:tcBorders>
            <w:vAlign w:val="center"/>
            <w:hideMark/>
          </w:tcPr>
          <w:p w:rsidR="003D1E4F" w:rsidRPr="00D136FB" w:rsidRDefault="003D1E4F">
            <w:pPr>
              <w:spacing w:before="60" w:after="60" w:line="200" w:lineRule="exact"/>
              <w:jc w:val="right"/>
              <w:rPr>
                <w:sz w:val="20"/>
                <w:lang w:eastAsia="bg-BG" w:bidi="bg-BG"/>
              </w:rPr>
            </w:pPr>
            <w:r w:rsidRPr="00D136FB">
              <w:rPr>
                <w:sz w:val="20"/>
              </w:rPr>
              <w:t>6,213</w:t>
            </w:r>
          </w:p>
        </w:tc>
      </w:tr>
      <w:tr w:rsidR="003D1E4F" w:rsidRPr="00D136FB" w:rsidTr="003D1E4F">
        <w:trPr>
          <w:trHeight w:val="585"/>
        </w:trPr>
        <w:tc>
          <w:tcPr>
            <w:tcW w:w="1980" w:type="dxa"/>
            <w:tcBorders>
              <w:top w:val="single" w:sz="2" w:space="0" w:color="auto"/>
              <w:left w:val="single" w:sz="2" w:space="0" w:color="auto"/>
              <w:bottom w:val="single" w:sz="2" w:space="0" w:color="auto"/>
              <w:right w:val="single" w:sz="2" w:space="0" w:color="auto"/>
            </w:tcBorders>
            <w:shd w:val="clear" w:color="auto" w:fill="CCCCCC"/>
            <w:vAlign w:val="center"/>
            <w:hideMark/>
          </w:tcPr>
          <w:p w:rsidR="003D1E4F" w:rsidRPr="00D136FB" w:rsidRDefault="003D1E4F">
            <w:pPr>
              <w:spacing w:before="60" w:after="60" w:line="200" w:lineRule="exact"/>
              <w:jc w:val="center"/>
              <w:rPr>
                <w:b/>
                <w:noProof/>
                <w:sz w:val="16"/>
                <w:szCs w:val="16"/>
                <w:lang w:eastAsia="bg-BG" w:bidi="bg-BG"/>
              </w:rPr>
            </w:pPr>
            <w:r w:rsidRPr="00D136FB">
              <w:rPr>
                <w:b/>
                <w:noProof/>
                <w:sz w:val="16"/>
              </w:rPr>
              <w:t>Междинен сбор за ФУНКЦИЯ 7</w:t>
            </w:r>
            <w:r w:rsidRPr="00D136FB">
              <w:rPr>
                <w:noProof/>
                <w:sz w:val="22"/>
              </w:rPr>
              <w:br/>
            </w:r>
            <w:r w:rsidRPr="00D136FB">
              <w:rPr>
                <w:b/>
                <w:noProof/>
                <w:sz w:val="16"/>
              </w:rPr>
              <w:t xml:space="preserve">от многогодишната финансова рамка </w:t>
            </w:r>
          </w:p>
        </w:tc>
        <w:tc>
          <w:tcPr>
            <w:tcW w:w="1080" w:type="dxa"/>
            <w:tcBorders>
              <w:top w:val="single" w:sz="2" w:space="0" w:color="auto"/>
              <w:left w:val="single" w:sz="2" w:space="0" w:color="auto"/>
              <w:bottom w:val="single" w:sz="2" w:space="0" w:color="auto"/>
              <w:right w:val="single" w:sz="2" w:space="0" w:color="auto"/>
            </w:tcBorders>
            <w:vAlign w:val="center"/>
            <w:hideMark/>
          </w:tcPr>
          <w:p w:rsidR="003D1E4F" w:rsidRPr="00D136FB" w:rsidRDefault="003D1E4F">
            <w:pPr>
              <w:spacing w:line="276" w:lineRule="auto"/>
              <w:jc w:val="right"/>
              <w:rPr>
                <w:b/>
                <w:sz w:val="22"/>
                <w:lang w:eastAsia="bg-BG" w:bidi="bg-BG"/>
              </w:rPr>
            </w:pPr>
            <w:r w:rsidRPr="00D136FB">
              <w:rPr>
                <w:sz w:val="20"/>
              </w:rPr>
              <w:t>15,189</w:t>
            </w:r>
          </w:p>
        </w:tc>
        <w:tc>
          <w:tcPr>
            <w:tcW w:w="1080" w:type="dxa"/>
            <w:tcBorders>
              <w:top w:val="single" w:sz="2" w:space="0" w:color="auto"/>
              <w:left w:val="single" w:sz="2" w:space="0" w:color="auto"/>
              <w:bottom w:val="single" w:sz="2" w:space="0" w:color="auto"/>
              <w:right w:val="single" w:sz="2" w:space="0" w:color="auto"/>
            </w:tcBorders>
            <w:vAlign w:val="center"/>
            <w:hideMark/>
          </w:tcPr>
          <w:p w:rsidR="003D1E4F" w:rsidRPr="00D136FB" w:rsidRDefault="003D1E4F">
            <w:pPr>
              <w:spacing w:line="276" w:lineRule="auto"/>
              <w:jc w:val="right"/>
              <w:rPr>
                <w:b/>
                <w:sz w:val="22"/>
                <w:lang w:eastAsia="bg-BG" w:bidi="bg-BG"/>
              </w:rPr>
            </w:pPr>
            <w:r w:rsidRPr="00D136FB">
              <w:rPr>
                <w:sz w:val="20"/>
              </w:rPr>
              <w:t>16,489</w:t>
            </w:r>
          </w:p>
        </w:tc>
        <w:tc>
          <w:tcPr>
            <w:tcW w:w="1080" w:type="dxa"/>
            <w:tcBorders>
              <w:top w:val="single" w:sz="2" w:space="0" w:color="auto"/>
              <w:left w:val="single" w:sz="2" w:space="0" w:color="auto"/>
              <w:bottom w:val="single" w:sz="2" w:space="0" w:color="auto"/>
              <w:right w:val="single" w:sz="2" w:space="0" w:color="auto"/>
            </w:tcBorders>
            <w:vAlign w:val="center"/>
            <w:hideMark/>
          </w:tcPr>
          <w:p w:rsidR="003D1E4F" w:rsidRPr="00D136FB" w:rsidRDefault="003D1E4F">
            <w:pPr>
              <w:spacing w:line="276" w:lineRule="auto"/>
              <w:jc w:val="right"/>
              <w:rPr>
                <w:b/>
                <w:sz w:val="22"/>
                <w:lang w:eastAsia="bg-BG" w:bidi="bg-BG"/>
              </w:rPr>
            </w:pPr>
            <w:r w:rsidRPr="00D136FB">
              <w:rPr>
                <w:sz w:val="20"/>
              </w:rPr>
              <w:t>17,633</w:t>
            </w:r>
          </w:p>
        </w:tc>
        <w:tc>
          <w:tcPr>
            <w:tcW w:w="1080" w:type="dxa"/>
            <w:tcBorders>
              <w:top w:val="single" w:sz="2" w:space="0" w:color="auto"/>
              <w:left w:val="single" w:sz="2" w:space="0" w:color="auto"/>
              <w:bottom w:val="single" w:sz="2" w:space="0" w:color="auto"/>
              <w:right w:val="single" w:sz="2" w:space="0" w:color="auto"/>
            </w:tcBorders>
            <w:vAlign w:val="center"/>
            <w:hideMark/>
          </w:tcPr>
          <w:p w:rsidR="003D1E4F" w:rsidRPr="00D136FB" w:rsidRDefault="003D1E4F">
            <w:pPr>
              <w:spacing w:line="276" w:lineRule="auto"/>
              <w:jc w:val="right"/>
              <w:rPr>
                <w:b/>
                <w:sz w:val="22"/>
                <w:lang w:eastAsia="bg-BG" w:bidi="bg-BG"/>
              </w:rPr>
            </w:pPr>
            <w:r w:rsidRPr="00D136FB">
              <w:rPr>
                <w:sz w:val="20"/>
              </w:rPr>
              <w:t>17,633</w:t>
            </w:r>
          </w:p>
        </w:tc>
        <w:tc>
          <w:tcPr>
            <w:tcW w:w="1080" w:type="dxa"/>
            <w:tcBorders>
              <w:top w:val="single" w:sz="2" w:space="0" w:color="auto"/>
              <w:left w:val="single" w:sz="2" w:space="0" w:color="auto"/>
              <w:bottom w:val="single" w:sz="2" w:space="0" w:color="auto"/>
              <w:right w:val="single" w:sz="2" w:space="0" w:color="auto"/>
            </w:tcBorders>
            <w:vAlign w:val="center"/>
            <w:hideMark/>
          </w:tcPr>
          <w:p w:rsidR="003D1E4F" w:rsidRPr="00D136FB" w:rsidRDefault="003D1E4F">
            <w:pPr>
              <w:spacing w:line="276" w:lineRule="auto"/>
              <w:jc w:val="right"/>
              <w:rPr>
                <w:b/>
                <w:sz w:val="22"/>
                <w:lang w:eastAsia="bg-BG" w:bidi="bg-BG"/>
              </w:rPr>
            </w:pPr>
            <w:r w:rsidRPr="00D136FB">
              <w:rPr>
                <w:sz w:val="20"/>
              </w:rPr>
              <w:t>17,633</w:t>
            </w:r>
          </w:p>
        </w:tc>
        <w:tc>
          <w:tcPr>
            <w:tcW w:w="1080" w:type="dxa"/>
            <w:tcBorders>
              <w:top w:val="single" w:sz="2" w:space="0" w:color="auto"/>
              <w:left w:val="single" w:sz="2" w:space="0" w:color="auto"/>
              <w:bottom w:val="single" w:sz="2" w:space="0" w:color="auto"/>
              <w:right w:val="single" w:sz="2" w:space="0" w:color="auto"/>
            </w:tcBorders>
            <w:vAlign w:val="center"/>
            <w:hideMark/>
          </w:tcPr>
          <w:p w:rsidR="003D1E4F" w:rsidRPr="00D136FB" w:rsidRDefault="003D1E4F">
            <w:pPr>
              <w:spacing w:line="276" w:lineRule="auto"/>
              <w:jc w:val="right"/>
              <w:rPr>
                <w:b/>
                <w:sz w:val="22"/>
                <w:lang w:eastAsia="bg-BG" w:bidi="bg-BG"/>
              </w:rPr>
            </w:pPr>
            <w:r w:rsidRPr="00D136FB">
              <w:rPr>
                <w:sz w:val="20"/>
              </w:rPr>
              <w:t>17,633</w:t>
            </w:r>
          </w:p>
        </w:tc>
        <w:tc>
          <w:tcPr>
            <w:tcW w:w="1080" w:type="dxa"/>
            <w:tcBorders>
              <w:top w:val="single" w:sz="2" w:space="0" w:color="auto"/>
              <w:left w:val="single" w:sz="2" w:space="0" w:color="auto"/>
              <w:bottom w:val="single" w:sz="2" w:space="0" w:color="auto"/>
              <w:right w:val="single" w:sz="2" w:space="0" w:color="auto"/>
            </w:tcBorders>
            <w:vAlign w:val="center"/>
            <w:hideMark/>
          </w:tcPr>
          <w:p w:rsidR="003D1E4F" w:rsidRPr="00D136FB" w:rsidRDefault="003D1E4F">
            <w:pPr>
              <w:spacing w:line="276" w:lineRule="auto"/>
              <w:jc w:val="right"/>
              <w:rPr>
                <w:b/>
                <w:sz w:val="22"/>
                <w:lang w:eastAsia="bg-BG" w:bidi="bg-BG"/>
              </w:rPr>
            </w:pPr>
            <w:r w:rsidRPr="00D136FB">
              <w:rPr>
                <w:sz w:val="20"/>
              </w:rPr>
              <w:t>17,633</w:t>
            </w:r>
          </w:p>
        </w:tc>
        <w:tc>
          <w:tcPr>
            <w:tcW w:w="1080" w:type="dxa"/>
            <w:tcBorders>
              <w:top w:val="single" w:sz="2" w:space="0" w:color="auto"/>
              <w:left w:val="single" w:sz="2" w:space="0" w:color="auto"/>
              <w:bottom w:val="single" w:sz="2" w:space="0" w:color="auto"/>
              <w:right w:val="single" w:sz="2" w:space="0" w:color="auto"/>
            </w:tcBorders>
            <w:vAlign w:val="center"/>
            <w:hideMark/>
          </w:tcPr>
          <w:p w:rsidR="003D1E4F" w:rsidRPr="00D136FB" w:rsidRDefault="003D1E4F">
            <w:pPr>
              <w:spacing w:before="60" w:after="60" w:line="200" w:lineRule="exact"/>
              <w:jc w:val="right"/>
              <w:rPr>
                <w:b/>
                <w:noProof/>
                <w:sz w:val="16"/>
                <w:szCs w:val="16"/>
                <w:lang w:eastAsia="bg-BG" w:bidi="bg-BG"/>
              </w:rPr>
            </w:pPr>
            <w:r w:rsidRPr="00D136FB">
              <w:rPr>
                <w:sz w:val="20"/>
              </w:rPr>
              <w:t>119,840</w:t>
            </w:r>
          </w:p>
        </w:tc>
      </w:tr>
    </w:tbl>
    <w:p w:rsidR="003D1E4F" w:rsidRPr="00D136FB" w:rsidRDefault="003D1E4F" w:rsidP="003D1E4F">
      <w:pPr>
        <w:spacing w:line="200" w:lineRule="exact"/>
        <w:rPr>
          <w:noProof/>
          <w:sz w:val="16"/>
          <w:szCs w:val="16"/>
          <w:lang w:eastAsia="bg-BG" w:bidi="bg-BG"/>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3D1E4F" w:rsidRPr="00D136FB" w:rsidTr="003D1E4F">
        <w:trPr>
          <w:trHeight w:val="585"/>
        </w:trPr>
        <w:tc>
          <w:tcPr>
            <w:tcW w:w="1980" w:type="dxa"/>
            <w:tcBorders>
              <w:top w:val="single" w:sz="2" w:space="0" w:color="auto"/>
              <w:left w:val="single" w:sz="2" w:space="0" w:color="auto"/>
              <w:bottom w:val="single" w:sz="2" w:space="0" w:color="auto"/>
              <w:right w:val="single" w:sz="2" w:space="0" w:color="auto"/>
            </w:tcBorders>
            <w:shd w:val="clear" w:color="auto" w:fill="CCCCCC"/>
            <w:vAlign w:val="center"/>
          </w:tcPr>
          <w:p w:rsidR="003D1E4F" w:rsidRPr="00D136FB" w:rsidRDefault="003D1E4F">
            <w:pPr>
              <w:spacing w:before="60" w:after="60" w:line="200" w:lineRule="exact"/>
              <w:jc w:val="center"/>
              <w:rPr>
                <w:noProof/>
                <w:sz w:val="16"/>
                <w:szCs w:val="16"/>
              </w:rPr>
            </w:pPr>
            <w:r w:rsidRPr="00D136FB">
              <w:rPr>
                <w:b/>
                <w:noProof/>
                <w:sz w:val="16"/>
              </w:rPr>
              <w:t>Извън ФУНКЦИЯ 7</w:t>
            </w:r>
            <w:r w:rsidRPr="00D136FB">
              <w:rPr>
                <w:rStyle w:val="FootnoteReference"/>
                <w:b/>
                <w:noProof/>
                <w:sz w:val="16"/>
              </w:rPr>
              <w:footnoteReference w:id="40"/>
            </w:r>
            <w:r w:rsidRPr="00D136FB">
              <w:rPr>
                <w:noProof/>
                <w:sz w:val="22"/>
              </w:rPr>
              <w:br/>
            </w:r>
            <w:r w:rsidRPr="00D136FB">
              <w:rPr>
                <w:b/>
                <w:noProof/>
                <w:sz w:val="16"/>
              </w:rPr>
              <w:t xml:space="preserve">от многогодишната финансова рамка </w:t>
            </w:r>
          </w:p>
          <w:p w:rsidR="003D1E4F" w:rsidRPr="00D136FB" w:rsidRDefault="003D1E4F">
            <w:pPr>
              <w:spacing w:before="0" w:after="0" w:line="200" w:lineRule="exact"/>
              <w:jc w:val="center"/>
              <w:rPr>
                <w:b/>
                <w:noProof/>
                <w:sz w:val="16"/>
                <w:szCs w:val="16"/>
                <w:lang w:eastAsia="bg-BG" w:bidi="bg-BG"/>
              </w:rPr>
            </w:pPr>
          </w:p>
        </w:tc>
        <w:tc>
          <w:tcPr>
            <w:tcW w:w="1080" w:type="dxa"/>
            <w:tcBorders>
              <w:top w:val="single" w:sz="2" w:space="0" w:color="auto"/>
              <w:left w:val="single" w:sz="2" w:space="0" w:color="auto"/>
              <w:bottom w:val="single" w:sz="2" w:space="0" w:color="auto"/>
              <w:right w:val="single" w:sz="2" w:space="0" w:color="auto"/>
            </w:tcBorders>
            <w:vAlign w:val="center"/>
          </w:tcPr>
          <w:p w:rsidR="003D1E4F" w:rsidRPr="00D136FB" w:rsidRDefault="003D1E4F">
            <w:pPr>
              <w:spacing w:before="60" w:after="60" w:line="200" w:lineRule="exact"/>
              <w:jc w:val="right"/>
              <w:rPr>
                <w:noProof/>
                <w:sz w:val="16"/>
                <w:szCs w:val="16"/>
                <w:lang w:eastAsia="bg-BG" w:bidi="bg-BG"/>
              </w:rPr>
            </w:pPr>
          </w:p>
        </w:tc>
        <w:tc>
          <w:tcPr>
            <w:tcW w:w="1080" w:type="dxa"/>
            <w:tcBorders>
              <w:top w:val="single" w:sz="2" w:space="0" w:color="auto"/>
              <w:left w:val="single" w:sz="2" w:space="0" w:color="auto"/>
              <w:bottom w:val="single" w:sz="2" w:space="0" w:color="auto"/>
              <w:right w:val="single" w:sz="2" w:space="0" w:color="auto"/>
            </w:tcBorders>
            <w:vAlign w:val="center"/>
          </w:tcPr>
          <w:p w:rsidR="003D1E4F" w:rsidRPr="00D136FB" w:rsidRDefault="003D1E4F">
            <w:pPr>
              <w:spacing w:before="60" w:after="60" w:line="200" w:lineRule="exact"/>
              <w:jc w:val="right"/>
              <w:rPr>
                <w:noProof/>
                <w:sz w:val="16"/>
                <w:szCs w:val="16"/>
                <w:lang w:eastAsia="bg-BG" w:bidi="bg-BG"/>
              </w:rPr>
            </w:pPr>
          </w:p>
        </w:tc>
        <w:tc>
          <w:tcPr>
            <w:tcW w:w="1080" w:type="dxa"/>
            <w:tcBorders>
              <w:top w:val="single" w:sz="2" w:space="0" w:color="auto"/>
              <w:left w:val="single" w:sz="2" w:space="0" w:color="auto"/>
              <w:bottom w:val="single" w:sz="2" w:space="0" w:color="auto"/>
              <w:right w:val="single" w:sz="2" w:space="0" w:color="auto"/>
            </w:tcBorders>
            <w:vAlign w:val="center"/>
          </w:tcPr>
          <w:p w:rsidR="003D1E4F" w:rsidRPr="00D136FB" w:rsidRDefault="003D1E4F">
            <w:pPr>
              <w:spacing w:before="60" w:after="60" w:line="200" w:lineRule="exact"/>
              <w:jc w:val="right"/>
              <w:rPr>
                <w:noProof/>
                <w:sz w:val="16"/>
                <w:szCs w:val="16"/>
                <w:lang w:eastAsia="bg-BG" w:bidi="bg-BG"/>
              </w:rPr>
            </w:pPr>
          </w:p>
        </w:tc>
        <w:tc>
          <w:tcPr>
            <w:tcW w:w="1080" w:type="dxa"/>
            <w:tcBorders>
              <w:top w:val="single" w:sz="2" w:space="0" w:color="auto"/>
              <w:left w:val="single" w:sz="2" w:space="0" w:color="auto"/>
              <w:bottom w:val="single" w:sz="2" w:space="0" w:color="auto"/>
              <w:right w:val="single" w:sz="2" w:space="0" w:color="auto"/>
            </w:tcBorders>
            <w:vAlign w:val="center"/>
          </w:tcPr>
          <w:p w:rsidR="003D1E4F" w:rsidRPr="00D136FB" w:rsidRDefault="003D1E4F">
            <w:pPr>
              <w:spacing w:before="60" w:after="60" w:line="200" w:lineRule="exact"/>
              <w:jc w:val="right"/>
              <w:rPr>
                <w:noProof/>
                <w:sz w:val="16"/>
                <w:szCs w:val="16"/>
                <w:lang w:eastAsia="bg-BG" w:bidi="bg-BG"/>
              </w:rPr>
            </w:pPr>
          </w:p>
        </w:tc>
        <w:tc>
          <w:tcPr>
            <w:tcW w:w="1080" w:type="dxa"/>
            <w:tcBorders>
              <w:top w:val="single" w:sz="2" w:space="0" w:color="auto"/>
              <w:left w:val="single" w:sz="2" w:space="0" w:color="auto"/>
              <w:bottom w:val="single" w:sz="2" w:space="0" w:color="auto"/>
              <w:right w:val="single" w:sz="2" w:space="0" w:color="auto"/>
            </w:tcBorders>
            <w:vAlign w:val="center"/>
          </w:tcPr>
          <w:p w:rsidR="003D1E4F" w:rsidRPr="00D136FB" w:rsidRDefault="003D1E4F">
            <w:pPr>
              <w:spacing w:before="60" w:after="60" w:line="200" w:lineRule="exact"/>
              <w:jc w:val="right"/>
              <w:rPr>
                <w:noProof/>
                <w:sz w:val="16"/>
                <w:szCs w:val="16"/>
                <w:lang w:eastAsia="bg-BG" w:bidi="bg-BG"/>
              </w:rPr>
            </w:pPr>
          </w:p>
        </w:tc>
        <w:tc>
          <w:tcPr>
            <w:tcW w:w="1080" w:type="dxa"/>
            <w:tcBorders>
              <w:top w:val="single" w:sz="2" w:space="0" w:color="auto"/>
              <w:left w:val="single" w:sz="2" w:space="0" w:color="auto"/>
              <w:bottom w:val="single" w:sz="2" w:space="0" w:color="auto"/>
              <w:right w:val="single" w:sz="2" w:space="0" w:color="auto"/>
            </w:tcBorders>
            <w:vAlign w:val="center"/>
          </w:tcPr>
          <w:p w:rsidR="003D1E4F" w:rsidRPr="00D136FB" w:rsidRDefault="003D1E4F">
            <w:pPr>
              <w:spacing w:before="60" w:after="60" w:line="200" w:lineRule="exact"/>
              <w:jc w:val="right"/>
              <w:rPr>
                <w:noProof/>
                <w:sz w:val="16"/>
                <w:szCs w:val="16"/>
                <w:lang w:eastAsia="bg-BG" w:bidi="bg-BG"/>
              </w:rPr>
            </w:pPr>
          </w:p>
        </w:tc>
        <w:tc>
          <w:tcPr>
            <w:tcW w:w="1080" w:type="dxa"/>
            <w:tcBorders>
              <w:top w:val="single" w:sz="2" w:space="0" w:color="auto"/>
              <w:left w:val="single" w:sz="2" w:space="0" w:color="auto"/>
              <w:bottom w:val="single" w:sz="2" w:space="0" w:color="auto"/>
              <w:right w:val="single" w:sz="2" w:space="0" w:color="auto"/>
            </w:tcBorders>
            <w:vAlign w:val="center"/>
          </w:tcPr>
          <w:p w:rsidR="003D1E4F" w:rsidRPr="00D136FB" w:rsidRDefault="003D1E4F">
            <w:pPr>
              <w:spacing w:before="60" w:after="60" w:line="200" w:lineRule="exact"/>
              <w:jc w:val="right"/>
              <w:rPr>
                <w:b/>
                <w:noProof/>
                <w:sz w:val="16"/>
                <w:szCs w:val="16"/>
                <w:lang w:eastAsia="bg-BG" w:bidi="bg-BG"/>
              </w:rPr>
            </w:pPr>
          </w:p>
        </w:tc>
        <w:tc>
          <w:tcPr>
            <w:tcW w:w="1080" w:type="dxa"/>
            <w:tcBorders>
              <w:top w:val="single" w:sz="2" w:space="0" w:color="auto"/>
              <w:left w:val="single" w:sz="2" w:space="0" w:color="auto"/>
              <w:bottom w:val="single" w:sz="2" w:space="0" w:color="auto"/>
              <w:right w:val="single" w:sz="2" w:space="0" w:color="auto"/>
            </w:tcBorders>
            <w:vAlign w:val="center"/>
          </w:tcPr>
          <w:p w:rsidR="003D1E4F" w:rsidRPr="00D136FB" w:rsidRDefault="003D1E4F">
            <w:pPr>
              <w:spacing w:before="60" w:after="60" w:line="200" w:lineRule="exact"/>
              <w:jc w:val="right"/>
              <w:rPr>
                <w:b/>
                <w:noProof/>
                <w:sz w:val="16"/>
                <w:szCs w:val="16"/>
                <w:lang w:eastAsia="bg-BG" w:bidi="bg-BG"/>
              </w:rPr>
            </w:pPr>
          </w:p>
        </w:tc>
      </w:tr>
      <w:tr w:rsidR="003D1E4F" w:rsidRPr="00D136FB" w:rsidTr="003D1E4F">
        <w:trPr>
          <w:trHeight w:val="585"/>
        </w:trPr>
        <w:tc>
          <w:tcPr>
            <w:tcW w:w="1980" w:type="dxa"/>
            <w:tcBorders>
              <w:top w:val="single" w:sz="2" w:space="0" w:color="auto"/>
              <w:left w:val="single" w:sz="2" w:space="0" w:color="auto"/>
              <w:bottom w:val="single" w:sz="2" w:space="0" w:color="auto"/>
              <w:right w:val="single" w:sz="2" w:space="0" w:color="auto"/>
            </w:tcBorders>
            <w:vAlign w:val="center"/>
            <w:hideMark/>
          </w:tcPr>
          <w:p w:rsidR="003D1E4F" w:rsidRPr="00D136FB" w:rsidRDefault="003D1E4F">
            <w:pPr>
              <w:spacing w:before="60" w:after="60" w:line="200" w:lineRule="exact"/>
              <w:ind w:left="72"/>
              <w:jc w:val="left"/>
              <w:rPr>
                <w:noProof/>
                <w:sz w:val="16"/>
                <w:szCs w:val="16"/>
                <w:lang w:eastAsia="bg-BG" w:bidi="bg-BG"/>
              </w:rPr>
            </w:pPr>
            <w:r w:rsidRPr="00D136FB">
              <w:rPr>
                <w:noProof/>
                <w:sz w:val="16"/>
              </w:rPr>
              <w:t xml:space="preserve">Човешки ресурси </w:t>
            </w:r>
          </w:p>
        </w:tc>
        <w:tc>
          <w:tcPr>
            <w:tcW w:w="1080" w:type="dxa"/>
            <w:tcBorders>
              <w:top w:val="single" w:sz="2" w:space="0" w:color="auto"/>
              <w:left w:val="single" w:sz="2" w:space="0" w:color="auto"/>
              <w:bottom w:val="single" w:sz="2" w:space="0" w:color="auto"/>
              <w:right w:val="single" w:sz="2" w:space="0" w:color="auto"/>
            </w:tcBorders>
            <w:vAlign w:val="center"/>
          </w:tcPr>
          <w:p w:rsidR="003D1E4F" w:rsidRPr="00D136FB" w:rsidRDefault="003D1E4F">
            <w:pPr>
              <w:spacing w:before="60" w:after="60" w:line="200" w:lineRule="exact"/>
              <w:jc w:val="right"/>
              <w:rPr>
                <w:noProof/>
                <w:sz w:val="16"/>
                <w:szCs w:val="16"/>
                <w:lang w:eastAsia="bg-BG" w:bidi="bg-BG"/>
              </w:rPr>
            </w:pPr>
          </w:p>
        </w:tc>
        <w:tc>
          <w:tcPr>
            <w:tcW w:w="1080" w:type="dxa"/>
            <w:tcBorders>
              <w:top w:val="single" w:sz="2" w:space="0" w:color="auto"/>
              <w:left w:val="single" w:sz="2" w:space="0" w:color="auto"/>
              <w:bottom w:val="single" w:sz="2" w:space="0" w:color="auto"/>
              <w:right w:val="single" w:sz="2" w:space="0" w:color="auto"/>
            </w:tcBorders>
            <w:vAlign w:val="center"/>
          </w:tcPr>
          <w:p w:rsidR="003D1E4F" w:rsidRPr="00D136FB" w:rsidRDefault="003D1E4F">
            <w:pPr>
              <w:spacing w:before="60" w:after="60" w:line="200" w:lineRule="exact"/>
              <w:jc w:val="right"/>
              <w:rPr>
                <w:noProof/>
                <w:sz w:val="16"/>
                <w:szCs w:val="16"/>
                <w:lang w:eastAsia="bg-BG" w:bidi="bg-BG"/>
              </w:rPr>
            </w:pPr>
          </w:p>
        </w:tc>
        <w:tc>
          <w:tcPr>
            <w:tcW w:w="1080" w:type="dxa"/>
            <w:tcBorders>
              <w:top w:val="single" w:sz="2" w:space="0" w:color="auto"/>
              <w:left w:val="single" w:sz="2" w:space="0" w:color="auto"/>
              <w:bottom w:val="single" w:sz="2" w:space="0" w:color="auto"/>
              <w:right w:val="single" w:sz="2" w:space="0" w:color="auto"/>
            </w:tcBorders>
            <w:vAlign w:val="center"/>
          </w:tcPr>
          <w:p w:rsidR="003D1E4F" w:rsidRPr="00D136FB" w:rsidRDefault="003D1E4F">
            <w:pPr>
              <w:spacing w:before="60" w:after="60" w:line="200" w:lineRule="exact"/>
              <w:jc w:val="right"/>
              <w:rPr>
                <w:noProof/>
                <w:sz w:val="16"/>
                <w:szCs w:val="16"/>
                <w:lang w:eastAsia="bg-BG" w:bidi="bg-BG"/>
              </w:rPr>
            </w:pPr>
          </w:p>
        </w:tc>
        <w:tc>
          <w:tcPr>
            <w:tcW w:w="1080" w:type="dxa"/>
            <w:tcBorders>
              <w:top w:val="single" w:sz="2" w:space="0" w:color="auto"/>
              <w:left w:val="single" w:sz="2" w:space="0" w:color="auto"/>
              <w:bottom w:val="single" w:sz="2" w:space="0" w:color="auto"/>
              <w:right w:val="single" w:sz="2" w:space="0" w:color="auto"/>
            </w:tcBorders>
            <w:vAlign w:val="center"/>
          </w:tcPr>
          <w:p w:rsidR="003D1E4F" w:rsidRPr="00D136FB" w:rsidRDefault="003D1E4F">
            <w:pPr>
              <w:spacing w:before="60" w:after="60" w:line="200" w:lineRule="exact"/>
              <w:jc w:val="right"/>
              <w:rPr>
                <w:noProof/>
                <w:sz w:val="16"/>
                <w:szCs w:val="16"/>
                <w:lang w:eastAsia="bg-BG" w:bidi="bg-BG"/>
              </w:rPr>
            </w:pPr>
          </w:p>
        </w:tc>
        <w:tc>
          <w:tcPr>
            <w:tcW w:w="1080" w:type="dxa"/>
            <w:tcBorders>
              <w:top w:val="single" w:sz="2" w:space="0" w:color="auto"/>
              <w:left w:val="single" w:sz="2" w:space="0" w:color="auto"/>
              <w:bottom w:val="single" w:sz="2" w:space="0" w:color="auto"/>
              <w:right w:val="single" w:sz="2" w:space="0" w:color="auto"/>
            </w:tcBorders>
            <w:vAlign w:val="center"/>
          </w:tcPr>
          <w:p w:rsidR="003D1E4F" w:rsidRPr="00D136FB" w:rsidRDefault="003D1E4F">
            <w:pPr>
              <w:spacing w:before="60" w:after="60" w:line="200" w:lineRule="exact"/>
              <w:jc w:val="right"/>
              <w:rPr>
                <w:noProof/>
                <w:sz w:val="16"/>
                <w:szCs w:val="16"/>
                <w:lang w:eastAsia="bg-BG" w:bidi="bg-BG"/>
              </w:rPr>
            </w:pPr>
          </w:p>
        </w:tc>
        <w:tc>
          <w:tcPr>
            <w:tcW w:w="1080" w:type="dxa"/>
            <w:tcBorders>
              <w:top w:val="single" w:sz="2" w:space="0" w:color="auto"/>
              <w:left w:val="single" w:sz="2" w:space="0" w:color="auto"/>
              <w:bottom w:val="single" w:sz="2" w:space="0" w:color="auto"/>
              <w:right w:val="single" w:sz="2" w:space="0" w:color="auto"/>
            </w:tcBorders>
            <w:vAlign w:val="center"/>
          </w:tcPr>
          <w:p w:rsidR="003D1E4F" w:rsidRPr="00D136FB" w:rsidRDefault="003D1E4F">
            <w:pPr>
              <w:spacing w:before="60" w:after="60" w:line="200" w:lineRule="exact"/>
              <w:jc w:val="right"/>
              <w:rPr>
                <w:noProof/>
                <w:sz w:val="16"/>
                <w:szCs w:val="16"/>
                <w:lang w:eastAsia="bg-BG" w:bidi="bg-BG"/>
              </w:rPr>
            </w:pPr>
          </w:p>
        </w:tc>
        <w:tc>
          <w:tcPr>
            <w:tcW w:w="1080" w:type="dxa"/>
            <w:tcBorders>
              <w:top w:val="single" w:sz="2" w:space="0" w:color="auto"/>
              <w:left w:val="single" w:sz="2" w:space="0" w:color="auto"/>
              <w:bottom w:val="single" w:sz="2" w:space="0" w:color="auto"/>
              <w:right w:val="single" w:sz="2" w:space="0" w:color="auto"/>
            </w:tcBorders>
            <w:vAlign w:val="center"/>
          </w:tcPr>
          <w:p w:rsidR="003D1E4F" w:rsidRPr="00D136FB" w:rsidRDefault="003D1E4F">
            <w:pPr>
              <w:spacing w:before="60" w:after="60" w:line="200" w:lineRule="exact"/>
              <w:jc w:val="right"/>
              <w:rPr>
                <w:b/>
                <w:noProof/>
                <w:sz w:val="16"/>
                <w:szCs w:val="16"/>
                <w:lang w:eastAsia="bg-BG" w:bidi="bg-BG"/>
              </w:rPr>
            </w:pPr>
          </w:p>
        </w:tc>
        <w:tc>
          <w:tcPr>
            <w:tcW w:w="1080" w:type="dxa"/>
            <w:tcBorders>
              <w:top w:val="single" w:sz="2" w:space="0" w:color="auto"/>
              <w:left w:val="single" w:sz="2" w:space="0" w:color="auto"/>
              <w:bottom w:val="single" w:sz="2" w:space="0" w:color="auto"/>
              <w:right w:val="single" w:sz="2" w:space="0" w:color="auto"/>
            </w:tcBorders>
            <w:vAlign w:val="center"/>
          </w:tcPr>
          <w:p w:rsidR="003D1E4F" w:rsidRPr="00D136FB" w:rsidRDefault="003D1E4F">
            <w:pPr>
              <w:spacing w:before="60" w:after="60" w:line="200" w:lineRule="exact"/>
              <w:jc w:val="right"/>
              <w:rPr>
                <w:b/>
                <w:noProof/>
                <w:sz w:val="16"/>
                <w:szCs w:val="16"/>
                <w:lang w:eastAsia="bg-BG" w:bidi="bg-BG"/>
              </w:rPr>
            </w:pPr>
          </w:p>
        </w:tc>
      </w:tr>
      <w:tr w:rsidR="003D1E4F" w:rsidRPr="00D136FB" w:rsidTr="003D1E4F">
        <w:trPr>
          <w:trHeight w:val="585"/>
        </w:trPr>
        <w:tc>
          <w:tcPr>
            <w:tcW w:w="1980" w:type="dxa"/>
            <w:tcBorders>
              <w:top w:val="single" w:sz="2" w:space="0" w:color="auto"/>
              <w:left w:val="single" w:sz="2" w:space="0" w:color="auto"/>
              <w:bottom w:val="single" w:sz="2" w:space="0" w:color="auto"/>
              <w:right w:val="single" w:sz="2" w:space="0" w:color="auto"/>
            </w:tcBorders>
            <w:vAlign w:val="center"/>
            <w:hideMark/>
          </w:tcPr>
          <w:p w:rsidR="003D1E4F" w:rsidRPr="00D136FB" w:rsidRDefault="003D1E4F">
            <w:pPr>
              <w:spacing w:before="60" w:after="60" w:line="200" w:lineRule="exact"/>
              <w:ind w:left="72"/>
              <w:jc w:val="left"/>
              <w:rPr>
                <w:noProof/>
                <w:sz w:val="16"/>
                <w:szCs w:val="16"/>
                <w:lang w:eastAsia="bg-BG" w:bidi="bg-BG"/>
              </w:rPr>
            </w:pPr>
            <w:r w:rsidRPr="00D136FB">
              <w:rPr>
                <w:noProof/>
                <w:sz w:val="16"/>
              </w:rPr>
              <w:t xml:space="preserve">Други разходи </w:t>
            </w:r>
            <w:r w:rsidRPr="00D136FB">
              <w:rPr>
                <w:noProof/>
                <w:sz w:val="22"/>
              </w:rPr>
              <w:br/>
            </w:r>
            <w:r w:rsidRPr="00D136FB">
              <w:rPr>
                <w:noProof/>
                <w:sz w:val="16"/>
              </w:rPr>
              <w:t>от административно естество</w:t>
            </w:r>
          </w:p>
        </w:tc>
        <w:tc>
          <w:tcPr>
            <w:tcW w:w="1080" w:type="dxa"/>
            <w:tcBorders>
              <w:top w:val="single" w:sz="2" w:space="0" w:color="auto"/>
              <w:left w:val="single" w:sz="2" w:space="0" w:color="auto"/>
              <w:bottom w:val="single" w:sz="2" w:space="0" w:color="auto"/>
              <w:right w:val="single" w:sz="2" w:space="0" w:color="auto"/>
            </w:tcBorders>
            <w:vAlign w:val="center"/>
            <w:hideMark/>
          </w:tcPr>
          <w:p w:rsidR="003D1E4F" w:rsidRPr="00D136FB" w:rsidRDefault="003D1E4F">
            <w:pPr>
              <w:spacing w:before="60" w:after="60" w:line="200" w:lineRule="exact"/>
              <w:jc w:val="right"/>
              <w:rPr>
                <w:noProof/>
                <w:sz w:val="16"/>
                <w:szCs w:val="16"/>
                <w:lang w:eastAsia="bg-BG" w:bidi="bg-BG"/>
              </w:rPr>
            </w:pPr>
            <w:r w:rsidRPr="00D136FB">
              <w:rPr>
                <w:noProof/>
                <w:sz w:val="20"/>
              </w:rPr>
              <w:t>17,420</w:t>
            </w:r>
          </w:p>
        </w:tc>
        <w:tc>
          <w:tcPr>
            <w:tcW w:w="1080" w:type="dxa"/>
            <w:tcBorders>
              <w:top w:val="single" w:sz="2" w:space="0" w:color="auto"/>
              <w:left w:val="single" w:sz="2" w:space="0" w:color="auto"/>
              <w:bottom w:val="single" w:sz="2" w:space="0" w:color="auto"/>
              <w:right w:val="single" w:sz="2" w:space="0" w:color="auto"/>
            </w:tcBorders>
            <w:vAlign w:val="center"/>
            <w:hideMark/>
          </w:tcPr>
          <w:p w:rsidR="003D1E4F" w:rsidRPr="00D136FB" w:rsidRDefault="003D1E4F">
            <w:pPr>
              <w:spacing w:before="60" w:after="60" w:line="200" w:lineRule="exact"/>
              <w:jc w:val="right"/>
              <w:rPr>
                <w:noProof/>
                <w:sz w:val="16"/>
                <w:szCs w:val="16"/>
                <w:lang w:eastAsia="bg-BG" w:bidi="bg-BG"/>
              </w:rPr>
            </w:pPr>
            <w:r w:rsidRPr="00D136FB">
              <w:rPr>
                <w:noProof/>
                <w:sz w:val="20"/>
              </w:rPr>
              <w:t>17,760</w:t>
            </w:r>
          </w:p>
        </w:tc>
        <w:tc>
          <w:tcPr>
            <w:tcW w:w="1080" w:type="dxa"/>
            <w:tcBorders>
              <w:top w:val="single" w:sz="2" w:space="0" w:color="auto"/>
              <w:left w:val="single" w:sz="2" w:space="0" w:color="auto"/>
              <w:bottom w:val="single" w:sz="2" w:space="0" w:color="auto"/>
              <w:right w:val="single" w:sz="2" w:space="0" w:color="auto"/>
            </w:tcBorders>
            <w:vAlign w:val="center"/>
            <w:hideMark/>
          </w:tcPr>
          <w:p w:rsidR="003D1E4F" w:rsidRPr="00D136FB" w:rsidRDefault="003D1E4F">
            <w:pPr>
              <w:spacing w:before="60" w:after="60" w:line="200" w:lineRule="exact"/>
              <w:jc w:val="right"/>
              <w:rPr>
                <w:noProof/>
                <w:sz w:val="16"/>
                <w:szCs w:val="16"/>
                <w:lang w:eastAsia="bg-BG" w:bidi="bg-BG"/>
              </w:rPr>
            </w:pPr>
            <w:r w:rsidRPr="00D136FB">
              <w:rPr>
                <w:noProof/>
                <w:sz w:val="20"/>
              </w:rPr>
              <w:t>18,125</w:t>
            </w:r>
          </w:p>
        </w:tc>
        <w:tc>
          <w:tcPr>
            <w:tcW w:w="1080" w:type="dxa"/>
            <w:tcBorders>
              <w:top w:val="single" w:sz="2" w:space="0" w:color="auto"/>
              <w:left w:val="single" w:sz="2" w:space="0" w:color="auto"/>
              <w:bottom w:val="single" w:sz="2" w:space="0" w:color="auto"/>
              <w:right w:val="single" w:sz="2" w:space="0" w:color="auto"/>
            </w:tcBorders>
            <w:vAlign w:val="center"/>
            <w:hideMark/>
          </w:tcPr>
          <w:p w:rsidR="003D1E4F" w:rsidRPr="00D136FB" w:rsidRDefault="003D1E4F">
            <w:pPr>
              <w:spacing w:before="60" w:after="60" w:line="200" w:lineRule="exact"/>
              <w:jc w:val="right"/>
              <w:rPr>
                <w:noProof/>
                <w:sz w:val="16"/>
                <w:szCs w:val="16"/>
                <w:lang w:eastAsia="bg-BG" w:bidi="bg-BG"/>
              </w:rPr>
            </w:pPr>
            <w:r w:rsidRPr="00D136FB">
              <w:rPr>
                <w:noProof/>
                <w:sz w:val="20"/>
              </w:rPr>
              <w:t>18,485</w:t>
            </w:r>
          </w:p>
        </w:tc>
        <w:tc>
          <w:tcPr>
            <w:tcW w:w="1080" w:type="dxa"/>
            <w:tcBorders>
              <w:top w:val="single" w:sz="2" w:space="0" w:color="auto"/>
              <w:left w:val="single" w:sz="2" w:space="0" w:color="auto"/>
              <w:bottom w:val="single" w:sz="2" w:space="0" w:color="auto"/>
              <w:right w:val="single" w:sz="2" w:space="0" w:color="auto"/>
            </w:tcBorders>
            <w:vAlign w:val="center"/>
            <w:hideMark/>
          </w:tcPr>
          <w:p w:rsidR="003D1E4F" w:rsidRPr="00D136FB" w:rsidRDefault="003D1E4F">
            <w:pPr>
              <w:spacing w:before="60" w:after="60" w:line="200" w:lineRule="exact"/>
              <w:jc w:val="right"/>
              <w:rPr>
                <w:noProof/>
                <w:sz w:val="16"/>
                <w:szCs w:val="16"/>
                <w:lang w:eastAsia="bg-BG" w:bidi="bg-BG"/>
              </w:rPr>
            </w:pPr>
            <w:r w:rsidRPr="00D136FB">
              <w:rPr>
                <w:noProof/>
                <w:sz w:val="20"/>
              </w:rPr>
              <w:t>18,850</w:t>
            </w:r>
          </w:p>
        </w:tc>
        <w:tc>
          <w:tcPr>
            <w:tcW w:w="1080" w:type="dxa"/>
            <w:tcBorders>
              <w:top w:val="single" w:sz="2" w:space="0" w:color="auto"/>
              <w:left w:val="single" w:sz="2" w:space="0" w:color="auto"/>
              <w:bottom w:val="single" w:sz="2" w:space="0" w:color="auto"/>
              <w:right w:val="single" w:sz="2" w:space="0" w:color="auto"/>
            </w:tcBorders>
            <w:vAlign w:val="center"/>
            <w:hideMark/>
          </w:tcPr>
          <w:p w:rsidR="003D1E4F" w:rsidRPr="00D136FB" w:rsidRDefault="003D1E4F">
            <w:pPr>
              <w:spacing w:before="60" w:after="60" w:line="200" w:lineRule="exact"/>
              <w:jc w:val="right"/>
              <w:rPr>
                <w:noProof/>
                <w:sz w:val="16"/>
                <w:szCs w:val="16"/>
                <w:lang w:eastAsia="bg-BG" w:bidi="bg-BG"/>
              </w:rPr>
            </w:pPr>
            <w:r w:rsidRPr="00D136FB">
              <w:rPr>
                <w:noProof/>
                <w:sz w:val="20"/>
              </w:rPr>
              <w:t>19,239</w:t>
            </w:r>
          </w:p>
        </w:tc>
        <w:tc>
          <w:tcPr>
            <w:tcW w:w="1080" w:type="dxa"/>
            <w:tcBorders>
              <w:top w:val="single" w:sz="2" w:space="0" w:color="auto"/>
              <w:left w:val="single" w:sz="2" w:space="0" w:color="auto"/>
              <w:bottom w:val="single" w:sz="2" w:space="0" w:color="auto"/>
              <w:right w:val="single" w:sz="2" w:space="0" w:color="auto"/>
            </w:tcBorders>
            <w:vAlign w:val="center"/>
            <w:hideMark/>
          </w:tcPr>
          <w:p w:rsidR="003D1E4F" w:rsidRPr="00D136FB" w:rsidRDefault="003D1E4F">
            <w:pPr>
              <w:spacing w:before="60" w:after="60" w:line="200" w:lineRule="exact"/>
              <w:jc w:val="right"/>
              <w:rPr>
                <w:b/>
                <w:noProof/>
                <w:sz w:val="16"/>
                <w:szCs w:val="16"/>
                <w:lang w:eastAsia="bg-BG" w:bidi="bg-BG"/>
              </w:rPr>
            </w:pPr>
            <w:r w:rsidRPr="00D136FB">
              <w:rPr>
                <w:noProof/>
                <w:sz w:val="20"/>
              </w:rPr>
              <w:t>19,621</w:t>
            </w:r>
          </w:p>
        </w:tc>
        <w:tc>
          <w:tcPr>
            <w:tcW w:w="1080" w:type="dxa"/>
            <w:tcBorders>
              <w:top w:val="single" w:sz="2" w:space="0" w:color="auto"/>
              <w:left w:val="single" w:sz="2" w:space="0" w:color="auto"/>
              <w:bottom w:val="single" w:sz="2" w:space="0" w:color="auto"/>
              <w:right w:val="single" w:sz="2" w:space="0" w:color="auto"/>
            </w:tcBorders>
            <w:vAlign w:val="center"/>
            <w:hideMark/>
          </w:tcPr>
          <w:p w:rsidR="003D1E4F" w:rsidRPr="00D136FB" w:rsidRDefault="003D1E4F">
            <w:pPr>
              <w:spacing w:before="60" w:after="60" w:line="200" w:lineRule="exact"/>
              <w:jc w:val="right"/>
              <w:rPr>
                <w:b/>
                <w:noProof/>
                <w:sz w:val="16"/>
                <w:szCs w:val="16"/>
                <w:lang w:eastAsia="bg-BG" w:bidi="bg-BG"/>
              </w:rPr>
            </w:pPr>
            <w:r w:rsidRPr="00D136FB">
              <w:rPr>
                <w:noProof/>
                <w:sz w:val="20"/>
              </w:rPr>
              <w:t>129,500</w:t>
            </w:r>
          </w:p>
        </w:tc>
      </w:tr>
      <w:tr w:rsidR="003D1E4F" w:rsidRPr="00D136FB" w:rsidTr="003D1E4F">
        <w:trPr>
          <w:trHeight w:val="585"/>
        </w:trPr>
        <w:tc>
          <w:tcPr>
            <w:tcW w:w="1980" w:type="dxa"/>
            <w:tcBorders>
              <w:top w:val="single" w:sz="2" w:space="0" w:color="auto"/>
              <w:left w:val="single" w:sz="2" w:space="0" w:color="auto"/>
              <w:bottom w:val="single" w:sz="2" w:space="0" w:color="auto"/>
              <w:right w:val="single" w:sz="2" w:space="0" w:color="auto"/>
            </w:tcBorders>
            <w:shd w:val="clear" w:color="auto" w:fill="CCCCCC"/>
            <w:vAlign w:val="center"/>
            <w:hideMark/>
          </w:tcPr>
          <w:p w:rsidR="003D1E4F" w:rsidRPr="00D136FB" w:rsidRDefault="003D1E4F">
            <w:pPr>
              <w:spacing w:before="60" w:after="60" w:line="200" w:lineRule="exact"/>
              <w:jc w:val="center"/>
              <w:rPr>
                <w:b/>
                <w:noProof/>
                <w:sz w:val="16"/>
                <w:szCs w:val="16"/>
                <w:lang w:eastAsia="bg-BG" w:bidi="bg-BG"/>
              </w:rPr>
            </w:pPr>
            <w:r w:rsidRPr="00D136FB">
              <w:rPr>
                <w:b/>
                <w:noProof/>
                <w:sz w:val="16"/>
              </w:rPr>
              <w:t xml:space="preserve">Междинен сбор </w:t>
            </w:r>
            <w:r w:rsidRPr="00D136FB">
              <w:rPr>
                <w:noProof/>
                <w:sz w:val="22"/>
              </w:rPr>
              <w:br/>
            </w:r>
            <w:r w:rsidRPr="00D136FB">
              <w:rPr>
                <w:b/>
                <w:noProof/>
                <w:sz w:val="16"/>
              </w:rPr>
              <w:t>извън ФУНКЦИЯ 7</w:t>
            </w:r>
            <w:r w:rsidRPr="00D136FB">
              <w:rPr>
                <w:noProof/>
                <w:sz w:val="22"/>
              </w:rPr>
              <w:br/>
            </w:r>
            <w:r w:rsidRPr="00D136FB">
              <w:rPr>
                <w:b/>
                <w:noProof/>
                <w:sz w:val="16"/>
              </w:rPr>
              <w:t xml:space="preserve">от многогодишната финансова рамка </w:t>
            </w:r>
          </w:p>
        </w:tc>
        <w:tc>
          <w:tcPr>
            <w:tcW w:w="1080" w:type="dxa"/>
            <w:tcBorders>
              <w:top w:val="single" w:sz="2" w:space="0" w:color="auto"/>
              <w:left w:val="single" w:sz="2" w:space="0" w:color="auto"/>
              <w:bottom w:val="single" w:sz="2" w:space="0" w:color="auto"/>
              <w:right w:val="single" w:sz="2" w:space="0" w:color="auto"/>
            </w:tcBorders>
            <w:vAlign w:val="center"/>
            <w:hideMark/>
          </w:tcPr>
          <w:p w:rsidR="003D1E4F" w:rsidRPr="00D136FB" w:rsidRDefault="003D1E4F">
            <w:pPr>
              <w:spacing w:before="40" w:after="40" w:line="276" w:lineRule="auto"/>
              <w:jc w:val="right"/>
              <w:rPr>
                <w:sz w:val="20"/>
                <w:lang w:eastAsia="bg-BG" w:bidi="bg-BG"/>
              </w:rPr>
            </w:pPr>
            <w:r w:rsidRPr="00D136FB">
              <w:rPr>
                <w:noProof/>
                <w:sz w:val="20"/>
              </w:rPr>
              <w:t>17,420</w:t>
            </w:r>
          </w:p>
        </w:tc>
        <w:tc>
          <w:tcPr>
            <w:tcW w:w="1080" w:type="dxa"/>
            <w:tcBorders>
              <w:top w:val="single" w:sz="2" w:space="0" w:color="auto"/>
              <w:left w:val="single" w:sz="2" w:space="0" w:color="auto"/>
              <w:bottom w:val="single" w:sz="2" w:space="0" w:color="auto"/>
              <w:right w:val="single" w:sz="2" w:space="0" w:color="auto"/>
            </w:tcBorders>
            <w:vAlign w:val="center"/>
            <w:hideMark/>
          </w:tcPr>
          <w:p w:rsidR="003D1E4F" w:rsidRPr="00D136FB" w:rsidRDefault="003D1E4F">
            <w:pPr>
              <w:spacing w:before="40" w:after="40" w:line="276" w:lineRule="auto"/>
              <w:jc w:val="right"/>
              <w:rPr>
                <w:sz w:val="20"/>
                <w:lang w:eastAsia="bg-BG" w:bidi="bg-BG"/>
              </w:rPr>
            </w:pPr>
            <w:r w:rsidRPr="00D136FB">
              <w:rPr>
                <w:noProof/>
                <w:sz w:val="20"/>
              </w:rPr>
              <w:t>17,760</w:t>
            </w:r>
          </w:p>
        </w:tc>
        <w:tc>
          <w:tcPr>
            <w:tcW w:w="1080" w:type="dxa"/>
            <w:tcBorders>
              <w:top w:val="single" w:sz="2" w:space="0" w:color="auto"/>
              <w:left w:val="single" w:sz="2" w:space="0" w:color="auto"/>
              <w:bottom w:val="single" w:sz="2" w:space="0" w:color="auto"/>
              <w:right w:val="single" w:sz="2" w:space="0" w:color="auto"/>
            </w:tcBorders>
            <w:vAlign w:val="center"/>
            <w:hideMark/>
          </w:tcPr>
          <w:p w:rsidR="003D1E4F" w:rsidRPr="00D136FB" w:rsidRDefault="003D1E4F">
            <w:pPr>
              <w:spacing w:before="40" w:after="40" w:line="276" w:lineRule="auto"/>
              <w:jc w:val="right"/>
              <w:rPr>
                <w:sz w:val="20"/>
                <w:lang w:eastAsia="bg-BG" w:bidi="bg-BG"/>
              </w:rPr>
            </w:pPr>
            <w:r w:rsidRPr="00D136FB">
              <w:rPr>
                <w:noProof/>
                <w:sz w:val="20"/>
              </w:rPr>
              <w:t>18,125</w:t>
            </w:r>
          </w:p>
        </w:tc>
        <w:tc>
          <w:tcPr>
            <w:tcW w:w="1080" w:type="dxa"/>
            <w:tcBorders>
              <w:top w:val="single" w:sz="2" w:space="0" w:color="auto"/>
              <w:left w:val="single" w:sz="2" w:space="0" w:color="auto"/>
              <w:bottom w:val="single" w:sz="2" w:space="0" w:color="auto"/>
              <w:right w:val="single" w:sz="2" w:space="0" w:color="auto"/>
            </w:tcBorders>
            <w:vAlign w:val="center"/>
            <w:hideMark/>
          </w:tcPr>
          <w:p w:rsidR="003D1E4F" w:rsidRPr="00D136FB" w:rsidRDefault="003D1E4F">
            <w:pPr>
              <w:spacing w:before="40" w:after="40" w:line="276" w:lineRule="auto"/>
              <w:jc w:val="right"/>
              <w:rPr>
                <w:sz w:val="20"/>
                <w:lang w:eastAsia="bg-BG" w:bidi="bg-BG"/>
              </w:rPr>
            </w:pPr>
            <w:r w:rsidRPr="00D136FB">
              <w:rPr>
                <w:noProof/>
                <w:sz w:val="20"/>
              </w:rPr>
              <w:t>18,485</w:t>
            </w:r>
          </w:p>
        </w:tc>
        <w:tc>
          <w:tcPr>
            <w:tcW w:w="1080" w:type="dxa"/>
            <w:tcBorders>
              <w:top w:val="single" w:sz="2" w:space="0" w:color="auto"/>
              <w:left w:val="single" w:sz="2" w:space="0" w:color="auto"/>
              <w:bottom w:val="single" w:sz="2" w:space="0" w:color="auto"/>
              <w:right w:val="single" w:sz="2" w:space="0" w:color="auto"/>
            </w:tcBorders>
            <w:vAlign w:val="center"/>
            <w:hideMark/>
          </w:tcPr>
          <w:p w:rsidR="003D1E4F" w:rsidRPr="00D136FB" w:rsidRDefault="003D1E4F">
            <w:pPr>
              <w:spacing w:before="40" w:after="40" w:line="276" w:lineRule="auto"/>
              <w:jc w:val="right"/>
              <w:rPr>
                <w:sz w:val="20"/>
                <w:lang w:eastAsia="bg-BG" w:bidi="bg-BG"/>
              </w:rPr>
            </w:pPr>
            <w:r w:rsidRPr="00D136FB">
              <w:rPr>
                <w:noProof/>
                <w:sz w:val="20"/>
              </w:rPr>
              <w:t>18,850</w:t>
            </w:r>
          </w:p>
        </w:tc>
        <w:tc>
          <w:tcPr>
            <w:tcW w:w="1080" w:type="dxa"/>
            <w:tcBorders>
              <w:top w:val="single" w:sz="2" w:space="0" w:color="auto"/>
              <w:left w:val="single" w:sz="2" w:space="0" w:color="auto"/>
              <w:bottom w:val="single" w:sz="2" w:space="0" w:color="auto"/>
              <w:right w:val="single" w:sz="2" w:space="0" w:color="auto"/>
            </w:tcBorders>
            <w:vAlign w:val="center"/>
            <w:hideMark/>
          </w:tcPr>
          <w:p w:rsidR="003D1E4F" w:rsidRPr="00D136FB" w:rsidRDefault="003D1E4F">
            <w:pPr>
              <w:spacing w:before="40" w:after="40" w:line="276" w:lineRule="auto"/>
              <w:jc w:val="right"/>
              <w:rPr>
                <w:sz w:val="20"/>
                <w:lang w:eastAsia="bg-BG" w:bidi="bg-BG"/>
              </w:rPr>
            </w:pPr>
            <w:r w:rsidRPr="00D136FB">
              <w:rPr>
                <w:noProof/>
                <w:sz w:val="20"/>
              </w:rPr>
              <w:t>19,239</w:t>
            </w:r>
          </w:p>
        </w:tc>
        <w:tc>
          <w:tcPr>
            <w:tcW w:w="1080" w:type="dxa"/>
            <w:tcBorders>
              <w:top w:val="single" w:sz="2" w:space="0" w:color="auto"/>
              <w:left w:val="single" w:sz="2" w:space="0" w:color="auto"/>
              <w:bottom w:val="single" w:sz="2" w:space="0" w:color="auto"/>
              <w:right w:val="single" w:sz="2" w:space="0" w:color="auto"/>
            </w:tcBorders>
            <w:vAlign w:val="center"/>
            <w:hideMark/>
          </w:tcPr>
          <w:p w:rsidR="003D1E4F" w:rsidRPr="00D136FB" w:rsidRDefault="003D1E4F">
            <w:pPr>
              <w:spacing w:before="40" w:after="40" w:line="276" w:lineRule="auto"/>
              <w:jc w:val="right"/>
              <w:rPr>
                <w:sz w:val="20"/>
                <w:lang w:eastAsia="bg-BG" w:bidi="bg-BG"/>
              </w:rPr>
            </w:pPr>
            <w:r w:rsidRPr="00D136FB">
              <w:rPr>
                <w:noProof/>
                <w:sz w:val="20"/>
              </w:rPr>
              <w:t>19,621</w:t>
            </w:r>
          </w:p>
        </w:tc>
        <w:tc>
          <w:tcPr>
            <w:tcW w:w="1080" w:type="dxa"/>
            <w:tcBorders>
              <w:top w:val="single" w:sz="2" w:space="0" w:color="auto"/>
              <w:left w:val="single" w:sz="2" w:space="0" w:color="auto"/>
              <w:bottom w:val="single" w:sz="2" w:space="0" w:color="auto"/>
              <w:right w:val="single" w:sz="2" w:space="0" w:color="auto"/>
            </w:tcBorders>
            <w:vAlign w:val="center"/>
            <w:hideMark/>
          </w:tcPr>
          <w:p w:rsidR="003D1E4F" w:rsidRPr="00D136FB" w:rsidRDefault="003D1E4F">
            <w:pPr>
              <w:spacing w:before="60" w:after="60" w:line="200" w:lineRule="exact"/>
              <w:jc w:val="right"/>
              <w:rPr>
                <w:b/>
                <w:noProof/>
                <w:sz w:val="16"/>
                <w:szCs w:val="16"/>
                <w:lang w:eastAsia="bg-BG" w:bidi="bg-BG"/>
              </w:rPr>
            </w:pPr>
            <w:r w:rsidRPr="00D136FB">
              <w:rPr>
                <w:noProof/>
                <w:sz w:val="20"/>
              </w:rPr>
              <w:t>129,500</w:t>
            </w:r>
          </w:p>
        </w:tc>
      </w:tr>
    </w:tbl>
    <w:p w:rsidR="003D1E4F" w:rsidRPr="00D136FB" w:rsidRDefault="003D1E4F" w:rsidP="003D1E4F">
      <w:pPr>
        <w:spacing w:line="200" w:lineRule="exact"/>
        <w:rPr>
          <w:noProof/>
          <w:sz w:val="16"/>
          <w:szCs w:val="16"/>
          <w:lang w:eastAsia="bg-BG" w:bidi="bg-BG"/>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3D1E4F" w:rsidRPr="00D136FB" w:rsidTr="003D1E4F">
        <w:trPr>
          <w:trHeight w:val="585"/>
        </w:trPr>
        <w:tc>
          <w:tcPr>
            <w:tcW w:w="1980" w:type="dxa"/>
            <w:tcBorders>
              <w:top w:val="single" w:sz="12" w:space="0" w:color="auto"/>
              <w:left w:val="single" w:sz="12" w:space="0" w:color="auto"/>
              <w:bottom w:val="single" w:sz="12" w:space="0" w:color="auto"/>
              <w:right w:val="single" w:sz="2" w:space="0" w:color="auto"/>
            </w:tcBorders>
            <w:vAlign w:val="center"/>
            <w:hideMark/>
          </w:tcPr>
          <w:p w:rsidR="003D1E4F" w:rsidRPr="00D136FB" w:rsidRDefault="003D1E4F">
            <w:pPr>
              <w:spacing w:before="60" w:after="60" w:line="200" w:lineRule="exact"/>
              <w:jc w:val="center"/>
              <w:rPr>
                <w:b/>
                <w:noProof/>
                <w:sz w:val="16"/>
                <w:szCs w:val="16"/>
                <w:lang w:eastAsia="bg-BG" w:bidi="bg-BG"/>
              </w:rPr>
            </w:pPr>
            <w:r w:rsidRPr="00D136FB">
              <w:rPr>
                <w:b/>
                <w:noProof/>
                <w:sz w:val="16"/>
              </w:rPr>
              <w:t>ОБЩО</w:t>
            </w:r>
          </w:p>
        </w:tc>
        <w:tc>
          <w:tcPr>
            <w:tcW w:w="1080" w:type="dxa"/>
            <w:tcBorders>
              <w:top w:val="single" w:sz="12" w:space="0" w:color="auto"/>
              <w:left w:val="single" w:sz="2" w:space="0" w:color="auto"/>
              <w:bottom w:val="single" w:sz="12" w:space="0" w:color="auto"/>
              <w:right w:val="single" w:sz="2" w:space="0" w:color="auto"/>
            </w:tcBorders>
            <w:vAlign w:val="center"/>
            <w:hideMark/>
          </w:tcPr>
          <w:p w:rsidR="003D1E4F" w:rsidRPr="00D136FB" w:rsidRDefault="003D1E4F">
            <w:pPr>
              <w:spacing w:line="276" w:lineRule="auto"/>
              <w:jc w:val="center"/>
              <w:rPr>
                <w:b/>
                <w:sz w:val="20"/>
                <w:lang w:eastAsia="bg-BG" w:bidi="bg-BG"/>
              </w:rPr>
            </w:pPr>
            <w:r w:rsidRPr="00D136FB">
              <w:rPr>
                <w:b/>
                <w:sz w:val="20"/>
              </w:rPr>
              <w:t>32,609</w:t>
            </w:r>
          </w:p>
        </w:tc>
        <w:tc>
          <w:tcPr>
            <w:tcW w:w="1080" w:type="dxa"/>
            <w:tcBorders>
              <w:top w:val="single" w:sz="12" w:space="0" w:color="auto"/>
              <w:left w:val="single" w:sz="2" w:space="0" w:color="auto"/>
              <w:bottom w:val="single" w:sz="12" w:space="0" w:color="auto"/>
              <w:right w:val="single" w:sz="2" w:space="0" w:color="auto"/>
            </w:tcBorders>
            <w:vAlign w:val="center"/>
            <w:hideMark/>
          </w:tcPr>
          <w:p w:rsidR="003D1E4F" w:rsidRPr="00D136FB" w:rsidRDefault="003D1E4F">
            <w:pPr>
              <w:spacing w:line="276" w:lineRule="auto"/>
              <w:jc w:val="center"/>
              <w:rPr>
                <w:b/>
                <w:sz w:val="20"/>
                <w:lang w:eastAsia="bg-BG" w:bidi="bg-BG"/>
              </w:rPr>
            </w:pPr>
            <w:r w:rsidRPr="00D136FB">
              <w:rPr>
                <w:b/>
                <w:sz w:val="20"/>
              </w:rPr>
              <w:t>34,249</w:t>
            </w:r>
          </w:p>
        </w:tc>
        <w:tc>
          <w:tcPr>
            <w:tcW w:w="1080" w:type="dxa"/>
            <w:tcBorders>
              <w:top w:val="single" w:sz="12" w:space="0" w:color="auto"/>
              <w:left w:val="single" w:sz="2" w:space="0" w:color="auto"/>
              <w:bottom w:val="single" w:sz="12" w:space="0" w:color="auto"/>
              <w:right w:val="single" w:sz="2" w:space="0" w:color="auto"/>
            </w:tcBorders>
            <w:vAlign w:val="center"/>
            <w:hideMark/>
          </w:tcPr>
          <w:p w:rsidR="003D1E4F" w:rsidRPr="00D136FB" w:rsidRDefault="003D1E4F">
            <w:pPr>
              <w:spacing w:line="276" w:lineRule="auto"/>
              <w:jc w:val="center"/>
              <w:rPr>
                <w:b/>
                <w:sz w:val="20"/>
                <w:lang w:eastAsia="bg-BG" w:bidi="bg-BG"/>
              </w:rPr>
            </w:pPr>
            <w:r w:rsidRPr="00D136FB">
              <w:rPr>
                <w:b/>
                <w:sz w:val="20"/>
              </w:rPr>
              <w:t>35,758</w:t>
            </w:r>
          </w:p>
        </w:tc>
        <w:tc>
          <w:tcPr>
            <w:tcW w:w="1080" w:type="dxa"/>
            <w:tcBorders>
              <w:top w:val="single" w:sz="12" w:space="0" w:color="auto"/>
              <w:left w:val="single" w:sz="2" w:space="0" w:color="auto"/>
              <w:bottom w:val="single" w:sz="12" w:space="0" w:color="auto"/>
              <w:right w:val="single" w:sz="2" w:space="0" w:color="auto"/>
            </w:tcBorders>
            <w:vAlign w:val="center"/>
            <w:hideMark/>
          </w:tcPr>
          <w:p w:rsidR="003D1E4F" w:rsidRPr="00D136FB" w:rsidRDefault="003D1E4F">
            <w:pPr>
              <w:spacing w:line="276" w:lineRule="auto"/>
              <w:jc w:val="center"/>
              <w:rPr>
                <w:b/>
                <w:sz w:val="20"/>
                <w:lang w:eastAsia="bg-BG" w:bidi="bg-BG"/>
              </w:rPr>
            </w:pPr>
            <w:r w:rsidRPr="00D136FB">
              <w:rPr>
                <w:b/>
                <w:sz w:val="20"/>
              </w:rPr>
              <w:t>36,118</w:t>
            </w:r>
          </w:p>
        </w:tc>
        <w:tc>
          <w:tcPr>
            <w:tcW w:w="1080" w:type="dxa"/>
            <w:tcBorders>
              <w:top w:val="single" w:sz="12" w:space="0" w:color="auto"/>
              <w:left w:val="single" w:sz="2" w:space="0" w:color="auto"/>
              <w:bottom w:val="single" w:sz="12" w:space="0" w:color="auto"/>
              <w:right w:val="single" w:sz="2" w:space="0" w:color="auto"/>
            </w:tcBorders>
            <w:vAlign w:val="center"/>
            <w:hideMark/>
          </w:tcPr>
          <w:p w:rsidR="003D1E4F" w:rsidRPr="00D136FB" w:rsidRDefault="003D1E4F">
            <w:pPr>
              <w:spacing w:line="276" w:lineRule="auto"/>
              <w:jc w:val="center"/>
              <w:rPr>
                <w:b/>
                <w:sz w:val="20"/>
                <w:lang w:eastAsia="bg-BG" w:bidi="bg-BG"/>
              </w:rPr>
            </w:pPr>
            <w:r w:rsidRPr="00D136FB">
              <w:rPr>
                <w:b/>
                <w:sz w:val="20"/>
              </w:rPr>
              <w:t>36,483</w:t>
            </w:r>
          </w:p>
        </w:tc>
        <w:tc>
          <w:tcPr>
            <w:tcW w:w="1080" w:type="dxa"/>
            <w:tcBorders>
              <w:top w:val="single" w:sz="12" w:space="0" w:color="auto"/>
              <w:left w:val="single" w:sz="2" w:space="0" w:color="auto"/>
              <w:bottom w:val="single" w:sz="12" w:space="0" w:color="auto"/>
              <w:right w:val="single" w:sz="2" w:space="0" w:color="auto"/>
            </w:tcBorders>
            <w:vAlign w:val="center"/>
            <w:hideMark/>
          </w:tcPr>
          <w:p w:rsidR="003D1E4F" w:rsidRPr="00D136FB" w:rsidRDefault="003D1E4F">
            <w:pPr>
              <w:spacing w:line="276" w:lineRule="auto"/>
              <w:jc w:val="center"/>
              <w:rPr>
                <w:b/>
                <w:sz w:val="20"/>
                <w:lang w:eastAsia="bg-BG" w:bidi="bg-BG"/>
              </w:rPr>
            </w:pPr>
            <w:r w:rsidRPr="00D136FB">
              <w:rPr>
                <w:b/>
                <w:sz w:val="20"/>
              </w:rPr>
              <w:t>36,872</w:t>
            </w:r>
          </w:p>
        </w:tc>
        <w:tc>
          <w:tcPr>
            <w:tcW w:w="1080" w:type="dxa"/>
            <w:tcBorders>
              <w:top w:val="single" w:sz="12" w:space="0" w:color="auto"/>
              <w:left w:val="single" w:sz="2" w:space="0" w:color="auto"/>
              <w:bottom w:val="single" w:sz="12" w:space="0" w:color="auto"/>
              <w:right w:val="single" w:sz="2" w:space="0" w:color="auto"/>
            </w:tcBorders>
            <w:vAlign w:val="center"/>
            <w:hideMark/>
          </w:tcPr>
          <w:p w:rsidR="003D1E4F" w:rsidRPr="00D136FB" w:rsidRDefault="003D1E4F">
            <w:pPr>
              <w:spacing w:line="276" w:lineRule="auto"/>
              <w:jc w:val="center"/>
              <w:rPr>
                <w:b/>
                <w:sz w:val="20"/>
                <w:lang w:eastAsia="bg-BG" w:bidi="bg-BG"/>
              </w:rPr>
            </w:pPr>
            <w:r w:rsidRPr="00D136FB">
              <w:rPr>
                <w:b/>
                <w:sz w:val="20"/>
              </w:rPr>
              <w:t>37,254</w:t>
            </w:r>
          </w:p>
        </w:tc>
        <w:tc>
          <w:tcPr>
            <w:tcW w:w="1080" w:type="dxa"/>
            <w:tcBorders>
              <w:top w:val="single" w:sz="12" w:space="0" w:color="auto"/>
              <w:left w:val="single" w:sz="2" w:space="0" w:color="auto"/>
              <w:bottom w:val="single" w:sz="12" w:space="0" w:color="auto"/>
              <w:right w:val="single" w:sz="12" w:space="0" w:color="auto"/>
            </w:tcBorders>
            <w:vAlign w:val="center"/>
            <w:hideMark/>
          </w:tcPr>
          <w:p w:rsidR="003D1E4F" w:rsidRPr="00D136FB" w:rsidRDefault="003D1E4F">
            <w:pPr>
              <w:spacing w:line="276" w:lineRule="auto"/>
              <w:jc w:val="center"/>
              <w:rPr>
                <w:b/>
                <w:sz w:val="20"/>
                <w:lang w:eastAsia="bg-BG" w:bidi="bg-BG"/>
              </w:rPr>
            </w:pPr>
            <w:r w:rsidRPr="00D136FB">
              <w:rPr>
                <w:b/>
                <w:sz w:val="20"/>
              </w:rPr>
              <w:t>249,340</w:t>
            </w:r>
          </w:p>
        </w:tc>
      </w:tr>
    </w:tbl>
    <w:p w:rsidR="003D1E4F" w:rsidRPr="00D136FB" w:rsidRDefault="003D1E4F" w:rsidP="003D1E4F">
      <w:pPr>
        <w:rPr>
          <w:noProof/>
          <w:sz w:val="18"/>
          <w:lang w:eastAsia="bg-BG" w:bidi="bg-BG"/>
        </w:rPr>
      </w:pPr>
      <w:r w:rsidRPr="00D136FB">
        <w:rPr>
          <w:noProof/>
          <w:sz w:val="18"/>
        </w:rPr>
        <w:t xml:space="preserve"> </w:t>
      </w:r>
    </w:p>
    <w:p w:rsidR="003D1E4F" w:rsidRPr="00D136FB" w:rsidRDefault="003D1E4F" w:rsidP="003D1E4F">
      <w:pPr>
        <w:spacing w:before="0" w:after="0"/>
        <w:jc w:val="left"/>
        <w:rPr>
          <w:noProof/>
          <w:sz w:val="18"/>
        </w:rPr>
        <w:sectPr w:rsidR="003D1E4F" w:rsidRPr="00D136FB" w:rsidSect="00377BF1">
          <w:headerReference w:type="default" r:id="rId32"/>
          <w:footerReference w:type="default" r:id="rId33"/>
          <w:headerReference w:type="first" r:id="rId34"/>
          <w:footerReference w:type="first" r:id="rId35"/>
          <w:pgSz w:w="11907" w:h="16840"/>
          <w:pgMar w:top="1134" w:right="1418" w:bottom="1134" w:left="1418" w:header="709" w:footer="709" w:gutter="0"/>
          <w:cols w:space="720"/>
          <w:docGrid w:linePitch="326"/>
        </w:sectPr>
      </w:pPr>
    </w:p>
    <w:p w:rsidR="003D1E4F" w:rsidRPr="00D136FB" w:rsidRDefault="003D1E4F" w:rsidP="00EF7A5B">
      <w:pPr>
        <w:pStyle w:val="Heading4"/>
        <w:numPr>
          <w:ilvl w:val="3"/>
          <w:numId w:val="15"/>
        </w:numPr>
        <w:rPr>
          <w:bCs w:val="0"/>
          <w:noProof/>
          <w:szCs w:val="24"/>
        </w:rPr>
      </w:pPr>
      <w:r w:rsidRPr="00D136FB">
        <w:lastRenderedPageBreak/>
        <w:t>Очаквани нужди от човешки ресурси</w:t>
      </w:r>
    </w:p>
    <w:p w:rsidR="003D1E4F" w:rsidRPr="00D136FB" w:rsidRDefault="003D1E4F" w:rsidP="003D1E4F">
      <w:pPr>
        <w:pStyle w:val="ListDash1"/>
      </w:pPr>
      <w:r w:rsidRPr="00D136FB">
        <w:sym w:font="Wingdings" w:char="F0A8"/>
      </w:r>
      <w:r w:rsidRPr="00D136FB">
        <w:tab/>
        <w:t xml:space="preserve">Предложението/инициативата не налага използване на човешки ресурси </w:t>
      </w:r>
    </w:p>
    <w:p w:rsidR="003D1E4F" w:rsidRPr="00D136FB" w:rsidRDefault="003D1E4F" w:rsidP="003D1E4F">
      <w:pPr>
        <w:pStyle w:val="ListDash1"/>
      </w:pPr>
      <w:r w:rsidRPr="00D136FB">
        <w:sym w:font="Wingdings" w:char="F078"/>
      </w:r>
      <w:r w:rsidRPr="00D136FB">
        <w:tab/>
        <w:t>Предложението/инициативата налага използване на човешки ресурси съгласно обяснението по-долу:</w:t>
      </w:r>
    </w:p>
    <w:p w:rsidR="003D1E4F" w:rsidRPr="00D136FB" w:rsidRDefault="003D1E4F" w:rsidP="003D1E4F">
      <w:pPr>
        <w:spacing w:after="60"/>
        <w:jc w:val="right"/>
        <w:rPr>
          <w:i/>
          <w:noProof/>
          <w:sz w:val="20"/>
        </w:rPr>
      </w:pPr>
      <w:r w:rsidRPr="00D136FB">
        <w:rPr>
          <w:i/>
          <w:noProof/>
          <w:sz w:val="20"/>
        </w:rPr>
        <w:t>Оценката се посочва в еквиваленти на пълно работно време</w:t>
      </w:r>
    </w:p>
    <w:tbl>
      <w:tblPr>
        <w:tblW w:w="5700" w:type="pct"/>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348"/>
        <w:gridCol w:w="2040"/>
        <w:gridCol w:w="805"/>
        <w:gridCol w:w="949"/>
        <w:gridCol w:w="805"/>
        <w:gridCol w:w="949"/>
        <w:gridCol w:w="947"/>
        <w:gridCol w:w="809"/>
        <w:gridCol w:w="935"/>
      </w:tblGrid>
      <w:tr w:rsidR="003D1E4F" w:rsidRPr="00D136FB" w:rsidTr="003D1E4F">
        <w:trPr>
          <w:trHeight w:val="289"/>
        </w:trPr>
        <w:tc>
          <w:tcPr>
            <w:tcW w:w="1472" w:type="pct"/>
            <w:gridSpan w:val="2"/>
            <w:tcBorders>
              <w:top w:val="single" w:sz="6" w:space="0" w:color="auto"/>
              <w:left w:val="single" w:sz="6" w:space="0" w:color="auto"/>
              <w:bottom w:val="single" w:sz="6" w:space="0" w:color="auto"/>
              <w:right w:val="single" w:sz="6" w:space="0" w:color="auto"/>
            </w:tcBorders>
            <w:vAlign w:val="center"/>
            <w:hideMark/>
          </w:tcPr>
          <w:p w:rsidR="003D1E4F" w:rsidRPr="00D136FB" w:rsidRDefault="003D1E4F">
            <w:pPr>
              <w:pStyle w:val="Text1"/>
              <w:spacing w:before="40" w:after="40" w:line="276" w:lineRule="auto"/>
              <w:ind w:left="0"/>
              <w:jc w:val="center"/>
              <w:rPr>
                <w:i/>
                <w:sz w:val="16"/>
                <w:szCs w:val="16"/>
                <w:lang w:eastAsia="bg-BG" w:bidi="bg-BG"/>
              </w:rPr>
            </w:pPr>
            <w:r w:rsidRPr="00D136FB">
              <w:rPr>
                <w:b/>
                <w:sz w:val="16"/>
              </w:rPr>
              <w:t>Година</w:t>
            </w:r>
          </w:p>
        </w:tc>
        <w:tc>
          <w:tcPr>
            <w:tcW w:w="466" w:type="pct"/>
            <w:tcBorders>
              <w:top w:val="single" w:sz="6" w:space="0" w:color="auto"/>
              <w:left w:val="single" w:sz="6" w:space="0" w:color="auto"/>
              <w:bottom w:val="single" w:sz="6" w:space="0" w:color="auto"/>
              <w:right w:val="single" w:sz="6" w:space="0" w:color="auto"/>
            </w:tcBorders>
            <w:vAlign w:val="center"/>
            <w:hideMark/>
          </w:tcPr>
          <w:p w:rsidR="003D1E4F" w:rsidRPr="00C26321" w:rsidRDefault="003D1E4F">
            <w:pPr>
              <w:spacing w:before="20" w:after="20" w:line="276" w:lineRule="auto"/>
              <w:jc w:val="center"/>
              <w:rPr>
                <w:b/>
                <w:noProof/>
                <w:spacing w:val="-6"/>
                <w:sz w:val="16"/>
                <w:szCs w:val="16"/>
                <w:lang w:eastAsia="bg-BG" w:bidi="bg-BG"/>
              </w:rPr>
            </w:pPr>
            <w:r w:rsidRPr="00C26321">
              <w:rPr>
                <w:b/>
                <w:noProof/>
                <w:spacing w:val="-6"/>
                <w:sz w:val="20"/>
              </w:rPr>
              <w:t>2021 г.</w:t>
            </w:r>
          </w:p>
        </w:tc>
        <w:tc>
          <w:tcPr>
            <w:tcW w:w="534" w:type="pct"/>
            <w:tcBorders>
              <w:top w:val="single" w:sz="6" w:space="0" w:color="auto"/>
              <w:left w:val="single" w:sz="6" w:space="0" w:color="auto"/>
              <w:bottom w:val="single" w:sz="6" w:space="0" w:color="auto"/>
              <w:right w:val="single" w:sz="6" w:space="0" w:color="auto"/>
            </w:tcBorders>
            <w:vAlign w:val="center"/>
            <w:hideMark/>
          </w:tcPr>
          <w:p w:rsidR="003D1E4F" w:rsidRPr="00C26321" w:rsidRDefault="003D1E4F">
            <w:pPr>
              <w:spacing w:before="20" w:after="20" w:line="276" w:lineRule="auto"/>
              <w:jc w:val="center"/>
              <w:rPr>
                <w:b/>
                <w:noProof/>
                <w:spacing w:val="-6"/>
                <w:sz w:val="20"/>
                <w:lang w:eastAsia="bg-BG" w:bidi="bg-BG"/>
              </w:rPr>
            </w:pPr>
            <w:r w:rsidRPr="00C26321">
              <w:rPr>
                <w:b/>
                <w:noProof/>
                <w:spacing w:val="-6"/>
                <w:sz w:val="20"/>
              </w:rPr>
              <w:t>2022 г.</w:t>
            </w:r>
          </w:p>
        </w:tc>
        <w:tc>
          <w:tcPr>
            <w:tcW w:w="466" w:type="pct"/>
            <w:tcBorders>
              <w:top w:val="single" w:sz="6" w:space="0" w:color="auto"/>
              <w:left w:val="single" w:sz="6" w:space="0" w:color="auto"/>
              <w:bottom w:val="single" w:sz="6" w:space="0" w:color="auto"/>
              <w:right w:val="single" w:sz="6" w:space="0" w:color="auto"/>
            </w:tcBorders>
            <w:vAlign w:val="center"/>
            <w:hideMark/>
          </w:tcPr>
          <w:p w:rsidR="003D1E4F" w:rsidRPr="00C26321" w:rsidRDefault="003D1E4F">
            <w:pPr>
              <w:spacing w:before="20" w:after="20" w:line="276" w:lineRule="auto"/>
              <w:jc w:val="center"/>
              <w:rPr>
                <w:b/>
                <w:noProof/>
                <w:spacing w:val="-6"/>
                <w:sz w:val="20"/>
                <w:lang w:eastAsia="bg-BG" w:bidi="bg-BG"/>
              </w:rPr>
            </w:pPr>
            <w:r w:rsidRPr="00C26321">
              <w:rPr>
                <w:b/>
                <w:noProof/>
                <w:spacing w:val="-6"/>
                <w:sz w:val="20"/>
              </w:rPr>
              <w:t>2023 г.</w:t>
            </w:r>
          </w:p>
        </w:tc>
        <w:tc>
          <w:tcPr>
            <w:tcW w:w="534" w:type="pct"/>
            <w:tcBorders>
              <w:top w:val="single" w:sz="6" w:space="0" w:color="auto"/>
              <w:left w:val="single" w:sz="6" w:space="0" w:color="auto"/>
              <w:bottom w:val="single" w:sz="6" w:space="0" w:color="auto"/>
              <w:right w:val="single" w:sz="6" w:space="0" w:color="auto"/>
            </w:tcBorders>
            <w:vAlign w:val="center"/>
            <w:hideMark/>
          </w:tcPr>
          <w:p w:rsidR="003D1E4F" w:rsidRPr="00D136FB" w:rsidRDefault="003D1E4F">
            <w:pPr>
              <w:spacing w:before="20" w:after="20" w:line="276" w:lineRule="auto"/>
              <w:jc w:val="center"/>
              <w:rPr>
                <w:b/>
                <w:noProof/>
                <w:sz w:val="20"/>
                <w:lang w:eastAsia="bg-BG" w:bidi="bg-BG"/>
              </w:rPr>
            </w:pPr>
            <w:r w:rsidRPr="00D136FB">
              <w:rPr>
                <w:b/>
                <w:noProof/>
                <w:sz w:val="20"/>
              </w:rPr>
              <w:t>2024 г.</w:t>
            </w:r>
          </w:p>
        </w:tc>
        <w:tc>
          <w:tcPr>
            <w:tcW w:w="533" w:type="pct"/>
            <w:tcBorders>
              <w:top w:val="single" w:sz="6" w:space="0" w:color="auto"/>
              <w:left w:val="single" w:sz="6" w:space="0" w:color="auto"/>
              <w:bottom w:val="single" w:sz="6" w:space="0" w:color="auto"/>
              <w:right w:val="single" w:sz="6" w:space="0" w:color="auto"/>
            </w:tcBorders>
            <w:vAlign w:val="center"/>
            <w:hideMark/>
          </w:tcPr>
          <w:p w:rsidR="003D1E4F" w:rsidRPr="00D136FB" w:rsidRDefault="003D1E4F">
            <w:pPr>
              <w:spacing w:line="276" w:lineRule="auto"/>
              <w:jc w:val="center"/>
              <w:rPr>
                <w:b/>
                <w:noProof/>
                <w:sz w:val="20"/>
                <w:lang w:eastAsia="bg-BG" w:bidi="bg-BG"/>
              </w:rPr>
            </w:pPr>
            <w:r w:rsidRPr="00D136FB">
              <w:rPr>
                <w:b/>
                <w:noProof/>
                <w:sz w:val="20"/>
              </w:rPr>
              <w:t>2025 г.</w:t>
            </w:r>
          </w:p>
        </w:tc>
        <w:tc>
          <w:tcPr>
            <w:tcW w:w="468" w:type="pct"/>
            <w:tcBorders>
              <w:top w:val="single" w:sz="6" w:space="0" w:color="auto"/>
              <w:left w:val="single" w:sz="6" w:space="0" w:color="auto"/>
              <w:bottom w:val="single" w:sz="6" w:space="0" w:color="auto"/>
              <w:right w:val="single" w:sz="6" w:space="0" w:color="auto"/>
            </w:tcBorders>
            <w:vAlign w:val="center"/>
            <w:hideMark/>
          </w:tcPr>
          <w:p w:rsidR="003D1E4F" w:rsidRPr="00D136FB" w:rsidRDefault="003D1E4F">
            <w:pPr>
              <w:spacing w:line="276" w:lineRule="auto"/>
              <w:jc w:val="center"/>
              <w:rPr>
                <w:b/>
                <w:noProof/>
                <w:sz w:val="20"/>
                <w:lang w:eastAsia="bg-BG" w:bidi="bg-BG"/>
              </w:rPr>
            </w:pPr>
            <w:r w:rsidRPr="00D136FB">
              <w:rPr>
                <w:b/>
                <w:noProof/>
                <w:sz w:val="20"/>
              </w:rPr>
              <w:t>2026 г.</w:t>
            </w:r>
          </w:p>
        </w:tc>
        <w:tc>
          <w:tcPr>
            <w:tcW w:w="527" w:type="pct"/>
            <w:tcBorders>
              <w:top w:val="single" w:sz="6" w:space="0" w:color="auto"/>
              <w:left w:val="single" w:sz="6" w:space="0" w:color="auto"/>
              <w:bottom w:val="single" w:sz="6" w:space="0" w:color="auto"/>
              <w:right w:val="single" w:sz="6" w:space="0" w:color="auto"/>
            </w:tcBorders>
            <w:vAlign w:val="center"/>
            <w:hideMark/>
          </w:tcPr>
          <w:p w:rsidR="003D1E4F" w:rsidRPr="00D136FB" w:rsidRDefault="003D1E4F">
            <w:pPr>
              <w:spacing w:line="276" w:lineRule="auto"/>
              <w:jc w:val="center"/>
              <w:rPr>
                <w:b/>
                <w:noProof/>
                <w:sz w:val="20"/>
                <w:lang w:eastAsia="bg-BG" w:bidi="bg-BG"/>
              </w:rPr>
            </w:pPr>
            <w:r w:rsidRPr="00D136FB">
              <w:rPr>
                <w:b/>
                <w:noProof/>
                <w:sz w:val="20"/>
              </w:rPr>
              <w:t>2027 г.</w:t>
            </w:r>
          </w:p>
        </w:tc>
      </w:tr>
      <w:tr w:rsidR="003D1E4F" w:rsidRPr="00D136FB" w:rsidTr="003D1E4F">
        <w:trPr>
          <w:trHeight w:val="289"/>
        </w:trPr>
        <w:tc>
          <w:tcPr>
            <w:tcW w:w="5000" w:type="pct"/>
            <w:gridSpan w:val="9"/>
            <w:tcBorders>
              <w:top w:val="single" w:sz="6" w:space="0" w:color="auto"/>
              <w:left w:val="single" w:sz="6" w:space="0" w:color="auto"/>
              <w:bottom w:val="single" w:sz="6" w:space="0" w:color="auto"/>
              <w:right w:val="single" w:sz="6" w:space="0" w:color="auto"/>
            </w:tcBorders>
            <w:hideMark/>
          </w:tcPr>
          <w:p w:rsidR="003D1E4F" w:rsidRPr="00D136FB" w:rsidRDefault="003D1E4F">
            <w:pPr>
              <w:spacing w:line="276" w:lineRule="auto"/>
              <w:jc w:val="left"/>
              <w:rPr>
                <w:noProof/>
                <w:sz w:val="16"/>
                <w:szCs w:val="16"/>
                <w:lang w:eastAsia="bg-BG" w:bidi="bg-BG"/>
              </w:rPr>
            </w:pPr>
            <w:r w:rsidRPr="00D136FB">
              <w:rPr>
                <w:b/>
                <w:noProof/>
                <w:sz w:val="16"/>
              </w:rPr>
              <w:sym w:font="Wingdings" w:char="F09F"/>
            </w:r>
            <w:r w:rsidRPr="00D136FB">
              <w:rPr>
                <w:b/>
                <w:noProof/>
                <w:sz w:val="16"/>
              </w:rPr>
              <w:t xml:space="preserve"> Длъжности в щатното разписание (длъжностни лица и срочно наети служители)</w:t>
            </w:r>
          </w:p>
        </w:tc>
      </w:tr>
      <w:tr w:rsidR="003D1E4F" w:rsidRPr="00D136FB" w:rsidTr="003D1E4F">
        <w:trPr>
          <w:trHeight w:val="289"/>
        </w:trPr>
        <w:tc>
          <w:tcPr>
            <w:tcW w:w="1472" w:type="pct"/>
            <w:gridSpan w:val="2"/>
            <w:tcBorders>
              <w:top w:val="single" w:sz="6" w:space="0" w:color="auto"/>
              <w:left w:val="single" w:sz="6" w:space="0" w:color="auto"/>
              <w:bottom w:val="single" w:sz="6" w:space="0" w:color="auto"/>
              <w:right w:val="single" w:sz="6" w:space="0" w:color="auto"/>
            </w:tcBorders>
            <w:hideMark/>
          </w:tcPr>
          <w:p w:rsidR="003D1E4F" w:rsidRPr="00D136FB" w:rsidRDefault="003D1E4F">
            <w:pPr>
              <w:pStyle w:val="Text1"/>
              <w:spacing w:beforeLines="20" w:before="48" w:afterLines="20" w:after="48" w:line="276" w:lineRule="auto"/>
              <w:ind w:left="984"/>
              <w:jc w:val="left"/>
              <w:rPr>
                <w:b/>
                <w:sz w:val="16"/>
                <w:szCs w:val="16"/>
                <w:lang w:eastAsia="bg-BG" w:bidi="bg-BG"/>
              </w:rPr>
            </w:pPr>
            <w:r w:rsidRPr="00D136FB">
              <w:rPr>
                <w:sz w:val="16"/>
              </w:rPr>
              <w:t>Централа и представителства на Комисията</w:t>
            </w:r>
          </w:p>
        </w:tc>
        <w:tc>
          <w:tcPr>
            <w:tcW w:w="466" w:type="pct"/>
            <w:tcBorders>
              <w:top w:val="single" w:sz="6" w:space="0" w:color="auto"/>
              <w:left w:val="single" w:sz="6" w:space="0" w:color="auto"/>
              <w:bottom w:val="single" w:sz="6" w:space="0" w:color="auto"/>
              <w:right w:val="single" w:sz="6" w:space="0" w:color="auto"/>
            </w:tcBorders>
            <w:vAlign w:val="center"/>
            <w:hideMark/>
          </w:tcPr>
          <w:p w:rsidR="003D1E4F" w:rsidRPr="00D136FB" w:rsidRDefault="003D1E4F">
            <w:pPr>
              <w:spacing w:beforeLines="20" w:before="48" w:afterLines="20" w:after="48" w:line="276" w:lineRule="auto"/>
              <w:jc w:val="center"/>
              <w:rPr>
                <w:sz w:val="20"/>
                <w:lang w:eastAsia="bg-BG" w:bidi="bg-BG"/>
              </w:rPr>
            </w:pPr>
            <w:r w:rsidRPr="00D136FB">
              <w:rPr>
                <w:noProof/>
                <w:sz w:val="20"/>
              </w:rPr>
              <w:t>93</w:t>
            </w:r>
          </w:p>
        </w:tc>
        <w:tc>
          <w:tcPr>
            <w:tcW w:w="534" w:type="pct"/>
            <w:tcBorders>
              <w:top w:val="single" w:sz="6" w:space="0" w:color="auto"/>
              <w:left w:val="single" w:sz="6" w:space="0" w:color="auto"/>
              <w:bottom w:val="single" w:sz="6" w:space="0" w:color="auto"/>
              <w:right w:val="single" w:sz="6" w:space="0" w:color="auto"/>
            </w:tcBorders>
            <w:vAlign w:val="center"/>
            <w:hideMark/>
          </w:tcPr>
          <w:p w:rsidR="003D1E4F" w:rsidRPr="00D136FB" w:rsidRDefault="003D1E4F">
            <w:pPr>
              <w:spacing w:beforeLines="20" w:before="48" w:afterLines="20" w:after="48" w:line="276" w:lineRule="auto"/>
              <w:jc w:val="center"/>
              <w:rPr>
                <w:sz w:val="20"/>
                <w:lang w:eastAsia="bg-BG" w:bidi="bg-BG"/>
              </w:rPr>
            </w:pPr>
            <w:r w:rsidRPr="00D136FB">
              <w:rPr>
                <w:noProof/>
                <w:sz w:val="20"/>
              </w:rPr>
              <w:t>101</w:t>
            </w:r>
          </w:p>
        </w:tc>
        <w:tc>
          <w:tcPr>
            <w:tcW w:w="466" w:type="pct"/>
            <w:tcBorders>
              <w:top w:val="single" w:sz="6" w:space="0" w:color="auto"/>
              <w:left w:val="single" w:sz="6" w:space="0" w:color="auto"/>
              <w:bottom w:val="single" w:sz="6" w:space="0" w:color="auto"/>
              <w:right w:val="single" w:sz="6" w:space="0" w:color="auto"/>
            </w:tcBorders>
            <w:vAlign w:val="center"/>
            <w:hideMark/>
          </w:tcPr>
          <w:p w:rsidR="003D1E4F" w:rsidRPr="00D136FB" w:rsidRDefault="003D1E4F">
            <w:pPr>
              <w:spacing w:beforeLines="20" w:before="48" w:afterLines="20" w:after="48" w:line="276" w:lineRule="auto"/>
              <w:jc w:val="center"/>
              <w:rPr>
                <w:sz w:val="20"/>
                <w:lang w:eastAsia="bg-BG" w:bidi="bg-BG"/>
              </w:rPr>
            </w:pPr>
            <w:r w:rsidRPr="00D136FB">
              <w:rPr>
                <w:noProof/>
                <w:sz w:val="20"/>
              </w:rPr>
              <w:t>109</w:t>
            </w:r>
          </w:p>
        </w:tc>
        <w:tc>
          <w:tcPr>
            <w:tcW w:w="534" w:type="pct"/>
            <w:tcBorders>
              <w:top w:val="single" w:sz="6" w:space="0" w:color="auto"/>
              <w:left w:val="single" w:sz="6" w:space="0" w:color="auto"/>
              <w:bottom w:val="single" w:sz="6" w:space="0" w:color="auto"/>
              <w:right w:val="single" w:sz="6" w:space="0" w:color="auto"/>
            </w:tcBorders>
            <w:vAlign w:val="center"/>
            <w:hideMark/>
          </w:tcPr>
          <w:p w:rsidR="003D1E4F" w:rsidRPr="00D136FB" w:rsidRDefault="003D1E4F">
            <w:pPr>
              <w:spacing w:beforeLines="20" w:before="48" w:afterLines="20" w:after="48" w:line="276" w:lineRule="auto"/>
              <w:jc w:val="center"/>
              <w:rPr>
                <w:sz w:val="20"/>
                <w:lang w:eastAsia="bg-BG" w:bidi="bg-BG"/>
              </w:rPr>
            </w:pPr>
            <w:r w:rsidRPr="00D136FB">
              <w:rPr>
                <w:noProof/>
                <w:sz w:val="20"/>
              </w:rPr>
              <w:t>109</w:t>
            </w:r>
          </w:p>
        </w:tc>
        <w:tc>
          <w:tcPr>
            <w:tcW w:w="533" w:type="pct"/>
            <w:tcBorders>
              <w:top w:val="single" w:sz="6" w:space="0" w:color="auto"/>
              <w:left w:val="single" w:sz="6" w:space="0" w:color="auto"/>
              <w:bottom w:val="single" w:sz="6" w:space="0" w:color="auto"/>
              <w:right w:val="single" w:sz="6" w:space="0" w:color="auto"/>
            </w:tcBorders>
            <w:vAlign w:val="center"/>
            <w:hideMark/>
          </w:tcPr>
          <w:p w:rsidR="003D1E4F" w:rsidRPr="00D136FB" w:rsidRDefault="003D1E4F">
            <w:pPr>
              <w:spacing w:beforeLines="20" w:before="48" w:afterLines="20" w:after="48" w:line="276" w:lineRule="auto"/>
              <w:jc w:val="center"/>
              <w:rPr>
                <w:sz w:val="20"/>
                <w:lang w:eastAsia="bg-BG" w:bidi="bg-BG"/>
              </w:rPr>
            </w:pPr>
            <w:r w:rsidRPr="00D136FB">
              <w:rPr>
                <w:noProof/>
                <w:sz w:val="20"/>
              </w:rPr>
              <w:t>109</w:t>
            </w:r>
          </w:p>
        </w:tc>
        <w:tc>
          <w:tcPr>
            <w:tcW w:w="468" w:type="pct"/>
            <w:tcBorders>
              <w:top w:val="single" w:sz="6" w:space="0" w:color="auto"/>
              <w:left w:val="single" w:sz="6" w:space="0" w:color="auto"/>
              <w:bottom w:val="single" w:sz="6" w:space="0" w:color="auto"/>
              <w:right w:val="single" w:sz="6" w:space="0" w:color="auto"/>
            </w:tcBorders>
            <w:vAlign w:val="center"/>
            <w:hideMark/>
          </w:tcPr>
          <w:p w:rsidR="003D1E4F" w:rsidRPr="00D136FB" w:rsidRDefault="003D1E4F">
            <w:pPr>
              <w:spacing w:beforeLines="20" w:before="48" w:afterLines="20" w:after="48" w:line="276" w:lineRule="auto"/>
              <w:jc w:val="center"/>
              <w:rPr>
                <w:sz w:val="20"/>
                <w:lang w:eastAsia="bg-BG" w:bidi="bg-BG"/>
              </w:rPr>
            </w:pPr>
            <w:r w:rsidRPr="00D136FB">
              <w:rPr>
                <w:noProof/>
                <w:sz w:val="20"/>
              </w:rPr>
              <w:t>109</w:t>
            </w:r>
          </w:p>
        </w:tc>
        <w:tc>
          <w:tcPr>
            <w:tcW w:w="527" w:type="pct"/>
            <w:tcBorders>
              <w:top w:val="single" w:sz="6" w:space="0" w:color="auto"/>
              <w:left w:val="single" w:sz="6" w:space="0" w:color="auto"/>
              <w:bottom w:val="single" w:sz="6" w:space="0" w:color="auto"/>
              <w:right w:val="single" w:sz="6" w:space="0" w:color="auto"/>
            </w:tcBorders>
            <w:vAlign w:val="center"/>
            <w:hideMark/>
          </w:tcPr>
          <w:p w:rsidR="003D1E4F" w:rsidRPr="00D136FB" w:rsidRDefault="003D1E4F">
            <w:pPr>
              <w:spacing w:beforeLines="20" w:before="48" w:afterLines="20" w:after="48" w:line="276" w:lineRule="auto"/>
              <w:jc w:val="center"/>
              <w:rPr>
                <w:sz w:val="20"/>
                <w:lang w:eastAsia="bg-BG" w:bidi="bg-BG"/>
              </w:rPr>
            </w:pPr>
            <w:r w:rsidRPr="00D136FB">
              <w:rPr>
                <w:noProof/>
                <w:sz w:val="20"/>
              </w:rPr>
              <w:t>109</w:t>
            </w:r>
          </w:p>
        </w:tc>
      </w:tr>
      <w:tr w:rsidR="003D1E4F" w:rsidRPr="00D136FB" w:rsidTr="003D1E4F">
        <w:trPr>
          <w:trHeight w:val="289"/>
        </w:trPr>
        <w:tc>
          <w:tcPr>
            <w:tcW w:w="1472" w:type="pct"/>
            <w:gridSpan w:val="2"/>
            <w:tcBorders>
              <w:top w:val="single" w:sz="6" w:space="0" w:color="auto"/>
              <w:left w:val="single" w:sz="6" w:space="0" w:color="auto"/>
              <w:bottom w:val="single" w:sz="6" w:space="0" w:color="auto"/>
              <w:right w:val="single" w:sz="6" w:space="0" w:color="auto"/>
            </w:tcBorders>
            <w:hideMark/>
          </w:tcPr>
          <w:p w:rsidR="003D1E4F" w:rsidRPr="00D136FB" w:rsidRDefault="003D1E4F">
            <w:pPr>
              <w:pStyle w:val="Text1"/>
              <w:spacing w:beforeLines="20" w:before="48" w:afterLines="20" w:after="48" w:line="276" w:lineRule="auto"/>
              <w:ind w:left="984"/>
              <w:jc w:val="left"/>
              <w:rPr>
                <w:sz w:val="16"/>
                <w:szCs w:val="16"/>
                <w:lang w:eastAsia="bg-BG" w:bidi="bg-BG"/>
              </w:rPr>
            </w:pPr>
            <w:r w:rsidRPr="00D136FB">
              <w:rPr>
                <w:sz w:val="16"/>
              </w:rPr>
              <w:t>Делегации</w:t>
            </w:r>
          </w:p>
        </w:tc>
        <w:tc>
          <w:tcPr>
            <w:tcW w:w="466" w:type="pct"/>
            <w:tcBorders>
              <w:top w:val="single" w:sz="6" w:space="0" w:color="auto"/>
              <w:left w:val="single" w:sz="6" w:space="0" w:color="auto"/>
              <w:bottom w:val="single" w:sz="6" w:space="0" w:color="auto"/>
              <w:right w:val="single" w:sz="6" w:space="0" w:color="auto"/>
            </w:tcBorders>
            <w:vAlign w:val="center"/>
          </w:tcPr>
          <w:p w:rsidR="003D1E4F" w:rsidRPr="00D136FB" w:rsidRDefault="003D1E4F">
            <w:pPr>
              <w:spacing w:beforeLines="20" w:before="48" w:afterLines="20" w:after="48" w:line="276" w:lineRule="auto"/>
              <w:jc w:val="center"/>
              <w:rPr>
                <w:noProof/>
                <w:sz w:val="16"/>
                <w:szCs w:val="16"/>
                <w:lang w:eastAsia="bg-BG" w:bidi="bg-BG"/>
              </w:rPr>
            </w:pPr>
          </w:p>
        </w:tc>
        <w:tc>
          <w:tcPr>
            <w:tcW w:w="534" w:type="pct"/>
            <w:tcBorders>
              <w:top w:val="single" w:sz="6" w:space="0" w:color="auto"/>
              <w:left w:val="single" w:sz="6" w:space="0" w:color="auto"/>
              <w:bottom w:val="single" w:sz="6" w:space="0" w:color="auto"/>
              <w:right w:val="single" w:sz="6" w:space="0" w:color="auto"/>
            </w:tcBorders>
            <w:vAlign w:val="center"/>
          </w:tcPr>
          <w:p w:rsidR="003D1E4F" w:rsidRPr="00D136FB" w:rsidRDefault="003D1E4F">
            <w:pPr>
              <w:spacing w:beforeLines="20" w:before="48" w:afterLines="20" w:after="48" w:line="276" w:lineRule="auto"/>
              <w:jc w:val="center"/>
              <w:rPr>
                <w:noProof/>
                <w:sz w:val="16"/>
                <w:szCs w:val="16"/>
                <w:lang w:eastAsia="bg-BG" w:bidi="bg-BG"/>
              </w:rPr>
            </w:pPr>
          </w:p>
        </w:tc>
        <w:tc>
          <w:tcPr>
            <w:tcW w:w="466" w:type="pct"/>
            <w:tcBorders>
              <w:top w:val="single" w:sz="6" w:space="0" w:color="auto"/>
              <w:left w:val="single" w:sz="6" w:space="0" w:color="auto"/>
              <w:bottom w:val="single" w:sz="6" w:space="0" w:color="auto"/>
              <w:right w:val="single" w:sz="6" w:space="0" w:color="auto"/>
            </w:tcBorders>
            <w:vAlign w:val="center"/>
          </w:tcPr>
          <w:p w:rsidR="003D1E4F" w:rsidRPr="00D136FB" w:rsidRDefault="003D1E4F">
            <w:pPr>
              <w:spacing w:beforeLines="20" w:before="48" w:afterLines="20" w:after="48" w:line="276" w:lineRule="auto"/>
              <w:jc w:val="center"/>
              <w:rPr>
                <w:noProof/>
                <w:sz w:val="16"/>
                <w:szCs w:val="16"/>
                <w:lang w:eastAsia="bg-BG" w:bidi="bg-BG"/>
              </w:rPr>
            </w:pPr>
          </w:p>
        </w:tc>
        <w:tc>
          <w:tcPr>
            <w:tcW w:w="534" w:type="pct"/>
            <w:tcBorders>
              <w:top w:val="single" w:sz="6" w:space="0" w:color="auto"/>
              <w:left w:val="single" w:sz="6" w:space="0" w:color="auto"/>
              <w:bottom w:val="single" w:sz="6" w:space="0" w:color="auto"/>
              <w:right w:val="single" w:sz="6" w:space="0" w:color="auto"/>
            </w:tcBorders>
            <w:vAlign w:val="center"/>
          </w:tcPr>
          <w:p w:rsidR="003D1E4F" w:rsidRPr="00D136FB" w:rsidRDefault="003D1E4F">
            <w:pPr>
              <w:spacing w:beforeLines="20" w:before="48" w:afterLines="20" w:after="48" w:line="276" w:lineRule="auto"/>
              <w:jc w:val="center"/>
              <w:rPr>
                <w:noProof/>
                <w:sz w:val="16"/>
                <w:szCs w:val="16"/>
                <w:lang w:eastAsia="bg-BG" w:bidi="bg-BG"/>
              </w:rPr>
            </w:pPr>
          </w:p>
        </w:tc>
        <w:tc>
          <w:tcPr>
            <w:tcW w:w="533" w:type="pct"/>
            <w:tcBorders>
              <w:top w:val="single" w:sz="6" w:space="0" w:color="auto"/>
              <w:left w:val="single" w:sz="6" w:space="0" w:color="auto"/>
              <w:bottom w:val="single" w:sz="6" w:space="0" w:color="auto"/>
              <w:right w:val="single" w:sz="6" w:space="0" w:color="auto"/>
            </w:tcBorders>
            <w:vAlign w:val="center"/>
          </w:tcPr>
          <w:p w:rsidR="003D1E4F" w:rsidRPr="00D136FB" w:rsidRDefault="003D1E4F">
            <w:pPr>
              <w:spacing w:beforeLines="20" w:before="48" w:afterLines="20" w:after="48" w:line="276" w:lineRule="auto"/>
              <w:jc w:val="center"/>
              <w:rPr>
                <w:noProof/>
                <w:sz w:val="16"/>
                <w:szCs w:val="16"/>
                <w:lang w:eastAsia="bg-BG" w:bidi="bg-BG"/>
              </w:rPr>
            </w:pPr>
          </w:p>
        </w:tc>
        <w:tc>
          <w:tcPr>
            <w:tcW w:w="468" w:type="pct"/>
            <w:tcBorders>
              <w:top w:val="single" w:sz="6" w:space="0" w:color="auto"/>
              <w:left w:val="single" w:sz="6" w:space="0" w:color="auto"/>
              <w:bottom w:val="single" w:sz="6" w:space="0" w:color="auto"/>
              <w:right w:val="single" w:sz="6" w:space="0" w:color="auto"/>
            </w:tcBorders>
            <w:vAlign w:val="center"/>
          </w:tcPr>
          <w:p w:rsidR="003D1E4F" w:rsidRPr="00D136FB" w:rsidRDefault="003D1E4F">
            <w:pPr>
              <w:spacing w:beforeLines="20" w:before="48" w:afterLines="20" w:after="48" w:line="276" w:lineRule="auto"/>
              <w:jc w:val="center"/>
              <w:rPr>
                <w:noProof/>
                <w:sz w:val="16"/>
                <w:szCs w:val="16"/>
                <w:lang w:eastAsia="bg-BG" w:bidi="bg-BG"/>
              </w:rPr>
            </w:pPr>
          </w:p>
        </w:tc>
        <w:tc>
          <w:tcPr>
            <w:tcW w:w="527" w:type="pct"/>
            <w:tcBorders>
              <w:top w:val="single" w:sz="6" w:space="0" w:color="auto"/>
              <w:left w:val="single" w:sz="6" w:space="0" w:color="auto"/>
              <w:bottom w:val="single" w:sz="6" w:space="0" w:color="auto"/>
              <w:right w:val="single" w:sz="6" w:space="0" w:color="auto"/>
            </w:tcBorders>
            <w:vAlign w:val="center"/>
          </w:tcPr>
          <w:p w:rsidR="003D1E4F" w:rsidRPr="00D136FB" w:rsidRDefault="003D1E4F">
            <w:pPr>
              <w:spacing w:beforeLines="20" w:before="48" w:afterLines="20" w:after="48" w:line="276" w:lineRule="auto"/>
              <w:jc w:val="center"/>
              <w:rPr>
                <w:noProof/>
                <w:sz w:val="16"/>
                <w:szCs w:val="16"/>
                <w:lang w:eastAsia="bg-BG" w:bidi="bg-BG"/>
              </w:rPr>
            </w:pPr>
          </w:p>
        </w:tc>
      </w:tr>
      <w:tr w:rsidR="003D1E4F" w:rsidRPr="00D136FB" w:rsidTr="003D1E4F">
        <w:trPr>
          <w:trHeight w:val="289"/>
        </w:trPr>
        <w:tc>
          <w:tcPr>
            <w:tcW w:w="1472" w:type="pct"/>
            <w:gridSpan w:val="2"/>
            <w:tcBorders>
              <w:top w:val="single" w:sz="6" w:space="0" w:color="auto"/>
              <w:left w:val="single" w:sz="6" w:space="0" w:color="auto"/>
              <w:bottom w:val="single" w:sz="6" w:space="0" w:color="auto"/>
              <w:right w:val="single" w:sz="6" w:space="0" w:color="auto"/>
            </w:tcBorders>
            <w:hideMark/>
          </w:tcPr>
          <w:p w:rsidR="003D1E4F" w:rsidRPr="00D136FB" w:rsidRDefault="003D1E4F">
            <w:pPr>
              <w:pStyle w:val="Text1"/>
              <w:spacing w:beforeLines="20" w:before="48" w:afterLines="20" w:after="48" w:line="276" w:lineRule="auto"/>
              <w:ind w:left="984"/>
              <w:jc w:val="left"/>
              <w:rPr>
                <w:sz w:val="16"/>
                <w:szCs w:val="16"/>
                <w:lang w:eastAsia="bg-BG" w:bidi="bg-BG"/>
              </w:rPr>
            </w:pPr>
            <w:r w:rsidRPr="00D136FB">
              <w:rPr>
                <w:sz w:val="16"/>
              </w:rPr>
              <w:t>Научни изследвания</w:t>
            </w:r>
          </w:p>
        </w:tc>
        <w:tc>
          <w:tcPr>
            <w:tcW w:w="466" w:type="pct"/>
            <w:tcBorders>
              <w:top w:val="single" w:sz="6" w:space="0" w:color="auto"/>
              <w:left w:val="single" w:sz="6" w:space="0" w:color="auto"/>
              <w:bottom w:val="single" w:sz="6" w:space="0" w:color="auto"/>
              <w:right w:val="single" w:sz="6" w:space="0" w:color="auto"/>
            </w:tcBorders>
            <w:vAlign w:val="center"/>
          </w:tcPr>
          <w:p w:rsidR="003D1E4F" w:rsidRPr="00D136FB" w:rsidRDefault="003D1E4F">
            <w:pPr>
              <w:spacing w:beforeLines="20" w:before="48" w:afterLines="20" w:after="48" w:line="276" w:lineRule="auto"/>
              <w:jc w:val="center"/>
              <w:rPr>
                <w:noProof/>
                <w:sz w:val="16"/>
                <w:szCs w:val="16"/>
                <w:lang w:eastAsia="bg-BG" w:bidi="bg-BG"/>
              </w:rPr>
            </w:pPr>
          </w:p>
        </w:tc>
        <w:tc>
          <w:tcPr>
            <w:tcW w:w="534" w:type="pct"/>
            <w:tcBorders>
              <w:top w:val="single" w:sz="6" w:space="0" w:color="auto"/>
              <w:left w:val="single" w:sz="6" w:space="0" w:color="auto"/>
              <w:bottom w:val="single" w:sz="6" w:space="0" w:color="auto"/>
              <w:right w:val="single" w:sz="6" w:space="0" w:color="auto"/>
            </w:tcBorders>
            <w:vAlign w:val="center"/>
          </w:tcPr>
          <w:p w:rsidR="003D1E4F" w:rsidRPr="00D136FB" w:rsidRDefault="003D1E4F">
            <w:pPr>
              <w:spacing w:beforeLines="20" w:before="48" w:afterLines="20" w:after="48" w:line="276" w:lineRule="auto"/>
              <w:jc w:val="center"/>
              <w:rPr>
                <w:noProof/>
                <w:sz w:val="16"/>
                <w:szCs w:val="16"/>
                <w:lang w:eastAsia="bg-BG" w:bidi="bg-BG"/>
              </w:rPr>
            </w:pPr>
          </w:p>
        </w:tc>
        <w:tc>
          <w:tcPr>
            <w:tcW w:w="466" w:type="pct"/>
            <w:tcBorders>
              <w:top w:val="single" w:sz="6" w:space="0" w:color="auto"/>
              <w:left w:val="single" w:sz="6" w:space="0" w:color="auto"/>
              <w:bottom w:val="single" w:sz="6" w:space="0" w:color="auto"/>
              <w:right w:val="single" w:sz="6" w:space="0" w:color="auto"/>
            </w:tcBorders>
            <w:vAlign w:val="center"/>
          </w:tcPr>
          <w:p w:rsidR="003D1E4F" w:rsidRPr="00D136FB" w:rsidRDefault="003D1E4F">
            <w:pPr>
              <w:spacing w:beforeLines="20" w:before="48" w:afterLines="20" w:after="48" w:line="276" w:lineRule="auto"/>
              <w:jc w:val="center"/>
              <w:rPr>
                <w:noProof/>
                <w:sz w:val="16"/>
                <w:szCs w:val="16"/>
                <w:lang w:eastAsia="bg-BG" w:bidi="bg-BG"/>
              </w:rPr>
            </w:pPr>
          </w:p>
        </w:tc>
        <w:tc>
          <w:tcPr>
            <w:tcW w:w="534" w:type="pct"/>
            <w:tcBorders>
              <w:top w:val="single" w:sz="6" w:space="0" w:color="auto"/>
              <w:left w:val="single" w:sz="6" w:space="0" w:color="auto"/>
              <w:bottom w:val="single" w:sz="6" w:space="0" w:color="auto"/>
              <w:right w:val="single" w:sz="6" w:space="0" w:color="auto"/>
            </w:tcBorders>
            <w:vAlign w:val="center"/>
          </w:tcPr>
          <w:p w:rsidR="003D1E4F" w:rsidRPr="00D136FB" w:rsidRDefault="003D1E4F">
            <w:pPr>
              <w:spacing w:beforeLines="20" w:before="48" w:afterLines="20" w:after="48" w:line="276" w:lineRule="auto"/>
              <w:jc w:val="center"/>
              <w:rPr>
                <w:noProof/>
                <w:sz w:val="16"/>
                <w:szCs w:val="16"/>
                <w:lang w:eastAsia="bg-BG" w:bidi="bg-BG"/>
              </w:rPr>
            </w:pPr>
          </w:p>
        </w:tc>
        <w:tc>
          <w:tcPr>
            <w:tcW w:w="533" w:type="pct"/>
            <w:tcBorders>
              <w:top w:val="single" w:sz="6" w:space="0" w:color="auto"/>
              <w:left w:val="single" w:sz="6" w:space="0" w:color="auto"/>
              <w:bottom w:val="single" w:sz="6" w:space="0" w:color="auto"/>
              <w:right w:val="single" w:sz="6" w:space="0" w:color="auto"/>
            </w:tcBorders>
            <w:vAlign w:val="center"/>
          </w:tcPr>
          <w:p w:rsidR="003D1E4F" w:rsidRPr="00D136FB" w:rsidRDefault="003D1E4F">
            <w:pPr>
              <w:spacing w:beforeLines="20" w:before="48" w:afterLines="20" w:after="48" w:line="276" w:lineRule="auto"/>
              <w:jc w:val="center"/>
              <w:rPr>
                <w:noProof/>
                <w:sz w:val="16"/>
                <w:szCs w:val="16"/>
                <w:lang w:eastAsia="bg-BG" w:bidi="bg-BG"/>
              </w:rPr>
            </w:pPr>
          </w:p>
        </w:tc>
        <w:tc>
          <w:tcPr>
            <w:tcW w:w="468" w:type="pct"/>
            <w:tcBorders>
              <w:top w:val="single" w:sz="6" w:space="0" w:color="auto"/>
              <w:left w:val="single" w:sz="6" w:space="0" w:color="auto"/>
              <w:bottom w:val="single" w:sz="6" w:space="0" w:color="auto"/>
              <w:right w:val="single" w:sz="6" w:space="0" w:color="auto"/>
            </w:tcBorders>
            <w:vAlign w:val="center"/>
          </w:tcPr>
          <w:p w:rsidR="003D1E4F" w:rsidRPr="00D136FB" w:rsidRDefault="003D1E4F">
            <w:pPr>
              <w:spacing w:beforeLines="20" w:before="48" w:afterLines="20" w:after="48" w:line="276" w:lineRule="auto"/>
              <w:jc w:val="center"/>
              <w:rPr>
                <w:noProof/>
                <w:sz w:val="16"/>
                <w:szCs w:val="16"/>
                <w:lang w:eastAsia="bg-BG" w:bidi="bg-BG"/>
              </w:rPr>
            </w:pPr>
          </w:p>
        </w:tc>
        <w:tc>
          <w:tcPr>
            <w:tcW w:w="527" w:type="pct"/>
            <w:tcBorders>
              <w:top w:val="single" w:sz="6" w:space="0" w:color="auto"/>
              <w:left w:val="single" w:sz="6" w:space="0" w:color="auto"/>
              <w:bottom w:val="single" w:sz="6" w:space="0" w:color="auto"/>
              <w:right w:val="single" w:sz="6" w:space="0" w:color="auto"/>
            </w:tcBorders>
            <w:vAlign w:val="center"/>
          </w:tcPr>
          <w:p w:rsidR="003D1E4F" w:rsidRPr="00D136FB" w:rsidRDefault="003D1E4F">
            <w:pPr>
              <w:spacing w:beforeLines="20" w:before="48" w:afterLines="20" w:after="48" w:line="276" w:lineRule="auto"/>
              <w:jc w:val="center"/>
              <w:rPr>
                <w:noProof/>
                <w:sz w:val="16"/>
                <w:szCs w:val="16"/>
                <w:lang w:eastAsia="bg-BG" w:bidi="bg-BG"/>
              </w:rPr>
            </w:pPr>
          </w:p>
        </w:tc>
      </w:tr>
      <w:tr w:rsidR="003D1E4F" w:rsidRPr="00D136FB" w:rsidTr="003D1E4F">
        <w:trPr>
          <w:trHeight w:val="293"/>
        </w:trPr>
        <w:tc>
          <w:tcPr>
            <w:tcW w:w="5000" w:type="pct"/>
            <w:gridSpan w:val="9"/>
            <w:tcBorders>
              <w:top w:val="single" w:sz="6" w:space="0" w:color="auto"/>
              <w:left w:val="single" w:sz="6" w:space="0" w:color="auto"/>
              <w:bottom w:val="single" w:sz="6" w:space="0" w:color="auto"/>
              <w:right w:val="single" w:sz="6" w:space="0" w:color="auto"/>
            </w:tcBorders>
            <w:hideMark/>
          </w:tcPr>
          <w:p w:rsidR="003D1E4F" w:rsidRPr="00D136FB" w:rsidRDefault="003D1E4F">
            <w:pPr>
              <w:pStyle w:val="Text1"/>
              <w:spacing w:before="60" w:after="60" w:line="276" w:lineRule="auto"/>
              <w:ind w:left="0"/>
              <w:jc w:val="left"/>
              <w:rPr>
                <w:b/>
                <w:sz w:val="16"/>
                <w:szCs w:val="16"/>
              </w:rPr>
            </w:pPr>
            <w:r w:rsidRPr="00D136FB">
              <w:rPr>
                <w:b/>
                <w:sz w:val="16"/>
              </w:rPr>
              <w:sym w:font="Wingdings" w:char="F09F"/>
            </w:r>
            <w:r w:rsidRPr="00D136FB">
              <w:rPr>
                <w:b/>
                <w:sz w:val="16"/>
              </w:rPr>
              <w:t xml:space="preserve"> Външен персонал (в еквивалент на пълно работно време — ЕПРВ) — ДНП , МП, КНЕ, ПНА, МЕД</w:t>
            </w:r>
            <w:r w:rsidRPr="00D136FB">
              <w:rPr>
                <w:sz w:val="16"/>
              </w:rPr>
              <w:t xml:space="preserve"> </w:t>
            </w:r>
            <w:r w:rsidRPr="00D136FB">
              <w:rPr>
                <w:rStyle w:val="FootnoteReference"/>
                <w:sz w:val="16"/>
              </w:rPr>
              <w:footnoteReference w:id="41"/>
            </w:r>
          </w:p>
          <w:p w:rsidR="003D1E4F" w:rsidRPr="00D136FB" w:rsidRDefault="003D1E4F">
            <w:pPr>
              <w:pStyle w:val="Text1"/>
              <w:spacing w:before="0" w:after="0" w:line="276" w:lineRule="auto"/>
              <w:ind w:left="0"/>
              <w:jc w:val="left"/>
              <w:rPr>
                <w:sz w:val="16"/>
                <w:szCs w:val="16"/>
                <w:lang w:eastAsia="bg-BG" w:bidi="bg-BG"/>
              </w:rPr>
            </w:pPr>
            <w:r w:rsidRPr="00D136FB">
              <w:rPr>
                <w:sz w:val="16"/>
              </w:rPr>
              <w:t>Функция 7</w:t>
            </w:r>
          </w:p>
        </w:tc>
      </w:tr>
      <w:tr w:rsidR="003D1E4F" w:rsidRPr="00D136FB" w:rsidTr="003D1E4F">
        <w:trPr>
          <w:trHeight w:val="485"/>
        </w:trPr>
        <w:tc>
          <w:tcPr>
            <w:tcW w:w="735" w:type="pct"/>
            <w:vMerge w:val="restart"/>
            <w:tcBorders>
              <w:top w:val="single" w:sz="6" w:space="0" w:color="auto"/>
              <w:left w:val="single" w:sz="6" w:space="0" w:color="auto"/>
              <w:bottom w:val="single" w:sz="6" w:space="0" w:color="auto"/>
              <w:right w:val="single" w:sz="6" w:space="0" w:color="auto"/>
            </w:tcBorders>
            <w:vAlign w:val="center"/>
            <w:hideMark/>
          </w:tcPr>
          <w:p w:rsidR="003D1E4F" w:rsidRPr="00D136FB" w:rsidRDefault="003D1E4F">
            <w:pPr>
              <w:pStyle w:val="Text1"/>
              <w:spacing w:beforeLines="20" w:before="48" w:afterLines="20" w:after="48" w:line="276" w:lineRule="auto"/>
              <w:ind w:left="986"/>
              <w:jc w:val="left"/>
              <w:rPr>
                <w:b/>
                <w:sz w:val="16"/>
                <w:szCs w:val="16"/>
                <w:lang w:eastAsia="bg-BG" w:bidi="bg-BG"/>
              </w:rPr>
            </w:pPr>
            <w:r w:rsidRPr="00D136FB">
              <w:rPr>
                <w:sz w:val="16"/>
              </w:rPr>
              <w:t>Финансирани от ФУНКЦИЯ 7 от многогодишната финансова рамка</w:t>
            </w:r>
            <w:r w:rsidRPr="00D136FB">
              <w:rPr>
                <w:b/>
                <w:sz w:val="16"/>
              </w:rPr>
              <w:t xml:space="preserve"> </w:t>
            </w:r>
          </w:p>
        </w:tc>
        <w:tc>
          <w:tcPr>
            <w:tcW w:w="737" w:type="pct"/>
            <w:tcBorders>
              <w:top w:val="single" w:sz="6" w:space="0" w:color="auto"/>
              <w:left w:val="single" w:sz="6" w:space="0" w:color="auto"/>
              <w:bottom w:val="single" w:sz="6" w:space="0" w:color="auto"/>
              <w:right w:val="single" w:sz="6" w:space="0" w:color="auto"/>
            </w:tcBorders>
            <w:vAlign w:val="center"/>
            <w:hideMark/>
          </w:tcPr>
          <w:p w:rsidR="003D1E4F" w:rsidRPr="00D136FB" w:rsidRDefault="003D1E4F">
            <w:pPr>
              <w:pStyle w:val="Text1"/>
              <w:spacing w:beforeLines="20" w:before="48" w:afterLines="20" w:after="48" w:line="276" w:lineRule="auto"/>
              <w:ind w:left="986"/>
              <w:jc w:val="left"/>
              <w:rPr>
                <w:b/>
                <w:sz w:val="16"/>
                <w:szCs w:val="16"/>
                <w:lang w:eastAsia="bg-BG" w:bidi="bg-BG"/>
              </w:rPr>
            </w:pPr>
            <w:r w:rsidRPr="00D136FB">
              <w:rPr>
                <w:sz w:val="16"/>
              </w:rPr>
              <w:t>- в централата</w:t>
            </w:r>
          </w:p>
        </w:tc>
        <w:tc>
          <w:tcPr>
            <w:tcW w:w="466" w:type="pct"/>
            <w:tcBorders>
              <w:top w:val="single" w:sz="6" w:space="0" w:color="auto"/>
              <w:left w:val="single" w:sz="6" w:space="0" w:color="auto"/>
              <w:bottom w:val="single" w:sz="6" w:space="0" w:color="auto"/>
              <w:right w:val="single" w:sz="6" w:space="0" w:color="auto"/>
            </w:tcBorders>
            <w:vAlign w:val="center"/>
            <w:hideMark/>
          </w:tcPr>
          <w:p w:rsidR="003D1E4F" w:rsidRPr="00D136FB" w:rsidRDefault="003D1E4F">
            <w:pPr>
              <w:spacing w:beforeLines="20" w:before="48" w:afterLines="20" w:after="48" w:line="276" w:lineRule="auto"/>
              <w:jc w:val="center"/>
              <w:rPr>
                <w:sz w:val="20"/>
                <w:lang w:eastAsia="bg-BG" w:bidi="bg-BG"/>
              </w:rPr>
            </w:pPr>
            <w:r w:rsidRPr="00D136FB">
              <w:rPr>
                <w:noProof/>
                <w:sz w:val="20"/>
              </w:rPr>
              <w:t>13</w:t>
            </w:r>
          </w:p>
        </w:tc>
        <w:tc>
          <w:tcPr>
            <w:tcW w:w="534" w:type="pct"/>
            <w:tcBorders>
              <w:top w:val="single" w:sz="6" w:space="0" w:color="auto"/>
              <w:left w:val="single" w:sz="6" w:space="0" w:color="auto"/>
              <w:bottom w:val="single" w:sz="6" w:space="0" w:color="auto"/>
              <w:right w:val="single" w:sz="6" w:space="0" w:color="auto"/>
            </w:tcBorders>
            <w:vAlign w:val="center"/>
            <w:hideMark/>
          </w:tcPr>
          <w:p w:rsidR="003D1E4F" w:rsidRPr="00D136FB" w:rsidRDefault="003D1E4F">
            <w:pPr>
              <w:spacing w:beforeLines="20" w:before="48" w:afterLines="20" w:after="48" w:line="276" w:lineRule="auto"/>
              <w:jc w:val="center"/>
              <w:rPr>
                <w:sz w:val="20"/>
                <w:lang w:eastAsia="bg-BG" w:bidi="bg-BG"/>
              </w:rPr>
            </w:pPr>
            <w:r w:rsidRPr="00D136FB">
              <w:rPr>
                <w:noProof/>
                <w:sz w:val="20"/>
              </w:rPr>
              <w:t>15</w:t>
            </w:r>
          </w:p>
        </w:tc>
        <w:tc>
          <w:tcPr>
            <w:tcW w:w="466" w:type="pct"/>
            <w:tcBorders>
              <w:top w:val="single" w:sz="6" w:space="0" w:color="auto"/>
              <w:left w:val="single" w:sz="6" w:space="0" w:color="auto"/>
              <w:bottom w:val="single" w:sz="6" w:space="0" w:color="auto"/>
              <w:right w:val="single" w:sz="6" w:space="0" w:color="auto"/>
            </w:tcBorders>
            <w:hideMark/>
          </w:tcPr>
          <w:p w:rsidR="003D1E4F" w:rsidRPr="00D136FB" w:rsidRDefault="003D1E4F">
            <w:pPr>
              <w:spacing w:line="276" w:lineRule="auto"/>
              <w:jc w:val="center"/>
              <w:rPr>
                <w:lang w:eastAsia="bg-BG" w:bidi="bg-BG"/>
              </w:rPr>
            </w:pPr>
            <w:r w:rsidRPr="00D136FB">
              <w:rPr>
                <w:noProof/>
                <w:sz w:val="20"/>
              </w:rPr>
              <w:t>15</w:t>
            </w:r>
          </w:p>
        </w:tc>
        <w:tc>
          <w:tcPr>
            <w:tcW w:w="534" w:type="pct"/>
            <w:tcBorders>
              <w:top w:val="single" w:sz="6" w:space="0" w:color="auto"/>
              <w:left w:val="single" w:sz="6" w:space="0" w:color="auto"/>
              <w:bottom w:val="single" w:sz="6" w:space="0" w:color="auto"/>
              <w:right w:val="single" w:sz="6" w:space="0" w:color="auto"/>
            </w:tcBorders>
            <w:hideMark/>
          </w:tcPr>
          <w:p w:rsidR="003D1E4F" w:rsidRPr="00D136FB" w:rsidRDefault="003D1E4F">
            <w:pPr>
              <w:spacing w:line="276" w:lineRule="auto"/>
              <w:jc w:val="center"/>
              <w:rPr>
                <w:lang w:eastAsia="bg-BG" w:bidi="bg-BG"/>
              </w:rPr>
            </w:pPr>
            <w:r w:rsidRPr="00D136FB">
              <w:rPr>
                <w:noProof/>
                <w:sz w:val="20"/>
              </w:rPr>
              <w:t>15</w:t>
            </w:r>
          </w:p>
        </w:tc>
        <w:tc>
          <w:tcPr>
            <w:tcW w:w="533" w:type="pct"/>
            <w:tcBorders>
              <w:top w:val="single" w:sz="6" w:space="0" w:color="auto"/>
              <w:left w:val="single" w:sz="6" w:space="0" w:color="auto"/>
              <w:bottom w:val="single" w:sz="6" w:space="0" w:color="auto"/>
              <w:right w:val="single" w:sz="6" w:space="0" w:color="auto"/>
            </w:tcBorders>
            <w:hideMark/>
          </w:tcPr>
          <w:p w:rsidR="003D1E4F" w:rsidRPr="00D136FB" w:rsidRDefault="003D1E4F">
            <w:pPr>
              <w:spacing w:line="276" w:lineRule="auto"/>
              <w:jc w:val="center"/>
              <w:rPr>
                <w:lang w:eastAsia="bg-BG" w:bidi="bg-BG"/>
              </w:rPr>
            </w:pPr>
            <w:r w:rsidRPr="00D136FB">
              <w:rPr>
                <w:noProof/>
                <w:sz w:val="20"/>
              </w:rPr>
              <w:t>15</w:t>
            </w:r>
          </w:p>
        </w:tc>
        <w:tc>
          <w:tcPr>
            <w:tcW w:w="468" w:type="pct"/>
            <w:tcBorders>
              <w:top w:val="single" w:sz="6" w:space="0" w:color="auto"/>
              <w:left w:val="single" w:sz="6" w:space="0" w:color="auto"/>
              <w:bottom w:val="single" w:sz="6" w:space="0" w:color="auto"/>
              <w:right w:val="single" w:sz="6" w:space="0" w:color="auto"/>
            </w:tcBorders>
            <w:hideMark/>
          </w:tcPr>
          <w:p w:rsidR="003D1E4F" w:rsidRPr="00D136FB" w:rsidRDefault="003D1E4F">
            <w:pPr>
              <w:spacing w:line="276" w:lineRule="auto"/>
              <w:jc w:val="center"/>
              <w:rPr>
                <w:lang w:eastAsia="bg-BG" w:bidi="bg-BG"/>
              </w:rPr>
            </w:pPr>
            <w:r w:rsidRPr="00D136FB">
              <w:rPr>
                <w:noProof/>
                <w:sz w:val="20"/>
              </w:rPr>
              <w:t>15</w:t>
            </w:r>
          </w:p>
        </w:tc>
        <w:tc>
          <w:tcPr>
            <w:tcW w:w="527" w:type="pct"/>
            <w:tcBorders>
              <w:top w:val="single" w:sz="6" w:space="0" w:color="auto"/>
              <w:left w:val="single" w:sz="6" w:space="0" w:color="auto"/>
              <w:bottom w:val="single" w:sz="6" w:space="0" w:color="auto"/>
              <w:right w:val="single" w:sz="6" w:space="0" w:color="auto"/>
            </w:tcBorders>
            <w:hideMark/>
          </w:tcPr>
          <w:p w:rsidR="003D1E4F" w:rsidRPr="00D136FB" w:rsidRDefault="003D1E4F">
            <w:pPr>
              <w:spacing w:line="276" w:lineRule="auto"/>
              <w:jc w:val="center"/>
              <w:rPr>
                <w:lang w:eastAsia="bg-BG" w:bidi="bg-BG"/>
              </w:rPr>
            </w:pPr>
            <w:r w:rsidRPr="00D136FB">
              <w:rPr>
                <w:noProof/>
                <w:sz w:val="20"/>
              </w:rPr>
              <w:t>15</w:t>
            </w:r>
          </w:p>
        </w:tc>
      </w:tr>
      <w:tr w:rsidR="003D1E4F" w:rsidRPr="00D136FB" w:rsidTr="003D1E4F">
        <w:trPr>
          <w:trHeight w:val="289"/>
        </w:trPr>
        <w:tc>
          <w:tcPr>
            <w:tcW w:w="0" w:type="auto"/>
            <w:vMerge/>
            <w:tcBorders>
              <w:top w:val="single" w:sz="6" w:space="0" w:color="auto"/>
              <w:left w:val="single" w:sz="6" w:space="0" w:color="auto"/>
              <w:bottom w:val="single" w:sz="6" w:space="0" w:color="auto"/>
              <w:right w:val="single" w:sz="6" w:space="0" w:color="auto"/>
            </w:tcBorders>
            <w:vAlign w:val="center"/>
            <w:hideMark/>
          </w:tcPr>
          <w:p w:rsidR="003D1E4F" w:rsidRPr="00D136FB" w:rsidRDefault="003D1E4F">
            <w:pPr>
              <w:spacing w:before="0" w:after="0"/>
              <w:jc w:val="left"/>
              <w:rPr>
                <w:b/>
                <w:sz w:val="16"/>
                <w:szCs w:val="16"/>
                <w:lang w:eastAsia="bg-BG" w:bidi="bg-BG"/>
              </w:rPr>
            </w:pPr>
          </w:p>
        </w:tc>
        <w:tc>
          <w:tcPr>
            <w:tcW w:w="737" w:type="pct"/>
            <w:tcBorders>
              <w:top w:val="single" w:sz="6" w:space="0" w:color="auto"/>
              <w:left w:val="single" w:sz="6" w:space="0" w:color="auto"/>
              <w:bottom w:val="single" w:sz="6" w:space="0" w:color="auto"/>
              <w:right w:val="single" w:sz="6" w:space="0" w:color="auto"/>
            </w:tcBorders>
            <w:vAlign w:val="center"/>
            <w:hideMark/>
          </w:tcPr>
          <w:p w:rsidR="003D1E4F" w:rsidRPr="00D136FB" w:rsidRDefault="003D1E4F">
            <w:pPr>
              <w:pStyle w:val="Text1"/>
              <w:spacing w:beforeLines="20" w:before="48" w:afterLines="20" w:after="48" w:line="276" w:lineRule="auto"/>
              <w:ind w:left="986"/>
              <w:jc w:val="left"/>
              <w:rPr>
                <w:sz w:val="16"/>
                <w:szCs w:val="16"/>
                <w:lang w:eastAsia="bg-BG" w:bidi="bg-BG"/>
              </w:rPr>
            </w:pPr>
            <w:r w:rsidRPr="00D136FB">
              <w:rPr>
                <w:sz w:val="16"/>
              </w:rPr>
              <w:t xml:space="preserve">- в делегациите </w:t>
            </w:r>
          </w:p>
        </w:tc>
        <w:tc>
          <w:tcPr>
            <w:tcW w:w="466" w:type="pct"/>
            <w:tcBorders>
              <w:top w:val="single" w:sz="6" w:space="0" w:color="auto"/>
              <w:left w:val="single" w:sz="6" w:space="0" w:color="auto"/>
              <w:bottom w:val="single" w:sz="6" w:space="0" w:color="auto"/>
              <w:right w:val="single" w:sz="6" w:space="0" w:color="auto"/>
            </w:tcBorders>
            <w:vAlign w:val="center"/>
          </w:tcPr>
          <w:p w:rsidR="003D1E4F" w:rsidRPr="00D136FB" w:rsidRDefault="003D1E4F">
            <w:pPr>
              <w:spacing w:beforeLines="20" w:before="48" w:afterLines="20" w:after="48" w:line="276" w:lineRule="auto"/>
              <w:jc w:val="center"/>
              <w:rPr>
                <w:noProof/>
                <w:sz w:val="16"/>
                <w:szCs w:val="16"/>
                <w:lang w:eastAsia="bg-BG" w:bidi="bg-BG"/>
              </w:rPr>
            </w:pPr>
          </w:p>
        </w:tc>
        <w:tc>
          <w:tcPr>
            <w:tcW w:w="534" w:type="pct"/>
            <w:tcBorders>
              <w:top w:val="single" w:sz="6" w:space="0" w:color="auto"/>
              <w:left w:val="single" w:sz="6" w:space="0" w:color="auto"/>
              <w:bottom w:val="single" w:sz="6" w:space="0" w:color="auto"/>
              <w:right w:val="single" w:sz="6" w:space="0" w:color="auto"/>
            </w:tcBorders>
            <w:vAlign w:val="center"/>
          </w:tcPr>
          <w:p w:rsidR="003D1E4F" w:rsidRPr="00D136FB" w:rsidRDefault="003D1E4F">
            <w:pPr>
              <w:spacing w:beforeLines="20" w:before="48" w:afterLines="20" w:after="48" w:line="276" w:lineRule="auto"/>
              <w:jc w:val="center"/>
              <w:rPr>
                <w:noProof/>
                <w:sz w:val="16"/>
                <w:szCs w:val="16"/>
                <w:lang w:eastAsia="bg-BG" w:bidi="bg-BG"/>
              </w:rPr>
            </w:pPr>
          </w:p>
        </w:tc>
        <w:tc>
          <w:tcPr>
            <w:tcW w:w="466" w:type="pct"/>
            <w:tcBorders>
              <w:top w:val="single" w:sz="6" w:space="0" w:color="auto"/>
              <w:left w:val="single" w:sz="6" w:space="0" w:color="auto"/>
              <w:bottom w:val="single" w:sz="6" w:space="0" w:color="auto"/>
              <w:right w:val="single" w:sz="6" w:space="0" w:color="auto"/>
            </w:tcBorders>
            <w:vAlign w:val="center"/>
          </w:tcPr>
          <w:p w:rsidR="003D1E4F" w:rsidRPr="00D136FB" w:rsidRDefault="003D1E4F">
            <w:pPr>
              <w:spacing w:beforeLines="20" w:before="48" w:afterLines="20" w:after="48" w:line="276" w:lineRule="auto"/>
              <w:jc w:val="center"/>
              <w:rPr>
                <w:noProof/>
                <w:sz w:val="16"/>
                <w:szCs w:val="16"/>
                <w:lang w:eastAsia="bg-BG" w:bidi="bg-BG"/>
              </w:rPr>
            </w:pPr>
          </w:p>
        </w:tc>
        <w:tc>
          <w:tcPr>
            <w:tcW w:w="534" w:type="pct"/>
            <w:tcBorders>
              <w:top w:val="single" w:sz="6" w:space="0" w:color="auto"/>
              <w:left w:val="single" w:sz="6" w:space="0" w:color="auto"/>
              <w:bottom w:val="single" w:sz="6" w:space="0" w:color="auto"/>
              <w:right w:val="single" w:sz="6" w:space="0" w:color="auto"/>
            </w:tcBorders>
            <w:vAlign w:val="center"/>
          </w:tcPr>
          <w:p w:rsidR="003D1E4F" w:rsidRPr="00D136FB" w:rsidRDefault="003D1E4F">
            <w:pPr>
              <w:spacing w:beforeLines="20" w:before="48" w:afterLines="20" w:after="48" w:line="276" w:lineRule="auto"/>
              <w:jc w:val="center"/>
              <w:rPr>
                <w:noProof/>
                <w:sz w:val="16"/>
                <w:szCs w:val="16"/>
                <w:lang w:eastAsia="bg-BG" w:bidi="bg-BG"/>
              </w:rPr>
            </w:pPr>
          </w:p>
        </w:tc>
        <w:tc>
          <w:tcPr>
            <w:tcW w:w="533" w:type="pct"/>
            <w:tcBorders>
              <w:top w:val="single" w:sz="6" w:space="0" w:color="auto"/>
              <w:left w:val="single" w:sz="6" w:space="0" w:color="auto"/>
              <w:bottom w:val="single" w:sz="6" w:space="0" w:color="auto"/>
              <w:right w:val="single" w:sz="6" w:space="0" w:color="auto"/>
            </w:tcBorders>
            <w:vAlign w:val="center"/>
          </w:tcPr>
          <w:p w:rsidR="003D1E4F" w:rsidRPr="00D136FB" w:rsidRDefault="003D1E4F">
            <w:pPr>
              <w:spacing w:beforeLines="20" w:before="48" w:afterLines="20" w:after="48" w:line="276" w:lineRule="auto"/>
              <w:jc w:val="center"/>
              <w:rPr>
                <w:noProof/>
                <w:sz w:val="16"/>
                <w:szCs w:val="16"/>
                <w:lang w:eastAsia="bg-BG" w:bidi="bg-BG"/>
              </w:rPr>
            </w:pPr>
          </w:p>
        </w:tc>
        <w:tc>
          <w:tcPr>
            <w:tcW w:w="468" w:type="pct"/>
            <w:tcBorders>
              <w:top w:val="single" w:sz="6" w:space="0" w:color="auto"/>
              <w:left w:val="single" w:sz="6" w:space="0" w:color="auto"/>
              <w:bottom w:val="single" w:sz="6" w:space="0" w:color="auto"/>
              <w:right w:val="single" w:sz="6" w:space="0" w:color="auto"/>
            </w:tcBorders>
            <w:vAlign w:val="center"/>
          </w:tcPr>
          <w:p w:rsidR="003D1E4F" w:rsidRPr="00D136FB" w:rsidRDefault="003D1E4F">
            <w:pPr>
              <w:spacing w:beforeLines="20" w:before="48" w:afterLines="20" w:after="48" w:line="276" w:lineRule="auto"/>
              <w:jc w:val="center"/>
              <w:rPr>
                <w:noProof/>
                <w:sz w:val="16"/>
                <w:szCs w:val="16"/>
                <w:lang w:eastAsia="bg-BG" w:bidi="bg-BG"/>
              </w:rPr>
            </w:pPr>
          </w:p>
        </w:tc>
        <w:tc>
          <w:tcPr>
            <w:tcW w:w="527" w:type="pct"/>
            <w:tcBorders>
              <w:top w:val="single" w:sz="6" w:space="0" w:color="auto"/>
              <w:left w:val="single" w:sz="6" w:space="0" w:color="auto"/>
              <w:bottom w:val="single" w:sz="6" w:space="0" w:color="auto"/>
              <w:right w:val="single" w:sz="6" w:space="0" w:color="auto"/>
            </w:tcBorders>
            <w:vAlign w:val="center"/>
          </w:tcPr>
          <w:p w:rsidR="003D1E4F" w:rsidRPr="00D136FB" w:rsidRDefault="003D1E4F">
            <w:pPr>
              <w:spacing w:beforeLines="20" w:before="48" w:afterLines="20" w:after="48" w:line="276" w:lineRule="auto"/>
              <w:jc w:val="center"/>
              <w:rPr>
                <w:noProof/>
                <w:sz w:val="16"/>
                <w:szCs w:val="16"/>
                <w:lang w:eastAsia="bg-BG" w:bidi="bg-BG"/>
              </w:rPr>
            </w:pPr>
          </w:p>
        </w:tc>
      </w:tr>
      <w:tr w:rsidR="003D1E4F" w:rsidRPr="00D136FB" w:rsidTr="003D1E4F">
        <w:trPr>
          <w:trHeight w:val="370"/>
        </w:trPr>
        <w:tc>
          <w:tcPr>
            <w:tcW w:w="735" w:type="pct"/>
            <w:vMerge w:val="restart"/>
            <w:tcBorders>
              <w:top w:val="single" w:sz="6" w:space="0" w:color="auto"/>
              <w:left w:val="single" w:sz="6" w:space="0" w:color="auto"/>
              <w:bottom w:val="single" w:sz="6" w:space="0" w:color="auto"/>
              <w:right w:val="single" w:sz="6" w:space="0" w:color="auto"/>
            </w:tcBorders>
            <w:vAlign w:val="center"/>
            <w:hideMark/>
          </w:tcPr>
          <w:p w:rsidR="003D1E4F" w:rsidRPr="00D136FB" w:rsidRDefault="003D1E4F">
            <w:pPr>
              <w:pStyle w:val="Text1"/>
              <w:spacing w:beforeLines="20" w:before="48" w:afterLines="20" w:after="48" w:line="276" w:lineRule="auto"/>
              <w:ind w:left="986"/>
              <w:jc w:val="left"/>
              <w:rPr>
                <w:b/>
                <w:sz w:val="16"/>
                <w:szCs w:val="16"/>
                <w:lang w:eastAsia="bg-BG" w:bidi="bg-BG"/>
              </w:rPr>
            </w:pPr>
            <w:r w:rsidRPr="00D136FB">
              <w:rPr>
                <w:sz w:val="16"/>
              </w:rPr>
              <w:t>Финансирани от финансовия пакет на програмата</w:t>
            </w:r>
            <w:r w:rsidRPr="00D136FB">
              <w:rPr>
                <w:b/>
                <w:sz w:val="16"/>
              </w:rPr>
              <w:t xml:space="preserve"> </w:t>
            </w:r>
            <w:r w:rsidRPr="00D136FB">
              <w:rPr>
                <w:rStyle w:val="FootnoteReference"/>
                <w:b/>
                <w:sz w:val="16"/>
              </w:rPr>
              <w:footnoteReference w:id="42"/>
            </w:r>
          </w:p>
        </w:tc>
        <w:tc>
          <w:tcPr>
            <w:tcW w:w="737" w:type="pct"/>
            <w:tcBorders>
              <w:top w:val="single" w:sz="6" w:space="0" w:color="auto"/>
              <w:left w:val="single" w:sz="6" w:space="0" w:color="auto"/>
              <w:bottom w:val="single" w:sz="6" w:space="0" w:color="auto"/>
              <w:right w:val="single" w:sz="6" w:space="0" w:color="auto"/>
            </w:tcBorders>
            <w:vAlign w:val="center"/>
            <w:hideMark/>
          </w:tcPr>
          <w:p w:rsidR="003D1E4F" w:rsidRPr="00D136FB" w:rsidRDefault="003D1E4F">
            <w:pPr>
              <w:pStyle w:val="Text1"/>
              <w:spacing w:beforeLines="20" w:before="48" w:afterLines="20" w:after="48" w:line="276" w:lineRule="auto"/>
              <w:ind w:left="986"/>
              <w:jc w:val="left"/>
              <w:rPr>
                <w:b/>
                <w:sz w:val="16"/>
                <w:szCs w:val="16"/>
                <w:lang w:eastAsia="bg-BG" w:bidi="bg-BG"/>
              </w:rPr>
            </w:pPr>
            <w:r w:rsidRPr="00D136FB">
              <w:rPr>
                <w:sz w:val="16"/>
              </w:rPr>
              <w:t>- в централата</w:t>
            </w:r>
          </w:p>
        </w:tc>
        <w:tc>
          <w:tcPr>
            <w:tcW w:w="466" w:type="pct"/>
            <w:tcBorders>
              <w:top w:val="single" w:sz="6" w:space="0" w:color="auto"/>
              <w:left w:val="single" w:sz="6" w:space="0" w:color="auto"/>
              <w:bottom w:val="single" w:sz="6" w:space="0" w:color="auto"/>
              <w:right w:val="single" w:sz="6" w:space="0" w:color="auto"/>
            </w:tcBorders>
            <w:vAlign w:val="center"/>
          </w:tcPr>
          <w:p w:rsidR="003D1E4F" w:rsidRPr="00D136FB" w:rsidRDefault="003D1E4F">
            <w:pPr>
              <w:pStyle w:val="Text1"/>
              <w:spacing w:beforeLines="20" w:before="48" w:afterLines="20" w:after="48" w:line="276" w:lineRule="auto"/>
              <w:jc w:val="center"/>
              <w:rPr>
                <w:sz w:val="16"/>
                <w:szCs w:val="16"/>
                <w:lang w:eastAsia="bg-BG" w:bidi="bg-BG"/>
              </w:rPr>
            </w:pPr>
          </w:p>
        </w:tc>
        <w:tc>
          <w:tcPr>
            <w:tcW w:w="534" w:type="pct"/>
            <w:tcBorders>
              <w:top w:val="single" w:sz="6" w:space="0" w:color="auto"/>
              <w:left w:val="single" w:sz="6" w:space="0" w:color="auto"/>
              <w:bottom w:val="single" w:sz="6" w:space="0" w:color="auto"/>
              <w:right w:val="single" w:sz="6" w:space="0" w:color="auto"/>
            </w:tcBorders>
            <w:vAlign w:val="center"/>
          </w:tcPr>
          <w:p w:rsidR="003D1E4F" w:rsidRPr="00D136FB" w:rsidRDefault="003D1E4F">
            <w:pPr>
              <w:spacing w:beforeLines="20" w:before="48" w:afterLines="20" w:after="48" w:line="276" w:lineRule="auto"/>
              <w:jc w:val="center"/>
              <w:rPr>
                <w:noProof/>
                <w:sz w:val="16"/>
                <w:szCs w:val="16"/>
                <w:lang w:eastAsia="bg-BG" w:bidi="bg-BG"/>
              </w:rPr>
            </w:pPr>
          </w:p>
        </w:tc>
        <w:tc>
          <w:tcPr>
            <w:tcW w:w="466" w:type="pct"/>
            <w:tcBorders>
              <w:top w:val="single" w:sz="6" w:space="0" w:color="auto"/>
              <w:left w:val="single" w:sz="6" w:space="0" w:color="auto"/>
              <w:bottom w:val="single" w:sz="6" w:space="0" w:color="auto"/>
              <w:right w:val="single" w:sz="6" w:space="0" w:color="auto"/>
            </w:tcBorders>
            <w:vAlign w:val="center"/>
          </w:tcPr>
          <w:p w:rsidR="003D1E4F" w:rsidRPr="00D136FB" w:rsidRDefault="003D1E4F">
            <w:pPr>
              <w:spacing w:beforeLines="20" w:before="48" w:afterLines="20" w:after="48" w:line="276" w:lineRule="auto"/>
              <w:jc w:val="center"/>
              <w:rPr>
                <w:noProof/>
                <w:sz w:val="16"/>
                <w:szCs w:val="16"/>
                <w:lang w:eastAsia="bg-BG" w:bidi="bg-BG"/>
              </w:rPr>
            </w:pPr>
          </w:p>
        </w:tc>
        <w:tc>
          <w:tcPr>
            <w:tcW w:w="534" w:type="pct"/>
            <w:tcBorders>
              <w:top w:val="single" w:sz="6" w:space="0" w:color="auto"/>
              <w:left w:val="single" w:sz="6" w:space="0" w:color="auto"/>
              <w:bottom w:val="single" w:sz="6" w:space="0" w:color="auto"/>
              <w:right w:val="single" w:sz="6" w:space="0" w:color="auto"/>
            </w:tcBorders>
            <w:vAlign w:val="center"/>
          </w:tcPr>
          <w:p w:rsidR="003D1E4F" w:rsidRPr="00D136FB" w:rsidRDefault="003D1E4F">
            <w:pPr>
              <w:spacing w:beforeLines="20" w:before="48" w:afterLines="20" w:after="48" w:line="276" w:lineRule="auto"/>
              <w:jc w:val="center"/>
              <w:rPr>
                <w:noProof/>
                <w:sz w:val="16"/>
                <w:szCs w:val="16"/>
                <w:lang w:eastAsia="bg-BG" w:bidi="bg-BG"/>
              </w:rPr>
            </w:pPr>
          </w:p>
        </w:tc>
        <w:tc>
          <w:tcPr>
            <w:tcW w:w="533" w:type="pct"/>
            <w:tcBorders>
              <w:top w:val="single" w:sz="6" w:space="0" w:color="auto"/>
              <w:left w:val="single" w:sz="6" w:space="0" w:color="auto"/>
              <w:bottom w:val="single" w:sz="6" w:space="0" w:color="auto"/>
              <w:right w:val="single" w:sz="6" w:space="0" w:color="auto"/>
            </w:tcBorders>
            <w:vAlign w:val="center"/>
          </w:tcPr>
          <w:p w:rsidR="003D1E4F" w:rsidRPr="00D136FB" w:rsidRDefault="003D1E4F">
            <w:pPr>
              <w:spacing w:beforeLines="20" w:before="48" w:afterLines="20" w:after="48" w:line="276" w:lineRule="auto"/>
              <w:jc w:val="center"/>
              <w:rPr>
                <w:noProof/>
                <w:sz w:val="16"/>
                <w:szCs w:val="16"/>
                <w:lang w:eastAsia="bg-BG" w:bidi="bg-BG"/>
              </w:rPr>
            </w:pPr>
          </w:p>
        </w:tc>
        <w:tc>
          <w:tcPr>
            <w:tcW w:w="468" w:type="pct"/>
            <w:tcBorders>
              <w:top w:val="single" w:sz="6" w:space="0" w:color="auto"/>
              <w:left w:val="single" w:sz="6" w:space="0" w:color="auto"/>
              <w:bottom w:val="single" w:sz="6" w:space="0" w:color="auto"/>
              <w:right w:val="single" w:sz="6" w:space="0" w:color="auto"/>
            </w:tcBorders>
            <w:vAlign w:val="center"/>
          </w:tcPr>
          <w:p w:rsidR="003D1E4F" w:rsidRPr="00D136FB" w:rsidRDefault="003D1E4F">
            <w:pPr>
              <w:spacing w:beforeLines="20" w:before="48" w:afterLines="20" w:after="48" w:line="276" w:lineRule="auto"/>
              <w:jc w:val="center"/>
              <w:rPr>
                <w:noProof/>
                <w:sz w:val="16"/>
                <w:szCs w:val="16"/>
                <w:lang w:eastAsia="bg-BG" w:bidi="bg-BG"/>
              </w:rPr>
            </w:pPr>
          </w:p>
        </w:tc>
        <w:tc>
          <w:tcPr>
            <w:tcW w:w="527" w:type="pct"/>
            <w:tcBorders>
              <w:top w:val="single" w:sz="6" w:space="0" w:color="auto"/>
              <w:left w:val="single" w:sz="6" w:space="0" w:color="auto"/>
              <w:bottom w:val="single" w:sz="6" w:space="0" w:color="auto"/>
              <w:right w:val="single" w:sz="6" w:space="0" w:color="auto"/>
            </w:tcBorders>
            <w:vAlign w:val="center"/>
          </w:tcPr>
          <w:p w:rsidR="003D1E4F" w:rsidRPr="00D136FB" w:rsidRDefault="003D1E4F">
            <w:pPr>
              <w:spacing w:beforeLines="20" w:before="48" w:afterLines="20" w:after="48" w:line="276" w:lineRule="auto"/>
              <w:jc w:val="center"/>
              <w:rPr>
                <w:noProof/>
                <w:sz w:val="16"/>
                <w:szCs w:val="16"/>
                <w:lang w:eastAsia="bg-BG" w:bidi="bg-BG"/>
              </w:rPr>
            </w:pPr>
          </w:p>
        </w:tc>
      </w:tr>
      <w:tr w:rsidR="003D1E4F" w:rsidRPr="00D136FB" w:rsidTr="003D1E4F">
        <w:trPr>
          <w:trHeight w:val="289"/>
        </w:trPr>
        <w:tc>
          <w:tcPr>
            <w:tcW w:w="0" w:type="auto"/>
            <w:vMerge/>
            <w:tcBorders>
              <w:top w:val="single" w:sz="6" w:space="0" w:color="auto"/>
              <w:left w:val="single" w:sz="6" w:space="0" w:color="auto"/>
              <w:bottom w:val="single" w:sz="6" w:space="0" w:color="auto"/>
              <w:right w:val="single" w:sz="6" w:space="0" w:color="auto"/>
            </w:tcBorders>
            <w:vAlign w:val="center"/>
            <w:hideMark/>
          </w:tcPr>
          <w:p w:rsidR="003D1E4F" w:rsidRPr="00D136FB" w:rsidRDefault="003D1E4F">
            <w:pPr>
              <w:spacing w:before="0" w:after="0"/>
              <w:jc w:val="left"/>
              <w:rPr>
                <w:b/>
                <w:sz w:val="16"/>
                <w:szCs w:val="16"/>
                <w:lang w:eastAsia="bg-BG" w:bidi="bg-BG"/>
              </w:rPr>
            </w:pPr>
          </w:p>
        </w:tc>
        <w:tc>
          <w:tcPr>
            <w:tcW w:w="737" w:type="pct"/>
            <w:tcBorders>
              <w:top w:val="single" w:sz="6" w:space="0" w:color="auto"/>
              <w:left w:val="single" w:sz="6" w:space="0" w:color="auto"/>
              <w:bottom w:val="single" w:sz="6" w:space="0" w:color="auto"/>
              <w:right w:val="single" w:sz="6" w:space="0" w:color="auto"/>
            </w:tcBorders>
            <w:vAlign w:val="center"/>
            <w:hideMark/>
          </w:tcPr>
          <w:p w:rsidR="003D1E4F" w:rsidRPr="00D136FB" w:rsidRDefault="003D1E4F">
            <w:pPr>
              <w:pStyle w:val="Text1"/>
              <w:spacing w:beforeLines="20" w:before="48" w:afterLines="20" w:after="48" w:line="276" w:lineRule="auto"/>
              <w:ind w:left="986"/>
              <w:jc w:val="left"/>
              <w:rPr>
                <w:b/>
                <w:sz w:val="16"/>
                <w:szCs w:val="16"/>
                <w:lang w:eastAsia="bg-BG" w:bidi="bg-BG"/>
              </w:rPr>
            </w:pPr>
            <w:r w:rsidRPr="00D136FB">
              <w:rPr>
                <w:sz w:val="16"/>
              </w:rPr>
              <w:t xml:space="preserve">- в делегациите </w:t>
            </w:r>
          </w:p>
        </w:tc>
        <w:tc>
          <w:tcPr>
            <w:tcW w:w="466" w:type="pct"/>
            <w:tcBorders>
              <w:top w:val="single" w:sz="6" w:space="0" w:color="auto"/>
              <w:left w:val="single" w:sz="6" w:space="0" w:color="auto"/>
              <w:bottom w:val="single" w:sz="6" w:space="0" w:color="auto"/>
              <w:right w:val="single" w:sz="6" w:space="0" w:color="auto"/>
            </w:tcBorders>
            <w:vAlign w:val="center"/>
          </w:tcPr>
          <w:p w:rsidR="003D1E4F" w:rsidRPr="00D136FB" w:rsidRDefault="003D1E4F">
            <w:pPr>
              <w:pStyle w:val="Text1"/>
              <w:spacing w:beforeLines="20" w:before="48" w:afterLines="20" w:after="48" w:line="276" w:lineRule="auto"/>
              <w:jc w:val="center"/>
              <w:rPr>
                <w:sz w:val="16"/>
                <w:szCs w:val="16"/>
                <w:lang w:eastAsia="bg-BG" w:bidi="bg-BG"/>
              </w:rPr>
            </w:pPr>
          </w:p>
        </w:tc>
        <w:tc>
          <w:tcPr>
            <w:tcW w:w="534" w:type="pct"/>
            <w:tcBorders>
              <w:top w:val="single" w:sz="6" w:space="0" w:color="auto"/>
              <w:left w:val="single" w:sz="6" w:space="0" w:color="auto"/>
              <w:bottom w:val="single" w:sz="6" w:space="0" w:color="auto"/>
              <w:right w:val="single" w:sz="6" w:space="0" w:color="auto"/>
            </w:tcBorders>
            <w:vAlign w:val="center"/>
          </w:tcPr>
          <w:p w:rsidR="003D1E4F" w:rsidRPr="00D136FB" w:rsidRDefault="003D1E4F">
            <w:pPr>
              <w:spacing w:beforeLines="20" w:before="48" w:afterLines="20" w:after="48" w:line="276" w:lineRule="auto"/>
              <w:jc w:val="center"/>
              <w:rPr>
                <w:noProof/>
                <w:sz w:val="16"/>
                <w:szCs w:val="16"/>
                <w:lang w:eastAsia="bg-BG" w:bidi="bg-BG"/>
              </w:rPr>
            </w:pPr>
          </w:p>
        </w:tc>
        <w:tc>
          <w:tcPr>
            <w:tcW w:w="466" w:type="pct"/>
            <w:tcBorders>
              <w:top w:val="single" w:sz="6" w:space="0" w:color="auto"/>
              <w:left w:val="single" w:sz="6" w:space="0" w:color="auto"/>
              <w:bottom w:val="single" w:sz="6" w:space="0" w:color="auto"/>
              <w:right w:val="single" w:sz="6" w:space="0" w:color="auto"/>
            </w:tcBorders>
            <w:vAlign w:val="center"/>
          </w:tcPr>
          <w:p w:rsidR="003D1E4F" w:rsidRPr="00D136FB" w:rsidRDefault="003D1E4F">
            <w:pPr>
              <w:spacing w:beforeLines="20" w:before="48" w:afterLines="20" w:after="48" w:line="276" w:lineRule="auto"/>
              <w:jc w:val="center"/>
              <w:rPr>
                <w:noProof/>
                <w:sz w:val="16"/>
                <w:szCs w:val="16"/>
                <w:lang w:eastAsia="bg-BG" w:bidi="bg-BG"/>
              </w:rPr>
            </w:pPr>
          </w:p>
        </w:tc>
        <w:tc>
          <w:tcPr>
            <w:tcW w:w="534" w:type="pct"/>
            <w:tcBorders>
              <w:top w:val="single" w:sz="6" w:space="0" w:color="auto"/>
              <w:left w:val="single" w:sz="6" w:space="0" w:color="auto"/>
              <w:bottom w:val="single" w:sz="6" w:space="0" w:color="auto"/>
              <w:right w:val="single" w:sz="6" w:space="0" w:color="auto"/>
            </w:tcBorders>
            <w:vAlign w:val="center"/>
          </w:tcPr>
          <w:p w:rsidR="003D1E4F" w:rsidRPr="00D136FB" w:rsidRDefault="003D1E4F">
            <w:pPr>
              <w:spacing w:beforeLines="20" w:before="48" w:afterLines="20" w:after="48" w:line="276" w:lineRule="auto"/>
              <w:jc w:val="center"/>
              <w:rPr>
                <w:noProof/>
                <w:sz w:val="16"/>
                <w:szCs w:val="16"/>
                <w:lang w:eastAsia="bg-BG" w:bidi="bg-BG"/>
              </w:rPr>
            </w:pPr>
          </w:p>
        </w:tc>
        <w:tc>
          <w:tcPr>
            <w:tcW w:w="533" w:type="pct"/>
            <w:tcBorders>
              <w:top w:val="single" w:sz="6" w:space="0" w:color="auto"/>
              <w:left w:val="single" w:sz="6" w:space="0" w:color="auto"/>
              <w:bottom w:val="single" w:sz="6" w:space="0" w:color="auto"/>
              <w:right w:val="single" w:sz="6" w:space="0" w:color="auto"/>
            </w:tcBorders>
            <w:vAlign w:val="center"/>
          </w:tcPr>
          <w:p w:rsidR="003D1E4F" w:rsidRPr="00D136FB" w:rsidRDefault="003D1E4F">
            <w:pPr>
              <w:spacing w:beforeLines="20" w:before="48" w:afterLines="20" w:after="48" w:line="276" w:lineRule="auto"/>
              <w:jc w:val="center"/>
              <w:rPr>
                <w:noProof/>
                <w:sz w:val="16"/>
                <w:szCs w:val="16"/>
                <w:lang w:eastAsia="bg-BG" w:bidi="bg-BG"/>
              </w:rPr>
            </w:pPr>
          </w:p>
        </w:tc>
        <w:tc>
          <w:tcPr>
            <w:tcW w:w="468" w:type="pct"/>
            <w:tcBorders>
              <w:top w:val="single" w:sz="6" w:space="0" w:color="auto"/>
              <w:left w:val="single" w:sz="6" w:space="0" w:color="auto"/>
              <w:bottom w:val="single" w:sz="6" w:space="0" w:color="auto"/>
              <w:right w:val="single" w:sz="6" w:space="0" w:color="auto"/>
            </w:tcBorders>
            <w:vAlign w:val="center"/>
          </w:tcPr>
          <w:p w:rsidR="003D1E4F" w:rsidRPr="00D136FB" w:rsidRDefault="003D1E4F">
            <w:pPr>
              <w:spacing w:beforeLines="20" w:before="48" w:afterLines="20" w:after="48" w:line="276" w:lineRule="auto"/>
              <w:jc w:val="center"/>
              <w:rPr>
                <w:noProof/>
                <w:sz w:val="16"/>
                <w:szCs w:val="16"/>
                <w:lang w:eastAsia="bg-BG" w:bidi="bg-BG"/>
              </w:rPr>
            </w:pPr>
          </w:p>
        </w:tc>
        <w:tc>
          <w:tcPr>
            <w:tcW w:w="527" w:type="pct"/>
            <w:tcBorders>
              <w:top w:val="single" w:sz="6" w:space="0" w:color="auto"/>
              <w:left w:val="single" w:sz="6" w:space="0" w:color="auto"/>
              <w:bottom w:val="single" w:sz="6" w:space="0" w:color="auto"/>
              <w:right w:val="single" w:sz="6" w:space="0" w:color="auto"/>
            </w:tcBorders>
            <w:vAlign w:val="center"/>
          </w:tcPr>
          <w:p w:rsidR="003D1E4F" w:rsidRPr="00D136FB" w:rsidRDefault="003D1E4F">
            <w:pPr>
              <w:spacing w:beforeLines="20" w:before="48" w:afterLines="20" w:after="48" w:line="276" w:lineRule="auto"/>
              <w:jc w:val="center"/>
              <w:rPr>
                <w:noProof/>
                <w:sz w:val="16"/>
                <w:szCs w:val="16"/>
                <w:lang w:eastAsia="bg-BG" w:bidi="bg-BG"/>
              </w:rPr>
            </w:pPr>
          </w:p>
        </w:tc>
      </w:tr>
      <w:tr w:rsidR="003D1E4F" w:rsidRPr="00D136FB" w:rsidTr="003D1E4F">
        <w:trPr>
          <w:trHeight w:val="289"/>
        </w:trPr>
        <w:tc>
          <w:tcPr>
            <w:tcW w:w="1472" w:type="pct"/>
            <w:gridSpan w:val="2"/>
            <w:tcBorders>
              <w:top w:val="single" w:sz="6" w:space="0" w:color="auto"/>
              <w:left w:val="single" w:sz="6" w:space="0" w:color="auto"/>
              <w:bottom w:val="single" w:sz="6" w:space="0" w:color="auto"/>
              <w:right w:val="single" w:sz="6" w:space="0" w:color="auto"/>
            </w:tcBorders>
            <w:hideMark/>
          </w:tcPr>
          <w:p w:rsidR="003D1E4F" w:rsidRPr="00D136FB" w:rsidRDefault="003D1E4F">
            <w:pPr>
              <w:pStyle w:val="Text1"/>
              <w:spacing w:beforeLines="20" w:before="48" w:afterLines="20" w:after="48" w:line="276" w:lineRule="auto"/>
              <w:ind w:left="986"/>
              <w:jc w:val="left"/>
              <w:rPr>
                <w:sz w:val="16"/>
                <w:szCs w:val="16"/>
                <w:lang w:eastAsia="bg-BG" w:bidi="bg-BG"/>
              </w:rPr>
            </w:pPr>
            <w:r w:rsidRPr="00D136FB">
              <w:rPr>
                <w:sz w:val="16"/>
              </w:rPr>
              <w:t>Научни изследвания</w:t>
            </w:r>
          </w:p>
        </w:tc>
        <w:tc>
          <w:tcPr>
            <w:tcW w:w="466" w:type="pct"/>
            <w:tcBorders>
              <w:top w:val="single" w:sz="6" w:space="0" w:color="auto"/>
              <w:left w:val="single" w:sz="6" w:space="0" w:color="auto"/>
              <w:bottom w:val="single" w:sz="6" w:space="0" w:color="auto"/>
              <w:right w:val="single" w:sz="6" w:space="0" w:color="auto"/>
            </w:tcBorders>
            <w:vAlign w:val="center"/>
          </w:tcPr>
          <w:p w:rsidR="003D1E4F" w:rsidRPr="00D136FB" w:rsidRDefault="003D1E4F">
            <w:pPr>
              <w:spacing w:beforeLines="20" w:before="48" w:afterLines="20" w:after="48" w:line="276" w:lineRule="auto"/>
              <w:jc w:val="center"/>
              <w:rPr>
                <w:noProof/>
                <w:sz w:val="16"/>
                <w:szCs w:val="16"/>
                <w:lang w:eastAsia="bg-BG" w:bidi="bg-BG"/>
              </w:rPr>
            </w:pPr>
          </w:p>
        </w:tc>
        <w:tc>
          <w:tcPr>
            <w:tcW w:w="534" w:type="pct"/>
            <w:tcBorders>
              <w:top w:val="single" w:sz="6" w:space="0" w:color="auto"/>
              <w:left w:val="single" w:sz="6" w:space="0" w:color="auto"/>
              <w:bottom w:val="single" w:sz="6" w:space="0" w:color="auto"/>
              <w:right w:val="single" w:sz="6" w:space="0" w:color="auto"/>
            </w:tcBorders>
            <w:vAlign w:val="center"/>
          </w:tcPr>
          <w:p w:rsidR="003D1E4F" w:rsidRPr="00D136FB" w:rsidRDefault="003D1E4F">
            <w:pPr>
              <w:spacing w:beforeLines="20" w:before="48" w:afterLines="20" w:after="48" w:line="276" w:lineRule="auto"/>
              <w:jc w:val="center"/>
              <w:rPr>
                <w:noProof/>
                <w:sz w:val="16"/>
                <w:szCs w:val="16"/>
                <w:lang w:eastAsia="bg-BG" w:bidi="bg-BG"/>
              </w:rPr>
            </w:pPr>
          </w:p>
        </w:tc>
        <w:tc>
          <w:tcPr>
            <w:tcW w:w="466" w:type="pct"/>
            <w:tcBorders>
              <w:top w:val="single" w:sz="6" w:space="0" w:color="auto"/>
              <w:left w:val="single" w:sz="6" w:space="0" w:color="auto"/>
              <w:bottom w:val="single" w:sz="6" w:space="0" w:color="auto"/>
              <w:right w:val="single" w:sz="6" w:space="0" w:color="auto"/>
            </w:tcBorders>
            <w:vAlign w:val="center"/>
          </w:tcPr>
          <w:p w:rsidR="003D1E4F" w:rsidRPr="00D136FB" w:rsidRDefault="003D1E4F">
            <w:pPr>
              <w:spacing w:beforeLines="20" w:before="48" w:afterLines="20" w:after="48" w:line="276" w:lineRule="auto"/>
              <w:jc w:val="center"/>
              <w:rPr>
                <w:noProof/>
                <w:sz w:val="16"/>
                <w:szCs w:val="16"/>
                <w:lang w:eastAsia="bg-BG" w:bidi="bg-BG"/>
              </w:rPr>
            </w:pPr>
          </w:p>
        </w:tc>
        <w:tc>
          <w:tcPr>
            <w:tcW w:w="534" w:type="pct"/>
            <w:tcBorders>
              <w:top w:val="single" w:sz="6" w:space="0" w:color="auto"/>
              <w:left w:val="single" w:sz="6" w:space="0" w:color="auto"/>
              <w:bottom w:val="single" w:sz="6" w:space="0" w:color="auto"/>
              <w:right w:val="single" w:sz="6" w:space="0" w:color="auto"/>
            </w:tcBorders>
            <w:vAlign w:val="center"/>
          </w:tcPr>
          <w:p w:rsidR="003D1E4F" w:rsidRPr="00D136FB" w:rsidRDefault="003D1E4F">
            <w:pPr>
              <w:spacing w:beforeLines="20" w:before="48" w:afterLines="20" w:after="48" w:line="276" w:lineRule="auto"/>
              <w:jc w:val="center"/>
              <w:rPr>
                <w:noProof/>
                <w:sz w:val="16"/>
                <w:szCs w:val="16"/>
                <w:lang w:eastAsia="bg-BG" w:bidi="bg-BG"/>
              </w:rPr>
            </w:pPr>
          </w:p>
        </w:tc>
        <w:tc>
          <w:tcPr>
            <w:tcW w:w="533" w:type="pct"/>
            <w:tcBorders>
              <w:top w:val="single" w:sz="6" w:space="0" w:color="auto"/>
              <w:left w:val="single" w:sz="6" w:space="0" w:color="auto"/>
              <w:bottom w:val="single" w:sz="6" w:space="0" w:color="auto"/>
              <w:right w:val="single" w:sz="6" w:space="0" w:color="auto"/>
            </w:tcBorders>
            <w:vAlign w:val="center"/>
          </w:tcPr>
          <w:p w:rsidR="003D1E4F" w:rsidRPr="00D136FB" w:rsidRDefault="003D1E4F">
            <w:pPr>
              <w:spacing w:beforeLines="20" w:before="48" w:afterLines="20" w:after="48" w:line="276" w:lineRule="auto"/>
              <w:jc w:val="center"/>
              <w:rPr>
                <w:noProof/>
                <w:sz w:val="16"/>
                <w:szCs w:val="16"/>
                <w:lang w:eastAsia="bg-BG" w:bidi="bg-BG"/>
              </w:rPr>
            </w:pPr>
          </w:p>
        </w:tc>
        <w:tc>
          <w:tcPr>
            <w:tcW w:w="468" w:type="pct"/>
            <w:tcBorders>
              <w:top w:val="single" w:sz="6" w:space="0" w:color="auto"/>
              <w:left w:val="single" w:sz="6" w:space="0" w:color="auto"/>
              <w:bottom w:val="single" w:sz="6" w:space="0" w:color="auto"/>
              <w:right w:val="single" w:sz="6" w:space="0" w:color="auto"/>
            </w:tcBorders>
            <w:vAlign w:val="center"/>
          </w:tcPr>
          <w:p w:rsidR="003D1E4F" w:rsidRPr="00D136FB" w:rsidRDefault="003D1E4F">
            <w:pPr>
              <w:spacing w:beforeLines="20" w:before="48" w:afterLines="20" w:after="48" w:line="276" w:lineRule="auto"/>
              <w:jc w:val="center"/>
              <w:rPr>
                <w:noProof/>
                <w:sz w:val="16"/>
                <w:szCs w:val="16"/>
                <w:lang w:eastAsia="bg-BG" w:bidi="bg-BG"/>
              </w:rPr>
            </w:pPr>
          </w:p>
        </w:tc>
        <w:tc>
          <w:tcPr>
            <w:tcW w:w="527" w:type="pct"/>
            <w:tcBorders>
              <w:top w:val="single" w:sz="6" w:space="0" w:color="auto"/>
              <w:left w:val="single" w:sz="6" w:space="0" w:color="auto"/>
              <w:bottom w:val="single" w:sz="6" w:space="0" w:color="auto"/>
              <w:right w:val="single" w:sz="6" w:space="0" w:color="auto"/>
            </w:tcBorders>
            <w:vAlign w:val="center"/>
          </w:tcPr>
          <w:p w:rsidR="003D1E4F" w:rsidRPr="00D136FB" w:rsidRDefault="003D1E4F">
            <w:pPr>
              <w:spacing w:beforeLines="20" w:before="48" w:afterLines="20" w:after="48" w:line="276" w:lineRule="auto"/>
              <w:jc w:val="center"/>
              <w:rPr>
                <w:noProof/>
                <w:sz w:val="16"/>
                <w:szCs w:val="16"/>
                <w:lang w:eastAsia="bg-BG" w:bidi="bg-BG"/>
              </w:rPr>
            </w:pPr>
          </w:p>
        </w:tc>
      </w:tr>
      <w:tr w:rsidR="003D1E4F" w:rsidRPr="00D136FB" w:rsidTr="003D1E4F">
        <w:trPr>
          <w:trHeight w:val="289"/>
        </w:trPr>
        <w:tc>
          <w:tcPr>
            <w:tcW w:w="1472" w:type="pct"/>
            <w:gridSpan w:val="2"/>
            <w:tcBorders>
              <w:top w:val="single" w:sz="6" w:space="0" w:color="auto"/>
              <w:left w:val="single" w:sz="6" w:space="0" w:color="auto"/>
              <w:bottom w:val="double" w:sz="4" w:space="0" w:color="auto"/>
              <w:right w:val="single" w:sz="6" w:space="0" w:color="auto"/>
            </w:tcBorders>
            <w:hideMark/>
          </w:tcPr>
          <w:p w:rsidR="003D1E4F" w:rsidRPr="00D136FB" w:rsidRDefault="003D1E4F">
            <w:pPr>
              <w:pStyle w:val="Text1"/>
              <w:spacing w:beforeLines="20" w:before="48" w:afterLines="20" w:after="48" w:line="276" w:lineRule="auto"/>
              <w:ind w:left="984"/>
              <w:jc w:val="left"/>
              <w:rPr>
                <w:sz w:val="16"/>
                <w:szCs w:val="16"/>
                <w:lang w:eastAsia="bg-BG" w:bidi="bg-BG"/>
              </w:rPr>
            </w:pPr>
            <w:r w:rsidRPr="00D136FB">
              <w:rPr>
                <w:sz w:val="16"/>
              </w:rPr>
              <w:t>Други бюджетни редове (да се посочат)</w:t>
            </w:r>
          </w:p>
        </w:tc>
        <w:tc>
          <w:tcPr>
            <w:tcW w:w="466" w:type="pct"/>
            <w:tcBorders>
              <w:top w:val="single" w:sz="6" w:space="0" w:color="auto"/>
              <w:left w:val="single" w:sz="6" w:space="0" w:color="auto"/>
              <w:bottom w:val="double" w:sz="4" w:space="0" w:color="auto"/>
              <w:right w:val="single" w:sz="6" w:space="0" w:color="auto"/>
            </w:tcBorders>
            <w:vAlign w:val="center"/>
          </w:tcPr>
          <w:p w:rsidR="003D1E4F" w:rsidRPr="00D136FB" w:rsidRDefault="003D1E4F">
            <w:pPr>
              <w:spacing w:beforeLines="20" w:before="48" w:afterLines="20" w:after="48" w:line="276" w:lineRule="auto"/>
              <w:jc w:val="center"/>
              <w:rPr>
                <w:noProof/>
                <w:sz w:val="16"/>
                <w:szCs w:val="16"/>
                <w:lang w:eastAsia="bg-BG" w:bidi="bg-BG"/>
              </w:rPr>
            </w:pPr>
          </w:p>
        </w:tc>
        <w:tc>
          <w:tcPr>
            <w:tcW w:w="534" w:type="pct"/>
            <w:tcBorders>
              <w:top w:val="single" w:sz="6" w:space="0" w:color="auto"/>
              <w:left w:val="single" w:sz="6" w:space="0" w:color="auto"/>
              <w:bottom w:val="double" w:sz="4" w:space="0" w:color="auto"/>
              <w:right w:val="single" w:sz="6" w:space="0" w:color="auto"/>
            </w:tcBorders>
            <w:vAlign w:val="center"/>
          </w:tcPr>
          <w:p w:rsidR="003D1E4F" w:rsidRPr="00D136FB" w:rsidRDefault="003D1E4F">
            <w:pPr>
              <w:spacing w:beforeLines="20" w:before="48" w:afterLines="20" w:after="48" w:line="276" w:lineRule="auto"/>
              <w:jc w:val="center"/>
              <w:rPr>
                <w:noProof/>
                <w:sz w:val="16"/>
                <w:szCs w:val="16"/>
                <w:lang w:eastAsia="bg-BG" w:bidi="bg-BG"/>
              </w:rPr>
            </w:pPr>
          </w:p>
        </w:tc>
        <w:tc>
          <w:tcPr>
            <w:tcW w:w="466" w:type="pct"/>
            <w:tcBorders>
              <w:top w:val="single" w:sz="6" w:space="0" w:color="auto"/>
              <w:left w:val="single" w:sz="6" w:space="0" w:color="auto"/>
              <w:bottom w:val="double" w:sz="4" w:space="0" w:color="auto"/>
              <w:right w:val="single" w:sz="6" w:space="0" w:color="auto"/>
            </w:tcBorders>
            <w:vAlign w:val="center"/>
          </w:tcPr>
          <w:p w:rsidR="003D1E4F" w:rsidRPr="00D136FB" w:rsidRDefault="003D1E4F">
            <w:pPr>
              <w:spacing w:beforeLines="20" w:before="48" w:afterLines="20" w:after="48" w:line="276" w:lineRule="auto"/>
              <w:jc w:val="center"/>
              <w:rPr>
                <w:noProof/>
                <w:sz w:val="16"/>
                <w:szCs w:val="16"/>
                <w:lang w:eastAsia="bg-BG" w:bidi="bg-BG"/>
              </w:rPr>
            </w:pPr>
          </w:p>
        </w:tc>
        <w:tc>
          <w:tcPr>
            <w:tcW w:w="534" w:type="pct"/>
            <w:tcBorders>
              <w:top w:val="single" w:sz="6" w:space="0" w:color="auto"/>
              <w:left w:val="single" w:sz="6" w:space="0" w:color="auto"/>
              <w:bottom w:val="double" w:sz="4" w:space="0" w:color="auto"/>
              <w:right w:val="single" w:sz="6" w:space="0" w:color="auto"/>
            </w:tcBorders>
            <w:vAlign w:val="center"/>
          </w:tcPr>
          <w:p w:rsidR="003D1E4F" w:rsidRPr="00D136FB" w:rsidRDefault="003D1E4F">
            <w:pPr>
              <w:spacing w:beforeLines="20" w:before="48" w:afterLines="20" w:after="48" w:line="276" w:lineRule="auto"/>
              <w:jc w:val="center"/>
              <w:rPr>
                <w:noProof/>
                <w:sz w:val="16"/>
                <w:szCs w:val="16"/>
                <w:lang w:eastAsia="bg-BG" w:bidi="bg-BG"/>
              </w:rPr>
            </w:pPr>
          </w:p>
        </w:tc>
        <w:tc>
          <w:tcPr>
            <w:tcW w:w="533" w:type="pct"/>
            <w:tcBorders>
              <w:top w:val="single" w:sz="6" w:space="0" w:color="auto"/>
              <w:left w:val="single" w:sz="6" w:space="0" w:color="auto"/>
              <w:bottom w:val="double" w:sz="4" w:space="0" w:color="auto"/>
              <w:right w:val="single" w:sz="6" w:space="0" w:color="auto"/>
            </w:tcBorders>
            <w:vAlign w:val="center"/>
          </w:tcPr>
          <w:p w:rsidR="003D1E4F" w:rsidRPr="00D136FB" w:rsidRDefault="003D1E4F">
            <w:pPr>
              <w:spacing w:beforeLines="20" w:before="48" w:afterLines="20" w:after="48" w:line="276" w:lineRule="auto"/>
              <w:jc w:val="center"/>
              <w:rPr>
                <w:noProof/>
                <w:sz w:val="16"/>
                <w:szCs w:val="16"/>
                <w:lang w:eastAsia="bg-BG" w:bidi="bg-BG"/>
              </w:rPr>
            </w:pPr>
          </w:p>
        </w:tc>
        <w:tc>
          <w:tcPr>
            <w:tcW w:w="468" w:type="pct"/>
            <w:tcBorders>
              <w:top w:val="single" w:sz="6" w:space="0" w:color="auto"/>
              <w:left w:val="single" w:sz="6" w:space="0" w:color="auto"/>
              <w:bottom w:val="double" w:sz="4" w:space="0" w:color="auto"/>
              <w:right w:val="single" w:sz="6" w:space="0" w:color="auto"/>
            </w:tcBorders>
            <w:vAlign w:val="center"/>
          </w:tcPr>
          <w:p w:rsidR="003D1E4F" w:rsidRPr="00D136FB" w:rsidRDefault="003D1E4F">
            <w:pPr>
              <w:spacing w:beforeLines="20" w:before="48" w:afterLines="20" w:after="48" w:line="276" w:lineRule="auto"/>
              <w:jc w:val="center"/>
              <w:rPr>
                <w:noProof/>
                <w:sz w:val="16"/>
                <w:szCs w:val="16"/>
                <w:lang w:eastAsia="bg-BG" w:bidi="bg-BG"/>
              </w:rPr>
            </w:pPr>
          </w:p>
        </w:tc>
        <w:tc>
          <w:tcPr>
            <w:tcW w:w="527" w:type="pct"/>
            <w:tcBorders>
              <w:top w:val="single" w:sz="6" w:space="0" w:color="auto"/>
              <w:left w:val="single" w:sz="6" w:space="0" w:color="auto"/>
              <w:bottom w:val="double" w:sz="4" w:space="0" w:color="auto"/>
              <w:right w:val="single" w:sz="6" w:space="0" w:color="auto"/>
            </w:tcBorders>
            <w:vAlign w:val="center"/>
          </w:tcPr>
          <w:p w:rsidR="003D1E4F" w:rsidRPr="00D136FB" w:rsidRDefault="003D1E4F">
            <w:pPr>
              <w:spacing w:beforeLines="20" w:before="48" w:afterLines="20" w:after="48" w:line="276" w:lineRule="auto"/>
              <w:jc w:val="center"/>
              <w:rPr>
                <w:noProof/>
                <w:sz w:val="16"/>
                <w:szCs w:val="16"/>
                <w:lang w:eastAsia="bg-BG" w:bidi="bg-BG"/>
              </w:rPr>
            </w:pPr>
          </w:p>
        </w:tc>
      </w:tr>
      <w:tr w:rsidR="003D1E4F" w:rsidRPr="00D136FB" w:rsidTr="003D1E4F">
        <w:trPr>
          <w:trHeight w:val="289"/>
        </w:trPr>
        <w:tc>
          <w:tcPr>
            <w:tcW w:w="1472" w:type="pct"/>
            <w:gridSpan w:val="2"/>
            <w:tcBorders>
              <w:top w:val="double" w:sz="4" w:space="0" w:color="auto"/>
              <w:left w:val="single" w:sz="6" w:space="0" w:color="auto"/>
              <w:bottom w:val="single" w:sz="6" w:space="0" w:color="auto"/>
              <w:right w:val="single" w:sz="6" w:space="0" w:color="auto"/>
            </w:tcBorders>
            <w:hideMark/>
          </w:tcPr>
          <w:p w:rsidR="003D1E4F" w:rsidRPr="00D136FB" w:rsidRDefault="003D1E4F">
            <w:pPr>
              <w:pStyle w:val="Text1"/>
              <w:spacing w:beforeLines="20" w:before="48" w:afterLines="20" w:after="48" w:line="276" w:lineRule="auto"/>
              <w:ind w:left="986"/>
              <w:jc w:val="left"/>
              <w:rPr>
                <w:sz w:val="16"/>
                <w:szCs w:val="16"/>
                <w:lang w:eastAsia="bg-BG" w:bidi="bg-BG"/>
              </w:rPr>
            </w:pPr>
            <w:r w:rsidRPr="00D136FB">
              <w:rPr>
                <w:b/>
                <w:sz w:val="16"/>
              </w:rPr>
              <w:t>ОБЩО</w:t>
            </w:r>
          </w:p>
        </w:tc>
        <w:tc>
          <w:tcPr>
            <w:tcW w:w="466" w:type="pct"/>
            <w:tcBorders>
              <w:top w:val="double" w:sz="4" w:space="0" w:color="auto"/>
              <w:left w:val="single" w:sz="6" w:space="0" w:color="auto"/>
              <w:bottom w:val="single" w:sz="6" w:space="0" w:color="auto"/>
              <w:right w:val="single" w:sz="6" w:space="0" w:color="auto"/>
            </w:tcBorders>
            <w:vAlign w:val="center"/>
            <w:hideMark/>
          </w:tcPr>
          <w:p w:rsidR="003D1E4F" w:rsidRPr="00D136FB" w:rsidRDefault="003D1E4F">
            <w:pPr>
              <w:spacing w:beforeLines="20" w:before="48" w:afterLines="20" w:after="48" w:line="276" w:lineRule="auto"/>
              <w:jc w:val="center"/>
              <w:rPr>
                <w:b/>
                <w:sz w:val="20"/>
                <w:lang w:eastAsia="bg-BG" w:bidi="bg-BG"/>
              </w:rPr>
            </w:pPr>
            <w:r w:rsidRPr="00D136FB">
              <w:rPr>
                <w:b/>
                <w:noProof/>
                <w:sz w:val="20"/>
              </w:rPr>
              <w:t>106</w:t>
            </w:r>
          </w:p>
        </w:tc>
        <w:tc>
          <w:tcPr>
            <w:tcW w:w="534" w:type="pct"/>
            <w:tcBorders>
              <w:top w:val="double" w:sz="4" w:space="0" w:color="auto"/>
              <w:left w:val="single" w:sz="6" w:space="0" w:color="auto"/>
              <w:bottom w:val="single" w:sz="6" w:space="0" w:color="auto"/>
              <w:right w:val="single" w:sz="6" w:space="0" w:color="auto"/>
            </w:tcBorders>
            <w:vAlign w:val="center"/>
            <w:hideMark/>
          </w:tcPr>
          <w:p w:rsidR="003D1E4F" w:rsidRPr="00D136FB" w:rsidRDefault="003D1E4F">
            <w:pPr>
              <w:spacing w:beforeLines="20" w:before="48" w:afterLines="20" w:after="48" w:line="276" w:lineRule="auto"/>
              <w:jc w:val="center"/>
              <w:rPr>
                <w:b/>
                <w:sz w:val="20"/>
                <w:lang w:eastAsia="bg-BG" w:bidi="bg-BG"/>
              </w:rPr>
            </w:pPr>
            <w:r w:rsidRPr="00D136FB">
              <w:rPr>
                <w:b/>
                <w:noProof/>
                <w:sz w:val="20"/>
              </w:rPr>
              <w:t>116</w:t>
            </w:r>
          </w:p>
        </w:tc>
        <w:tc>
          <w:tcPr>
            <w:tcW w:w="466" w:type="pct"/>
            <w:tcBorders>
              <w:top w:val="double" w:sz="4" w:space="0" w:color="auto"/>
              <w:left w:val="single" w:sz="6" w:space="0" w:color="auto"/>
              <w:bottom w:val="single" w:sz="6" w:space="0" w:color="auto"/>
              <w:right w:val="single" w:sz="6" w:space="0" w:color="auto"/>
            </w:tcBorders>
            <w:vAlign w:val="center"/>
            <w:hideMark/>
          </w:tcPr>
          <w:p w:rsidR="003D1E4F" w:rsidRPr="00D136FB" w:rsidRDefault="003D1E4F">
            <w:pPr>
              <w:spacing w:beforeLines="20" w:before="48" w:afterLines="20" w:after="48" w:line="276" w:lineRule="auto"/>
              <w:jc w:val="center"/>
              <w:rPr>
                <w:b/>
                <w:sz w:val="20"/>
                <w:lang w:eastAsia="bg-BG" w:bidi="bg-BG"/>
              </w:rPr>
            </w:pPr>
            <w:r w:rsidRPr="00D136FB">
              <w:rPr>
                <w:b/>
                <w:noProof/>
                <w:sz w:val="20"/>
              </w:rPr>
              <w:t>124</w:t>
            </w:r>
          </w:p>
        </w:tc>
        <w:tc>
          <w:tcPr>
            <w:tcW w:w="534" w:type="pct"/>
            <w:tcBorders>
              <w:top w:val="double" w:sz="4" w:space="0" w:color="auto"/>
              <w:left w:val="single" w:sz="6" w:space="0" w:color="auto"/>
              <w:bottom w:val="single" w:sz="6" w:space="0" w:color="auto"/>
              <w:right w:val="single" w:sz="6" w:space="0" w:color="auto"/>
            </w:tcBorders>
            <w:vAlign w:val="center"/>
            <w:hideMark/>
          </w:tcPr>
          <w:p w:rsidR="003D1E4F" w:rsidRPr="00D136FB" w:rsidRDefault="003D1E4F">
            <w:pPr>
              <w:spacing w:line="276" w:lineRule="auto"/>
              <w:jc w:val="center"/>
              <w:rPr>
                <w:sz w:val="20"/>
                <w:lang w:eastAsia="bg-BG" w:bidi="bg-BG"/>
              </w:rPr>
            </w:pPr>
            <w:r w:rsidRPr="00D136FB">
              <w:rPr>
                <w:b/>
                <w:noProof/>
                <w:sz w:val="20"/>
              </w:rPr>
              <w:t>124</w:t>
            </w:r>
          </w:p>
        </w:tc>
        <w:tc>
          <w:tcPr>
            <w:tcW w:w="533" w:type="pct"/>
            <w:tcBorders>
              <w:top w:val="double" w:sz="4" w:space="0" w:color="auto"/>
              <w:left w:val="single" w:sz="6" w:space="0" w:color="auto"/>
              <w:bottom w:val="single" w:sz="6" w:space="0" w:color="auto"/>
              <w:right w:val="single" w:sz="6" w:space="0" w:color="auto"/>
            </w:tcBorders>
            <w:vAlign w:val="center"/>
            <w:hideMark/>
          </w:tcPr>
          <w:p w:rsidR="003D1E4F" w:rsidRPr="00D136FB" w:rsidRDefault="003D1E4F">
            <w:pPr>
              <w:spacing w:line="276" w:lineRule="auto"/>
              <w:jc w:val="center"/>
              <w:rPr>
                <w:sz w:val="20"/>
                <w:lang w:eastAsia="bg-BG" w:bidi="bg-BG"/>
              </w:rPr>
            </w:pPr>
            <w:r w:rsidRPr="00D136FB">
              <w:rPr>
                <w:b/>
                <w:noProof/>
                <w:sz w:val="20"/>
              </w:rPr>
              <w:t>124</w:t>
            </w:r>
          </w:p>
        </w:tc>
        <w:tc>
          <w:tcPr>
            <w:tcW w:w="468" w:type="pct"/>
            <w:tcBorders>
              <w:top w:val="double" w:sz="4" w:space="0" w:color="auto"/>
              <w:left w:val="single" w:sz="6" w:space="0" w:color="auto"/>
              <w:bottom w:val="single" w:sz="6" w:space="0" w:color="auto"/>
              <w:right w:val="single" w:sz="6" w:space="0" w:color="auto"/>
            </w:tcBorders>
            <w:vAlign w:val="center"/>
            <w:hideMark/>
          </w:tcPr>
          <w:p w:rsidR="003D1E4F" w:rsidRPr="00D136FB" w:rsidRDefault="003D1E4F">
            <w:pPr>
              <w:spacing w:line="276" w:lineRule="auto"/>
              <w:jc w:val="center"/>
              <w:rPr>
                <w:sz w:val="20"/>
                <w:lang w:eastAsia="bg-BG" w:bidi="bg-BG"/>
              </w:rPr>
            </w:pPr>
            <w:r w:rsidRPr="00D136FB">
              <w:rPr>
                <w:b/>
                <w:noProof/>
                <w:sz w:val="20"/>
              </w:rPr>
              <w:t>124</w:t>
            </w:r>
          </w:p>
        </w:tc>
        <w:tc>
          <w:tcPr>
            <w:tcW w:w="527" w:type="pct"/>
            <w:tcBorders>
              <w:top w:val="double" w:sz="4" w:space="0" w:color="auto"/>
              <w:left w:val="single" w:sz="6" w:space="0" w:color="auto"/>
              <w:bottom w:val="single" w:sz="6" w:space="0" w:color="auto"/>
              <w:right w:val="single" w:sz="6" w:space="0" w:color="auto"/>
            </w:tcBorders>
            <w:vAlign w:val="center"/>
            <w:hideMark/>
          </w:tcPr>
          <w:p w:rsidR="003D1E4F" w:rsidRPr="00D136FB" w:rsidRDefault="003D1E4F">
            <w:pPr>
              <w:spacing w:line="276" w:lineRule="auto"/>
              <w:jc w:val="center"/>
              <w:rPr>
                <w:sz w:val="20"/>
                <w:lang w:eastAsia="bg-BG" w:bidi="bg-BG"/>
              </w:rPr>
            </w:pPr>
            <w:r w:rsidRPr="00D136FB">
              <w:rPr>
                <w:b/>
                <w:noProof/>
                <w:sz w:val="20"/>
              </w:rPr>
              <w:t>124</w:t>
            </w:r>
          </w:p>
        </w:tc>
      </w:tr>
    </w:tbl>
    <w:p w:rsidR="003D1E4F" w:rsidRPr="00D136FB" w:rsidRDefault="003D1E4F" w:rsidP="003D1E4F">
      <w:pPr>
        <w:pStyle w:val="Text1"/>
        <w:ind w:left="0"/>
        <w:rPr>
          <w:sz w:val="18"/>
          <w:szCs w:val="18"/>
          <w:lang w:eastAsia="bg-BG" w:bidi="bg-BG"/>
        </w:rPr>
      </w:pPr>
      <w:r w:rsidRPr="00D136FB">
        <w:rPr>
          <w:sz w:val="18"/>
        </w:rPr>
        <w:t>Нуждите от човешки ресурси ще бъдат покрити от персонала на ГД, на който вече е възложено управлението на действието и/или който е преразпределен в рамките на ГД, при необходимост заедно с всички допълнителни отпуснати ресурси, които могат да бъдат предоставени на управляващата ГД в рамките на годишната процедура за отпускане на средства и като се имат предвид бюджетните ограничения.</w:t>
      </w:r>
    </w:p>
    <w:p w:rsidR="003D1E4F" w:rsidRPr="00D136FB" w:rsidRDefault="003D1E4F" w:rsidP="003D1E4F">
      <w:pPr>
        <w:rPr>
          <w:noProof/>
          <w:sz w:val="20"/>
        </w:rPr>
      </w:pPr>
      <w:r w:rsidRPr="00D136FB">
        <w:rPr>
          <w:noProof/>
          <w:sz w:val="20"/>
        </w:rPr>
        <w:t>Описание на задачите, които трябва да се изпълнят:</w:t>
      </w:r>
    </w:p>
    <w:tbl>
      <w:tblPr>
        <w:tblW w:w="10635" w:type="dxa"/>
        <w:tblInd w:w="-6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1"/>
        <w:gridCol w:w="7394"/>
      </w:tblGrid>
      <w:tr w:rsidR="003D1E4F" w:rsidRPr="00D136FB" w:rsidTr="003D1E4F">
        <w:tc>
          <w:tcPr>
            <w:tcW w:w="3240" w:type="dxa"/>
            <w:tcBorders>
              <w:top w:val="single" w:sz="2" w:space="0" w:color="auto"/>
              <w:left w:val="single" w:sz="2" w:space="0" w:color="auto"/>
              <w:bottom w:val="single" w:sz="2" w:space="0" w:color="auto"/>
              <w:right w:val="single" w:sz="2" w:space="0" w:color="auto"/>
            </w:tcBorders>
            <w:hideMark/>
          </w:tcPr>
          <w:p w:rsidR="003D1E4F" w:rsidRPr="00D136FB" w:rsidRDefault="003D1E4F">
            <w:pPr>
              <w:spacing w:line="276" w:lineRule="auto"/>
              <w:rPr>
                <w:noProof/>
                <w:sz w:val="20"/>
                <w:lang w:eastAsia="bg-BG" w:bidi="bg-BG"/>
              </w:rPr>
            </w:pPr>
            <w:r w:rsidRPr="00D136FB">
              <w:rPr>
                <w:noProof/>
                <w:sz w:val="20"/>
              </w:rPr>
              <w:t>Длъжностни лица и срочно наети служители</w:t>
            </w:r>
          </w:p>
        </w:tc>
        <w:tc>
          <w:tcPr>
            <w:tcW w:w="7392" w:type="dxa"/>
            <w:tcBorders>
              <w:top w:val="single" w:sz="2" w:space="0" w:color="auto"/>
              <w:left w:val="single" w:sz="2" w:space="0" w:color="auto"/>
              <w:bottom w:val="single" w:sz="2" w:space="0" w:color="auto"/>
              <w:right w:val="single" w:sz="2" w:space="0" w:color="auto"/>
            </w:tcBorders>
          </w:tcPr>
          <w:p w:rsidR="003D1E4F" w:rsidRPr="00D136FB" w:rsidRDefault="003D1E4F">
            <w:pPr>
              <w:spacing w:line="276" w:lineRule="auto"/>
              <w:rPr>
                <w:noProof/>
                <w:sz w:val="20"/>
                <w:lang w:eastAsia="bg-BG" w:bidi="bg-BG"/>
              </w:rPr>
            </w:pPr>
          </w:p>
        </w:tc>
      </w:tr>
      <w:tr w:rsidR="003D1E4F" w:rsidRPr="00D136FB" w:rsidTr="003D1E4F">
        <w:tc>
          <w:tcPr>
            <w:tcW w:w="3240" w:type="dxa"/>
            <w:tcBorders>
              <w:top w:val="single" w:sz="2" w:space="0" w:color="auto"/>
              <w:left w:val="single" w:sz="2" w:space="0" w:color="auto"/>
              <w:bottom w:val="single" w:sz="2" w:space="0" w:color="auto"/>
              <w:right w:val="single" w:sz="2" w:space="0" w:color="auto"/>
            </w:tcBorders>
            <w:hideMark/>
          </w:tcPr>
          <w:p w:rsidR="003D1E4F" w:rsidRPr="00D136FB" w:rsidRDefault="003D1E4F">
            <w:pPr>
              <w:spacing w:before="60" w:after="60" w:line="276" w:lineRule="auto"/>
              <w:rPr>
                <w:noProof/>
                <w:sz w:val="20"/>
                <w:lang w:eastAsia="bg-BG" w:bidi="bg-BG"/>
              </w:rPr>
            </w:pPr>
            <w:r w:rsidRPr="00D136FB">
              <w:rPr>
                <w:noProof/>
                <w:sz w:val="20"/>
              </w:rPr>
              <w:t>Външен персонал</w:t>
            </w:r>
          </w:p>
        </w:tc>
        <w:tc>
          <w:tcPr>
            <w:tcW w:w="7392" w:type="dxa"/>
            <w:tcBorders>
              <w:top w:val="single" w:sz="2" w:space="0" w:color="auto"/>
              <w:left w:val="single" w:sz="2" w:space="0" w:color="auto"/>
              <w:bottom w:val="single" w:sz="2" w:space="0" w:color="auto"/>
              <w:right w:val="single" w:sz="2" w:space="0" w:color="auto"/>
            </w:tcBorders>
          </w:tcPr>
          <w:p w:rsidR="003D1E4F" w:rsidRPr="00D136FB" w:rsidRDefault="003D1E4F">
            <w:pPr>
              <w:spacing w:line="276" w:lineRule="auto"/>
              <w:rPr>
                <w:noProof/>
                <w:sz w:val="20"/>
                <w:lang w:eastAsia="bg-BG" w:bidi="bg-BG"/>
              </w:rPr>
            </w:pPr>
          </w:p>
        </w:tc>
      </w:tr>
    </w:tbl>
    <w:p w:rsidR="003D1E4F" w:rsidRPr="00D136FB" w:rsidRDefault="003D1E4F" w:rsidP="003D1E4F">
      <w:pPr>
        <w:spacing w:before="0" w:after="0"/>
        <w:jc w:val="left"/>
        <w:rPr>
          <w:noProof/>
        </w:rPr>
        <w:sectPr w:rsidR="003D1E4F" w:rsidRPr="00D136FB" w:rsidSect="00377BF1">
          <w:pgSz w:w="11907" w:h="16840"/>
          <w:pgMar w:top="1134" w:right="1418" w:bottom="1134" w:left="1418" w:header="709" w:footer="709" w:gutter="0"/>
          <w:cols w:space="720"/>
          <w:docGrid w:linePitch="326"/>
        </w:sectPr>
      </w:pPr>
    </w:p>
    <w:p w:rsidR="003D1E4F" w:rsidRPr="00D136FB" w:rsidRDefault="003D1E4F" w:rsidP="00EF7A5B">
      <w:pPr>
        <w:pStyle w:val="Heading3"/>
        <w:numPr>
          <w:ilvl w:val="2"/>
          <w:numId w:val="15"/>
        </w:numPr>
        <w:rPr>
          <w:bCs w:val="0"/>
          <w:noProof/>
          <w:szCs w:val="24"/>
          <w:lang w:eastAsia="bg-BG" w:bidi="bg-BG"/>
        </w:rPr>
      </w:pPr>
      <w:r w:rsidRPr="00D136FB">
        <w:lastRenderedPageBreak/>
        <w:t xml:space="preserve">Финансов принос от трети страни </w:t>
      </w:r>
    </w:p>
    <w:p w:rsidR="003D1E4F" w:rsidRPr="00D136FB" w:rsidRDefault="003D1E4F" w:rsidP="003D1E4F">
      <w:pPr>
        <w:pStyle w:val="Text1"/>
      </w:pPr>
      <w:r w:rsidRPr="00D136FB">
        <w:t>Предложението/инициативата:</w:t>
      </w:r>
    </w:p>
    <w:p w:rsidR="003D1E4F" w:rsidRPr="00D136FB" w:rsidRDefault="003D1E4F" w:rsidP="003D1E4F">
      <w:pPr>
        <w:pStyle w:val="ListDash1"/>
      </w:pPr>
      <w:r w:rsidRPr="00D136FB">
        <w:sym w:font="Wingdings" w:char="F0A8"/>
      </w:r>
      <w:r w:rsidRPr="00D136FB">
        <w:tab/>
        <w:t>не предвижда съфинансиране от трети страни</w:t>
      </w:r>
    </w:p>
    <w:p w:rsidR="003D1E4F" w:rsidRPr="00D136FB" w:rsidRDefault="003D1E4F" w:rsidP="003D1E4F">
      <w:pPr>
        <w:pStyle w:val="ListDash1"/>
      </w:pPr>
      <w:r w:rsidRPr="00D136FB">
        <w:sym w:font="Wingdings" w:char="F078"/>
      </w:r>
      <w:r w:rsidRPr="00D136FB">
        <w:tab/>
        <w:t>предвижда съфинансиране от трети страни, като оценките са дадени по-долу:</w:t>
      </w:r>
    </w:p>
    <w:p w:rsidR="003D1E4F" w:rsidRPr="00D136FB" w:rsidRDefault="003D1E4F" w:rsidP="003D1E4F">
      <w:pPr>
        <w:jc w:val="right"/>
        <w:rPr>
          <w:noProof/>
          <w:sz w:val="20"/>
        </w:rPr>
      </w:pPr>
      <w:r w:rsidRPr="00D136FB">
        <w:rPr>
          <w:noProof/>
          <w:sz w:val="20"/>
        </w:rPr>
        <w:t>Бюджетни кредити в млн. евро (до 3-тия знак след десетичната запетая)</w:t>
      </w:r>
    </w:p>
    <w:tbl>
      <w:tblPr>
        <w:tblW w:w="1024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339"/>
        <w:gridCol w:w="964"/>
        <w:gridCol w:w="964"/>
        <w:gridCol w:w="964"/>
        <w:gridCol w:w="964"/>
        <w:gridCol w:w="964"/>
        <w:gridCol w:w="964"/>
        <w:gridCol w:w="964"/>
        <w:gridCol w:w="1158"/>
      </w:tblGrid>
      <w:tr w:rsidR="003D1E4F" w:rsidRPr="00D136FB" w:rsidTr="003D1E4F">
        <w:trPr>
          <w:cantSplit/>
          <w:jc w:val="center"/>
        </w:trPr>
        <w:tc>
          <w:tcPr>
            <w:tcW w:w="2340" w:type="dxa"/>
            <w:tcBorders>
              <w:top w:val="single" w:sz="6" w:space="0" w:color="auto"/>
              <w:left w:val="single" w:sz="6" w:space="0" w:color="auto"/>
              <w:bottom w:val="single" w:sz="6" w:space="0" w:color="auto"/>
              <w:right w:val="single" w:sz="6" w:space="0" w:color="auto"/>
            </w:tcBorders>
            <w:vAlign w:val="center"/>
            <w:hideMark/>
          </w:tcPr>
          <w:p w:rsidR="003D1E4F" w:rsidRPr="00D136FB" w:rsidRDefault="003D1E4F">
            <w:pPr>
              <w:spacing w:before="60" w:after="60" w:line="276" w:lineRule="auto"/>
              <w:jc w:val="center"/>
              <w:rPr>
                <w:b/>
                <w:noProof/>
                <w:sz w:val="20"/>
                <w:lang w:eastAsia="bg-BG" w:bidi="bg-BG"/>
              </w:rPr>
            </w:pPr>
            <w:r w:rsidRPr="00D136FB">
              <w:rPr>
                <w:b/>
                <w:noProof/>
                <w:sz w:val="20"/>
              </w:rPr>
              <w:t>Година</w:t>
            </w:r>
          </w:p>
        </w:tc>
        <w:tc>
          <w:tcPr>
            <w:tcW w:w="964" w:type="dxa"/>
            <w:tcBorders>
              <w:top w:val="single" w:sz="6" w:space="0" w:color="auto"/>
              <w:left w:val="single" w:sz="6" w:space="0" w:color="auto"/>
              <w:bottom w:val="single" w:sz="6" w:space="0" w:color="auto"/>
              <w:right w:val="single" w:sz="6" w:space="0" w:color="auto"/>
            </w:tcBorders>
            <w:vAlign w:val="center"/>
            <w:hideMark/>
          </w:tcPr>
          <w:p w:rsidR="003D1E4F" w:rsidRPr="00D136FB" w:rsidRDefault="003D1E4F">
            <w:pPr>
              <w:spacing w:line="276" w:lineRule="auto"/>
              <w:jc w:val="center"/>
              <w:rPr>
                <w:noProof/>
                <w:sz w:val="20"/>
                <w:lang w:eastAsia="bg-BG" w:bidi="bg-BG"/>
              </w:rPr>
            </w:pPr>
            <w:r w:rsidRPr="00D136FB">
              <w:rPr>
                <w:b/>
                <w:noProof/>
                <w:sz w:val="20"/>
              </w:rPr>
              <w:t>2021 г.</w:t>
            </w:r>
          </w:p>
        </w:tc>
        <w:tc>
          <w:tcPr>
            <w:tcW w:w="964" w:type="dxa"/>
            <w:tcBorders>
              <w:top w:val="single" w:sz="6" w:space="0" w:color="auto"/>
              <w:left w:val="single" w:sz="6" w:space="0" w:color="auto"/>
              <w:bottom w:val="single" w:sz="6" w:space="0" w:color="auto"/>
              <w:right w:val="single" w:sz="6" w:space="0" w:color="auto"/>
            </w:tcBorders>
            <w:vAlign w:val="center"/>
            <w:hideMark/>
          </w:tcPr>
          <w:p w:rsidR="003D1E4F" w:rsidRPr="00D136FB" w:rsidRDefault="003D1E4F">
            <w:pPr>
              <w:spacing w:line="276" w:lineRule="auto"/>
              <w:jc w:val="center"/>
              <w:rPr>
                <w:b/>
                <w:noProof/>
                <w:sz w:val="20"/>
                <w:lang w:eastAsia="bg-BG" w:bidi="bg-BG"/>
              </w:rPr>
            </w:pPr>
            <w:r w:rsidRPr="00D136FB">
              <w:rPr>
                <w:b/>
                <w:noProof/>
                <w:sz w:val="20"/>
              </w:rPr>
              <w:t>2022 г.</w:t>
            </w:r>
          </w:p>
        </w:tc>
        <w:tc>
          <w:tcPr>
            <w:tcW w:w="964" w:type="dxa"/>
            <w:tcBorders>
              <w:top w:val="single" w:sz="6" w:space="0" w:color="auto"/>
              <w:left w:val="single" w:sz="6" w:space="0" w:color="auto"/>
              <w:bottom w:val="single" w:sz="6" w:space="0" w:color="auto"/>
              <w:right w:val="single" w:sz="6" w:space="0" w:color="auto"/>
            </w:tcBorders>
            <w:vAlign w:val="center"/>
            <w:hideMark/>
          </w:tcPr>
          <w:p w:rsidR="003D1E4F" w:rsidRPr="00D136FB" w:rsidRDefault="003D1E4F">
            <w:pPr>
              <w:spacing w:line="276" w:lineRule="auto"/>
              <w:jc w:val="center"/>
              <w:rPr>
                <w:b/>
                <w:noProof/>
                <w:sz w:val="20"/>
                <w:lang w:eastAsia="bg-BG" w:bidi="bg-BG"/>
              </w:rPr>
            </w:pPr>
            <w:r w:rsidRPr="00D136FB">
              <w:rPr>
                <w:b/>
                <w:noProof/>
                <w:sz w:val="20"/>
              </w:rPr>
              <w:t>2023 г.</w:t>
            </w:r>
          </w:p>
        </w:tc>
        <w:tc>
          <w:tcPr>
            <w:tcW w:w="964" w:type="dxa"/>
            <w:tcBorders>
              <w:top w:val="single" w:sz="6" w:space="0" w:color="auto"/>
              <w:left w:val="single" w:sz="6" w:space="0" w:color="auto"/>
              <w:bottom w:val="single" w:sz="6" w:space="0" w:color="auto"/>
              <w:right w:val="single" w:sz="6" w:space="0" w:color="auto"/>
            </w:tcBorders>
            <w:vAlign w:val="center"/>
            <w:hideMark/>
          </w:tcPr>
          <w:p w:rsidR="003D1E4F" w:rsidRPr="00D136FB" w:rsidRDefault="003D1E4F">
            <w:pPr>
              <w:spacing w:line="276" w:lineRule="auto"/>
              <w:jc w:val="center"/>
              <w:rPr>
                <w:b/>
                <w:noProof/>
                <w:sz w:val="20"/>
                <w:lang w:eastAsia="bg-BG" w:bidi="bg-BG"/>
              </w:rPr>
            </w:pPr>
            <w:r w:rsidRPr="00D136FB">
              <w:rPr>
                <w:b/>
                <w:noProof/>
                <w:sz w:val="20"/>
              </w:rPr>
              <w:t>2024 г.</w:t>
            </w:r>
          </w:p>
        </w:tc>
        <w:tc>
          <w:tcPr>
            <w:tcW w:w="964" w:type="dxa"/>
            <w:tcBorders>
              <w:top w:val="single" w:sz="6" w:space="0" w:color="auto"/>
              <w:left w:val="single" w:sz="6" w:space="0" w:color="auto"/>
              <w:bottom w:val="single" w:sz="6" w:space="0" w:color="auto"/>
              <w:right w:val="single" w:sz="6" w:space="0" w:color="auto"/>
            </w:tcBorders>
            <w:vAlign w:val="center"/>
            <w:hideMark/>
          </w:tcPr>
          <w:p w:rsidR="003D1E4F" w:rsidRPr="00D136FB" w:rsidRDefault="003D1E4F">
            <w:pPr>
              <w:spacing w:line="276" w:lineRule="auto"/>
              <w:jc w:val="center"/>
              <w:rPr>
                <w:b/>
                <w:noProof/>
                <w:sz w:val="20"/>
                <w:lang w:eastAsia="bg-BG" w:bidi="bg-BG"/>
              </w:rPr>
            </w:pPr>
            <w:r w:rsidRPr="00D136FB">
              <w:rPr>
                <w:b/>
                <w:noProof/>
                <w:sz w:val="20"/>
              </w:rPr>
              <w:t>2025 г.</w:t>
            </w:r>
          </w:p>
        </w:tc>
        <w:tc>
          <w:tcPr>
            <w:tcW w:w="964" w:type="dxa"/>
            <w:tcBorders>
              <w:top w:val="single" w:sz="6" w:space="0" w:color="auto"/>
              <w:left w:val="single" w:sz="6" w:space="0" w:color="auto"/>
              <w:bottom w:val="single" w:sz="6" w:space="0" w:color="auto"/>
              <w:right w:val="single" w:sz="6" w:space="0" w:color="auto"/>
            </w:tcBorders>
            <w:vAlign w:val="center"/>
            <w:hideMark/>
          </w:tcPr>
          <w:p w:rsidR="003D1E4F" w:rsidRPr="00D136FB" w:rsidRDefault="003D1E4F">
            <w:pPr>
              <w:spacing w:line="276" w:lineRule="auto"/>
              <w:jc w:val="center"/>
              <w:rPr>
                <w:b/>
                <w:noProof/>
                <w:sz w:val="20"/>
                <w:lang w:eastAsia="bg-BG" w:bidi="bg-BG"/>
              </w:rPr>
            </w:pPr>
            <w:r w:rsidRPr="00D136FB">
              <w:rPr>
                <w:b/>
                <w:noProof/>
                <w:sz w:val="20"/>
              </w:rPr>
              <w:t>2026 г.</w:t>
            </w:r>
          </w:p>
        </w:tc>
        <w:tc>
          <w:tcPr>
            <w:tcW w:w="964" w:type="dxa"/>
            <w:tcBorders>
              <w:top w:val="single" w:sz="6" w:space="0" w:color="auto"/>
              <w:left w:val="single" w:sz="6" w:space="0" w:color="auto"/>
              <w:bottom w:val="single" w:sz="6" w:space="0" w:color="auto"/>
              <w:right w:val="single" w:sz="6" w:space="0" w:color="auto"/>
            </w:tcBorders>
            <w:vAlign w:val="center"/>
            <w:hideMark/>
          </w:tcPr>
          <w:p w:rsidR="003D1E4F" w:rsidRPr="00D136FB" w:rsidRDefault="003D1E4F">
            <w:pPr>
              <w:spacing w:line="276" w:lineRule="auto"/>
              <w:jc w:val="center"/>
              <w:rPr>
                <w:b/>
                <w:noProof/>
                <w:sz w:val="20"/>
                <w:lang w:eastAsia="bg-BG" w:bidi="bg-BG"/>
              </w:rPr>
            </w:pPr>
            <w:r w:rsidRPr="00D136FB">
              <w:rPr>
                <w:b/>
                <w:noProof/>
                <w:sz w:val="20"/>
              </w:rPr>
              <w:t>2027 г.</w:t>
            </w:r>
          </w:p>
        </w:tc>
        <w:tc>
          <w:tcPr>
            <w:tcW w:w="1158" w:type="dxa"/>
            <w:tcBorders>
              <w:top w:val="single" w:sz="6" w:space="0" w:color="auto"/>
              <w:left w:val="single" w:sz="6" w:space="0" w:color="auto"/>
              <w:bottom w:val="single" w:sz="6" w:space="0" w:color="auto"/>
              <w:right w:val="single" w:sz="6" w:space="0" w:color="auto"/>
            </w:tcBorders>
            <w:vAlign w:val="center"/>
            <w:hideMark/>
          </w:tcPr>
          <w:p w:rsidR="003D1E4F" w:rsidRPr="00D136FB" w:rsidRDefault="003D1E4F">
            <w:pPr>
              <w:spacing w:before="60" w:after="60" w:line="276" w:lineRule="auto"/>
              <w:jc w:val="center"/>
              <w:rPr>
                <w:b/>
                <w:noProof/>
                <w:sz w:val="20"/>
                <w:lang w:eastAsia="bg-BG" w:bidi="bg-BG"/>
              </w:rPr>
            </w:pPr>
            <w:r w:rsidRPr="00D136FB">
              <w:rPr>
                <w:b/>
                <w:noProof/>
                <w:sz w:val="20"/>
              </w:rPr>
              <w:t>ОБЩО</w:t>
            </w:r>
          </w:p>
        </w:tc>
      </w:tr>
      <w:tr w:rsidR="003D1E4F" w:rsidRPr="00D136FB" w:rsidTr="003D1E4F">
        <w:trPr>
          <w:cantSplit/>
          <w:jc w:val="center"/>
        </w:trPr>
        <w:tc>
          <w:tcPr>
            <w:tcW w:w="2340" w:type="dxa"/>
            <w:tcBorders>
              <w:top w:val="single" w:sz="6" w:space="0" w:color="auto"/>
              <w:left w:val="single" w:sz="6" w:space="0" w:color="auto"/>
              <w:bottom w:val="single" w:sz="6" w:space="0" w:color="auto"/>
              <w:right w:val="single" w:sz="6" w:space="0" w:color="auto"/>
            </w:tcBorders>
            <w:hideMark/>
          </w:tcPr>
          <w:p w:rsidR="003D1E4F" w:rsidRPr="00D136FB" w:rsidRDefault="003D1E4F">
            <w:pPr>
              <w:spacing w:line="276" w:lineRule="auto"/>
              <w:rPr>
                <w:noProof/>
                <w:lang w:eastAsia="bg-BG" w:bidi="bg-BG"/>
              </w:rPr>
            </w:pPr>
            <w:r w:rsidRPr="00D136FB">
              <w:rPr>
                <w:noProof/>
                <w:sz w:val="20"/>
              </w:rPr>
              <w:t>Да се посочи съфинансиращият орган</w:t>
            </w:r>
            <w:r w:rsidRPr="00D136FB">
              <w:rPr>
                <w:i/>
                <w:noProof/>
                <w:sz w:val="20"/>
              </w:rPr>
              <w:t xml:space="preserve"> </w:t>
            </w:r>
          </w:p>
        </w:tc>
        <w:tc>
          <w:tcPr>
            <w:tcW w:w="964" w:type="dxa"/>
            <w:tcBorders>
              <w:top w:val="single" w:sz="6" w:space="0" w:color="auto"/>
              <w:left w:val="single" w:sz="6" w:space="0" w:color="auto"/>
              <w:bottom w:val="single" w:sz="6" w:space="0" w:color="auto"/>
              <w:right w:val="single" w:sz="6" w:space="0" w:color="auto"/>
            </w:tcBorders>
            <w:vAlign w:val="center"/>
            <w:hideMark/>
          </w:tcPr>
          <w:p w:rsidR="003D1E4F" w:rsidRPr="00D136FB" w:rsidRDefault="003D1E4F">
            <w:pPr>
              <w:spacing w:before="60" w:after="60" w:line="276" w:lineRule="auto"/>
              <w:jc w:val="center"/>
              <w:rPr>
                <w:noProof/>
                <w:sz w:val="20"/>
                <w:lang w:eastAsia="bg-BG" w:bidi="bg-BG"/>
              </w:rPr>
            </w:pPr>
            <w:r w:rsidRPr="00D136FB">
              <w:rPr>
                <w:noProof/>
                <w:sz w:val="20"/>
              </w:rPr>
              <w:t>p.m.</w:t>
            </w:r>
          </w:p>
        </w:tc>
        <w:tc>
          <w:tcPr>
            <w:tcW w:w="964" w:type="dxa"/>
            <w:tcBorders>
              <w:top w:val="single" w:sz="6" w:space="0" w:color="auto"/>
              <w:left w:val="single" w:sz="6" w:space="0" w:color="auto"/>
              <w:bottom w:val="single" w:sz="6" w:space="0" w:color="auto"/>
              <w:right w:val="single" w:sz="6" w:space="0" w:color="auto"/>
            </w:tcBorders>
            <w:vAlign w:val="center"/>
            <w:hideMark/>
          </w:tcPr>
          <w:p w:rsidR="003D1E4F" w:rsidRPr="00D136FB" w:rsidRDefault="003D1E4F">
            <w:pPr>
              <w:spacing w:before="60" w:after="60" w:line="276" w:lineRule="auto"/>
              <w:jc w:val="center"/>
              <w:rPr>
                <w:noProof/>
                <w:sz w:val="20"/>
                <w:lang w:eastAsia="bg-BG" w:bidi="bg-BG"/>
              </w:rPr>
            </w:pPr>
            <w:r w:rsidRPr="00D136FB">
              <w:rPr>
                <w:noProof/>
                <w:sz w:val="20"/>
              </w:rPr>
              <w:t>p.m.</w:t>
            </w:r>
          </w:p>
        </w:tc>
        <w:tc>
          <w:tcPr>
            <w:tcW w:w="964" w:type="dxa"/>
            <w:tcBorders>
              <w:top w:val="single" w:sz="6" w:space="0" w:color="auto"/>
              <w:left w:val="single" w:sz="6" w:space="0" w:color="auto"/>
              <w:bottom w:val="single" w:sz="6" w:space="0" w:color="auto"/>
              <w:right w:val="single" w:sz="6" w:space="0" w:color="auto"/>
            </w:tcBorders>
            <w:vAlign w:val="center"/>
            <w:hideMark/>
          </w:tcPr>
          <w:p w:rsidR="003D1E4F" w:rsidRPr="00D136FB" w:rsidRDefault="003D1E4F">
            <w:pPr>
              <w:spacing w:before="60" w:after="60" w:line="276" w:lineRule="auto"/>
              <w:jc w:val="center"/>
              <w:rPr>
                <w:noProof/>
                <w:sz w:val="20"/>
                <w:lang w:eastAsia="bg-BG" w:bidi="bg-BG"/>
              </w:rPr>
            </w:pPr>
            <w:r w:rsidRPr="00D136FB">
              <w:rPr>
                <w:noProof/>
                <w:sz w:val="20"/>
              </w:rPr>
              <w:t>p.m.</w:t>
            </w:r>
          </w:p>
        </w:tc>
        <w:tc>
          <w:tcPr>
            <w:tcW w:w="964" w:type="dxa"/>
            <w:tcBorders>
              <w:top w:val="single" w:sz="6" w:space="0" w:color="auto"/>
              <w:left w:val="single" w:sz="6" w:space="0" w:color="auto"/>
              <w:bottom w:val="single" w:sz="6" w:space="0" w:color="auto"/>
              <w:right w:val="single" w:sz="6" w:space="0" w:color="auto"/>
            </w:tcBorders>
            <w:vAlign w:val="center"/>
            <w:hideMark/>
          </w:tcPr>
          <w:p w:rsidR="003D1E4F" w:rsidRPr="00D136FB" w:rsidRDefault="003D1E4F">
            <w:pPr>
              <w:spacing w:before="60" w:after="60" w:line="276" w:lineRule="auto"/>
              <w:jc w:val="center"/>
              <w:rPr>
                <w:noProof/>
                <w:sz w:val="20"/>
                <w:lang w:eastAsia="bg-BG" w:bidi="bg-BG"/>
              </w:rPr>
            </w:pPr>
            <w:r w:rsidRPr="00D136FB">
              <w:rPr>
                <w:noProof/>
                <w:sz w:val="20"/>
              </w:rPr>
              <w:t>p.m.</w:t>
            </w:r>
          </w:p>
        </w:tc>
        <w:tc>
          <w:tcPr>
            <w:tcW w:w="964" w:type="dxa"/>
            <w:tcBorders>
              <w:top w:val="single" w:sz="6" w:space="0" w:color="auto"/>
              <w:left w:val="single" w:sz="6" w:space="0" w:color="auto"/>
              <w:bottom w:val="single" w:sz="6" w:space="0" w:color="auto"/>
              <w:right w:val="single" w:sz="6" w:space="0" w:color="auto"/>
            </w:tcBorders>
            <w:vAlign w:val="center"/>
            <w:hideMark/>
          </w:tcPr>
          <w:p w:rsidR="003D1E4F" w:rsidRPr="00D136FB" w:rsidRDefault="003D1E4F">
            <w:pPr>
              <w:spacing w:before="60" w:after="60" w:line="276" w:lineRule="auto"/>
              <w:jc w:val="center"/>
              <w:rPr>
                <w:noProof/>
                <w:sz w:val="20"/>
                <w:lang w:eastAsia="bg-BG" w:bidi="bg-BG"/>
              </w:rPr>
            </w:pPr>
            <w:r w:rsidRPr="00D136FB">
              <w:rPr>
                <w:noProof/>
                <w:sz w:val="20"/>
              </w:rPr>
              <w:t>p.m.</w:t>
            </w:r>
          </w:p>
        </w:tc>
        <w:tc>
          <w:tcPr>
            <w:tcW w:w="964" w:type="dxa"/>
            <w:tcBorders>
              <w:top w:val="single" w:sz="6" w:space="0" w:color="auto"/>
              <w:left w:val="single" w:sz="6" w:space="0" w:color="auto"/>
              <w:bottom w:val="single" w:sz="6" w:space="0" w:color="auto"/>
              <w:right w:val="single" w:sz="6" w:space="0" w:color="auto"/>
            </w:tcBorders>
            <w:vAlign w:val="center"/>
            <w:hideMark/>
          </w:tcPr>
          <w:p w:rsidR="003D1E4F" w:rsidRPr="00D136FB" w:rsidRDefault="003D1E4F">
            <w:pPr>
              <w:spacing w:before="60" w:after="60" w:line="276" w:lineRule="auto"/>
              <w:jc w:val="center"/>
              <w:rPr>
                <w:noProof/>
                <w:sz w:val="20"/>
                <w:lang w:eastAsia="bg-BG" w:bidi="bg-BG"/>
              </w:rPr>
            </w:pPr>
            <w:r w:rsidRPr="00D136FB">
              <w:rPr>
                <w:noProof/>
                <w:sz w:val="20"/>
              </w:rPr>
              <w:t>p.m.</w:t>
            </w:r>
          </w:p>
        </w:tc>
        <w:tc>
          <w:tcPr>
            <w:tcW w:w="964" w:type="dxa"/>
            <w:tcBorders>
              <w:top w:val="single" w:sz="6" w:space="0" w:color="auto"/>
              <w:left w:val="single" w:sz="6" w:space="0" w:color="auto"/>
              <w:bottom w:val="single" w:sz="6" w:space="0" w:color="auto"/>
              <w:right w:val="single" w:sz="6" w:space="0" w:color="auto"/>
            </w:tcBorders>
            <w:vAlign w:val="center"/>
            <w:hideMark/>
          </w:tcPr>
          <w:p w:rsidR="003D1E4F" w:rsidRPr="00D136FB" w:rsidRDefault="003D1E4F">
            <w:pPr>
              <w:spacing w:before="60" w:after="60" w:line="276" w:lineRule="auto"/>
              <w:jc w:val="center"/>
              <w:rPr>
                <w:noProof/>
                <w:sz w:val="20"/>
                <w:lang w:eastAsia="bg-BG" w:bidi="bg-BG"/>
              </w:rPr>
            </w:pPr>
            <w:r w:rsidRPr="00D136FB">
              <w:rPr>
                <w:noProof/>
                <w:sz w:val="20"/>
              </w:rPr>
              <w:t>p.m.</w:t>
            </w:r>
          </w:p>
        </w:tc>
        <w:tc>
          <w:tcPr>
            <w:tcW w:w="1158" w:type="dxa"/>
            <w:tcBorders>
              <w:top w:val="single" w:sz="6" w:space="0" w:color="auto"/>
              <w:left w:val="single" w:sz="6" w:space="0" w:color="auto"/>
              <w:bottom w:val="single" w:sz="6" w:space="0" w:color="auto"/>
              <w:right w:val="single" w:sz="6" w:space="0" w:color="auto"/>
            </w:tcBorders>
            <w:vAlign w:val="center"/>
            <w:hideMark/>
          </w:tcPr>
          <w:p w:rsidR="003D1E4F" w:rsidRPr="00D136FB" w:rsidRDefault="003D1E4F">
            <w:pPr>
              <w:spacing w:before="60" w:after="60" w:line="276" w:lineRule="auto"/>
              <w:jc w:val="center"/>
              <w:rPr>
                <w:noProof/>
                <w:sz w:val="20"/>
                <w:lang w:eastAsia="bg-BG" w:bidi="bg-BG"/>
              </w:rPr>
            </w:pPr>
            <w:r w:rsidRPr="00D136FB">
              <w:rPr>
                <w:noProof/>
                <w:sz w:val="20"/>
              </w:rPr>
              <w:t>p.m.</w:t>
            </w:r>
          </w:p>
        </w:tc>
      </w:tr>
      <w:tr w:rsidR="003D1E4F" w:rsidRPr="00D136FB" w:rsidTr="003D1E4F">
        <w:trPr>
          <w:cantSplit/>
          <w:jc w:val="center"/>
        </w:trPr>
        <w:tc>
          <w:tcPr>
            <w:tcW w:w="2340" w:type="dxa"/>
            <w:tcBorders>
              <w:top w:val="single" w:sz="6" w:space="0" w:color="auto"/>
              <w:left w:val="single" w:sz="6" w:space="0" w:color="auto"/>
              <w:bottom w:val="single" w:sz="6" w:space="0" w:color="auto"/>
              <w:right w:val="single" w:sz="6" w:space="0" w:color="auto"/>
            </w:tcBorders>
            <w:hideMark/>
          </w:tcPr>
          <w:p w:rsidR="003D1E4F" w:rsidRPr="00D136FB" w:rsidRDefault="003D1E4F">
            <w:pPr>
              <w:spacing w:before="60" w:after="60" w:line="276" w:lineRule="auto"/>
              <w:jc w:val="left"/>
              <w:rPr>
                <w:noProof/>
                <w:sz w:val="20"/>
                <w:lang w:eastAsia="bg-BG" w:bidi="bg-BG"/>
              </w:rPr>
            </w:pPr>
            <w:r w:rsidRPr="00D136FB">
              <w:rPr>
                <w:noProof/>
                <w:sz w:val="20"/>
              </w:rPr>
              <w:t xml:space="preserve">ОБЩО съфинансирани бюджетни кредити </w:t>
            </w:r>
          </w:p>
        </w:tc>
        <w:tc>
          <w:tcPr>
            <w:tcW w:w="964" w:type="dxa"/>
            <w:tcBorders>
              <w:top w:val="single" w:sz="6" w:space="0" w:color="auto"/>
              <w:left w:val="single" w:sz="6" w:space="0" w:color="auto"/>
              <w:bottom w:val="single" w:sz="6" w:space="0" w:color="auto"/>
              <w:right w:val="single" w:sz="6" w:space="0" w:color="auto"/>
            </w:tcBorders>
            <w:vAlign w:val="center"/>
            <w:hideMark/>
          </w:tcPr>
          <w:p w:rsidR="003D1E4F" w:rsidRPr="00D136FB" w:rsidRDefault="003D1E4F">
            <w:pPr>
              <w:spacing w:before="60" w:after="60" w:line="276" w:lineRule="auto"/>
              <w:jc w:val="center"/>
              <w:rPr>
                <w:noProof/>
                <w:sz w:val="20"/>
                <w:lang w:eastAsia="bg-BG" w:bidi="bg-BG"/>
              </w:rPr>
            </w:pPr>
            <w:r w:rsidRPr="00D136FB">
              <w:rPr>
                <w:noProof/>
                <w:sz w:val="20"/>
              </w:rPr>
              <w:t>p.m.</w:t>
            </w:r>
          </w:p>
        </w:tc>
        <w:tc>
          <w:tcPr>
            <w:tcW w:w="964" w:type="dxa"/>
            <w:tcBorders>
              <w:top w:val="single" w:sz="6" w:space="0" w:color="auto"/>
              <w:left w:val="single" w:sz="6" w:space="0" w:color="auto"/>
              <w:bottom w:val="single" w:sz="6" w:space="0" w:color="auto"/>
              <w:right w:val="single" w:sz="6" w:space="0" w:color="auto"/>
            </w:tcBorders>
            <w:vAlign w:val="center"/>
            <w:hideMark/>
          </w:tcPr>
          <w:p w:rsidR="003D1E4F" w:rsidRPr="00D136FB" w:rsidRDefault="003D1E4F">
            <w:pPr>
              <w:spacing w:before="60" w:after="60" w:line="276" w:lineRule="auto"/>
              <w:jc w:val="center"/>
              <w:rPr>
                <w:noProof/>
                <w:sz w:val="20"/>
                <w:lang w:eastAsia="bg-BG" w:bidi="bg-BG"/>
              </w:rPr>
            </w:pPr>
            <w:r w:rsidRPr="00D136FB">
              <w:rPr>
                <w:noProof/>
                <w:sz w:val="20"/>
              </w:rPr>
              <w:t>p.m.</w:t>
            </w:r>
          </w:p>
        </w:tc>
        <w:tc>
          <w:tcPr>
            <w:tcW w:w="964" w:type="dxa"/>
            <w:tcBorders>
              <w:top w:val="single" w:sz="6" w:space="0" w:color="auto"/>
              <w:left w:val="single" w:sz="6" w:space="0" w:color="auto"/>
              <w:bottom w:val="single" w:sz="6" w:space="0" w:color="auto"/>
              <w:right w:val="single" w:sz="6" w:space="0" w:color="auto"/>
            </w:tcBorders>
            <w:vAlign w:val="center"/>
            <w:hideMark/>
          </w:tcPr>
          <w:p w:rsidR="003D1E4F" w:rsidRPr="00D136FB" w:rsidRDefault="003D1E4F">
            <w:pPr>
              <w:spacing w:before="60" w:after="60" w:line="276" w:lineRule="auto"/>
              <w:jc w:val="center"/>
              <w:rPr>
                <w:noProof/>
                <w:sz w:val="20"/>
                <w:lang w:eastAsia="bg-BG" w:bidi="bg-BG"/>
              </w:rPr>
            </w:pPr>
            <w:r w:rsidRPr="00D136FB">
              <w:rPr>
                <w:noProof/>
                <w:sz w:val="20"/>
              </w:rPr>
              <w:t>p.m.</w:t>
            </w:r>
          </w:p>
        </w:tc>
        <w:tc>
          <w:tcPr>
            <w:tcW w:w="964" w:type="dxa"/>
            <w:tcBorders>
              <w:top w:val="single" w:sz="6" w:space="0" w:color="auto"/>
              <w:left w:val="single" w:sz="6" w:space="0" w:color="auto"/>
              <w:bottom w:val="single" w:sz="6" w:space="0" w:color="auto"/>
              <w:right w:val="single" w:sz="6" w:space="0" w:color="auto"/>
            </w:tcBorders>
            <w:vAlign w:val="center"/>
            <w:hideMark/>
          </w:tcPr>
          <w:p w:rsidR="003D1E4F" w:rsidRPr="00D136FB" w:rsidRDefault="003D1E4F">
            <w:pPr>
              <w:spacing w:before="60" w:after="60" w:line="276" w:lineRule="auto"/>
              <w:jc w:val="center"/>
              <w:rPr>
                <w:noProof/>
                <w:sz w:val="20"/>
                <w:lang w:eastAsia="bg-BG" w:bidi="bg-BG"/>
              </w:rPr>
            </w:pPr>
            <w:r w:rsidRPr="00D136FB">
              <w:rPr>
                <w:noProof/>
                <w:sz w:val="20"/>
              </w:rPr>
              <w:t>p.m.</w:t>
            </w:r>
          </w:p>
        </w:tc>
        <w:tc>
          <w:tcPr>
            <w:tcW w:w="964" w:type="dxa"/>
            <w:tcBorders>
              <w:top w:val="single" w:sz="6" w:space="0" w:color="auto"/>
              <w:left w:val="single" w:sz="6" w:space="0" w:color="auto"/>
              <w:bottom w:val="single" w:sz="6" w:space="0" w:color="auto"/>
              <w:right w:val="single" w:sz="6" w:space="0" w:color="auto"/>
            </w:tcBorders>
            <w:vAlign w:val="center"/>
            <w:hideMark/>
          </w:tcPr>
          <w:p w:rsidR="003D1E4F" w:rsidRPr="00D136FB" w:rsidRDefault="003D1E4F">
            <w:pPr>
              <w:spacing w:before="60" w:after="60" w:line="276" w:lineRule="auto"/>
              <w:jc w:val="center"/>
              <w:rPr>
                <w:noProof/>
                <w:sz w:val="20"/>
                <w:lang w:eastAsia="bg-BG" w:bidi="bg-BG"/>
              </w:rPr>
            </w:pPr>
            <w:r w:rsidRPr="00D136FB">
              <w:rPr>
                <w:noProof/>
                <w:sz w:val="20"/>
              </w:rPr>
              <w:t>p.m.</w:t>
            </w:r>
          </w:p>
        </w:tc>
        <w:tc>
          <w:tcPr>
            <w:tcW w:w="964" w:type="dxa"/>
            <w:tcBorders>
              <w:top w:val="single" w:sz="6" w:space="0" w:color="auto"/>
              <w:left w:val="single" w:sz="6" w:space="0" w:color="auto"/>
              <w:bottom w:val="single" w:sz="6" w:space="0" w:color="auto"/>
              <w:right w:val="single" w:sz="6" w:space="0" w:color="auto"/>
            </w:tcBorders>
            <w:vAlign w:val="center"/>
            <w:hideMark/>
          </w:tcPr>
          <w:p w:rsidR="003D1E4F" w:rsidRPr="00D136FB" w:rsidRDefault="003D1E4F">
            <w:pPr>
              <w:spacing w:before="60" w:after="60" w:line="276" w:lineRule="auto"/>
              <w:jc w:val="center"/>
              <w:rPr>
                <w:noProof/>
                <w:sz w:val="20"/>
                <w:lang w:eastAsia="bg-BG" w:bidi="bg-BG"/>
              </w:rPr>
            </w:pPr>
            <w:r w:rsidRPr="00D136FB">
              <w:rPr>
                <w:noProof/>
                <w:sz w:val="20"/>
              </w:rPr>
              <w:t>p.m.</w:t>
            </w:r>
          </w:p>
        </w:tc>
        <w:tc>
          <w:tcPr>
            <w:tcW w:w="964" w:type="dxa"/>
            <w:tcBorders>
              <w:top w:val="single" w:sz="6" w:space="0" w:color="auto"/>
              <w:left w:val="single" w:sz="6" w:space="0" w:color="auto"/>
              <w:bottom w:val="single" w:sz="6" w:space="0" w:color="auto"/>
              <w:right w:val="single" w:sz="6" w:space="0" w:color="auto"/>
            </w:tcBorders>
            <w:vAlign w:val="center"/>
            <w:hideMark/>
          </w:tcPr>
          <w:p w:rsidR="003D1E4F" w:rsidRPr="00D136FB" w:rsidRDefault="003D1E4F">
            <w:pPr>
              <w:spacing w:before="60" w:after="60" w:line="276" w:lineRule="auto"/>
              <w:jc w:val="center"/>
              <w:rPr>
                <w:noProof/>
                <w:sz w:val="20"/>
                <w:lang w:eastAsia="bg-BG" w:bidi="bg-BG"/>
              </w:rPr>
            </w:pPr>
            <w:r w:rsidRPr="00D136FB">
              <w:rPr>
                <w:noProof/>
                <w:sz w:val="20"/>
              </w:rPr>
              <w:t>p.m.</w:t>
            </w:r>
          </w:p>
        </w:tc>
        <w:tc>
          <w:tcPr>
            <w:tcW w:w="1158" w:type="dxa"/>
            <w:tcBorders>
              <w:top w:val="single" w:sz="6" w:space="0" w:color="auto"/>
              <w:left w:val="single" w:sz="6" w:space="0" w:color="auto"/>
              <w:bottom w:val="single" w:sz="6" w:space="0" w:color="auto"/>
              <w:right w:val="single" w:sz="6" w:space="0" w:color="auto"/>
            </w:tcBorders>
            <w:vAlign w:val="center"/>
            <w:hideMark/>
          </w:tcPr>
          <w:p w:rsidR="003D1E4F" w:rsidRPr="00D136FB" w:rsidRDefault="003D1E4F">
            <w:pPr>
              <w:spacing w:before="60" w:after="60" w:line="276" w:lineRule="auto"/>
              <w:jc w:val="center"/>
              <w:rPr>
                <w:noProof/>
                <w:sz w:val="20"/>
                <w:lang w:eastAsia="bg-BG" w:bidi="bg-BG"/>
              </w:rPr>
            </w:pPr>
            <w:r w:rsidRPr="00D136FB">
              <w:rPr>
                <w:noProof/>
                <w:sz w:val="20"/>
              </w:rPr>
              <w:t>p.m.</w:t>
            </w:r>
          </w:p>
        </w:tc>
      </w:tr>
    </w:tbl>
    <w:p w:rsidR="003D1E4F" w:rsidRPr="00D136FB" w:rsidRDefault="003D1E4F" w:rsidP="00EF7A5B">
      <w:pPr>
        <w:pStyle w:val="Heading2"/>
        <w:numPr>
          <w:ilvl w:val="1"/>
          <w:numId w:val="15"/>
        </w:numPr>
        <w:rPr>
          <w:bCs w:val="0"/>
          <w:noProof/>
          <w:szCs w:val="24"/>
          <w:lang w:eastAsia="bg-BG" w:bidi="bg-BG"/>
        </w:rPr>
      </w:pPr>
      <w:r w:rsidRPr="00D136FB">
        <w:t xml:space="preserve">Очаквано отражение върху приходите </w:t>
      </w:r>
    </w:p>
    <w:p w:rsidR="003D1E4F" w:rsidRPr="00D136FB" w:rsidRDefault="003D1E4F" w:rsidP="003D1E4F">
      <w:pPr>
        <w:pStyle w:val="ListDash1"/>
      </w:pPr>
      <w:r w:rsidRPr="00D136FB">
        <w:sym w:font="Wingdings" w:char="F078"/>
      </w:r>
      <w:r w:rsidRPr="00D136FB">
        <w:tab/>
        <w:t>Предложението/инициативата няма финансово отражение върху приходите.</w:t>
      </w:r>
    </w:p>
    <w:p w:rsidR="003D1E4F" w:rsidRPr="00D136FB" w:rsidRDefault="003D1E4F" w:rsidP="003D1E4F">
      <w:pPr>
        <w:pStyle w:val="ListDash1"/>
      </w:pPr>
      <w:r w:rsidRPr="00D136FB">
        <w:sym w:font="Wingdings" w:char="F0A8"/>
      </w:r>
      <w:r w:rsidRPr="00D136FB">
        <w:tab/>
        <w:t>Предложението/инициативата има следното финансово отражение:</w:t>
      </w:r>
    </w:p>
    <w:p w:rsidR="003D1E4F" w:rsidRPr="00D136FB" w:rsidRDefault="003D1E4F" w:rsidP="00F13A66">
      <w:pPr>
        <w:pStyle w:val="ListNumberLevel3"/>
        <w:numPr>
          <w:ilvl w:val="2"/>
          <w:numId w:val="17"/>
        </w:numPr>
        <w:tabs>
          <w:tab w:val="num" w:pos="1843"/>
        </w:tabs>
      </w:pPr>
      <w:r w:rsidRPr="00D136FB">
        <w:sym w:font="Wingdings" w:char="F0A8"/>
      </w:r>
      <w:r w:rsidRPr="00D136FB">
        <w:tab/>
        <w:t xml:space="preserve">върху собствените ресурси </w:t>
      </w:r>
    </w:p>
    <w:p w:rsidR="003D1E4F" w:rsidRPr="00D136FB" w:rsidRDefault="003D1E4F" w:rsidP="00F13A66">
      <w:pPr>
        <w:pStyle w:val="ListNumberLevel3"/>
        <w:numPr>
          <w:ilvl w:val="2"/>
          <w:numId w:val="17"/>
        </w:numPr>
        <w:tabs>
          <w:tab w:val="num" w:pos="1843"/>
        </w:tabs>
      </w:pPr>
      <w:r w:rsidRPr="00D136FB">
        <w:sym w:font="Wingdings" w:char="F0A8"/>
      </w:r>
      <w:r w:rsidRPr="00D136FB">
        <w:tab/>
        <w:t>върху разните приходи</w:t>
      </w:r>
    </w:p>
    <w:p w:rsidR="003D1E4F" w:rsidRPr="00D136FB" w:rsidRDefault="003D1E4F" w:rsidP="003D1E4F">
      <w:pPr>
        <w:jc w:val="right"/>
        <w:rPr>
          <w:noProof/>
        </w:rPr>
      </w:pPr>
      <w:r w:rsidRPr="00D136FB">
        <w:t xml:space="preserve">      Моля, посочете дали приходите са записани по разходни бюджетни редове. </w:t>
      </w:r>
      <w:r w:rsidRPr="00D136FB">
        <w:rPr>
          <w:noProof/>
        </w:rPr>
        <w:sym w:font="Wingdings" w:char="F0A8"/>
      </w:r>
      <w:r w:rsidRPr="00D136FB">
        <w:tab/>
      </w:r>
    </w:p>
    <w:p w:rsidR="003D1E4F" w:rsidRPr="00D136FB" w:rsidRDefault="003D1E4F" w:rsidP="003D1E4F">
      <w:pPr>
        <w:jc w:val="right"/>
        <w:rPr>
          <w:i/>
          <w:noProof/>
          <w:sz w:val="20"/>
        </w:rPr>
      </w:pPr>
      <w:r w:rsidRPr="00D136FB">
        <w:t>млн. евро (до 3-тия знак след десетичната запетая)</w:t>
      </w:r>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5"/>
        <w:gridCol w:w="1080"/>
        <w:gridCol w:w="900"/>
        <w:gridCol w:w="900"/>
        <w:gridCol w:w="1080"/>
        <w:gridCol w:w="1080"/>
        <w:gridCol w:w="1080"/>
        <w:gridCol w:w="1080"/>
      </w:tblGrid>
      <w:tr w:rsidR="003D1E4F" w:rsidRPr="00D136FB" w:rsidTr="003D1E4F">
        <w:trPr>
          <w:trHeight w:val="388"/>
          <w:jc w:val="center"/>
        </w:trPr>
        <w:tc>
          <w:tcPr>
            <w:tcW w:w="2144" w:type="dxa"/>
            <w:vMerge w:val="restart"/>
            <w:tcBorders>
              <w:top w:val="single" w:sz="4" w:space="0" w:color="auto"/>
              <w:left w:val="single" w:sz="4" w:space="0" w:color="auto"/>
              <w:bottom w:val="single" w:sz="4" w:space="0" w:color="auto"/>
              <w:right w:val="single" w:sz="4" w:space="0" w:color="auto"/>
            </w:tcBorders>
            <w:vAlign w:val="center"/>
            <w:hideMark/>
          </w:tcPr>
          <w:p w:rsidR="003D1E4F" w:rsidRPr="00D136FB" w:rsidRDefault="003D1E4F">
            <w:pPr>
              <w:spacing w:before="40" w:after="40" w:line="276" w:lineRule="auto"/>
              <w:rPr>
                <w:noProof/>
                <w:sz w:val="18"/>
                <w:lang w:eastAsia="bg-BG" w:bidi="bg-BG"/>
              </w:rPr>
            </w:pPr>
            <w:r w:rsidRPr="00D136FB">
              <w:rPr>
                <w:noProof/>
                <w:sz w:val="18"/>
              </w:rPr>
              <w:t>Приходен бюджетен ред:</w:t>
            </w:r>
          </w:p>
        </w:tc>
        <w:tc>
          <w:tcPr>
            <w:tcW w:w="7200" w:type="dxa"/>
            <w:gridSpan w:val="7"/>
            <w:tcBorders>
              <w:top w:val="single" w:sz="4" w:space="0" w:color="auto"/>
              <w:left w:val="single" w:sz="4" w:space="0" w:color="auto"/>
              <w:bottom w:val="single" w:sz="4" w:space="0" w:color="auto"/>
              <w:right w:val="single" w:sz="4" w:space="0" w:color="auto"/>
            </w:tcBorders>
            <w:vAlign w:val="center"/>
            <w:hideMark/>
          </w:tcPr>
          <w:p w:rsidR="003D1E4F" w:rsidRPr="00D136FB" w:rsidRDefault="003D1E4F">
            <w:pPr>
              <w:spacing w:line="276" w:lineRule="auto"/>
              <w:jc w:val="center"/>
              <w:rPr>
                <w:noProof/>
                <w:sz w:val="18"/>
                <w:lang w:eastAsia="bg-BG" w:bidi="bg-BG"/>
              </w:rPr>
            </w:pPr>
            <w:r w:rsidRPr="00D136FB">
              <w:rPr>
                <w:noProof/>
                <w:sz w:val="18"/>
              </w:rPr>
              <w:t>Отражение на предложението/инициативата</w:t>
            </w:r>
            <w:r w:rsidRPr="00D136FB">
              <w:rPr>
                <w:rStyle w:val="FootnoteReference"/>
                <w:noProof/>
                <w:sz w:val="18"/>
              </w:rPr>
              <w:footnoteReference w:id="43"/>
            </w:r>
          </w:p>
        </w:tc>
      </w:tr>
      <w:tr w:rsidR="003D1E4F" w:rsidRPr="00D136FB" w:rsidTr="003D1E4F">
        <w:trPr>
          <w:trHeight w:val="388"/>
          <w:jc w:val="center"/>
        </w:trPr>
        <w:tc>
          <w:tcPr>
            <w:tcW w:w="2144" w:type="dxa"/>
            <w:vMerge/>
            <w:tcBorders>
              <w:top w:val="single" w:sz="4" w:space="0" w:color="auto"/>
              <w:left w:val="single" w:sz="4" w:space="0" w:color="auto"/>
              <w:bottom w:val="single" w:sz="4" w:space="0" w:color="auto"/>
              <w:right w:val="single" w:sz="4" w:space="0" w:color="auto"/>
            </w:tcBorders>
            <w:vAlign w:val="center"/>
            <w:hideMark/>
          </w:tcPr>
          <w:p w:rsidR="003D1E4F" w:rsidRPr="00D136FB" w:rsidRDefault="003D1E4F">
            <w:pPr>
              <w:spacing w:before="0" w:after="0"/>
              <w:jc w:val="left"/>
              <w:rPr>
                <w:noProof/>
                <w:sz w:val="18"/>
                <w:lang w:eastAsia="bg-BG" w:bidi="bg-BG"/>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3D1E4F" w:rsidRPr="00D136FB" w:rsidRDefault="003D1E4F">
            <w:pPr>
              <w:spacing w:line="276" w:lineRule="auto"/>
              <w:jc w:val="center"/>
              <w:rPr>
                <w:noProof/>
                <w:sz w:val="18"/>
                <w:lang w:eastAsia="bg-BG" w:bidi="bg-BG"/>
              </w:rPr>
            </w:pPr>
            <w:r w:rsidRPr="00D136FB">
              <w:rPr>
                <w:b/>
                <w:noProof/>
                <w:sz w:val="20"/>
              </w:rPr>
              <w:t>2021 г.</w:t>
            </w:r>
          </w:p>
        </w:tc>
        <w:tc>
          <w:tcPr>
            <w:tcW w:w="900" w:type="dxa"/>
            <w:tcBorders>
              <w:top w:val="single" w:sz="4" w:space="0" w:color="auto"/>
              <w:left w:val="single" w:sz="4" w:space="0" w:color="auto"/>
              <w:bottom w:val="single" w:sz="4" w:space="0" w:color="auto"/>
              <w:right w:val="single" w:sz="4" w:space="0" w:color="auto"/>
            </w:tcBorders>
            <w:vAlign w:val="center"/>
            <w:hideMark/>
          </w:tcPr>
          <w:p w:rsidR="003D1E4F" w:rsidRPr="00D136FB" w:rsidRDefault="003D1E4F">
            <w:pPr>
              <w:spacing w:line="276" w:lineRule="auto"/>
              <w:jc w:val="center"/>
              <w:rPr>
                <w:b/>
                <w:noProof/>
                <w:sz w:val="20"/>
                <w:lang w:eastAsia="bg-BG" w:bidi="bg-BG"/>
              </w:rPr>
            </w:pPr>
            <w:r w:rsidRPr="00D136FB">
              <w:rPr>
                <w:b/>
                <w:noProof/>
                <w:sz w:val="20"/>
              </w:rPr>
              <w:t>2022 г.</w:t>
            </w:r>
          </w:p>
        </w:tc>
        <w:tc>
          <w:tcPr>
            <w:tcW w:w="900" w:type="dxa"/>
            <w:tcBorders>
              <w:top w:val="single" w:sz="4" w:space="0" w:color="auto"/>
              <w:left w:val="single" w:sz="4" w:space="0" w:color="auto"/>
              <w:bottom w:val="single" w:sz="4" w:space="0" w:color="auto"/>
              <w:right w:val="single" w:sz="4" w:space="0" w:color="auto"/>
            </w:tcBorders>
            <w:vAlign w:val="center"/>
            <w:hideMark/>
          </w:tcPr>
          <w:p w:rsidR="003D1E4F" w:rsidRPr="00D136FB" w:rsidRDefault="003D1E4F">
            <w:pPr>
              <w:spacing w:line="276" w:lineRule="auto"/>
              <w:jc w:val="center"/>
              <w:rPr>
                <w:b/>
                <w:noProof/>
                <w:sz w:val="20"/>
                <w:lang w:eastAsia="bg-BG" w:bidi="bg-BG"/>
              </w:rPr>
            </w:pPr>
            <w:r w:rsidRPr="00D136FB">
              <w:rPr>
                <w:b/>
                <w:noProof/>
                <w:sz w:val="20"/>
              </w:rPr>
              <w:t>2023 г.</w:t>
            </w:r>
          </w:p>
        </w:tc>
        <w:tc>
          <w:tcPr>
            <w:tcW w:w="1080" w:type="dxa"/>
            <w:tcBorders>
              <w:top w:val="single" w:sz="4" w:space="0" w:color="auto"/>
              <w:left w:val="single" w:sz="4" w:space="0" w:color="auto"/>
              <w:bottom w:val="single" w:sz="4" w:space="0" w:color="auto"/>
              <w:right w:val="single" w:sz="4" w:space="0" w:color="auto"/>
            </w:tcBorders>
            <w:vAlign w:val="center"/>
            <w:hideMark/>
          </w:tcPr>
          <w:p w:rsidR="003D1E4F" w:rsidRPr="00D136FB" w:rsidRDefault="003D1E4F">
            <w:pPr>
              <w:spacing w:line="276" w:lineRule="auto"/>
              <w:jc w:val="center"/>
              <w:rPr>
                <w:b/>
                <w:noProof/>
                <w:sz w:val="20"/>
                <w:lang w:eastAsia="bg-BG" w:bidi="bg-BG"/>
              </w:rPr>
            </w:pPr>
            <w:r w:rsidRPr="00D136FB">
              <w:rPr>
                <w:b/>
                <w:noProof/>
                <w:sz w:val="20"/>
              </w:rPr>
              <w:t>2024 г.</w:t>
            </w:r>
          </w:p>
        </w:tc>
        <w:tc>
          <w:tcPr>
            <w:tcW w:w="1080" w:type="dxa"/>
            <w:tcBorders>
              <w:top w:val="single" w:sz="4" w:space="0" w:color="auto"/>
              <w:left w:val="single" w:sz="4" w:space="0" w:color="auto"/>
              <w:bottom w:val="single" w:sz="4" w:space="0" w:color="auto"/>
              <w:right w:val="single" w:sz="4" w:space="0" w:color="auto"/>
            </w:tcBorders>
            <w:vAlign w:val="center"/>
            <w:hideMark/>
          </w:tcPr>
          <w:p w:rsidR="003D1E4F" w:rsidRPr="00D136FB" w:rsidRDefault="003D1E4F">
            <w:pPr>
              <w:spacing w:line="276" w:lineRule="auto"/>
              <w:jc w:val="center"/>
              <w:rPr>
                <w:b/>
                <w:noProof/>
                <w:sz w:val="20"/>
                <w:lang w:eastAsia="bg-BG" w:bidi="bg-BG"/>
              </w:rPr>
            </w:pPr>
            <w:r w:rsidRPr="00D136FB">
              <w:rPr>
                <w:b/>
                <w:noProof/>
                <w:sz w:val="20"/>
              </w:rPr>
              <w:t>2025 г.</w:t>
            </w:r>
          </w:p>
        </w:tc>
        <w:tc>
          <w:tcPr>
            <w:tcW w:w="1080" w:type="dxa"/>
            <w:tcBorders>
              <w:top w:val="single" w:sz="4" w:space="0" w:color="auto"/>
              <w:left w:val="single" w:sz="4" w:space="0" w:color="auto"/>
              <w:bottom w:val="single" w:sz="4" w:space="0" w:color="auto"/>
              <w:right w:val="single" w:sz="4" w:space="0" w:color="auto"/>
            </w:tcBorders>
            <w:vAlign w:val="center"/>
            <w:hideMark/>
          </w:tcPr>
          <w:p w:rsidR="003D1E4F" w:rsidRPr="00D136FB" w:rsidRDefault="003D1E4F">
            <w:pPr>
              <w:spacing w:line="276" w:lineRule="auto"/>
              <w:jc w:val="center"/>
              <w:rPr>
                <w:b/>
                <w:noProof/>
                <w:sz w:val="20"/>
                <w:lang w:eastAsia="bg-BG" w:bidi="bg-BG"/>
              </w:rPr>
            </w:pPr>
            <w:r w:rsidRPr="00D136FB">
              <w:rPr>
                <w:b/>
                <w:noProof/>
                <w:sz w:val="20"/>
              </w:rPr>
              <w:t>2026 г.</w:t>
            </w:r>
          </w:p>
        </w:tc>
        <w:tc>
          <w:tcPr>
            <w:tcW w:w="1080" w:type="dxa"/>
            <w:tcBorders>
              <w:top w:val="single" w:sz="4" w:space="0" w:color="auto"/>
              <w:left w:val="single" w:sz="4" w:space="0" w:color="auto"/>
              <w:bottom w:val="single" w:sz="4" w:space="0" w:color="auto"/>
              <w:right w:val="single" w:sz="4" w:space="0" w:color="auto"/>
            </w:tcBorders>
            <w:vAlign w:val="center"/>
            <w:hideMark/>
          </w:tcPr>
          <w:p w:rsidR="003D1E4F" w:rsidRPr="00D136FB" w:rsidRDefault="003D1E4F">
            <w:pPr>
              <w:spacing w:line="276" w:lineRule="auto"/>
              <w:jc w:val="center"/>
              <w:rPr>
                <w:b/>
                <w:noProof/>
                <w:sz w:val="20"/>
                <w:lang w:eastAsia="bg-BG" w:bidi="bg-BG"/>
              </w:rPr>
            </w:pPr>
            <w:r w:rsidRPr="00D136FB">
              <w:rPr>
                <w:b/>
                <w:noProof/>
                <w:sz w:val="20"/>
              </w:rPr>
              <w:t>2027 г.</w:t>
            </w:r>
          </w:p>
        </w:tc>
      </w:tr>
      <w:tr w:rsidR="003D1E4F" w:rsidRPr="00D136FB" w:rsidTr="003D1E4F">
        <w:trPr>
          <w:trHeight w:val="388"/>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D1E4F" w:rsidRPr="00D136FB" w:rsidRDefault="003D1E4F">
            <w:pPr>
              <w:spacing w:before="40" w:after="40" w:line="276" w:lineRule="auto"/>
              <w:rPr>
                <w:noProof/>
                <w:sz w:val="18"/>
                <w:lang w:eastAsia="bg-BG" w:bidi="bg-BG"/>
              </w:rPr>
            </w:pPr>
            <w:r w:rsidRPr="00D136FB">
              <w:rPr>
                <w:noProof/>
                <w:sz w:val="18"/>
              </w:rPr>
              <w:t>Статия …………</w:t>
            </w:r>
          </w:p>
        </w:tc>
        <w:tc>
          <w:tcPr>
            <w:tcW w:w="1080" w:type="dxa"/>
            <w:tcBorders>
              <w:top w:val="single" w:sz="4" w:space="0" w:color="auto"/>
              <w:left w:val="single" w:sz="4" w:space="0" w:color="auto"/>
              <w:bottom w:val="single" w:sz="4" w:space="0" w:color="auto"/>
              <w:right w:val="single" w:sz="4" w:space="0" w:color="auto"/>
            </w:tcBorders>
          </w:tcPr>
          <w:p w:rsidR="003D1E4F" w:rsidRPr="00D136FB" w:rsidRDefault="003D1E4F">
            <w:pPr>
              <w:spacing w:beforeLines="40" w:before="96" w:afterLines="40" w:after="96" w:line="276" w:lineRule="auto"/>
              <w:jc w:val="center"/>
              <w:rPr>
                <w:noProof/>
                <w:sz w:val="18"/>
                <w:lang w:eastAsia="bg-BG" w:bidi="bg-BG"/>
              </w:rPr>
            </w:pPr>
          </w:p>
        </w:tc>
        <w:tc>
          <w:tcPr>
            <w:tcW w:w="900" w:type="dxa"/>
            <w:tcBorders>
              <w:top w:val="single" w:sz="4" w:space="0" w:color="auto"/>
              <w:left w:val="single" w:sz="4" w:space="0" w:color="auto"/>
              <w:bottom w:val="single" w:sz="4" w:space="0" w:color="auto"/>
              <w:right w:val="single" w:sz="4" w:space="0" w:color="auto"/>
            </w:tcBorders>
          </w:tcPr>
          <w:p w:rsidR="003D1E4F" w:rsidRPr="00D136FB" w:rsidRDefault="003D1E4F">
            <w:pPr>
              <w:spacing w:beforeLines="40" w:before="96" w:afterLines="40" w:after="96" w:line="276" w:lineRule="auto"/>
              <w:jc w:val="center"/>
              <w:rPr>
                <w:noProof/>
                <w:sz w:val="18"/>
                <w:lang w:eastAsia="bg-BG" w:bidi="bg-BG"/>
              </w:rPr>
            </w:pPr>
          </w:p>
        </w:tc>
        <w:tc>
          <w:tcPr>
            <w:tcW w:w="900" w:type="dxa"/>
            <w:tcBorders>
              <w:top w:val="single" w:sz="4" w:space="0" w:color="auto"/>
              <w:left w:val="single" w:sz="4" w:space="0" w:color="auto"/>
              <w:bottom w:val="single" w:sz="4" w:space="0" w:color="auto"/>
              <w:right w:val="single" w:sz="4" w:space="0" w:color="auto"/>
            </w:tcBorders>
          </w:tcPr>
          <w:p w:rsidR="003D1E4F" w:rsidRPr="00D136FB" w:rsidRDefault="003D1E4F">
            <w:pPr>
              <w:spacing w:beforeLines="40" w:before="96" w:afterLines="40" w:after="96" w:line="276" w:lineRule="auto"/>
              <w:jc w:val="center"/>
              <w:rPr>
                <w:noProof/>
                <w:sz w:val="18"/>
                <w:lang w:eastAsia="bg-BG" w:bidi="bg-BG"/>
              </w:rPr>
            </w:pPr>
          </w:p>
        </w:tc>
        <w:tc>
          <w:tcPr>
            <w:tcW w:w="1080" w:type="dxa"/>
            <w:tcBorders>
              <w:top w:val="single" w:sz="4" w:space="0" w:color="auto"/>
              <w:left w:val="single" w:sz="4" w:space="0" w:color="auto"/>
              <w:bottom w:val="single" w:sz="4" w:space="0" w:color="auto"/>
              <w:right w:val="single" w:sz="4" w:space="0" w:color="auto"/>
            </w:tcBorders>
          </w:tcPr>
          <w:p w:rsidR="003D1E4F" w:rsidRPr="00D136FB" w:rsidRDefault="003D1E4F">
            <w:pPr>
              <w:spacing w:beforeLines="40" w:before="96" w:afterLines="40" w:after="96" w:line="276" w:lineRule="auto"/>
              <w:jc w:val="center"/>
              <w:rPr>
                <w:noProof/>
                <w:sz w:val="18"/>
                <w:lang w:eastAsia="bg-BG" w:bidi="bg-BG"/>
              </w:rPr>
            </w:pPr>
          </w:p>
        </w:tc>
        <w:tc>
          <w:tcPr>
            <w:tcW w:w="1080" w:type="dxa"/>
            <w:tcBorders>
              <w:top w:val="single" w:sz="4" w:space="0" w:color="auto"/>
              <w:left w:val="single" w:sz="4" w:space="0" w:color="auto"/>
              <w:bottom w:val="single" w:sz="4" w:space="0" w:color="auto"/>
              <w:right w:val="single" w:sz="4" w:space="0" w:color="auto"/>
            </w:tcBorders>
          </w:tcPr>
          <w:p w:rsidR="003D1E4F" w:rsidRPr="00D136FB" w:rsidRDefault="003D1E4F">
            <w:pPr>
              <w:spacing w:beforeLines="40" w:before="96" w:afterLines="40" w:after="96" w:line="276" w:lineRule="auto"/>
              <w:jc w:val="center"/>
              <w:rPr>
                <w:noProof/>
                <w:sz w:val="18"/>
                <w:lang w:eastAsia="bg-BG" w:bidi="bg-BG"/>
              </w:rPr>
            </w:pPr>
          </w:p>
        </w:tc>
        <w:tc>
          <w:tcPr>
            <w:tcW w:w="1080" w:type="dxa"/>
            <w:tcBorders>
              <w:top w:val="single" w:sz="4" w:space="0" w:color="auto"/>
              <w:left w:val="single" w:sz="4" w:space="0" w:color="auto"/>
              <w:bottom w:val="single" w:sz="4" w:space="0" w:color="auto"/>
              <w:right w:val="single" w:sz="4" w:space="0" w:color="auto"/>
            </w:tcBorders>
          </w:tcPr>
          <w:p w:rsidR="003D1E4F" w:rsidRPr="00D136FB" w:rsidRDefault="003D1E4F">
            <w:pPr>
              <w:spacing w:beforeLines="40" w:before="96" w:afterLines="40" w:after="96" w:line="276" w:lineRule="auto"/>
              <w:jc w:val="center"/>
              <w:rPr>
                <w:noProof/>
                <w:sz w:val="18"/>
                <w:lang w:eastAsia="bg-BG" w:bidi="bg-BG"/>
              </w:rPr>
            </w:pPr>
          </w:p>
        </w:tc>
        <w:tc>
          <w:tcPr>
            <w:tcW w:w="1080" w:type="dxa"/>
            <w:tcBorders>
              <w:top w:val="single" w:sz="4" w:space="0" w:color="auto"/>
              <w:left w:val="single" w:sz="4" w:space="0" w:color="auto"/>
              <w:bottom w:val="single" w:sz="4" w:space="0" w:color="auto"/>
              <w:right w:val="single" w:sz="4" w:space="0" w:color="auto"/>
            </w:tcBorders>
          </w:tcPr>
          <w:p w:rsidR="003D1E4F" w:rsidRPr="00D136FB" w:rsidRDefault="003D1E4F">
            <w:pPr>
              <w:spacing w:beforeLines="40" w:before="96" w:afterLines="40" w:after="96" w:line="276" w:lineRule="auto"/>
              <w:jc w:val="center"/>
              <w:rPr>
                <w:noProof/>
                <w:sz w:val="18"/>
                <w:lang w:eastAsia="bg-BG" w:bidi="bg-BG"/>
              </w:rPr>
            </w:pPr>
          </w:p>
        </w:tc>
      </w:tr>
    </w:tbl>
    <w:p w:rsidR="003D1E4F" w:rsidRPr="00D136FB" w:rsidRDefault="003D1E4F" w:rsidP="003D1E4F">
      <w:pPr>
        <w:pStyle w:val="Text1"/>
        <w:rPr>
          <w:sz w:val="20"/>
          <w:lang w:eastAsia="bg-BG" w:bidi="bg-BG"/>
        </w:rPr>
      </w:pPr>
      <w:r w:rsidRPr="00D136FB">
        <w:rPr>
          <w:sz w:val="20"/>
        </w:rPr>
        <w:t>За целевите приходи да се посочат съответните разходни бюджетни редове.</w:t>
      </w:r>
    </w:p>
    <w:p w:rsidR="003D1E4F" w:rsidRPr="00D136FB" w:rsidRDefault="003D1E4F" w:rsidP="003D1E4F">
      <w:pPr>
        <w:pStyle w:val="Text1"/>
      </w:pPr>
      <w:r w:rsidRPr="00D136FB">
        <w:t>[…]</w:t>
      </w:r>
    </w:p>
    <w:p w:rsidR="003D1E4F" w:rsidRPr="00D136FB" w:rsidRDefault="003D1E4F" w:rsidP="003D1E4F">
      <w:pPr>
        <w:pStyle w:val="Text1"/>
        <w:rPr>
          <w:sz w:val="20"/>
        </w:rPr>
      </w:pPr>
      <w:r w:rsidRPr="00D136FB">
        <w:rPr>
          <w:sz w:val="20"/>
        </w:rPr>
        <w:t>Други забележки (например метод/формула за изчисляване на отражението върху приходите или друга информация).</w:t>
      </w:r>
    </w:p>
    <w:p w:rsidR="003D1E4F" w:rsidRPr="00D136FB" w:rsidRDefault="003D1E4F" w:rsidP="003D1E4F">
      <w:pPr>
        <w:pStyle w:val="Text1"/>
      </w:pPr>
      <w:r w:rsidRPr="00D136FB">
        <w:t>[…]</w:t>
      </w:r>
    </w:p>
    <w:sectPr w:rsidR="003D1E4F" w:rsidRPr="00D136FB" w:rsidSect="00377BF1">
      <w:headerReference w:type="default" r:id="rId36"/>
      <w:footerReference w:type="default" r:id="rId37"/>
      <w:headerReference w:type="first" r:id="rId38"/>
      <w:footerReference w:type="first" r:id="rId39"/>
      <w:pgSz w:w="11907" w:h="16840" w:code="9"/>
      <w:pgMar w:top="709" w:right="992" w:bottom="851" w:left="993" w:header="709" w:footer="709"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F35C68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1E4F" w:rsidRDefault="003D1E4F" w:rsidP="00C5603D">
      <w:pPr>
        <w:spacing w:before="0" w:after="0"/>
      </w:pPr>
      <w:r>
        <w:separator/>
      </w:r>
    </w:p>
  </w:endnote>
  <w:endnote w:type="continuationSeparator" w:id="0">
    <w:p w:rsidR="003D1E4F" w:rsidRDefault="003D1E4F" w:rsidP="00C5603D">
      <w:pPr>
        <w:spacing w:before="0" w:after="0"/>
      </w:pPr>
      <w:r>
        <w:continuationSeparator/>
      </w:r>
    </w:p>
  </w:endnote>
  <w:endnote w:type="continuationNotice" w:id="1">
    <w:p w:rsidR="003D1E4F" w:rsidRDefault="003D1E4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EU Albertina">
    <w:altName w:val="Times New Roman"/>
    <w:panose1 w:val="00000000000000000000"/>
    <w:charset w:val="00"/>
    <w:family w:val="roman"/>
    <w:notTrueType/>
    <w:pitch w:val="default"/>
  </w:font>
  <w:font w:name="Helvetica Neue">
    <w:altName w:val="Malgun Gothic"/>
    <w:charset w:val="00"/>
    <w:family w:val="auto"/>
    <w:pitch w:val="variable"/>
    <w:sig w:usb0="00000003" w:usb1="500079DB" w:usb2="0000001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BF1" w:rsidRPr="00377BF1" w:rsidRDefault="00377BF1" w:rsidP="00377BF1">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6FB" w:rsidRPr="00377BF1" w:rsidRDefault="00377BF1" w:rsidP="00377BF1">
    <w:pPr>
      <w:pStyle w:val="Footer"/>
      <w:rPr>
        <w:rFonts w:ascii="Arial" w:hAnsi="Arial" w:cs="Arial"/>
        <w:b/>
        <w:sz w:val="48"/>
      </w:rPr>
    </w:pPr>
    <w:r w:rsidRPr="00377BF1">
      <w:rPr>
        <w:rFonts w:ascii="Arial" w:hAnsi="Arial" w:cs="Arial"/>
        <w:b/>
        <w:sz w:val="48"/>
      </w:rPr>
      <w:t>BG</w:t>
    </w:r>
    <w:r w:rsidRPr="00377BF1">
      <w:rPr>
        <w:rFonts w:ascii="Arial" w:hAnsi="Arial" w:cs="Arial"/>
        <w:b/>
        <w:sz w:val="48"/>
      </w:rPr>
      <w:tab/>
    </w:r>
    <w:r>
      <w:fldChar w:fldCharType="begin"/>
    </w:r>
    <w:r>
      <w:instrText xml:space="preserve"> PAGE  \* MERGEFORMAT </w:instrText>
    </w:r>
    <w:r>
      <w:fldChar w:fldCharType="separate"/>
    </w:r>
    <w:r>
      <w:rPr>
        <w:noProof/>
      </w:rPr>
      <w:t>48</w:t>
    </w:r>
    <w:r>
      <w:fldChar w:fldCharType="end"/>
    </w:r>
    <w:r>
      <w:tab/>
    </w:r>
    <w:r w:rsidRPr="00377BF1">
      <w:tab/>
    </w:r>
    <w:r w:rsidRPr="00377BF1">
      <w:rPr>
        <w:rFonts w:ascii="Arial" w:hAnsi="Arial" w:cs="Arial"/>
        <w:b/>
        <w:sz w:val="48"/>
      </w:rPr>
      <w:t>BG</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BF1" w:rsidRPr="00377BF1" w:rsidRDefault="00377BF1" w:rsidP="00377BF1">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BF1" w:rsidRPr="00377BF1" w:rsidRDefault="00377BF1" w:rsidP="00377BF1">
    <w:pPr>
      <w:pStyle w:val="Footer"/>
      <w:rPr>
        <w:rFonts w:ascii="Arial" w:hAnsi="Arial" w:cs="Arial"/>
        <w:b/>
        <w:sz w:val="48"/>
      </w:rPr>
    </w:pPr>
    <w:r w:rsidRPr="00377BF1">
      <w:rPr>
        <w:rFonts w:ascii="Arial" w:hAnsi="Arial" w:cs="Arial"/>
        <w:b/>
        <w:sz w:val="48"/>
      </w:rPr>
      <w:t>BG</w:t>
    </w:r>
    <w:r w:rsidRPr="00377BF1">
      <w:rPr>
        <w:rFonts w:ascii="Arial" w:hAnsi="Arial" w:cs="Arial"/>
        <w:b/>
        <w:sz w:val="48"/>
      </w:rPr>
      <w:tab/>
    </w:r>
    <w:r>
      <w:fldChar w:fldCharType="begin"/>
    </w:r>
    <w:r>
      <w:instrText xml:space="preserve"> PAGE  \* MERGEFORMAT </w:instrText>
    </w:r>
    <w:r>
      <w:fldChar w:fldCharType="separate"/>
    </w:r>
    <w:r>
      <w:rPr>
        <w:noProof/>
      </w:rPr>
      <w:t>49</w:t>
    </w:r>
    <w:r>
      <w:fldChar w:fldCharType="end"/>
    </w:r>
    <w:r>
      <w:tab/>
    </w:r>
    <w:r w:rsidRPr="00377BF1">
      <w:tab/>
    </w:r>
    <w:r w:rsidRPr="00377BF1">
      <w:rPr>
        <w:rFonts w:ascii="Arial" w:hAnsi="Arial" w:cs="Arial"/>
        <w:b/>
        <w:sz w:val="48"/>
      </w:rPr>
      <w:t>BG</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BF1" w:rsidRPr="00377BF1" w:rsidRDefault="00377BF1" w:rsidP="00377BF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6FB" w:rsidRPr="00377BF1" w:rsidRDefault="00377BF1" w:rsidP="00377BF1">
    <w:pPr>
      <w:pStyle w:val="Footer"/>
      <w:rPr>
        <w:rFonts w:ascii="Arial" w:hAnsi="Arial" w:cs="Arial"/>
        <w:b/>
        <w:sz w:val="48"/>
      </w:rPr>
    </w:pPr>
    <w:r w:rsidRPr="00377BF1">
      <w:rPr>
        <w:rFonts w:ascii="Arial" w:hAnsi="Arial" w:cs="Arial"/>
        <w:b/>
        <w:sz w:val="48"/>
      </w:rPr>
      <w:t>BG</w:t>
    </w:r>
    <w:r w:rsidRPr="00377BF1">
      <w:rPr>
        <w:rFonts w:ascii="Arial" w:hAnsi="Arial" w:cs="Arial"/>
        <w:b/>
        <w:sz w:val="48"/>
      </w:rPr>
      <w:tab/>
    </w:r>
    <w:r w:rsidRPr="00377BF1">
      <w:rPr>
        <w:rFonts w:ascii="Arial" w:hAnsi="Arial" w:cs="Arial"/>
        <w:b/>
        <w:sz w:val="48"/>
      </w:rPr>
      <w:tab/>
    </w:r>
    <w:r w:rsidRPr="00377BF1">
      <w:tab/>
    </w:r>
    <w:proofErr w:type="spellStart"/>
    <w:r w:rsidRPr="00377BF1">
      <w:rPr>
        <w:rFonts w:ascii="Arial" w:hAnsi="Arial" w:cs="Arial"/>
        <w:b/>
        <w:sz w:val="48"/>
      </w:rPr>
      <w:t>BG</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BF1" w:rsidRPr="00377BF1" w:rsidRDefault="00377BF1" w:rsidP="00377BF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BF1" w:rsidRPr="00377BF1" w:rsidRDefault="00377BF1" w:rsidP="00377BF1">
    <w:pPr>
      <w:pStyle w:val="Footer"/>
      <w:rPr>
        <w:rFonts w:ascii="Arial" w:hAnsi="Arial" w:cs="Arial"/>
        <w:b/>
        <w:sz w:val="48"/>
      </w:rPr>
    </w:pPr>
    <w:r w:rsidRPr="00377BF1">
      <w:rPr>
        <w:rFonts w:ascii="Arial" w:hAnsi="Arial" w:cs="Arial"/>
        <w:b/>
        <w:sz w:val="48"/>
      </w:rPr>
      <w:t>BG</w:t>
    </w:r>
    <w:r w:rsidRPr="00377BF1">
      <w:rPr>
        <w:rFonts w:ascii="Arial" w:hAnsi="Arial" w:cs="Arial"/>
        <w:b/>
        <w:sz w:val="48"/>
      </w:rPr>
      <w:tab/>
    </w:r>
    <w:r>
      <w:fldChar w:fldCharType="begin"/>
    </w:r>
    <w:r>
      <w:instrText xml:space="preserve"> PAGE  \* MERGEFORMAT </w:instrText>
    </w:r>
    <w:r>
      <w:fldChar w:fldCharType="separate"/>
    </w:r>
    <w:r>
      <w:rPr>
        <w:noProof/>
      </w:rPr>
      <w:t>35</w:t>
    </w:r>
    <w:r>
      <w:fldChar w:fldCharType="end"/>
    </w:r>
    <w:r>
      <w:tab/>
    </w:r>
    <w:r w:rsidRPr="00377BF1">
      <w:tab/>
    </w:r>
    <w:r w:rsidRPr="00377BF1">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BF1" w:rsidRPr="00377BF1" w:rsidRDefault="00377BF1" w:rsidP="00377BF1">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B60" w:rsidRPr="00377BF1" w:rsidRDefault="00377BF1" w:rsidP="00377BF1">
    <w:pPr>
      <w:pStyle w:val="Footer"/>
      <w:rPr>
        <w:rFonts w:ascii="Arial" w:hAnsi="Arial" w:cs="Arial"/>
        <w:b/>
        <w:sz w:val="48"/>
      </w:rPr>
    </w:pPr>
    <w:r w:rsidRPr="00377BF1">
      <w:rPr>
        <w:rFonts w:ascii="Arial" w:hAnsi="Arial" w:cs="Arial"/>
        <w:b/>
        <w:sz w:val="48"/>
      </w:rPr>
      <w:t>BG</w:t>
    </w:r>
    <w:r w:rsidRPr="00377BF1">
      <w:rPr>
        <w:rFonts w:ascii="Arial" w:hAnsi="Arial" w:cs="Arial"/>
        <w:b/>
        <w:sz w:val="48"/>
      </w:rPr>
      <w:tab/>
    </w:r>
    <w:r>
      <w:fldChar w:fldCharType="begin"/>
    </w:r>
    <w:r>
      <w:instrText xml:space="preserve"> PAGE  \* MERGEFORMAT </w:instrText>
    </w:r>
    <w:r>
      <w:fldChar w:fldCharType="separate"/>
    </w:r>
    <w:r>
      <w:rPr>
        <w:noProof/>
      </w:rPr>
      <w:t>44</w:t>
    </w:r>
    <w:r>
      <w:fldChar w:fldCharType="end"/>
    </w:r>
    <w:r>
      <w:tab/>
    </w:r>
    <w:r w:rsidRPr="00377BF1">
      <w:tab/>
    </w:r>
    <w:r w:rsidRPr="00377BF1">
      <w:rPr>
        <w:rFonts w:ascii="Arial" w:hAnsi="Arial" w:cs="Arial"/>
        <w:b/>
        <w:sz w:val="48"/>
      </w:rPr>
      <w:t>BG</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BF1" w:rsidRPr="00377BF1" w:rsidRDefault="00377BF1" w:rsidP="00377BF1">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BF1" w:rsidRPr="00377BF1" w:rsidRDefault="00377BF1" w:rsidP="00377BF1">
    <w:pPr>
      <w:pStyle w:val="FooterLandscape"/>
      <w:rPr>
        <w:rFonts w:ascii="Arial" w:hAnsi="Arial" w:cs="Arial"/>
        <w:b/>
        <w:sz w:val="48"/>
      </w:rPr>
    </w:pPr>
    <w:r w:rsidRPr="00377BF1">
      <w:rPr>
        <w:rFonts w:ascii="Arial" w:hAnsi="Arial" w:cs="Arial"/>
        <w:b/>
        <w:sz w:val="48"/>
      </w:rPr>
      <w:t>BG</w:t>
    </w:r>
    <w:r w:rsidRPr="00377BF1">
      <w:rPr>
        <w:rFonts w:ascii="Arial" w:hAnsi="Arial" w:cs="Arial"/>
        <w:b/>
        <w:sz w:val="48"/>
      </w:rPr>
      <w:tab/>
    </w:r>
    <w:r>
      <w:fldChar w:fldCharType="begin"/>
    </w:r>
    <w:r>
      <w:instrText xml:space="preserve"> PAGE  \* MERGEFORMAT </w:instrText>
    </w:r>
    <w:r>
      <w:fldChar w:fldCharType="separate"/>
    </w:r>
    <w:r>
      <w:rPr>
        <w:noProof/>
      </w:rPr>
      <w:t>46</w:t>
    </w:r>
    <w:r>
      <w:fldChar w:fldCharType="end"/>
    </w:r>
    <w:r>
      <w:tab/>
    </w:r>
    <w:r w:rsidRPr="00377BF1">
      <w:tab/>
    </w:r>
    <w:r w:rsidRPr="00377BF1">
      <w:rPr>
        <w:rFonts w:ascii="Arial" w:hAnsi="Arial" w:cs="Arial"/>
        <w:b/>
        <w:sz w:val="48"/>
      </w:rPr>
      <w:t>BG</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BF1" w:rsidRPr="00377BF1" w:rsidRDefault="00377BF1" w:rsidP="00377BF1">
    <w:pPr>
      <w:pStyle w:val="FooterLandscap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1E4F" w:rsidRDefault="003D1E4F" w:rsidP="00C5603D">
      <w:pPr>
        <w:spacing w:before="0" w:after="0"/>
      </w:pPr>
      <w:r>
        <w:separator/>
      </w:r>
    </w:p>
  </w:footnote>
  <w:footnote w:type="continuationSeparator" w:id="0">
    <w:p w:rsidR="003D1E4F" w:rsidRDefault="003D1E4F" w:rsidP="00C5603D">
      <w:pPr>
        <w:spacing w:before="0" w:after="0"/>
      </w:pPr>
      <w:r>
        <w:continuationSeparator/>
      </w:r>
    </w:p>
  </w:footnote>
  <w:footnote w:type="continuationNotice" w:id="1">
    <w:p w:rsidR="003D1E4F" w:rsidRDefault="003D1E4F">
      <w:pPr>
        <w:spacing w:before="0" w:after="0"/>
      </w:pPr>
    </w:p>
  </w:footnote>
  <w:footnote w:id="2">
    <w:p w:rsidR="003D1E4F" w:rsidRPr="00162CB4" w:rsidRDefault="003D1E4F" w:rsidP="003D1E4F">
      <w:pPr>
        <w:pStyle w:val="FootnoteText"/>
      </w:pPr>
      <w:r w:rsidRPr="00162CB4">
        <w:rPr>
          <w:rStyle w:val="FootnoteReference"/>
        </w:rPr>
        <w:footnoteRef/>
      </w:r>
      <w:r w:rsidRPr="00162CB4">
        <w:tab/>
      </w:r>
      <w:hyperlink r:id="rId1" w:history="1">
        <w:r w:rsidRPr="00162CB4">
          <w:rPr>
            <w:rStyle w:val="Hyperlink"/>
          </w:rPr>
          <w:t>Римска декларация, март 2017 г.</w:t>
        </w:r>
      </w:hyperlink>
    </w:p>
  </w:footnote>
  <w:footnote w:id="3">
    <w:p w:rsidR="003D1E4F" w:rsidRPr="00162CB4" w:rsidRDefault="003D1E4F" w:rsidP="003D1E4F">
      <w:pPr>
        <w:pStyle w:val="FootnoteText"/>
      </w:pPr>
      <w:r w:rsidRPr="00162CB4">
        <w:rPr>
          <w:rStyle w:val="FootnoteReference"/>
        </w:rPr>
        <w:footnoteRef/>
      </w:r>
      <w:r w:rsidRPr="00162CB4">
        <w:tab/>
        <w:t xml:space="preserve">Европейска година на културното наследство 2018 г.: </w:t>
      </w:r>
      <w:hyperlink r:id="rId2" w:history="1">
        <w:r w:rsidRPr="00162CB4">
          <w:rPr>
            <w:rStyle w:val="Hyperlink"/>
          </w:rPr>
          <w:t>https://europa.eu/cultural-heritage/european-year-cultural-heritage_bg</w:t>
        </w:r>
      </w:hyperlink>
      <w:r w:rsidRPr="00162CB4">
        <w:t xml:space="preserve"> </w:t>
      </w:r>
    </w:p>
  </w:footnote>
  <w:footnote w:id="4">
    <w:p w:rsidR="003D1E4F" w:rsidRPr="00162CB4" w:rsidRDefault="003D1E4F" w:rsidP="003D1E4F">
      <w:pPr>
        <w:pStyle w:val="FootnoteText"/>
      </w:pPr>
      <w:r w:rsidRPr="00162CB4">
        <w:rPr>
          <w:rStyle w:val="FootnoteReference"/>
        </w:rPr>
        <w:footnoteRef/>
      </w:r>
      <w:r w:rsidRPr="00162CB4">
        <w:tab/>
      </w:r>
      <w:hyperlink r:id="rId3" w:history="1">
        <w:r w:rsidRPr="00162CB4">
          <w:rPr>
            <w:rStyle w:val="Hyperlink"/>
          </w:rPr>
          <w:t xml:space="preserve">COM(2017) 673 </w:t>
        </w:r>
        <w:proofErr w:type="spellStart"/>
        <w:r w:rsidRPr="00162CB4">
          <w:rPr>
            <w:rStyle w:val="Hyperlink"/>
          </w:rPr>
          <w:t>final</w:t>
        </w:r>
        <w:proofErr w:type="spellEnd"/>
      </w:hyperlink>
    </w:p>
  </w:footnote>
  <w:footnote w:id="5">
    <w:p w:rsidR="003D1E4F" w:rsidRPr="00162CB4" w:rsidRDefault="003D1E4F" w:rsidP="003D1E4F">
      <w:pPr>
        <w:pStyle w:val="FootnoteText"/>
      </w:pPr>
      <w:r w:rsidRPr="00162CB4">
        <w:rPr>
          <w:rStyle w:val="FootnoteReference"/>
        </w:rPr>
        <w:footnoteRef/>
      </w:r>
      <w:r w:rsidRPr="00162CB4">
        <w:tab/>
        <w:t xml:space="preserve">СОМ(2018) 267 </w:t>
      </w:r>
      <w:proofErr w:type="spellStart"/>
      <w:r w:rsidRPr="00162CB4">
        <w:t>final</w:t>
      </w:r>
      <w:proofErr w:type="spellEnd"/>
      <w:r w:rsidRPr="00162CB4">
        <w:t>.</w:t>
      </w:r>
    </w:p>
  </w:footnote>
  <w:footnote w:id="6">
    <w:p w:rsidR="003D1E4F" w:rsidRPr="00162CB4" w:rsidRDefault="003D1E4F" w:rsidP="003D1E4F">
      <w:pPr>
        <w:pStyle w:val="FootnoteText"/>
      </w:pPr>
      <w:r w:rsidRPr="00162CB4">
        <w:rPr>
          <w:rStyle w:val="FootnoteReference"/>
        </w:rPr>
        <w:footnoteRef/>
      </w:r>
      <w:r w:rsidRPr="00162CB4">
        <w:tab/>
      </w:r>
      <w:hyperlink r:id="rId4" w:history="1">
        <w:r w:rsidRPr="00162CB4">
          <w:rPr>
            <w:rStyle w:val="Hyperlink"/>
          </w:rPr>
          <w:t>JOIN/2016/029</w:t>
        </w:r>
      </w:hyperlink>
    </w:p>
  </w:footnote>
  <w:footnote w:id="7">
    <w:p w:rsidR="003D1E4F" w:rsidRPr="00162CB4" w:rsidRDefault="003D1E4F" w:rsidP="003D1E4F">
      <w:pPr>
        <w:pStyle w:val="FootnoteText"/>
      </w:pPr>
      <w:r w:rsidRPr="00162CB4">
        <w:rPr>
          <w:rStyle w:val="FootnoteReference"/>
        </w:rPr>
        <w:footnoteRef/>
      </w:r>
      <w:r w:rsidRPr="00162CB4">
        <w:tab/>
      </w:r>
      <w:hyperlink r:id="rId5" w:history="1">
        <w:r w:rsidRPr="00162CB4">
          <w:rPr>
            <w:rStyle w:val="Hyperlink"/>
          </w:rPr>
          <w:t xml:space="preserve">COM/2014/0477 </w:t>
        </w:r>
        <w:proofErr w:type="spellStart"/>
        <w:r w:rsidRPr="00162CB4">
          <w:rPr>
            <w:rStyle w:val="Hyperlink"/>
          </w:rPr>
          <w:t>final</w:t>
        </w:r>
        <w:proofErr w:type="spellEnd"/>
      </w:hyperlink>
    </w:p>
  </w:footnote>
  <w:footnote w:id="8">
    <w:p w:rsidR="003D1E4F" w:rsidRPr="00162CB4" w:rsidRDefault="003D1E4F" w:rsidP="003D1E4F">
      <w:pPr>
        <w:pStyle w:val="FootnoteText"/>
      </w:pPr>
      <w:r w:rsidRPr="00162CB4">
        <w:rPr>
          <w:rStyle w:val="FootnoteReference"/>
        </w:rPr>
        <w:footnoteRef/>
      </w:r>
      <w:r w:rsidRPr="00162CB4">
        <w:tab/>
      </w:r>
      <w:hyperlink r:id="rId6" w:history="1">
        <w:r w:rsidRPr="00162CB4">
          <w:rPr>
            <w:rStyle w:val="Hyperlink"/>
          </w:rPr>
          <w:t xml:space="preserve">СОМ(2018) 236 </w:t>
        </w:r>
        <w:proofErr w:type="spellStart"/>
        <w:r w:rsidRPr="00162CB4">
          <w:rPr>
            <w:rStyle w:val="Hyperlink"/>
          </w:rPr>
          <w:t>final</w:t>
        </w:r>
        <w:proofErr w:type="spellEnd"/>
        <w:r w:rsidRPr="00162CB4">
          <w:rPr>
            <w:rStyle w:val="Hyperlink"/>
          </w:rPr>
          <w:t>.</w:t>
        </w:r>
      </w:hyperlink>
      <w:r w:rsidRPr="00162CB4">
        <w:rPr>
          <w:rStyle w:val="Hyperlink"/>
        </w:rPr>
        <w:t> </w:t>
      </w:r>
    </w:p>
  </w:footnote>
  <w:footnote w:id="9">
    <w:p w:rsidR="003D1E4F" w:rsidRPr="00162CB4" w:rsidRDefault="003D1E4F" w:rsidP="003D1E4F">
      <w:pPr>
        <w:pStyle w:val="FootnoteText"/>
      </w:pPr>
      <w:r w:rsidRPr="00162CB4">
        <w:rPr>
          <w:rStyle w:val="FootnoteReference"/>
        </w:rPr>
        <w:footnoteRef/>
      </w:r>
      <w:r w:rsidRPr="00162CB4">
        <w:tab/>
      </w:r>
      <w:hyperlink r:id="rId7" w:history="1">
        <w:r w:rsidRPr="00162CB4">
          <w:rPr>
            <w:rStyle w:val="Hyperlink"/>
          </w:rPr>
          <w:t xml:space="preserve">СОМ(2017) 479 </w:t>
        </w:r>
        <w:proofErr w:type="spellStart"/>
        <w:r w:rsidRPr="00162CB4">
          <w:rPr>
            <w:rStyle w:val="Hyperlink"/>
          </w:rPr>
          <w:t>final</w:t>
        </w:r>
        <w:proofErr w:type="spellEnd"/>
        <w:r w:rsidRPr="00162CB4">
          <w:rPr>
            <w:rStyle w:val="Hyperlink"/>
          </w:rPr>
          <w:t>.</w:t>
        </w:r>
      </w:hyperlink>
    </w:p>
  </w:footnote>
  <w:footnote w:id="10">
    <w:p w:rsidR="003D1E4F" w:rsidRPr="00162CB4" w:rsidRDefault="003D1E4F" w:rsidP="003D1E4F">
      <w:pPr>
        <w:pStyle w:val="FootnoteText"/>
      </w:pPr>
      <w:r w:rsidRPr="00162CB4">
        <w:rPr>
          <w:rStyle w:val="FootnoteReference"/>
        </w:rPr>
        <w:footnoteRef/>
      </w:r>
      <w:r w:rsidRPr="00162CB4">
        <w:tab/>
        <w:t>Бяха получени 1839 отговора от цяла Европа.</w:t>
      </w:r>
    </w:p>
  </w:footnote>
  <w:footnote w:id="11">
    <w:p w:rsidR="003D1E4F" w:rsidRPr="00162CB4" w:rsidRDefault="003D1E4F" w:rsidP="003D1E4F">
      <w:pPr>
        <w:pStyle w:val="FootnoteText"/>
      </w:pPr>
      <w:r w:rsidRPr="00162CB4">
        <w:rPr>
          <w:rStyle w:val="FootnoteReference"/>
        </w:rPr>
        <w:footnoteRef/>
      </w:r>
      <w:r w:rsidRPr="00162CB4">
        <w:tab/>
        <w:t>https://ec.europa.eu/digital-single-market/en/european-film-forum</w:t>
      </w:r>
    </w:p>
  </w:footnote>
  <w:footnote w:id="12">
    <w:p w:rsidR="003D1E4F" w:rsidRPr="00162CB4" w:rsidRDefault="003D1E4F" w:rsidP="003D1E4F">
      <w:pPr>
        <w:pStyle w:val="FootnoteText"/>
      </w:pPr>
      <w:r w:rsidRPr="00162CB4">
        <w:rPr>
          <w:rStyle w:val="FootnoteReference"/>
        </w:rPr>
        <w:footnoteRef/>
      </w:r>
      <w:r w:rsidRPr="00162CB4">
        <w:tab/>
      </w:r>
      <w:proofErr w:type="spellStart"/>
      <w:r w:rsidRPr="00162CB4">
        <w:t>Междуинституционално</w:t>
      </w:r>
      <w:proofErr w:type="spellEnd"/>
      <w:r w:rsidRPr="00162CB4">
        <w:t xml:space="preserve"> споразумение между Европейския парламент, Съвета на Европейския съюз и Европейската комисия за по-добро законотворчество от 13 април 2016 г. (OВ L 123, 12.5.2016 г., стр. 1).</w:t>
      </w:r>
    </w:p>
  </w:footnote>
  <w:footnote w:id="13">
    <w:p w:rsidR="003D1E4F" w:rsidRPr="00162CB4" w:rsidRDefault="003D1E4F" w:rsidP="003D1E4F">
      <w:pPr>
        <w:pStyle w:val="FootnoteText"/>
        <w:ind w:left="0" w:firstLine="0"/>
      </w:pPr>
      <w:r w:rsidRPr="00162CB4">
        <w:rPr>
          <w:rStyle w:val="FootnoteReference"/>
        </w:rPr>
        <w:footnoteRef/>
      </w:r>
      <w:r w:rsidRPr="00162CB4">
        <w:tab/>
        <w:t xml:space="preserve">СОМ(2018) 248 </w:t>
      </w:r>
      <w:proofErr w:type="spellStart"/>
      <w:r w:rsidRPr="00162CB4">
        <w:t>final</w:t>
      </w:r>
      <w:proofErr w:type="spellEnd"/>
      <w:r w:rsidRPr="00162CB4">
        <w:t>.</w:t>
      </w:r>
    </w:p>
  </w:footnote>
  <w:footnote w:id="14">
    <w:p w:rsidR="003D1E4F" w:rsidRPr="00162CB4" w:rsidRDefault="003D1E4F" w:rsidP="003D1E4F">
      <w:pPr>
        <w:pStyle w:val="FootnoteText"/>
      </w:pPr>
      <w:r w:rsidRPr="00162CB4">
        <w:rPr>
          <w:rStyle w:val="FootnoteReference"/>
        </w:rPr>
        <w:footnoteRef/>
      </w:r>
      <w:r w:rsidRPr="00162CB4">
        <w:tab/>
        <w:t>ОВ С [...], [...] г., стр. [...].</w:t>
      </w:r>
    </w:p>
  </w:footnote>
  <w:footnote w:id="15">
    <w:p w:rsidR="003D1E4F" w:rsidRPr="00162CB4" w:rsidRDefault="003D1E4F" w:rsidP="003D1E4F">
      <w:pPr>
        <w:pStyle w:val="FootnoteText"/>
      </w:pPr>
      <w:r w:rsidRPr="00162CB4">
        <w:rPr>
          <w:rStyle w:val="FootnoteReference"/>
        </w:rPr>
        <w:footnoteRef/>
      </w:r>
      <w:r w:rsidRPr="00162CB4">
        <w:tab/>
        <w:t>ОВ С [...], [...] г., стр. [...].</w:t>
      </w:r>
    </w:p>
  </w:footnote>
  <w:footnote w:id="16">
    <w:p w:rsidR="003D1E4F" w:rsidRPr="00162CB4" w:rsidRDefault="003D1E4F" w:rsidP="003D1E4F">
      <w:pPr>
        <w:pStyle w:val="FootnoteText"/>
      </w:pPr>
      <w:r w:rsidRPr="00162CB4">
        <w:rPr>
          <w:rStyle w:val="FootnoteReference"/>
        </w:rPr>
        <w:footnoteRef/>
      </w:r>
      <w:r w:rsidRPr="00162CB4">
        <w:tab/>
        <w:t xml:space="preserve">СОМ(2018) 267 </w:t>
      </w:r>
      <w:proofErr w:type="spellStart"/>
      <w:r w:rsidRPr="00162CB4">
        <w:t>final</w:t>
      </w:r>
      <w:proofErr w:type="spellEnd"/>
      <w:r w:rsidRPr="00162CB4">
        <w:t xml:space="preserve">. </w:t>
      </w:r>
    </w:p>
  </w:footnote>
  <w:footnote w:id="17">
    <w:p w:rsidR="003D1E4F" w:rsidRPr="00162CB4" w:rsidRDefault="003D1E4F" w:rsidP="003D1E4F">
      <w:pPr>
        <w:pStyle w:val="FootnoteText"/>
      </w:pPr>
      <w:r w:rsidRPr="00162CB4">
        <w:rPr>
          <w:rStyle w:val="FootnoteReference"/>
        </w:rPr>
        <w:footnoteRef/>
      </w:r>
      <w:r w:rsidRPr="00162CB4">
        <w:tab/>
      </w:r>
      <w:hyperlink r:id="rId8" w:history="1">
        <w:r w:rsidRPr="00162CB4">
          <w:rPr>
            <w:rStyle w:val="Hyperlink"/>
          </w:rPr>
          <w:t xml:space="preserve">СОМ(2016) 594 </w:t>
        </w:r>
        <w:proofErr w:type="spellStart"/>
        <w:r w:rsidRPr="00162CB4">
          <w:rPr>
            <w:rStyle w:val="Hyperlink"/>
          </w:rPr>
          <w:t>final</w:t>
        </w:r>
        <w:proofErr w:type="spellEnd"/>
        <w:r w:rsidRPr="00162CB4">
          <w:rPr>
            <w:rStyle w:val="Hyperlink"/>
          </w:rPr>
          <w:t>.</w:t>
        </w:r>
      </w:hyperlink>
    </w:p>
  </w:footnote>
  <w:footnote w:id="18">
    <w:p w:rsidR="003D1E4F" w:rsidRPr="00162CB4" w:rsidRDefault="003D1E4F" w:rsidP="003D1E4F">
      <w:pPr>
        <w:pStyle w:val="FootnoteText"/>
      </w:pPr>
      <w:r w:rsidRPr="00162CB4">
        <w:rPr>
          <w:rStyle w:val="FootnoteReference"/>
        </w:rPr>
        <w:footnoteRef/>
      </w:r>
      <w:r w:rsidRPr="00162CB4">
        <w:tab/>
      </w:r>
      <w:hyperlink r:id="rId9" w:history="1">
        <w:r w:rsidRPr="00162CB4">
          <w:rPr>
            <w:rStyle w:val="Hyperlink"/>
          </w:rPr>
          <w:t xml:space="preserve">COM/2016/0287 </w:t>
        </w:r>
        <w:proofErr w:type="spellStart"/>
        <w:r w:rsidRPr="00162CB4">
          <w:rPr>
            <w:rStyle w:val="Hyperlink"/>
          </w:rPr>
          <w:t>final</w:t>
        </w:r>
        <w:proofErr w:type="spellEnd"/>
      </w:hyperlink>
    </w:p>
  </w:footnote>
  <w:footnote w:id="19">
    <w:p w:rsidR="003D1E4F" w:rsidRPr="00162CB4" w:rsidRDefault="003D1E4F" w:rsidP="003D1E4F">
      <w:pPr>
        <w:pStyle w:val="FootnoteText"/>
      </w:pPr>
      <w:r w:rsidRPr="00162CB4">
        <w:rPr>
          <w:rStyle w:val="FootnoteReference"/>
        </w:rPr>
        <w:footnoteRef/>
      </w:r>
      <w:r w:rsidRPr="00162CB4">
        <w:tab/>
      </w:r>
      <w:hyperlink r:id="rId10" w:history="1">
        <w:r w:rsidRPr="00162CB4">
          <w:rPr>
            <w:rStyle w:val="Hyperlink"/>
          </w:rPr>
          <w:t>JOIN/2016/029</w:t>
        </w:r>
      </w:hyperlink>
    </w:p>
  </w:footnote>
  <w:footnote w:id="20">
    <w:p w:rsidR="003D1E4F" w:rsidRPr="00162CB4" w:rsidRDefault="003D1E4F" w:rsidP="003D1E4F">
      <w:pPr>
        <w:pStyle w:val="FootnoteText"/>
      </w:pPr>
      <w:r w:rsidRPr="00162CB4">
        <w:rPr>
          <w:rStyle w:val="FootnoteReference"/>
        </w:rPr>
        <w:footnoteRef/>
      </w:r>
      <w:r w:rsidRPr="00162CB4">
        <w:tab/>
      </w:r>
      <w:hyperlink r:id="rId11" w:history="1">
        <w:r w:rsidRPr="00162CB4">
          <w:rPr>
            <w:rStyle w:val="Hyperlink"/>
          </w:rPr>
          <w:t xml:space="preserve">COM/2014/0477 </w:t>
        </w:r>
        <w:proofErr w:type="spellStart"/>
        <w:r w:rsidRPr="00162CB4">
          <w:rPr>
            <w:rStyle w:val="Hyperlink"/>
          </w:rPr>
          <w:t>final</w:t>
        </w:r>
        <w:proofErr w:type="spellEnd"/>
      </w:hyperlink>
    </w:p>
  </w:footnote>
  <w:footnote w:id="21">
    <w:p w:rsidR="003D1E4F" w:rsidRPr="00162CB4" w:rsidRDefault="003D1E4F" w:rsidP="003D1E4F">
      <w:pPr>
        <w:pStyle w:val="FootnoteText"/>
      </w:pPr>
      <w:r w:rsidRPr="00162CB4">
        <w:rPr>
          <w:rStyle w:val="FootnoteReference"/>
        </w:rPr>
        <w:footnoteRef/>
      </w:r>
      <w:r w:rsidRPr="00162CB4">
        <w:tab/>
      </w:r>
      <w:hyperlink r:id="rId12" w:history="1">
        <w:r w:rsidRPr="00162CB4">
          <w:rPr>
            <w:rStyle w:val="Hyperlink"/>
          </w:rPr>
          <w:t xml:space="preserve">COM (2017)479 </w:t>
        </w:r>
        <w:proofErr w:type="spellStart"/>
        <w:r w:rsidRPr="00162CB4">
          <w:rPr>
            <w:rStyle w:val="Hyperlink"/>
          </w:rPr>
          <w:t>final</w:t>
        </w:r>
        <w:proofErr w:type="spellEnd"/>
      </w:hyperlink>
    </w:p>
  </w:footnote>
  <w:footnote w:id="22">
    <w:p w:rsidR="003D1E4F" w:rsidRPr="00162CB4" w:rsidRDefault="003D1E4F" w:rsidP="003D1E4F">
      <w:pPr>
        <w:pStyle w:val="FootnoteText"/>
      </w:pPr>
      <w:r w:rsidRPr="00162CB4">
        <w:rPr>
          <w:rStyle w:val="FootnoteReference"/>
        </w:rPr>
        <w:footnoteRef/>
      </w:r>
      <w:r w:rsidRPr="00162CB4">
        <w:tab/>
        <w:t>Програма до 2030 г. за устойчиво развитие, приета от Организацията на обединените нации през септември 2015 г., A/RES/70/1.</w:t>
      </w:r>
    </w:p>
  </w:footnote>
  <w:footnote w:id="23">
    <w:p w:rsidR="003D1E4F" w:rsidRPr="00162CB4" w:rsidRDefault="003D1E4F" w:rsidP="003D1E4F">
      <w:pPr>
        <w:pStyle w:val="FootnoteText"/>
      </w:pPr>
      <w:r w:rsidRPr="00162CB4">
        <w:rPr>
          <w:rStyle w:val="FootnoteReference"/>
        </w:rPr>
        <w:footnoteRef/>
      </w:r>
      <w:r w:rsidRPr="00162CB4">
        <w:tab/>
        <w:t>ОВ C 373, 20.12.2013 г., стр. 1.</w:t>
      </w:r>
    </w:p>
  </w:footnote>
  <w:footnote w:id="24">
    <w:p w:rsidR="003D1E4F" w:rsidRPr="00162CB4" w:rsidRDefault="003D1E4F" w:rsidP="003D1E4F">
      <w:pPr>
        <w:pStyle w:val="FootnoteText"/>
      </w:pPr>
      <w:r w:rsidRPr="00162CB4">
        <w:rPr>
          <w:rStyle w:val="FootnoteReference"/>
        </w:rPr>
        <w:footnoteRef/>
      </w:r>
      <w:r w:rsidRPr="00162CB4">
        <w:tab/>
        <w:t xml:space="preserve">Регламент (ЕС, </w:t>
      </w:r>
      <w:proofErr w:type="spellStart"/>
      <w:r w:rsidRPr="00162CB4">
        <w:t>Евратом</w:t>
      </w:r>
      <w:proofErr w:type="spellEnd"/>
      <w:r w:rsidRPr="00162CB4">
        <w:t>) № 883/2013 на Европейския парламент и на Съвета от 11 септември 2013 г. относно разследванията, провеждани от Европейската служба за борба с измамите (OLAF), и за отмяна на Регламент (ЕО) № 1073/1999 на Европейския парламент и на Съвета и Регламент (</w:t>
      </w:r>
      <w:proofErr w:type="spellStart"/>
      <w:r w:rsidRPr="00162CB4">
        <w:t>Евратом</w:t>
      </w:r>
      <w:proofErr w:type="spellEnd"/>
      <w:r w:rsidRPr="00162CB4">
        <w:t>) № 1074/1999 на Съвета (OB L 248, 18.9.2013 г., стр. 1).</w:t>
      </w:r>
    </w:p>
  </w:footnote>
  <w:footnote w:id="25">
    <w:p w:rsidR="003D1E4F" w:rsidRPr="00162CB4" w:rsidRDefault="003D1E4F" w:rsidP="003D1E4F">
      <w:pPr>
        <w:pStyle w:val="FootnoteText"/>
      </w:pPr>
      <w:r w:rsidRPr="00162CB4">
        <w:rPr>
          <w:rStyle w:val="FootnoteReference"/>
        </w:rPr>
        <w:footnoteRef/>
      </w:r>
      <w:r w:rsidRPr="00162CB4">
        <w:tab/>
        <w:t xml:space="preserve">Регламент (EО, </w:t>
      </w:r>
      <w:proofErr w:type="spellStart"/>
      <w:r w:rsidRPr="00162CB4">
        <w:t>Евратом</w:t>
      </w:r>
      <w:proofErr w:type="spellEnd"/>
      <w:r w:rsidRPr="00162CB4">
        <w:t>) № 2988/95 на Съвета от 18 декември 1995 г. относно защитата на финансовите интереси на Европейските общности (OВ L 312, 23.12.1995 г., стр.1).</w:t>
      </w:r>
    </w:p>
  </w:footnote>
  <w:footnote w:id="26">
    <w:p w:rsidR="003D1E4F" w:rsidRPr="00162CB4" w:rsidRDefault="003D1E4F" w:rsidP="003D1E4F">
      <w:pPr>
        <w:pStyle w:val="FootnoteText"/>
      </w:pPr>
      <w:r w:rsidRPr="00162CB4">
        <w:rPr>
          <w:rStyle w:val="FootnoteReference"/>
        </w:rPr>
        <w:footnoteRef/>
      </w:r>
      <w:r w:rsidRPr="00162CB4">
        <w:tab/>
        <w:t>Регламент (</w:t>
      </w:r>
      <w:proofErr w:type="spellStart"/>
      <w:r w:rsidRPr="00162CB4">
        <w:t>Евратом</w:t>
      </w:r>
      <w:proofErr w:type="spellEnd"/>
      <w:r w:rsidRPr="00162CB4">
        <w:t>, ЕО) № 2185/96 на Съвета от 11 ноември 1996 г. относно контрола и проверките на място, извършвани от Комисията за защита на финансовите интереси на Европейските общности срещу измами и други нередности (ОВ L 292, 15.11.1996 г., стр. 2).</w:t>
      </w:r>
    </w:p>
  </w:footnote>
  <w:footnote w:id="27">
    <w:p w:rsidR="003D1E4F" w:rsidRPr="00162CB4" w:rsidRDefault="003D1E4F" w:rsidP="003D1E4F">
      <w:pPr>
        <w:pStyle w:val="FootnoteText"/>
      </w:pPr>
      <w:r w:rsidRPr="00162CB4">
        <w:rPr>
          <w:rStyle w:val="FootnoteReference"/>
        </w:rPr>
        <w:footnoteRef/>
      </w:r>
      <w:r w:rsidRPr="00162CB4">
        <w:tab/>
        <w:t>Регламент (ЕС) 2017/1939 на Съвета от 12 октомври 2017 г. за установяване на засилено сътрудничество за създаване на Европейска прокуратура (OB L 283, 31.10.2017 г., стр. 1).</w:t>
      </w:r>
    </w:p>
  </w:footnote>
  <w:footnote w:id="28">
    <w:p w:rsidR="003D1E4F" w:rsidRPr="00162CB4" w:rsidRDefault="003D1E4F" w:rsidP="003D1E4F">
      <w:pPr>
        <w:pStyle w:val="FootnoteText"/>
      </w:pPr>
      <w:r w:rsidRPr="00162CB4">
        <w:rPr>
          <w:rStyle w:val="FootnoteReference"/>
        </w:rPr>
        <w:footnoteRef/>
      </w:r>
      <w:r w:rsidRPr="00162CB4">
        <w:tab/>
        <w:t xml:space="preserve">Директива (ЕС) 2017/1371 на Европейския парламент и на Съвета от 5 юли 2017 г. относно борбата с измамите, засягащи финансовите интереси на Съюза, по </w:t>
      </w:r>
      <w:proofErr w:type="spellStart"/>
      <w:r w:rsidRPr="00162CB4">
        <w:t>наказателноправен</w:t>
      </w:r>
      <w:proofErr w:type="spellEnd"/>
      <w:r w:rsidRPr="00162CB4">
        <w:t xml:space="preserve"> ред (ОВ L 198, 28.7.2017 г., стр. 29).</w:t>
      </w:r>
    </w:p>
  </w:footnote>
  <w:footnote w:id="29">
    <w:p w:rsidR="003D1E4F" w:rsidRPr="00162CB4" w:rsidRDefault="003D1E4F" w:rsidP="003D1E4F">
      <w:pPr>
        <w:pStyle w:val="FootnoteText"/>
      </w:pPr>
      <w:r w:rsidRPr="00162CB4">
        <w:rPr>
          <w:rStyle w:val="FootnoteReference"/>
        </w:rPr>
        <w:footnoteRef/>
      </w:r>
      <w:r w:rsidRPr="00162CB4">
        <w:tab/>
        <w:t>Решение 2013/755/ЕС на Съвета от 25 ноември 2013 г. за асоцииране на отвъдморските страни и територии към Европейския съюз („Решение за отвъдморско асоцииране“) (ОВ L 344, 19.12.2013 г., стр. 1).</w:t>
      </w:r>
    </w:p>
  </w:footnote>
  <w:footnote w:id="30">
    <w:p w:rsidR="003D1E4F" w:rsidRPr="00162CB4" w:rsidRDefault="003D1E4F" w:rsidP="003D1E4F">
      <w:pPr>
        <w:pStyle w:val="FootnoteText"/>
      </w:pPr>
      <w:r w:rsidRPr="00162CB4">
        <w:rPr>
          <w:rStyle w:val="FootnoteReference"/>
        </w:rPr>
        <w:footnoteRef/>
      </w:r>
      <w:r w:rsidRPr="00162CB4">
        <w:tab/>
        <w:t>Регламент (ЕС) № 182/2011 на Европейския парламент и на Съвета от 16 февруари 2011 г. за установяване на общите правила и принципи относно реда и условията за контрол от страна на държавите членки върху упражняването на изпълнителните правомощия от страна на Комисията (ОВ L 55, 28.2.2011 г., стр. 13).</w:t>
      </w:r>
    </w:p>
  </w:footnote>
  <w:footnote w:id="31">
    <w:p w:rsidR="003D1E4F" w:rsidRPr="00162CB4" w:rsidRDefault="003D1E4F" w:rsidP="003D1E4F">
      <w:pPr>
        <w:pStyle w:val="FootnoteText"/>
      </w:pPr>
      <w:r w:rsidRPr="00162CB4">
        <w:rPr>
          <w:rStyle w:val="FootnoteReference"/>
        </w:rPr>
        <w:footnoteRef/>
      </w:r>
      <w:r w:rsidRPr="00162CB4">
        <w:tab/>
        <w:t>OВ L 124, 20.5.2003 г.</w:t>
      </w:r>
    </w:p>
  </w:footnote>
  <w:footnote w:id="32">
    <w:p w:rsidR="003D1E4F" w:rsidRPr="00162CB4" w:rsidRDefault="003D1E4F" w:rsidP="003D1E4F">
      <w:pPr>
        <w:pStyle w:val="FootnoteText"/>
      </w:pPr>
      <w:r w:rsidRPr="00162CB4">
        <w:rPr>
          <w:rStyle w:val="FootnoteReference"/>
        </w:rPr>
        <w:footnoteRef/>
      </w:r>
      <w:r w:rsidRPr="00162CB4">
        <w:tab/>
        <w:t>Съгласно член 58, параграф 2, буква а) или б) от Финансовия регламент.</w:t>
      </w:r>
    </w:p>
  </w:footnote>
  <w:footnote w:id="33">
    <w:p w:rsidR="003D1E4F" w:rsidRPr="00162CB4" w:rsidRDefault="003D1E4F" w:rsidP="003D1E4F">
      <w:pPr>
        <w:pStyle w:val="FootnoteText"/>
        <w:jc w:val="left"/>
      </w:pPr>
      <w:r w:rsidRPr="00162CB4">
        <w:rPr>
          <w:rStyle w:val="FootnoteReference"/>
        </w:rPr>
        <w:footnoteRef/>
      </w:r>
      <w:r w:rsidRPr="00162CB4">
        <w:tab/>
        <w:t xml:space="preserve">Подробности във връзка с методите на управление и позоваванията на Финансовия регламент могат да бъдат намерени на уебсайта </w:t>
      </w:r>
      <w:proofErr w:type="spellStart"/>
      <w:r w:rsidRPr="00162CB4">
        <w:t>BudgWeb</w:t>
      </w:r>
      <w:proofErr w:type="spellEnd"/>
      <w:r w:rsidRPr="00162CB4">
        <w:t xml:space="preserve">: </w:t>
      </w:r>
      <w:hyperlink r:id="rId13" w:history="1">
        <w:r w:rsidRPr="00162CB4">
          <w:rPr>
            <w:rStyle w:val="Hyperlink"/>
          </w:rPr>
          <w:t>https://myintracomm.ec.europa.eu/budgweb/EN/man/budgmanag/Pages/budgmanag.aspx</w:t>
        </w:r>
      </w:hyperlink>
      <w:r w:rsidRPr="00162CB4">
        <w:t xml:space="preserve"> </w:t>
      </w:r>
    </w:p>
  </w:footnote>
  <w:footnote w:id="34">
    <w:p w:rsidR="003D1E4F" w:rsidRPr="00162CB4" w:rsidRDefault="003D1E4F" w:rsidP="003D1E4F">
      <w:pPr>
        <w:pStyle w:val="FootnoteText"/>
      </w:pPr>
      <w:r w:rsidRPr="00162CB4">
        <w:rPr>
          <w:rStyle w:val="FootnoteReference"/>
        </w:rPr>
        <w:footnoteRef/>
      </w:r>
      <w:r w:rsidRPr="00162CB4">
        <w:tab/>
      </w:r>
      <w:proofErr w:type="spellStart"/>
      <w:r w:rsidRPr="00162CB4">
        <w:t>Многогод</w:t>
      </w:r>
      <w:proofErr w:type="spellEnd"/>
      <w:r w:rsidRPr="00162CB4">
        <w:t xml:space="preserve">. = многогодишни бюджетни кредити / </w:t>
      </w:r>
      <w:proofErr w:type="spellStart"/>
      <w:r w:rsidRPr="00162CB4">
        <w:t>Едногод</w:t>
      </w:r>
      <w:proofErr w:type="spellEnd"/>
      <w:r w:rsidRPr="00162CB4">
        <w:t>. = едногодишни бюджетни кредити.</w:t>
      </w:r>
    </w:p>
  </w:footnote>
  <w:footnote w:id="35">
    <w:p w:rsidR="003D1E4F" w:rsidRPr="00162CB4" w:rsidRDefault="003D1E4F" w:rsidP="003D1E4F">
      <w:pPr>
        <w:pStyle w:val="FootnoteText"/>
      </w:pPr>
      <w:r w:rsidRPr="00162CB4">
        <w:rPr>
          <w:rStyle w:val="FootnoteReference"/>
        </w:rPr>
        <w:footnoteRef/>
      </w:r>
      <w:r w:rsidRPr="00162CB4">
        <w:tab/>
        <w:t xml:space="preserve">ЕАСТ: Европейска асоциация за свободна търговия. </w:t>
      </w:r>
    </w:p>
  </w:footnote>
  <w:footnote w:id="36">
    <w:p w:rsidR="003D1E4F" w:rsidRPr="00162CB4" w:rsidRDefault="003D1E4F" w:rsidP="003D1E4F">
      <w:pPr>
        <w:pStyle w:val="FootnoteText"/>
      </w:pPr>
      <w:r w:rsidRPr="00162CB4">
        <w:rPr>
          <w:rStyle w:val="FootnoteReference"/>
        </w:rPr>
        <w:footnoteRef/>
      </w:r>
      <w:r w:rsidRPr="00162CB4">
        <w:tab/>
        <w:t>Държави кандидатки и ако е приложимо, потенциални кандидати от Западните Балкани.</w:t>
      </w:r>
    </w:p>
  </w:footnote>
  <w:footnote w:id="37">
    <w:p w:rsidR="003D1E4F" w:rsidRPr="00162CB4" w:rsidRDefault="003D1E4F" w:rsidP="003D1E4F">
      <w:pPr>
        <w:pStyle w:val="FootnoteText"/>
      </w:pPr>
      <w:r w:rsidRPr="00162CB4">
        <w:rPr>
          <w:rStyle w:val="FootnoteReference"/>
        </w:rPr>
        <w:footnoteRef/>
      </w:r>
      <w:r w:rsidRPr="00162CB4">
        <w:tab/>
        <w:t>Общата сума не съвпада напълно поради закръгляването</w:t>
      </w:r>
    </w:p>
  </w:footnote>
  <w:footnote w:id="38">
    <w:p w:rsidR="003D1E4F" w:rsidRPr="00162CB4" w:rsidRDefault="003D1E4F" w:rsidP="003D1E4F">
      <w:pPr>
        <w:pStyle w:val="FootnoteText"/>
      </w:pPr>
      <w:r w:rsidRPr="00162CB4">
        <w:rPr>
          <w:rStyle w:val="FootnoteReference"/>
        </w:rPr>
        <w:footnoteRef/>
      </w:r>
      <w:r w:rsidRPr="00162CB4">
        <w:tab/>
        <w:t>Програмата би могла да бъде (частично) делегира на изпълнителна агенция в зависимост от резултата от анализа на разходите и ползите и свързаните с това решения, които трябва да бъдат взети.</w:t>
      </w:r>
    </w:p>
  </w:footnote>
  <w:footnote w:id="39">
    <w:p w:rsidR="003D1E4F" w:rsidRPr="00162CB4" w:rsidRDefault="003D1E4F" w:rsidP="003D1E4F">
      <w:pPr>
        <w:pStyle w:val="FootnoteText"/>
        <w:ind w:left="567" w:hanging="567"/>
      </w:pPr>
      <w:r w:rsidRPr="00162CB4">
        <w:rPr>
          <w:rStyle w:val="FootnoteReference"/>
        </w:rPr>
        <w:footnoteRef/>
      </w:r>
      <w:r w:rsidRPr="00162CB4">
        <w:tab/>
        <w:t xml:space="preserve">Прогнози за персонала въз основа на броя на служителите на Комисията през 2018 г. (с изключение на Изпълнителната агенция) при прогресивно увеличение. Размерът се базира на средните разходи при годишно увеличение, считано от 2019 г., с 2 % за индексацията и с 1,5 % за въздействието от професионалното развитие (длъжностни </w:t>
      </w:r>
      <w:proofErr w:type="spellStart"/>
      <w:r w:rsidRPr="00162CB4">
        <w:t>лица+срочно</w:t>
      </w:r>
      <w:proofErr w:type="spellEnd"/>
      <w:r w:rsidRPr="00162CB4">
        <w:t xml:space="preserve"> наети служители). Не включва прогнозния брой на служителите, които ще бъдат необходими за децентрализирани органи, нито допълнителни служители, получаващи заплащане от вноските на бъдещите асоциирани държави.</w:t>
      </w:r>
    </w:p>
  </w:footnote>
  <w:footnote w:id="40">
    <w:p w:rsidR="003D1E4F" w:rsidRPr="00162CB4" w:rsidRDefault="003D1E4F" w:rsidP="003D1E4F">
      <w:pPr>
        <w:pStyle w:val="FootnoteText"/>
      </w:pPr>
      <w:r w:rsidRPr="00162CB4">
        <w:rPr>
          <w:rStyle w:val="FootnoteReference"/>
        </w:rPr>
        <w:footnoteRef/>
      </w:r>
      <w:r w:rsidRPr="00162CB4">
        <w:tab/>
        <w:t>Техническа и/или административна помощ и разходи в подкрепа на изпълнението на програми и/или действия на ЕС (предишни редове BA), непреки научни изследвания, преки научни изследвания.</w:t>
      </w:r>
    </w:p>
  </w:footnote>
  <w:footnote w:id="41">
    <w:p w:rsidR="003D1E4F" w:rsidRPr="00162CB4" w:rsidRDefault="003D1E4F" w:rsidP="003D1E4F">
      <w:pPr>
        <w:pStyle w:val="FootnoteText"/>
      </w:pPr>
      <w:r w:rsidRPr="00162CB4">
        <w:rPr>
          <w:rStyle w:val="FootnoteReference"/>
        </w:rPr>
        <w:footnoteRef/>
      </w:r>
      <w:r w:rsidRPr="00162CB4">
        <w:tab/>
        <w:t>ДНП = договорно нает персонал; МП = местен персонал; КНЕ = командирован национален експерт; ПНА = персонал, нает чрез агенции за временна заетост; МЕД = младши експерт в делегация.</w:t>
      </w:r>
    </w:p>
  </w:footnote>
  <w:footnote w:id="42">
    <w:p w:rsidR="003D1E4F" w:rsidRPr="00162CB4" w:rsidRDefault="003D1E4F" w:rsidP="003D1E4F">
      <w:pPr>
        <w:pStyle w:val="FootnoteText"/>
      </w:pPr>
      <w:r w:rsidRPr="00162CB4">
        <w:rPr>
          <w:rStyle w:val="FootnoteReference"/>
        </w:rPr>
        <w:footnoteRef/>
      </w:r>
      <w:r w:rsidRPr="00162CB4">
        <w:tab/>
      </w:r>
      <w:proofErr w:type="spellStart"/>
      <w:r w:rsidRPr="00162CB4">
        <w:t>Подтаван</w:t>
      </w:r>
      <w:proofErr w:type="spellEnd"/>
      <w:r w:rsidRPr="00162CB4">
        <w:t xml:space="preserve"> за външния персонал, покрит с бюджетните кредити за оперативни разходи (предишни редове BA).</w:t>
      </w:r>
    </w:p>
  </w:footnote>
  <w:footnote w:id="43">
    <w:p w:rsidR="003D1E4F" w:rsidRPr="00162CB4" w:rsidRDefault="003D1E4F" w:rsidP="003D1E4F">
      <w:pPr>
        <w:pStyle w:val="FootnoteText"/>
      </w:pPr>
      <w:r w:rsidRPr="00162CB4">
        <w:rPr>
          <w:rStyle w:val="FootnoteReference"/>
        </w:rPr>
        <w:footnoteRef/>
      </w:r>
      <w:r w:rsidRPr="00162CB4">
        <w:tab/>
        <w:t>Що се отнася до традиционните собствени ресурси (мита, налози върху захарта), посочените суми трябва да бъдат нетни, т.е. брутни суми, от които са приспаднати 20 % за разходи по събирането.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BF1" w:rsidRPr="00377BF1" w:rsidRDefault="00377BF1" w:rsidP="00377BF1">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6FB" w:rsidRPr="00D136FB" w:rsidRDefault="00D136FB" w:rsidP="00377BF1">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BF1" w:rsidRPr="00377BF1" w:rsidRDefault="00377BF1" w:rsidP="00377BF1">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BF1" w:rsidRPr="00D136FB" w:rsidRDefault="00377BF1" w:rsidP="00377BF1">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BF1" w:rsidRPr="00377BF1" w:rsidRDefault="00377BF1" w:rsidP="00377BF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BF1" w:rsidRPr="00377BF1" w:rsidRDefault="00377BF1" w:rsidP="00377BF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BF1" w:rsidRPr="00377BF1" w:rsidRDefault="00377BF1" w:rsidP="00377BF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BF1" w:rsidRPr="00377BF1" w:rsidRDefault="00377BF1" w:rsidP="00377BF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BF1" w:rsidRPr="00377BF1" w:rsidRDefault="00377BF1" w:rsidP="00377BF1">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B60" w:rsidRPr="00790B60" w:rsidRDefault="00790B60" w:rsidP="00377BF1">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BF1" w:rsidRPr="00377BF1" w:rsidRDefault="00377BF1" w:rsidP="00377BF1">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BF1" w:rsidRPr="00790B60" w:rsidRDefault="00377BF1" w:rsidP="00377BF1">
    <w:pPr>
      <w:pStyle w:val="HeaderLandscape"/>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BF1" w:rsidRPr="00377BF1" w:rsidRDefault="00377BF1" w:rsidP="00377BF1">
    <w:pPr>
      <w:pStyle w:val="HeaderLandscap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2EC592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7124D42"/>
    <w:lvl w:ilvl="0">
      <w:start w:val="1"/>
      <w:numFmt w:val="decimal"/>
      <w:pStyle w:val="ListNumber3"/>
      <w:lvlText w:val="%1."/>
      <w:lvlJc w:val="left"/>
      <w:pPr>
        <w:tabs>
          <w:tab w:val="num" w:pos="926"/>
        </w:tabs>
        <w:ind w:left="926" w:hanging="360"/>
      </w:pPr>
    </w:lvl>
  </w:abstractNum>
  <w:abstractNum w:abstractNumId="2">
    <w:nsid w:val="FFFFFF7F"/>
    <w:multiLevelType w:val="singleLevel"/>
    <w:tmpl w:val="5D947F62"/>
    <w:lvl w:ilvl="0">
      <w:start w:val="1"/>
      <w:numFmt w:val="decimal"/>
      <w:pStyle w:val="ListNumber2"/>
      <w:lvlText w:val="%1."/>
      <w:lvlJc w:val="left"/>
      <w:pPr>
        <w:tabs>
          <w:tab w:val="num" w:pos="643"/>
        </w:tabs>
        <w:ind w:left="643" w:hanging="360"/>
      </w:pPr>
    </w:lvl>
  </w:abstractNum>
  <w:abstractNum w:abstractNumId="3">
    <w:nsid w:val="FFFFFF81"/>
    <w:multiLevelType w:val="singleLevel"/>
    <w:tmpl w:val="767AC3C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E58B0E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18A49F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24DA3136"/>
    <w:lvl w:ilvl="0">
      <w:start w:val="1"/>
      <w:numFmt w:val="decimal"/>
      <w:pStyle w:val="ListNumber"/>
      <w:lvlText w:val="%1."/>
      <w:lvlJc w:val="left"/>
      <w:pPr>
        <w:tabs>
          <w:tab w:val="num" w:pos="360"/>
        </w:tabs>
        <w:ind w:left="360" w:hanging="360"/>
      </w:pPr>
    </w:lvl>
  </w:abstractNum>
  <w:abstractNum w:abstractNumId="7">
    <w:nsid w:val="FFFFFF89"/>
    <w:multiLevelType w:val="singleLevel"/>
    <w:tmpl w:val="8D26843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4A521BD"/>
    <w:multiLevelType w:val="hybridMultilevel"/>
    <w:tmpl w:val="1D78F35A"/>
    <w:styleLink w:val="Lettered"/>
    <w:lvl w:ilvl="0" w:tplc="4CFE2188">
      <w:start w:val="1"/>
      <w:numFmt w:val="lowerLetter"/>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9AA1286">
      <w:start w:val="1"/>
      <w:numFmt w:val="lowerLetter"/>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4C88C76">
      <w:start w:val="1"/>
      <w:numFmt w:val="lowerLetter"/>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FE78CB04">
      <w:start w:val="1"/>
      <w:numFmt w:val="lowerLetter"/>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E0A8134">
      <w:start w:val="1"/>
      <w:numFmt w:val="lowerLetter"/>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6C47380">
      <w:start w:val="1"/>
      <w:numFmt w:val="lowerLetter"/>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733EB0EE">
      <w:start w:val="1"/>
      <w:numFmt w:val="lowerLetter"/>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310D38A">
      <w:start w:val="1"/>
      <w:numFmt w:val="lowerLetter"/>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E82E398">
      <w:start w:val="1"/>
      <w:numFmt w:val="lowerLetter"/>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489D74ED"/>
    <w:multiLevelType w:val="singleLevel"/>
    <w:tmpl w:val="C2E2F936"/>
    <w:name w:val="List Dash 2"/>
    <w:lvl w:ilvl="0">
      <w:start w:val="1"/>
      <w:numFmt w:val="bullet"/>
      <w:pStyle w:val="ListDash2"/>
      <w:lvlText w:val="–"/>
      <w:lvlJc w:val="left"/>
      <w:pPr>
        <w:tabs>
          <w:tab w:val="num" w:pos="1134"/>
        </w:tabs>
        <w:ind w:left="1134" w:hanging="283"/>
      </w:pPr>
      <w:rPr>
        <w:rFonts w:ascii="Times New Roman" w:hAnsi="Times New Roman"/>
      </w:r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nsid w:val="71F06166"/>
    <w:multiLevelType w:val="multilevel"/>
    <w:tmpl w:val="CE089BD0"/>
    <w:name w:val="0,3405529"/>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8"/>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2"/>
  </w:num>
  <w:num w:numId="10">
    <w:abstractNumId w:val="1"/>
  </w:num>
  <w:num w:numId="11">
    <w:abstractNumId w:val="0"/>
  </w:num>
  <w:num w:numId="12">
    <w:abstractNumId w:val="24"/>
    <w:lvlOverride w:ilvl="0">
      <w:startOverride w:val="1"/>
    </w:lvlOverride>
  </w:num>
  <w:num w:numId="13">
    <w:abstractNumId w:val="16"/>
  </w:num>
  <w:num w:numId="14">
    <w:abstractNumId w:val="23"/>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23"/>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num>
  <w:num w:numId="19">
    <w:abstractNumId w:val="18"/>
    <w:lvlOverride w:ilvl="0">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num>
  <w:num w:numId="36">
    <w:abstractNumId w:val="13"/>
  </w:num>
  <w:num w:numId="37">
    <w:abstractNumId w:val="22"/>
  </w:num>
  <w:num w:numId="38">
    <w:abstractNumId w:val="12"/>
  </w:num>
  <w:num w:numId="39">
    <w:abstractNumId w:val="14"/>
  </w:num>
  <w:num w:numId="40">
    <w:abstractNumId w:val="10"/>
  </w:num>
  <w:num w:numId="41">
    <w:abstractNumId w:val="21"/>
  </w:num>
  <w:num w:numId="42">
    <w:abstractNumId w:val="9"/>
  </w:num>
  <w:num w:numId="43">
    <w:abstractNumId w:val="15"/>
  </w:num>
  <w:num w:numId="44">
    <w:abstractNumId w:val="18"/>
  </w:num>
  <w:num w:numId="45">
    <w:abstractNumId w:val="19"/>
  </w:num>
  <w:num w:numId="46">
    <w:abstractNumId w:val="11"/>
  </w:num>
  <w:num w:numId="47">
    <w:abstractNumId w:val="17"/>
  </w:num>
  <w:num w:numId="48">
    <w:abstractNumId w:val="24"/>
  </w:num>
  <w:numIdMacAtCleanup w:val="4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GLESIAS ALVAREZ Ana (EAC)">
    <w15:presenceInfo w15:providerId="None" w15:userId="IGLESIAS ALVAREZ Ana (E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s-ES" w:vendorID="64" w:dllVersion="131078" w:nlCheck="1" w:checkStyle="1"/>
  <w:activeWritingStyle w:appName="MSWord" w:lang="de-DE" w:vendorID="64" w:dllVersion="131078" w:nlCheck="1" w:checkStyle="1"/>
  <w:activeWritingStyle w:appName="MSWord" w:lang="pt-PT" w:vendorID="64" w:dllVersion="131078" w:nlCheck="1" w:checkStyle="0"/>
  <w:activeWritingStyle w:appName="MSWord" w:lang="it-IT" w:vendorID="64" w:dllVersion="131078" w:nlCheck="1" w:checkStyle="0"/>
  <w:proofState w:spelling="clean" w:grammar="clean"/>
  <w:attachedTemplate r:id="rId1"/>
  <w:doNotTrackFormatting/>
  <w:defaultTabStop w:val="720"/>
  <w:hyphenationZone w:val="425"/>
  <w:characterSpacingControl w:val="doNotCompress"/>
  <w:hdrShapeDefaults>
    <o:shapedefaults v:ext="edit" spidmax="552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6-04 14:57:02"/>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6"/>
    <w:docVar w:name="DQCResult_ModifiedMarkers" w:val="0;0"/>
    <w:docVar w:name="DQCResult_ModifiedNumbering" w:val="0;0"/>
    <w:docVar w:name="DQCResult_Objects" w:val="0;0"/>
    <w:docVar w:name="DQCResult_Sections" w:val="0;1"/>
    <w:docVar w:name="DQCResult_StructureCheck" w:val="0;0"/>
    <w:docVar w:name="DQCResult_SuperfluousWhitespace" w:val="0;11"/>
    <w:docVar w:name="DQCResult_UnknownFonts" w:val="0;0"/>
    <w:docVar w:name="DQCResult_UnknownStyles" w:val="0;0"/>
    <w:docVar w:name="DQCStatus" w:val="Yellow"/>
    <w:docVar w:name="DQCVersion" w:val="3"/>
    <w:docVar w:name="DQCWithWarnings" w:val="0"/>
    <w:docVar w:name="LW_CORRIGENDUM" w:val="&lt;UNUSED&gt;"/>
    <w:docVar w:name="LW_COVERPAGE_EXISTS" w:val="True"/>
    <w:docVar w:name="LW_COVERPAGE_GUID" w:val="4558C8BD-DFE3-4596-984E-A0BD35BFF6CF"/>
    <w:docVar w:name="LW_COVERPAGE_TYPE" w:val="1"/>
    <w:docVar w:name="LW_CROSSREFERENCE" w:val="{SEC(2018) 274 final}_x000a_{SWD(2018) 290 final}_x000a_{SWD(2018) 291 final}"/>
    <w:docVar w:name="LW_DocType" w:val="COM"/>
    <w:docVar w:name="LW_EMISSION" w:val="30.5.2018"/>
    <w:docVar w:name="LW_EMISSION_ISODATE" w:val="2018-05-30"/>
    <w:docVar w:name="LW_EMISSION_LOCATION" w:val="BRX"/>
    <w:docVar w:name="LW_EMISSION_PREFIX" w:val="\u1041?\u1088?\u1102?\u1082?\u1089?\u1077?\u1083?,"/>
    <w:docVar w:name="LW_EMISSION_SUFFIX" w:val=" \u1075?."/>
    <w:docVar w:name="LW_ID_DOCMODEL" w:val="SJ-023"/>
    <w:docVar w:name="LW_ID_DOCSIGNATURE" w:val="SJ-023"/>
    <w:docVar w:name="LW_ID_DOCSTRUCTURE" w:val="COM/PL/ORG"/>
    <w:docVar w:name="LW_ID_DOCTYPE" w:val="SJ-023"/>
    <w:docVar w:name="LW_ID_STATUT" w:val="SJ-023"/>
    <w:docVar w:name="LW_INTERETEEE.CP" w:val="(\u1090?\u1077?\u1082?\u1089?\u1090? \u1086?\u1090? \u1079?\u1085?\u1072?\u1095?\u1077?\u1085?\u1080?\u1077? \u1079?\u1072? \u1045?\u1048?\u1055?)"/>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190"/>
    <w:docVar w:name="LW_REF.II.NEW.CP_YEAR" w:val="2018"/>
    <w:docVar w:name="LW_REF.INST.NEW" w:val="COM"/>
    <w:docVar w:name="LW_REF.INST.NEW_ADOPTED" w:val="&lt;EMPTY&gt;"/>
    <w:docVar w:name="LW_REF.INST.NEW_TEXT" w:val="(2018) 366 final"/>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u1055?\u1088?\u1077?\u1076?\u1083?\u1086?\u1078?\u1077?\u1085?\u1080?\u1077? \u1079?\u1072?"/>
    <w:docVar w:name="LW_SUPERTITRE" w:val="&lt;UNUSED&gt;"/>
    <w:docVar w:name="LW_TITRE.OBJ.CP" w:val="\u1079?\u1072? \u1089?\u1098?\u1079?\u1076?\u1072?\u1074?\u1072?\u1085?\u1077? \u1085?\u1072? \u1087?\u1088?\u1086?\u1075?\u1088?\u1072?\u1084?\u1072? \u8222?\u1058?\u1074?\u1086?\u1088?\u1095?\u1077?\u1089?\u1082?\u1072? \u1045?\u1074?\u1088?\u1086?\u1087?\u1072?\u8220? (2021\u8212?2027 \u1075?.) \u1080? \u1079?\u1072? \u1086?\u1090?\u1084?\u1103?\u1085?\u1072? \u1085?\u1072? \u1056?\u1077?\u1075?\u1083?\u1072?\u1084?\u1077?\u1085?\u1090? (\u1045?\u1057?) \u8470? 1295/2013"/>
    <w:docVar w:name="LW_TYPE.DOC.CP" w:val="\u1056?\u1045?\u1043?\u1051?\u1040?\u1052?\u1045?\u1053?\u1058? \u1053?\u1040? \u1045?\u1042?\u1056?\u1054?\u1055?\u1045?\u1049?\u1057?\u1050?\u1048?\u1071? \u1055?\u1040?\u1056?\u1051?\u1040?\u1052?\u1045?\u1053?\u1058? \u1048? \u1053?\u1040? \u1057?\u1066?\u1042?\u1045?\u1058?\u1040?"/>
  </w:docVars>
  <w:rsids>
    <w:rsidRoot w:val="00C5603D"/>
    <w:rsid w:val="00000B5E"/>
    <w:rsid w:val="000018DD"/>
    <w:rsid w:val="00001E83"/>
    <w:rsid w:val="00005564"/>
    <w:rsid w:val="00006635"/>
    <w:rsid w:val="00013FDD"/>
    <w:rsid w:val="000142AF"/>
    <w:rsid w:val="00014CAC"/>
    <w:rsid w:val="000151A1"/>
    <w:rsid w:val="00015A5D"/>
    <w:rsid w:val="00016635"/>
    <w:rsid w:val="00020CCF"/>
    <w:rsid w:val="00022B99"/>
    <w:rsid w:val="000311E5"/>
    <w:rsid w:val="000331AB"/>
    <w:rsid w:val="000333DB"/>
    <w:rsid w:val="0003437C"/>
    <w:rsid w:val="000349D6"/>
    <w:rsid w:val="0003503F"/>
    <w:rsid w:val="0003549A"/>
    <w:rsid w:val="00036FF9"/>
    <w:rsid w:val="00037513"/>
    <w:rsid w:val="0003791A"/>
    <w:rsid w:val="00037D3E"/>
    <w:rsid w:val="00040445"/>
    <w:rsid w:val="00040C8C"/>
    <w:rsid w:val="000427CD"/>
    <w:rsid w:val="00044380"/>
    <w:rsid w:val="00045339"/>
    <w:rsid w:val="00045E82"/>
    <w:rsid w:val="000467F6"/>
    <w:rsid w:val="00051696"/>
    <w:rsid w:val="00051A27"/>
    <w:rsid w:val="00051E2E"/>
    <w:rsid w:val="00054D8A"/>
    <w:rsid w:val="00055C57"/>
    <w:rsid w:val="00056A94"/>
    <w:rsid w:val="00056BE8"/>
    <w:rsid w:val="00060509"/>
    <w:rsid w:val="00061771"/>
    <w:rsid w:val="0006242E"/>
    <w:rsid w:val="00062BED"/>
    <w:rsid w:val="00064513"/>
    <w:rsid w:val="00064CF4"/>
    <w:rsid w:val="00065340"/>
    <w:rsid w:val="000666A2"/>
    <w:rsid w:val="00071420"/>
    <w:rsid w:val="00071E8F"/>
    <w:rsid w:val="000738D2"/>
    <w:rsid w:val="00074774"/>
    <w:rsid w:val="00076867"/>
    <w:rsid w:val="0008013B"/>
    <w:rsid w:val="000807FB"/>
    <w:rsid w:val="000812EB"/>
    <w:rsid w:val="0008293D"/>
    <w:rsid w:val="00082C16"/>
    <w:rsid w:val="00083936"/>
    <w:rsid w:val="00083AAF"/>
    <w:rsid w:val="00083CC9"/>
    <w:rsid w:val="00083E0D"/>
    <w:rsid w:val="000867D6"/>
    <w:rsid w:val="0008685F"/>
    <w:rsid w:val="00086A67"/>
    <w:rsid w:val="0009169D"/>
    <w:rsid w:val="00091DCC"/>
    <w:rsid w:val="00093794"/>
    <w:rsid w:val="00094F91"/>
    <w:rsid w:val="00095078"/>
    <w:rsid w:val="000950AC"/>
    <w:rsid w:val="0009563A"/>
    <w:rsid w:val="00096448"/>
    <w:rsid w:val="000A07A8"/>
    <w:rsid w:val="000A1272"/>
    <w:rsid w:val="000A16A4"/>
    <w:rsid w:val="000A255E"/>
    <w:rsid w:val="000A2EAD"/>
    <w:rsid w:val="000A32D2"/>
    <w:rsid w:val="000A55F2"/>
    <w:rsid w:val="000B0642"/>
    <w:rsid w:val="000B12AF"/>
    <w:rsid w:val="000B4482"/>
    <w:rsid w:val="000B48AD"/>
    <w:rsid w:val="000B5A21"/>
    <w:rsid w:val="000B65B7"/>
    <w:rsid w:val="000B6D28"/>
    <w:rsid w:val="000C038C"/>
    <w:rsid w:val="000C04DB"/>
    <w:rsid w:val="000C0BB1"/>
    <w:rsid w:val="000C0C9E"/>
    <w:rsid w:val="000C1BE9"/>
    <w:rsid w:val="000C2756"/>
    <w:rsid w:val="000C2BC3"/>
    <w:rsid w:val="000C3703"/>
    <w:rsid w:val="000C3BAB"/>
    <w:rsid w:val="000C5824"/>
    <w:rsid w:val="000C62B9"/>
    <w:rsid w:val="000C7727"/>
    <w:rsid w:val="000D0A79"/>
    <w:rsid w:val="000D100E"/>
    <w:rsid w:val="000D2FB2"/>
    <w:rsid w:val="000D3B73"/>
    <w:rsid w:val="000D5FE3"/>
    <w:rsid w:val="000E1245"/>
    <w:rsid w:val="000E1F99"/>
    <w:rsid w:val="000E2925"/>
    <w:rsid w:val="000E37FF"/>
    <w:rsid w:val="000E43A4"/>
    <w:rsid w:val="000E4467"/>
    <w:rsid w:val="000E4B42"/>
    <w:rsid w:val="000E589B"/>
    <w:rsid w:val="000E5F62"/>
    <w:rsid w:val="000E5FF5"/>
    <w:rsid w:val="000F0415"/>
    <w:rsid w:val="000F28A2"/>
    <w:rsid w:val="000F28DF"/>
    <w:rsid w:val="000F3B60"/>
    <w:rsid w:val="000F49C6"/>
    <w:rsid w:val="000F5F59"/>
    <w:rsid w:val="000F603E"/>
    <w:rsid w:val="000F607D"/>
    <w:rsid w:val="000F7FC9"/>
    <w:rsid w:val="00101A96"/>
    <w:rsid w:val="0010216F"/>
    <w:rsid w:val="00102F0C"/>
    <w:rsid w:val="001032B0"/>
    <w:rsid w:val="0010595B"/>
    <w:rsid w:val="001062B8"/>
    <w:rsid w:val="0010699B"/>
    <w:rsid w:val="001103E6"/>
    <w:rsid w:val="00110733"/>
    <w:rsid w:val="0011092A"/>
    <w:rsid w:val="00110DA8"/>
    <w:rsid w:val="00111DF0"/>
    <w:rsid w:val="001131E1"/>
    <w:rsid w:val="00113535"/>
    <w:rsid w:val="001137A9"/>
    <w:rsid w:val="00114E9A"/>
    <w:rsid w:val="001152E8"/>
    <w:rsid w:val="001154C4"/>
    <w:rsid w:val="001164A4"/>
    <w:rsid w:val="00123538"/>
    <w:rsid w:val="00123E12"/>
    <w:rsid w:val="00124EC5"/>
    <w:rsid w:val="00125801"/>
    <w:rsid w:val="00125898"/>
    <w:rsid w:val="001259EC"/>
    <w:rsid w:val="001277B7"/>
    <w:rsid w:val="001277C2"/>
    <w:rsid w:val="00127DCF"/>
    <w:rsid w:val="00130C18"/>
    <w:rsid w:val="00131508"/>
    <w:rsid w:val="001315E0"/>
    <w:rsid w:val="00135731"/>
    <w:rsid w:val="001372CB"/>
    <w:rsid w:val="00141577"/>
    <w:rsid w:val="001429A0"/>
    <w:rsid w:val="0014355B"/>
    <w:rsid w:val="0014483D"/>
    <w:rsid w:val="00147076"/>
    <w:rsid w:val="00152BA1"/>
    <w:rsid w:val="00154A26"/>
    <w:rsid w:val="00154EAE"/>
    <w:rsid w:val="00155430"/>
    <w:rsid w:val="00156282"/>
    <w:rsid w:val="00162CB4"/>
    <w:rsid w:val="001634C4"/>
    <w:rsid w:val="001639C7"/>
    <w:rsid w:val="001662DF"/>
    <w:rsid w:val="00166BA6"/>
    <w:rsid w:val="00166F74"/>
    <w:rsid w:val="001677BD"/>
    <w:rsid w:val="0017094E"/>
    <w:rsid w:val="00171635"/>
    <w:rsid w:val="00171D1B"/>
    <w:rsid w:val="00172DEF"/>
    <w:rsid w:val="00174C9D"/>
    <w:rsid w:val="001752EB"/>
    <w:rsid w:val="00175BF4"/>
    <w:rsid w:val="00177F54"/>
    <w:rsid w:val="00180BB6"/>
    <w:rsid w:val="001817AA"/>
    <w:rsid w:val="00181E09"/>
    <w:rsid w:val="00183706"/>
    <w:rsid w:val="00183D79"/>
    <w:rsid w:val="00184F0A"/>
    <w:rsid w:val="001853A0"/>
    <w:rsid w:val="00186798"/>
    <w:rsid w:val="0018764C"/>
    <w:rsid w:val="001923CC"/>
    <w:rsid w:val="00192ACC"/>
    <w:rsid w:val="001937DC"/>
    <w:rsid w:val="00194D03"/>
    <w:rsid w:val="0019538D"/>
    <w:rsid w:val="00195836"/>
    <w:rsid w:val="00196131"/>
    <w:rsid w:val="00196402"/>
    <w:rsid w:val="001966BA"/>
    <w:rsid w:val="001966F4"/>
    <w:rsid w:val="001A0E5D"/>
    <w:rsid w:val="001A1345"/>
    <w:rsid w:val="001A28D0"/>
    <w:rsid w:val="001A5482"/>
    <w:rsid w:val="001A57C7"/>
    <w:rsid w:val="001A57D3"/>
    <w:rsid w:val="001A7B20"/>
    <w:rsid w:val="001B0911"/>
    <w:rsid w:val="001B5024"/>
    <w:rsid w:val="001B5093"/>
    <w:rsid w:val="001B7F19"/>
    <w:rsid w:val="001C0476"/>
    <w:rsid w:val="001C0F27"/>
    <w:rsid w:val="001C2A34"/>
    <w:rsid w:val="001C2FE7"/>
    <w:rsid w:val="001C6996"/>
    <w:rsid w:val="001C6A1B"/>
    <w:rsid w:val="001C7E4C"/>
    <w:rsid w:val="001D081D"/>
    <w:rsid w:val="001D1153"/>
    <w:rsid w:val="001D1186"/>
    <w:rsid w:val="001D1885"/>
    <w:rsid w:val="001D4AD8"/>
    <w:rsid w:val="001D5093"/>
    <w:rsid w:val="001D5D43"/>
    <w:rsid w:val="001D5E70"/>
    <w:rsid w:val="001D629E"/>
    <w:rsid w:val="001D6356"/>
    <w:rsid w:val="001D7796"/>
    <w:rsid w:val="001E0C01"/>
    <w:rsid w:val="001E0C8F"/>
    <w:rsid w:val="001E1394"/>
    <w:rsid w:val="001E1418"/>
    <w:rsid w:val="001E145F"/>
    <w:rsid w:val="001E1666"/>
    <w:rsid w:val="001E2528"/>
    <w:rsid w:val="001E2F1A"/>
    <w:rsid w:val="001E4FA2"/>
    <w:rsid w:val="001E6405"/>
    <w:rsid w:val="001E7B64"/>
    <w:rsid w:val="001F007B"/>
    <w:rsid w:val="001F07AB"/>
    <w:rsid w:val="001F282F"/>
    <w:rsid w:val="001F566C"/>
    <w:rsid w:val="001F5EA6"/>
    <w:rsid w:val="0020069E"/>
    <w:rsid w:val="00200DEB"/>
    <w:rsid w:val="002017B5"/>
    <w:rsid w:val="002020DE"/>
    <w:rsid w:val="00202C4B"/>
    <w:rsid w:val="00202D6F"/>
    <w:rsid w:val="002035C1"/>
    <w:rsid w:val="0020379B"/>
    <w:rsid w:val="002044A3"/>
    <w:rsid w:val="00210359"/>
    <w:rsid w:val="00211704"/>
    <w:rsid w:val="00211A40"/>
    <w:rsid w:val="00211ACE"/>
    <w:rsid w:val="0021319F"/>
    <w:rsid w:val="002148E7"/>
    <w:rsid w:val="00214FEC"/>
    <w:rsid w:val="00215574"/>
    <w:rsid w:val="002164DF"/>
    <w:rsid w:val="00216D8D"/>
    <w:rsid w:val="00217560"/>
    <w:rsid w:val="00220366"/>
    <w:rsid w:val="002220F8"/>
    <w:rsid w:val="002228AB"/>
    <w:rsid w:val="00224511"/>
    <w:rsid w:val="00225699"/>
    <w:rsid w:val="0022575A"/>
    <w:rsid w:val="00225D84"/>
    <w:rsid w:val="002267FB"/>
    <w:rsid w:val="00227349"/>
    <w:rsid w:val="0022760F"/>
    <w:rsid w:val="00227701"/>
    <w:rsid w:val="0023020E"/>
    <w:rsid w:val="002306C3"/>
    <w:rsid w:val="00231DA5"/>
    <w:rsid w:val="002321D2"/>
    <w:rsid w:val="0023244B"/>
    <w:rsid w:val="0023289B"/>
    <w:rsid w:val="00232BA8"/>
    <w:rsid w:val="00233795"/>
    <w:rsid w:val="00233A7B"/>
    <w:rsid w:val="0023491F"/>
    <w:rsid w:val="00236234"/>
    <w:rsid w:val="0023630E"/>
    <w:rsid w:val="00236357"/>
    <w:rsid w:val="00237223"/>
    <w:rsid w:val="00242822"/>
    <w:rsid w:val="00242B75"/>
    <w:rsid w:val="00244256"/>
    <w:rsid w:val="002451A7"/>
    <w:rsid w:val="00246F1F"/>
    <w:rsid w:val="00247593"/>
    <w:rsid w:val="00250F55"/>
    <w:rsid w:val="0025140A"/>
    <w:rsid w:val="00251949"/>
    <w:rsid w:val="00251BD4"/>
    <w:rsid w:val="002525EE"/>
    <w:rsid w:val="00252CE7"/>
    <w:rsid w:val="002530E4"/>
    <w:rsid w:val="00257746"/>
    <w:rsid w:val="00260291"/>
    <w:rsid w:val="00261435"/>
    <w:rsid w:val="0026292D"/>
    <w:rsid w:val="00264C08"/>
    <w:rsid w:val="00264C6A"/>
    <w:rsid w:val="00265213"/>
    <w:rsid w:val="0026587B"/>
    <w:rsid w:val="002679AF"/>
    <w:rsid w:val="00270669"/>
    <w:rsid w:val="002708D0"/>
    <w:rsid w:val="00270EDA"/>
    <w:rsid w:val="0027129A"/>
    <w:rsid w:val="00273824"/>
    <w:rsid w:val="002746C5"/>
    <w:rsid w:val="00274FF5"/>
    <w:rsid w:val="00275357"/>
    <w:rsid w:val="00275828"/>
    <w:rsid w:val="00275D7F"/>
    <w:rsid w:val="0028024C"/>
    <w:rsid w:val="00281286"/>
    <w:rsid w:val="002818DE"/>
    <w:rsid w:val="002840DB"/>
    <w:rsid w:val="00285245"/>
    <w:rsid w:val="002878A7"/>
    <w:rsid w:val="00290003"/>
    <w:rsid w:val="002909CB"/>
    <w:rsid w:val="00290C8B"/>
    <w:rsid w:val="00291732"/>
    <w:rsid w:val="00291C95"/>
    <w:rsid w:val="00291D83"/>
    <w:rsid w:val="002928B7"/>
    <w:rsid w:val="00293338"/>
    <w:rsid w:val="00293659"/>
    <w:rsid w:val="00293A8D"/>
    <w:rsid w:val="002940ED"/>
    <w:rsid w:val="00295A2B"/>
    <w:rsid w:val="00295E23"/>
    <w:rsid w:val="002961DB"/>
    <w:rsid w:val="00296EB4"/>
    <w:rsid w:val="002A0589"/>
    <w:rsid w:val="002A2C4C"/>
    <w:rsid w:val="002A35BB"/>
    <w:rsid w:val="002A6281"/>
    <w:rsid w:val="002A7B49"/>
    <w:rsid w:val="002B02AE"/>
    <w:rsid w:val="002B144B"/>
    <w:rsid w:val="002B4591"/>
    <w:rsid w:val="002B49D2"/>
    <w:rsid w:val="002B4CD8"/>
    <w:rsid w:val="002B57C8"/>
    <w:rsid w:val="002B5FEC"/>
    <w:rsid w:val="002B737F"/>
    <w:rsid w:val="002B7BEF"/>
    <w:rsid w:val="002C1764"/>
    <w:rsid w:val="002C281E"/>
    <w:rsid w:val="002C4538"/>
    <w:rsid w:val="002C4E91"/>
    <w:rsid w:val="002C5409"/>
    <w:rsid w:val="002C68E0"/>
    <w:rsid w:val="002D1D73"/>
    <w:rsid w:val="002D25E5"/>
    <w:rsid w:val="002D2AAC"/>
    <w:rsid w:val="002D3C25"/>
    <w:rsid w:val="002D4BB5"/>
    <w:rsid w:val="002E02DC"/>
    <w:rsid w:val="002E1149"/>
    <w:rsid w:val="002E180E"/>
    <w:rsid w:val="002E59EB"/>
    <w:rsid w:val="002E5B22"/>
    <w:rsid w:val="002F011F"/>
    <w:rsid w:val="002F0250"/>
    <w:rsid w:val="002F04CC"/>
    <w:rsid w:val="002F12D3"/>
    <w:rsid w:val="002F15CE"/>
    <w:rsid w:val="002F16FC"/>
    <w:rsid w:val="002F29F6"/>
    <w:rsid w:val="002F2E66"/>
    <w:rsid w:val="002F362F"/>
    <w:rsid w:val="002F3746"/>
    <w:rsid w:val="002F37F0"/>
    <w:rsid w:val="002F4014"/>
    <w:rsid w:val="002F40AB"/>
    <w:rsid w:val="002F467E"/>
    <w:rsid w:val="002F56B3"/>
    <w:rsid w:val="002F79C4"/>
    <w:rsid w:val="00300A51"/>
    <w:rsid w:val="00300B7B"/>
    <w:rsid w:val="00301C5C"/>
    <w:rsid w:val="00302149"/>
    <w:rsid w:val="00302E81"/>
    <w:rsid w:val="00304505"/>
    <w:rsid w:val="003055E3"/>
    <w:rsid w:val="0030664A"/>
    <w:rsid w:val="00306EE7"/>
    <w:rsid w:val="003072DF"/>
    <w:rsid w:val="00307C22"/>
    <w:rsid w:val="00310500"/>
    <w:rsid w:val="00310A5D"/>
    <w:rsid w:val="00311343"/>
    <w:rsid w:val="00313032"/>
    <w:rsid w:val="0031353E"/>
    <w:rsid w:val="00313DE6"/>
    <w:rsid w:val="00313FF9"/>
    <w:rsid w:val="003142A1"/>
    <w:rsid w:val="003144DA"/>
    <w:rsid w:val="00314EDB"/>
    <w:rsid w:val="0031568F"/>
    <w:rsid w:val="00316868"/>
    <w:rsid w:val="003173EB"/>
    <w:rsid w:val="00320A52"/>
    <w:rsid w:val="00321048"/>
    <w:rsid w:val="003213F9"/>
    <w:rsid w:val="00321656"/>
    <w:rsid w:val="00321A40"/>
    <w:rsid w:val="003225AE"/>
    <w:rsid w:val="00322816"/>
    <w:rsid w:val="00322847"/>
    <w:rsid w:val="00323474"/>
    <w:rsid w:val="003234E2"/>
    <w:rsid w:val="00325B98"/>
    <w:rsid w:val="00325BD9"/>
    <w:rsid w:val="0032613E"/>
    <w:rsid w:val="00326885"/>
    <w:rsid w:val="00327712"/>
    <w:rsid w:val="00330FC0"/>
    <w:rsid w:val="00331EFD"/>
    <w:rsid w:val="0033241D"/>
    <w:rsid w:val="003327D6"/>
    <w:rsid w:val="00332BD1"/>
    <w:rsid w:val="00333261"/>
    <w:rsid w:val="00334344"/>
    <w:rsid w:val="00336B12"/>
    <w:rsid w:val="0034445E"/>
    <w:rsid w:val="00344E25"/>
    <w:rsid w:val="00350008"/>
    <w:rsid w:val="00350FD5"/>
    <w:rsid w:val="0035180B"/>
    <w:rsid w:val="00352D57"/>
    <w:rsid w:val="00353B21"/>
    <w:rsid w:val="00353CAF"/>
    <w:rsid w:val="00355130"/>
    <w:rsid w:val="003558D8"/>
    <w:rsid w:val="00355A80"/>
    <w:rsid w:val="00356110"/>
    <w:rsid w:val="00356375"/>
    <w:rsid w:val="00356466"/>
    <w:rsid w:val="00361C3E"/>
    <w:rsid w:val="00362655"/>
    <w:rsid w:val="00364B12"/>
    <w:rsid w:val="00364B9A"/>
    <w:rsid w:val="003661CD"/>
    <w:rsid w:val="00366B92"/>
    <w:rsid w:val="003673B2"/>
    <w:rsid w:val="00371400"/>
    <w:rsid w:val="00372BB6"/>
    <w:rsid w:val="00374950"/>
    <w:rsid w:val="00374F2E"/>
    <w:rsid w:val="00376FB2"/>
    <w:rsid w:val="0037767A"/>
    <w:rsid w:val="00377BF1"/>
    <w:rsid w:val="00380080"/>
    <w:rsid w:val="00380CD6"/>
    <w:rsid w:val="003823C2"/>
    <w:rsid w:val="00383F51"/>
    <w:rsid w:val="00386839"/>
    <w:rsid w:val="00386AB7"/>
    <w:rsid w:val="00391C1D"/>
    <w:rsid w:val="0039314B"/>
    <w:rsid w:val="00393340"/>
    <w:rsid w:val="003939E3"/>
    <w:rsid w:val="003950AB"/>
    <w:rsid w:val="00395DC8"/>
    <w:rsid w:val="00395FEB"/>
    <w:rsid w:val="003965AF"/>
    <w:rsid w:val="003968F2"/>
    <w:rsid w:val="003972D1"/>
    <w:rsid w:val="003973DD"/>
    <w:rsid w:val="003979A4"/>
    <w:rsid w:val="00397AA2"/>
    <w:rsid w:val="003A0631"/>
    <w:rsid w:val="003A07DD"/>
    <w:rsid w:val="003A2327"/>
    <w:rsid w:val="003A277D"/>
    <w:rsid w:val="003A3D68"/>
    <w:rsid w:val="003A3F4F"/>
    <w:rsid w:val="003A50F4"/>
    <w:rsid w:val="003A6127"/>
    <w:rsid w:val="003A64B5"/>
    <w:rsid w:val="003A76B8"/>
    <w:rsid w:val="003A7A7F"/>
    <w:rsid w:val="003A7D24"/>
    <w:rsid w:val="003B08AA"/>
    <w:rsid w:val="003B27E7"/>
    <w:rsid w:val="003B29FF"/>
    <w:rsid w:val="003B33AD"/>
    <w:rsid w:val="003B484B"/>
    <w:rsid w:val="003B4EDD"/>
    <w:rsid w:val="003B6B77"/>
    <w:rsid w:val="003B6C88"/>
    <w:rsid w:val="003B7820"/>
    <w:rsid w:val="003C0AF8"/>
    <w:rsid w:val="003C0F88"/>
    <w:rsid w:val="003C33DE"/>
    <w:rsid w:val="003C4F03"/>
    <w:rsid w:val="003C6431"/>
    <w:rsid w:val="003C68EE"/>
    <w:rsid w:val="003C7061"/>
    <w:rsid w:val="003C755F"/>
    <w:rsid w:val="003C7FA9"/>
    <w:rsid w:val="003D082B"/>
    <w:rsid w:val="003D10D9"/>
    <w:rsid w:val="003D1899"/>
    <w:rsid w:val="003D1E4F"/>
    <w:rsid w:val="003D26F2"/>
    <w:rsid w:val="003D31F4"/>
    <w:rsid w:val="003D4522"/>
    <w:rsid w:val="003D4BB0"/>
    <w:rsid w:val="003D5EEE"/>
    <w:rsid w:val="003D5F28"/>
    <w:rsid w:val="003E025F"/>
    <w:rsid w:val="003E1659"/>
    <w:rsid w:val="003E1983"/>
    <w:rsid w:val="003E254F"/>
    <w:rsid w:val="003E436C"/>
    <w:rsid w:val="003E45AA"/>
    <w:rsid w:val="003E46DA"/>
    <w:rsid w:val="003E4E83"/>
    <w:rsid w:val="003E5117"/>
    <w:rsid w:val="003E590F"/>
    <w:rsid w:val="003E6F68"/>
    <w:rsid w:val="003E79A5"/>
    <w:rsid w:val="003E7B5D"/>
    <w:rsid w:val="003F0D00"/>
    <w:rsid w:val="003F0D93"/>
    <w:rsid w:val="003F164B"/>
    <w:rsid w:val="003F2AE4"/>
    <w:rsid w:val="003F5BD3"/>
    <w:rsid w:val="003F5CDE"/>
    <w:rsid w:val="003F601E"/>
    <w:rsid w:val="003F64DA"/>
    <w:rsid w:val="003F6B6D"/>
    <w:rsid w:val="003F746F"/>
    <w:rsid w:val="003F769C"/>
    <w:rsid w:val="00400367"/>
    <w:rsid w:val="004005B4"/>
    <w:rsid w:val="00400EE8"/>
    <w:rsid w:val="00401180"/>
    <w:rsid w:val="004013CC"/>
    <w:rsid w:val="00401972"/>
    <w:rsid w:val="00401A44"/>
    <w:rsid w:val="00403AB3"/>
    <w:rsid w:val="00404931"/>
    <w:rsid w:val="00404EE2"/>
    <w:rsid w:val="00404FA0"/>
    <w:rsid w:val="004065CA"/>
    <w:rsid w:val="00410769"/>
    <w:rsid w:val="00410B2E"/>
    <w:rsid w:val="00412F88"/>
    <w:rsid w:val="004155CB"/>
    <w:rsid w:val="004158FD"/>
    <w:rsid w:val="00416286"/>
    <w:rsid w:val="0041675E"/>
    <w:rsid w:val="004170C7"/>
    <w:rsid w:val="004171D0"/>
    <w:rsid w:val="0041780D"/>
    <w:rsid w:val="00417FE8"/>
    <w:rsid w:val="00417FF0"/>
    <w:rsid w:val="00420E19"/>
    <w:rsid w:val="00420E1C"/>
    <w:rsid w:val="00421206"/>
    <w:rsid w:val="0042137F"/>
    <w:rsid w:val="0042147D"/>
    <w:rsid w:val="004218DF"/>
    <w:rsid w:val="0042210D"/>
    <w:rsid w:val="00422D88"/>
    <w:rsid w:val="0042508D"/>
    <w:rsid w:val="004254B7"/>
    <w:rsid w:val="00425FCA"/>
    <w:rsid w:val="004272B5"/>
    <w:rsid w:val="00427B1C"/>
    <w:rsid w:val="00433CFD"/>
    <w:rsid w:val="00433E6B"/>
    <w:rsid w:val="00436722"/>
    <w:rsid w:val="00436F53"/>
    <w:rsid w:val="004400F6"/>
    <w:rsid w:val="00440282"/>
    <w:rsid w:val="00440824"/>
    <w:rsid w:val="00441CFD"/>
    <w:rsid w:val="00441DE2"/>
    <w:rsid w:val="00442164"/>
    <w:rsid w:val="0044249F"/>
    <w:rsid w:val="004425C3"/>
    <w:rsid w:val="00444868"/>
    <w:rsid w:val="00445203"/>
    <w:rsid w:val="00445B5D"/>
    <w:rsid w:val="00447050"/>
    <w:rsid w:val="00450423"/>
    <w:rsid w:val="00451F72"/>
    <w:rsid w:val="0045599B"/>
    <w:rsid w:val="0046006E"/>
    <w:rsid w:val="004604C8"/>
    <w:rsid w:val="004628EB"/>
    <w:rsid w:val="00463941"/>
    <w:rsid w:val="0046523D"/>
    <w:rsid w:val="0046529D"/>
    <w:rsid w:val="004656C8"/>
    <w:rsid w:val="00465D5E"/>
    <w:rsid w:val="00466B4E"/>
    <w:rsid w:val="00470176"/>
    <w:rsid w:val="00470E41"/>
    <w:rsid w:val="0047150D"/>
    <w:rsid w:val="0047325C"/>
    <w:rsid w:val="00473626"/>
    <w:rsid w:val="0047573F"/>
    <w:rsid w:val="00475E9E"/>
    <w:rsid w:val="0048066B"/>
    <w:rsid w:val="00481E88"/>
    <w:rsid w:val="0048378F"/>
    <w:rsid w:val="00484709"/>
    <w:rsid w:val="00487139"/>
    <w:rsid w:val="004876B5"/>
    <w:rsid w:val="00492561"/>
    <w:rsid w:val="00493A5F"/>
    <w:rsid w:val="00495568"/>
    <w:rsid w:val="00497925"/>
    <w:rsid w:val="004A08CA"/>
    <w:rsid w:val="004A0B0B"/>
    <w:rsid w:val="004A0D5B"/>
    <w:rsid w:val="004A153B"/>
    <w:rsid w:val="004A2898"/>
    <w:rsid w:val="004A3331"/>
    <w:rsid w:val="004A34AF"/>
    <w:rsid w:val="004A434E"/>
    <w:rsid w:val="004A54A5"/>
    <w:rsid w:val="004A566D"/>
    <w:rsid w:val="004A65E5"/>
    <w:rsid w:val="004A6C27"/>
    <w:rsid w:val="004A7384"/>
    <w:rsid w:val="004B01AA"/>
    <w:rsid w:val="004B1F2F"/>
    <w:rsid w:val="004B27CA"/>
    <w:rsid w:val="004B2E90"/>
    <w:rsid w:val="004B3632"/>
    <w:rsid w:val="004B48D1"/>
    <w:rsid w:val="004B7987"/>
    <w:rsid w:val="004B7D3B"/>
    <w:rsid w:val="004C002A"/>
    <w:rsid w:val="004C0BF6"/>
    <w:rsid w:val="004C16DB"/>
    <w:rsid w:val="004C1950"/>
    <w:rsid w:val="004C246B"/>
    <w:rsid w:val="004C2F67"/>
    <w:rsid w:val="004C32FA"/>
    <w:rsid w:val="004D0844"/>
    <w:rsid w:val="004D211C"/>
    <w:rsid w:val="004D2475"/>
    <w:rsid w:val="004D50A7"/>
    <w:rsid w:val="004D74B8"/>
    <w:rsid w:val="004E12B4"/>
    <w:rsid w:val="004E2918"/>
    <w:rsid w:val="004E589F"/>
    <w:rsid w:val="004E5B26"/>
    <w:rsid w:val="004E746D"/>
    <w:rsid w:val="004E776A"/>
    <w:rsid w:val="004F0543"/>
    <w:rsid w:val="004F0A90"/>
    <w:rsid w:val="004F17D4"/>
    <w:rsid w:val="004F3E5C"/>
    <w:rsid w:val="004F48F1"/>
    <w:rsid w:val="004F6102"/>
    <w:rsid w:val="004F6856"/>
    <w:rsid w:val="004F730A"/>
    <w:rsid w:val="0050092C"/>
    <w:rsid w:val="005009FF"/>
    <w:rsid w:val="00502A41"/>
    <w:rsid w:val="00503041"/>
    <w:rsid w:val="005056FF"/>
    <w:rsid w:val="005058F5"/>
    <w:rsid w:val="00507394"/>
    <w:rsid w:val="00507EAA"/>
    <w:rsid w:val="00510DCF"/>
    <w:rsid w:val="005118F1"/>
    <w:rsid w:val="00511A98"/>
    <w:rsid w:val="00511DC2"/>
    <w:rsid w:val="005145F2"/>
    <w:rsid w:val="005164F3"/>
    <w:rsid w:val="005222FB"/>
    <w:rsid w:val="00522DD1"/>
    <w:rsid w:val="00527049"/>
    <w:rsid w:val="00527F0D"/>
    <w:rsid w:val="0053063E"/>
    <w:rsid w:val="00530D24"/>
    <w:rsid w:val="005311F9"/>
    <w:rsid w:val="00531FDF"/>
    <w:rsid w:val="00532129"/>
    <w:rsid w:val="00535052"/>
    <w:rsid w:val="0053644B"/>
    <w:rsid w:val="00537406"/>
    <w:rsid w:val="00537F37"/>
    <w:rsid w:val="00540E45"/>
    <w:rsid w:val="0054189D"/>
    <w:rsid w:val="0054258C"/>
    <w:rsid w:val="0054308E"/>
    <w:rsid w:val="0054330E"/>
    <w:rsid w:val="005461E0"/>
    <w:rsid w:val="00546A76"/>
    <w:rsid w:val="00546AB4"/>
    <w:rsid w:val="00547805"/>
    <w:rsid w:val="00550847"/>
    <w:rsid w:val="0055126F"/>
    <w:rsid w:val="00552428"/>
    <w:rsid w:val="00552514"/>
    <w:rsid w:val="005529A8"/>
    <w:rsid w:val="00553DE1"/>
    <w:rsid w:val="005541A9"/>
    <w:rsid w:val="00554623"/>
    <w:rsid w:val="00557A73"/>
    <w:rsid w:val="005607C5"/>
    <w:rsid w:val="0056152F"/>
    <w:rsid w:val="00563914"/>
    <w:rsid w:val="0056428B"/>
    <w:rsid w:val="00566E14"/>
    <w:rsid w:val="005670F6"/>
    <w:rsid w:val="005723F7"/>
    <w:rsid w:val="005724F2"/>
    <w:rsid w:val="00573F80"/>
    <w:rsid w:val="0057492C"/>
    <w:rsid w:val="00575454"/>
    <w:rsid w:val="00575D33"/>
    <w:rsid w:val="00583031"/>
    <w:rsid w:val="005832BD"/>
    <w:rsid w:val="00585014"/>
    <w:rsid w:val="00587E35"/>
    <w:rsid w:val="00590B4A"/>
    <w:rsid w:val="00590D22"/>
    <w:rsid w:val="00591191"/>
    <w:rsid w:val="00591264"/>
    <w:rsid w:val="005919AF"/>
    <w:rsid w:val="00592C1D"/>
    <w:rsid w:val="00593982"/>
    <w:rsid w:val="00593B85"/>
    <w:rsid w:val="00593EC6"/>
    <w:rsid w:val="00594469"/>
    <w:rsid w:val="005945E8"/>
    <w:rsid w:val="00595046"/>
    <w:rsid w:val="005A2138"/>
    <w:rsid w:val="005A32A1"/>
    <w:rsid w:val="005A460D"/>
    <w:rsid w:val="005A4B8F"/>
    <w:rsid w:val="005A4F13"/>
    <w:rsid w:val="005A5531"/>
    <w:rsid w:val="005A6FDC"/>
    <w:rsid w:val="005A776E"/>
    <w:rsid w:val="005B0393"/>
    <w:rsid w:val="005B0479"/>
    <w:rsid w:val="005B2032"/>
    <w:rsid w:val="005B268C"/>
    <w:rsid w:val="005B2D59"/>
    <w:rsid w:val="005B31CC"/>
    <w:rsid w:val="005B3D95"/>
    <w:rsid w:val="005B45F8"/>
    <w:rsid w:val="005B514A"/>
    <w:rsid w:val="005B6BD6"/>
    <w:rsid w:val="005C0751"/>
    <w:rsid w:val="005C2E97"/>
    <w:rsid w:val="005C34DB"/>
    <w:rsid w:val="005C4EDF"/>
    <w:rsid w:val="005C5E42"/>
    <w:rsid w:val="005C719E"/>
    <w:rsid w:val="005C7EDC"/>
    <w:rsid w:val="005D106D"/>
    <w:rsid w:val="005D1F5C"/>
    <w:rsid w:val="005D34AC"/>
    <w:rsid w:val="005D36D1"/>
    <w:rsid w:val="005D37BA"/>
    <w:rsid w:val="005D38BD"/>
    <w:rsid w:val="005D3AC5"/>
    <w:rsid w:val="005D43D3"/>
    <w:rsid w:val="005D5EAE"/>
    <w:rsid w:val="005D6F50"/>
    <w:rsid w:val="005E03C9"/>
    <w:rsid w:val="005E09F5"/>
    <w:rsid w:val="005E5025"/>
    <w:rsid w:val="005E5E91"/>
    <w:rsid w:val="005F08CB"/>
    <w:rsid w:val="005F0E20"/>
    <w:rsid w:val="005F3431"/>
    <w:rsid w:val="005F351F"/>
    <w:rsid w:val="005F3797"/>
    <w:rsid w:val="005F3D94"/>
    <w:rsid w:val="005F3EA6"/>
    <w:rsid w:val="005F741D"/>
    <w:rsid w:val="006013ED"/>
    <w:rsid w:val="0060176D"/>
    <w:rsid w:val="00602225"/>
    <w:rsid w:val="006028E6"/>
    <w:rsid w:val="00602A9D"/>
    <w:rsid w:val="0060418C"/>
    <w:rsid w:val="0060610F"/>
    <w:rsid w:val="006074D1"/>
    <w:rsid w:val="00611E64"/>
    <w:rsid w:val="00611F19"/>
    <w:rsid w:val="00612219"/>
    <w:rsid w:val="0061453A"/>
    <w:rsid w:val="00614BC5"/>
    <w:rsid w:val="00615DC6"/>
    <w:rsid w:val="00621273"/>
    <w:rsid w:val="00621A93"/>
    <w:rsid w:val="00622DCF"/>
    <w:rsid w:val="00623468"/>
    <w:rsid w:val="0062353E"/>
    <w:rsid w:val="00624CF2"/>
    <w:rsid w:val="00625EA1"/>
    <w:rsid w:val="00626D52"/>
    <w:rsid w:val="00627CC8"/>
    <w:rsid w:val="0063180C"/>
    <w:rsid w:val="00631FEB"/>
    <w:rsid w:val="00634A89"/>
    <w:rsid w:val="00640009"/>
    <w:rsid w:val="00640041"/>
    <w:rsid w:val="0064090C"/>
    <w:rsid w:val="00640D10"/>
    <w:rsid w:val="00641631"/>
    <w:rsid w:val="00642434"/>
    <w:rsid w:val="00642A42"/>
    <w:rsid w:val="006436AF"/>
    <w:rsid w:val="00643E7D"/>
    <w:rsid w:val="006446E4"/>
    <w:rsid w:val="00646DEB"/>
    <w:rsid w:val="006475E4"/>
    <w:rsid w:val="00647A0C"/>
    <w:rsid w:val="006508EE"/>
    <w:rsid w:val="006519AC"/>
    <w:rsid w:val="00651B51"/>
    <w:rsid w:val="00652CD1"/>
    <w:rsid w:val="00653D59"/>
    <w:rsid w:val="006569E5"/>
    <w:rsid w:val="00657035"/>
    <w:rsid w:val="00657F17"/>
    <w:rsid w:val="00661435"/>
    <w:rsid w:val="00661911"/>
    <w:rsid w:val="006619D6"/>
    <w:rsid w:val="00663341"/>
    <w:rsid w:val="006637C3"/>
    <w:rsid w:val="00663A0B"/>
    <w:rsid w:val="00663F6D"/>
    <w:rsid w:val="00663FE3"/>
    <w:rsid w:val="006641B3"/>
    <w:rsid w:val="006662F0"/>
    <w:rsid w:val="00667A90"/>
    <w:rsid w:val="006714FE"/>
    <w:rsid w:val="00672523"/>
    <w:rsid w:val="00673264"/>
    <w:rsid w:val="00682459"/>
    <w:rsid w:val="00684446"/>
    <w:rsid w:val="00685538"/>
    <w:rsid w:val="006870B7"/>
    <w:rsid w:val="00687670"/>
    <w:rsid w:val="00690096"/>
    <w:rsid w:val="00691CC7"/>
    <w:rsid w:val="006926FA"/>
    <w:rsid w:val="006933A7"/>
    <w:rsid w:val="00693506"/>
    <w:rsid w:val="00693F75"/>
    <w:rsid w:val="0069482F"/>
    <w:rsid w:val="00694A62"/>
    <w:rsid w:val="00696C5D"/>
    <w:rsid w:val="00697240"/>
    <w:rsid w:val="006A0B31"/>
    <w:rsid w:val="006A10CA"/>
    <w:rsid w:val="006A2698"/>
    <w:rsid w:val="006A2A77"/>
    <w:rsid w:val="006A2D25"/>
    <w:rsid w:val="006A4EE0"/>
    <w:rsid w:val="006A56A7"/>
    <w:rsid w:val="006A5B18"/>
    <w:rsid w:val="006A5E58"/>
    <w:rsid w:val="006A6A70"/>
    <w:rsid w:val="006A70C2"/>
    <w:rsid w:val="006A7527"/>
    <w:rsid w:val="006A7909"/>
    <w:rsid w:val="006A7AEC"/>
    <w:rsid w:val="006B1288"/>
    <w:rsid w:val="006B1FA1"/>
    <w:rsid w:val="006B2D54"/>
    <w:rsid w:val="006B4063"/>
    <w:rsid w:val="006B5B83"/>
    <w:rsid w:val="006B6E25"/>
    <w:rsid w:val="006B6E45"/>
    <w:rsid w:val="006B7230"/>
    <w:rsid w:val="006B7D58"/>
    <w:rsid w:val="006C0A40"/>
    <w:rsid w:val="006C0BDC"/>
    <w:rsid w:val="006C13FD"/>
    <w:rsid w:val="006C1B0E"/>
    <w:rsid w:val="006C237E"/>
    <w:rsid w:val="006C32BC"/>
    <w:rsid w:val="006C44D5"/>
    <w:rsid w:val="006C4E19"/>
    <w:rsid w:val="006C56C2"/>
    <w:rsid w:val="006C5B2C"/>
    <w:rsid w:val="006C6771"/>
    <w:rsid w:val="006C704F"/>
    <w:rsid w:val="006D052F"/>
    <w:rsid w:val="006D3DDE"/>
    <w:rsid w:val="006D6333"/>
    <w:rsid w:val="006D6DF6"/>
    <w:rsid w:val="006D7B13"/>
    <w:rsid w:val="006E1498"/>
    <w:rsid w:val="006E14D2"/>
    <w:rsid w:val="006E2228"/>
    <w:rsid w:val="006E308A"/>
    <w:rsid w:val="006E30EC"/>
    <w:rsid w:val="006E33ED"/>
    <w:rsid w:val="006E38D8"/>
    <w:rsid w:val="006E4700"/>
    <w:rsid w:val="006E56B5"/>
    <w:rsid w:val="006F069C"/>
    <w:rsid w:val="006F285B"/>
    <w:rsid w:val="006F3D89"/>
    <w:rsid w:val="006F3E87"/>
    <w:rsid w:val="006F4041"/>
    <w:rsid w:val="0070140D"/>
    <w:rsid w:val="0070190C"/>
    <w:rsid w:val="00701B0C"/>
    <w:rsid w:val="0070200F"/>
    <w:rsid w:val="007029CA"/>
    <w:rsid w:val="00704F49"/>
    <w:rsid w:val="00705ACD"/>
    <w:rsid w:val="00705B40"/>
    <w:rsid w:val="00705E13"/>
    <w:rsid w:val="00706FF6"/>
    <w:rsid w:val="0071041B"/>
    <w:rsid w:val="00710552"/>
    <w:rsid w:val="00710638"/>
    <w:rsid w:val="00710DD6"/>
    <w:rsid w:val="00711BB3"/>
    <w:rsid w:val="00711ED5"/>
    <w:rsid w:val="007138D0"/>
    <w:rsid w:val="00715D61"/>
    <w:rsid w:val="00716EDB"/>
    <w:rsid w:val="00717DF4"/>
    <w:rsid w:val="00720C6B"/>
    <w:rsid w:val="00720FFA"/>
    <w:rsid w:val="00721D65"/>
    <w:rsid w:val="007221CD"/>
    <w:rsid w:val="0072360F"/>
    <w:rsid w:val="00725866"/>
    <w:rsid w:val="0072797A"/>
    <w:rsid w:val="00727AB2"/>
    <w:rsid w:val="00730B4C"/>
    <w:rsid w:val="00731056"/>
    <w:rsid w:val="00732A12"/>
    <w:rsid w:val="007342E1"/>
    <w:rsid w:val="00735475"/>
    <w:rsid w:val="00735AE1"/>
    <w:rsid w:val="00735C83"/>
    <w:rsid w:val="00736D36"/>
    <w:rsid w:val="00736E60"/>
    <w:rsid w:val="00737D33"/>
    <w:rsid w:val="00737F3E"/>
    <w:rsid w:val="007404F2"/>
    <w:rsid w:val="007424E9"/>
    <w:rsid w:val="007436D8"/>
    <w:rsid w:val="00743745"/>
    <w:rsid w:val="00745249"/>
    <w:rsid w:val="00747125"/>
    <w:rsid w:val="007475E2"/>
    <w:rsid w:val="00750826"/>
    <w:rsid w:val="0075210D"/>
    <w:rsid w:val="0075233B"/>
    <w:rsid w:val="0075312F"/>
    <w:rsid w:val="007534F7"/>
    <w:rsid w:val="00753769"/>
    <w:rsid w:val="007539C4"/>
    <w:rsid w:val="007546AD"/>
    <w:rsid w:val="007550C0"/>
    <w:rsid w:val="0075617C"/>
    <w:rsid w:val="007607B9"/>
    <w:rsid w:val="00760CE7"/>
    <w:rsid w:val="00762725"/>
    <w:rsid w:val="00762DFB"/>
    <w:rsid w:val="00762F6D"/>
    <w:rsid w:val="007639F2"/>
    <w:rsid w:val="0076462B"/>
    <w:rsid w:val="007647A5"/>
    <w:rsid w:val="0076541C"/>
    <w:rsid w:val="0076622C"/>
    <w:rsid w:val="007667BF"/>
    <w:rsid w:val="007672A6"/>
    <w:rsid w:val="0076736C"/>
    <w:rsid w:val="00767F95"/>
    <w:rsid w:val="00772B7E"/>
    <w:rsid w:val="00773687"/>
    <w:rsid w:val="00773B0E"/>
    <w:rsid w:val="00773FA7"/>
    <w:rsid w:val="00773FF8"/>
    <w:rsid w:val="0077465F"/>
    <w:rsid w:val="007805FA"/>
    <w:rsid w:val="00780C8D"/>
    <w:rsid w:val="00781822"/>
    <w:rsid w:val="00781B85"/>
    <w:rsid w:val="00782314"/>
    <w:rsid w:val="007831E8"/>
    <w:rsid w:val="007833F9"/>
    <w:rsid w:val="0079076A"/>
    <w:rsid w:val="00790B60"/>
    <w:rsid w:val="00791408"/>
    <w:rsid w:val="007914DD"/>
    <w:rsid w:val="00791BA2"/>
    <w:rsid w:val="00792D6D"/>
    <w:rsid w:val="007965A0"/>
    <w:rsid w:val="00796BB2"/>
    <w:rsid w:val="00796C5E"/>
    <w:rsid w:val="00796DF0"/>
    <w:rsid w:val="00797ED5"/>
    <w:rsid w:val="007A20D4"/>
    <w:rsid w:val="007A2157"/>
    <w:rsid w:val="007A27A2"/>
    <w:rsid w:val="007A40BE"/>
    <w:rsid w:val="007A4513"/>
    <w:rsid w:val="007A50AB"/>
    <w:rsid w:val="007A5229"/>
    <w:rsid w:val="007A5A40"/>
    <w:rsid w:val="007A5C68"/>
    <w:rsid w:val="007B05E5"/>
    <w:rsid w:val="007B21E8"/>
    <w:rsid w:val="007B4823"/>
    <w:rsid w:val="007B48B3"/>
    <w:rsid w:val="007B5207"/>
    <w:rsid w:val="007B57D2"/>
    <w:rsid w:val="007C0588"/>
    <w:rsid w:val="007C2409"/>
    <w:rsid w:val="007C3538"/>
    <w:rsid w:val="007C3FFA"/>
    <w:rsid w:val="007C4302"/>
    <w:rsid w:val="007C5220"/>
    <w:rsid w:val="007C5DC9"/>
    <w:rsid w:val="007C629D"/>
    <w:rsid w:val="007D10DA"/>
    <w:rsid w:val="007D206C"/>
    <w:rsid w:val="007D2162"/>
    <w:rsid w:val="007D2344"/>
    <w:rsid w:val="007D2D5B"/>
    <w:rsid w:val="007D2F1A"/>
    <w:rsid w:val="007D3121"/>
    <w:rsid w:val="007D3A30"/>
    <w:rsid w:val="007D53B6"/>
    <w:rsid w:val="007D5550"/>
    <w:rsid w:val="007D6251"/>
    <w:rsid w:val="007D7959"/>
    <w:rsid w:val="007D7EB0"/>
    <w:rsid w:val="007E170E"/>
    <w:rsid w:val="007E2CBF"/>
    <w:rsid w:val="007E5473"/>
    <w:rsid w:val="007E5767"/>
    <w:rsid w:val="007E6B52"/>
    <w:rsid w:val="007E71D0"/>
    <w:rsid w:val="007E7348"/>
    <w:rsid w:val="007E736F"/>
    <w:rsid w:val="007E74FE"/>
    <w:rsid w:val="007E75E1"/>
    <w:rsid w:val="007F09FE"/>
    <w:rsid w:val="007F1B70"/>
    <w:rsid w:val="007F3DA5"/>
    <w:rsid w:val="007F4717"/>
    <w:rsid w:val="007F55F7"/>
    <w:rsid w:val="007F6332"/>
    <w:rsid w:val="008005C7"/>
    <w:rsid w:val="00800B20"/>
    <w:rsid w:val="008024AA"/>
    <w:rsid w:val="00803388"/>
    <w:rsid w:val="008036D3"/>
    <w:rsid w:val="00804A13"/>
    <w:rsid w:val="00805AB2"/>
    <w:rsid w:val="0080665E"/>
    <w:rsid w:val="00806891"/>
    <w:rsid w:val="00806ABF"/>
    <w:rsid w:val="008070B3"/>
    <w:rsid w:val="00807211"/>
    <w:rsid w:val="00810EB4"/>
    <w:rsid w:val="008123EE"/>
    <w:rsid w:val="008145CF"/>
    <w:rsid w:val="00814957"/>
    <w:rsid w:val="00815360"/>
    <w:rsid w:val="00816079"/>
    <w:rsid w:val="00816BB0"/>
    <w:rsid w:val="00816FB5"/>
    <w:rsid w:val="008174CA"/>
    <w:rsid w:val="008174F0"/>
    <w:rsid w:val="00822F26"/>
    <w:rsid w:val="00830BCF"/>
    <w:rsid w:val="00832E0A"/>
    <w:rsid w:val="00832ED4"/>
    <w:rsid w:val="00833791"/>
    <w:rsid w:val="00834691"/>
    <w:rsid w:val="00834BA1"/>
    <w:rsid w:val="00836A01"/>
    <w:rsid w:val="00837722"/>
    <w:rsid w:val="00837A5D"/>
    <w:rsid w:val="00837F4D"/>
    <w:rsid w:val="00840209"/>
    <w:rsid w:val="008432D8"/>
    <w:rsid w:val="00843CFD"/>
    <w:rsid w:val="008449EE"/>
    <w:rsid w:val="00844FAB"/>
    <w:rsid w:val="00845424"/>
    <w:rsid w:val="00845E3A"/>
    <w:rsid w:val="0084600C"/>
    <w:rsid w:val="00846693"/>
    <w:rsid w:val="00846F06"/>
    <w:rsid w:val="008475E1"/>
    <w:rsid w:val="00847D4C"/>
    <w:rsid w:val="00847DAA"/>
    <w:rsid w:val="00854221"/>
    <w:rsid w:val="00854263"/>
    <w:rsid w:val="008550C8"/>
    <w:rsid w:val="00857165"/>
    <w:rsid w:val="00862060"/>
    <w:rsid w:val="00863A4D"/>
    <w:rsid w:val="0086486C"/>
    <w:rsid w:val="008654F8"/>
    <w:rsid w:val="00865953"/>
    <w:rsid w:val="00865A40"/>
    <w:rsid w:val="00867409"/>
    <w:rsid w:val="00867CF2"/>
    <w:rsid w:val="00870B4E"/>
    <w:rsid w:val="00872629"/>
    <w:rsid w:val="00872D4B"/>
    <w:rsid w:val="00872F75"/>
    <w:rsid w:val="008754D6"/>
    <w:rsid w:val="008756D3"/>
    <w:rsid w:val="00875D2E"/>
    <w:rsid w:val="008760FE"/>
    <w:rsid w:val="008769F1"/>
    <w:rsid w:val="0087715C"/>
    <w:rsid w:val="008813CC"/>
    <w:rsid w:val="008816F8"/>
    <w:rsid w:val="008831DC"/>
    <w:rsid w:val="00883909"/>
    <w:rsid w:val="00884842"/>
    <w:rsid w:val="00884AA6"/>
    <w:rsid w:val="00885225"/>
    <w:rsid w:val="00885855"/>
    <w:rsid w:val="00885E80"/>
    <w:rsid w:val="00885F74"/>
    <w:rsid w:val="008868AB"/>
    <w:rsid w:val="00887285"/>
    <w:rsid w:val="00890459"/>
    <w:rsid w:val="008909DE"/>
    <w:rsid w:val="00890CA6"/>
    <w:rsid w:val="00893119"/>
    <w:rsid w:val="008951B5"/>
    <w:rsid w:val="008954EC"/>
    <w:rsid w:val="0089792B"/>
    <w:rsid w:val="00897DC2"/>
    <w:rsid w:val="008A1D4B"/>
    <w:rsid w:val="008A2697"/>
    <w:rsid w:val="008A278C"/>
    <w:rsid w:val="008A2CEB"/>
    <w:rsid w:val="008A3611"/>
    <w:rsid w:val="008A49B5"/>
    <w:rsid w:val="008A7327"/>
    <w:rsid w:val="008B0B8F"/>
    <w:rsid w:val="008B2F33"/>
    <w:rsid w:val="008B382E"/>
    <w:rsid w:val="008B4B8D"/>
    <w:rsid w:val="008B4CBF"/>
    <w:rsid w:val="008B54B1"/>
    <w:rsid w:val="008B5722"/>
    <w:rsid w:val="008B572A"/>
    <w:rsid w:val="008B592B"/>
    <w:rsid w:val="008B5CD9"/>
    <w:rsid w:val="008C0184"/>
    <w:rsid w:val="008C089D"/>
    <w:rsid w:val="008C0CC4"/>
    <w:rsid w:val="008C2A54"/>
    <w:rsid w:val="008C544C"/>
    <w:rsid w:val="008C6468"/>
    <w:rsid w:val="008C6AA5"/>
    <w:rsid w:val="008C6BF4"/>
    <w:rsid w:val="008C6FF8"/>
    <w:rsid w:val="008C7AB7"/>
    <w:rsid w:val="008D0FC8"/>
    <w:rsid w:val="008D1DC9"/>
    <w:rsid w:val="008D1E2B"/>
    <w:rsid w:val="008D208E"/>
    <w:rsid w:val="008D2D35"/>
    <w:rsid w:val="008D3225"/>
    <w:rsid w:val="008D5419"/>
    <w:rsid w:val="008D55CC"/>
    <w:rsid w:val="008D73F3"/>
    <w:rsid w:val="008E0004"/>
    <w:rsid w:val="008E16A9"/>
    <w:rsid w:val="008E274C"/>
    <w:rsid w:val="008E2CC0"/>
    <w:rsid w:val="008E3332"/>
    <w:rsid w:val="008E5F39"/>
    <w:rsid w:val="008E6612"/>
    <w:rsid w:val="008E661D"/>
    <w:rsid w:val="008E7C67"/>
    <w:rsid w:val="008F1623"/>
    <w:rsid w:val="008F26E4"/>
    <w:rsid w:val="008F43E8"/>
    <w:rsid w:val="008F5631"/>
    <w:rsid w:val="008F585E"/>
    <w:rsid w:val="008F60DB"/>
    <w:rsid w:val="008F63B0"/>
    <w:rsid w:val="008F725F"/>
    <w:rsid w:val="008F72BF"/>
    <w:rsid w:val="008F777F"/>
    <w:rsid w:val="008F77D6"/>
    <w:rsid w:val="00901567"/>
    <w:rsid w:val="009019CF"/>
    <w:rsid w:val="00901C6B"/>
    <w:rsid w:val="00902BCB"/>
    <w:rsid w:val="00903139"/>
    <w:rsid w:val="00903880"/>
    <w:rsid w:val="0090499A"/>
    <w:rsid w:val="00904A9C"/>
    <w:rsid w:val="00906D44"/>
    <w:rsid w:val="009075AC"/>
    <w:rsid w:val="00911625"/>
    <w:rsid w:val="00912C1F"/>
    <w:rsid w:val="00912ED9"/>
    <w:rsid w:val="009159B6"/>
    <w:rsid w:val="009163FB"/>
    <w:rsid w:val="00920560"/>
    <w:rsid w:val="00920CB0"/>
    <w:rsid w:val="009222D2"/>
    <w:rsid w:val="00923851"/>
    <w:rsid w:val="00923D70"/>
    <w:rsid w:val="0092598F"/>
    <w:rsid w:val="0093016A"/>
    <w:rsid w:val="009309E9"/>
    <w:rsid w:val="00930D35"/>
    <w:rsid w:val="00930EA0"/>
    <w:rsid w:val="00932528"/>
    <w:rsid w:val="00933C78"/>
    <w:rsid w:val="00933D08"/>
    <w:rsid w:val="0094010B"/>
    <w:rsid w:val="0094120E"/>
    <w:rsid w:val="00941508"/>
    <w:rsid w:val="00941780"/>
    <w:rsid w:val="00941BDD"/>
    <w:rsid w:val="009421EE"/>
    <w:rsid w:val="00942B0C"/>
    <w:rsid w:val="00942B21"/>
    <w:rsid w:val="00943875"/>
    <w:rsid w:val="009447BB"/>
    <w:rsid w:val="00944E99"/>
    <w:rsid w:val="00945800"/>
    <w:rsid w:val="00946FD8"/>
    <w:rsid w:val="009474A1"/>
    <w:rsid w:val="009502B2"/>
    <w:rsid w:val="00950862"/>
    <w:rsid w:val="00950EFF"/>
    <w:rsid w:val="00951369"/>
    <w:rsid w:val="00952F52"/>
    <w:rsid w:val="00953228"/>
    <w:rsid w:val="009536F9"/>
    <w:rsid w:val="00953B25"/>
    <w:rsid w:val="0095416E"/>
    <w:rsid w:val="009541D7"/>
    <w:rsid w:val="0095469A"/>
    <w:rsid w:val="00954715"/>
    <w:rsid w:val="00955B7C"/>
    <w:rsid w:val="00957357"/>
    <w:rsid w:val="0095778B"/>
    <w:rsid w:val="00960227"/>
    <w:rsid w:val="0096423A"/>
    <w:rsid w:val="0096590D"/>
    <w:rsid w:val="00966048"/>
    <w:rsid w:val="009700DD"/>
    <w:rsid w:val="0097236D"/>
    <w:rsid w:val="009739CF"/>
    <w:rsid w:val="00973C39"/>
    <w:rsid w:val="00974FE7"/>
    <w:rsid w:val="00975AB4"/>
    <w:rsid w:val="00975E90"/>
    <w:rsid w:val="00976658"/>
    <w:rsid w:val="00977777"/>
    <w:rsid w:val="009777F6"/>
    <w:rsid w:val="00980FD3"/>
    <w:rsid w:val="00981B73"/>
    <w:rsid w:val="00982105"/>
    <w:rsid w:val="009837E1"/>
    <w:rsid w:val="009837F6"/>
    <w:rsid w:val="009865EE"/>
    <w:rsid w:val="009867AD"/>
    <w:rsid w:val="00987491"/>
    <w:rsid w:val="00991843"/>
    <w:rsid w:val="009934A2"/>
    <w:rsid w:val="00994264"/>
    <w:rsid w:val="0099462D"/>
    <w:rsid w:val="00994FCC"/>
    <w:rsid w:val="009955E2"/>
    <w:rsid w:val="00997080"/>
    <w:rsid w:val="009971BA"/>
    <w:rsid w:val="009972D1"/>
    <w:rsid w:val="009A0AFC"/>
    <w:rsid w:val="009A1F55"/>
    <w:rsid w:val="009A1FC5"/>
    <w:rsid w:val="009A2275"/>
    <w:rsid w:val="009A3B05"/>
    <w:rsid w:val="009A41D5"/>
    <w:rsid w:val="009A47C9"/>
    <w:rsid w:val="009A4A51"/>
    <w:rsid w:val="009A4DA0"/>
    <w:rsid w:val="009A588E"/>
    <w:rsid w:val="009A5CC7"/>
    <w:rsid w:val="009A69D1"/>
    <w:rsid w:val="009A6CEF"/>
    <w:rsid w:val="009A7939"/>
    <w:rsid w:val="009B1C9C"/>
    <w:rsid w:val="009B214A"/>
    <w:rsid w:val="009B2295"/>
    <w:rsid w:val="009B2D2B"/>
    <w:rsid w:val="009B37D7"/>
    <w:rsid w:val="009B4264"/>
    <w:rsid w:val="009B488D"/>
    <w:rsid w:val="009B5080"/>
    <w:rsid w:val="009B5548"/>
    <w:rsid w:val="009B6F44"/>
    <w:rsid w:val="009C1A89"/>
    <w:rsid w:val="009C2531"/>
    <w:rsid w:val="009C350F"/>
    <w:rsid w:val="009C49C2"/>
    <w:rsid w:val="009C5A10"/>
    <w:rsid w:val="009C690E"/>
    <w:rsid w:val="009C761A"/>
    <w:rsid w:val="009D1CD4"/>
    <w:rsid w:val="009D2299"/>
    <w:rsid w:val="009D3265"/>
    <w:rsid w:val="009D5BF9"/>
    <w:rsid w:val="009D5E49"/>
    <w:rsid w:val="009D5F95"/>
    <w:rsid w:val="009D6918"/>
    <w:rsid w:val="009D7034"/>
    <w:rsid w:val="009E0144"/>
    <w:rsid w:val="009E2C56"/>
    <w:rsid w:val="009E3096"/>
    <w:rsid w:val="009E3D74"/>
    <w:rsid w:val="009E4449"/>
    <w:rsid w:val="009E447C"/>
    <w:rsid w:val="009E4C81"/>
    <w:rsid w:val="009F0BDA"/>
    <w:rsid w:val="009F13F9"/>
    <w:rsid w:val="009F1C17"/>
    <w:rsid w:val="009F2064"/>
    <w:rsid w:val="009F28AD"/>
    <w:rsid w:val="009F2A18"/>
    <w:rsid w:val="009F3085"/>
    <w:rsid w:val="009F5730"/>
    <w:rsid w:val="009F5A97"/>
    <w:rsid w:val="009F6924"/>
    <w:rsid w:val="009F6DA0"/>
    <w:rsid w:val="00A00D7D"/>
    <w:rsid w:val="00A01EB9"/>
    <w:rsid w:val="00A030AF"/>
    <w:rsid w:val="00A03400"/>
    <w:rsid w:val="00A03932"/>
    <w:rsid w:val="00A03B69"/>
    <w:rsid w:val="00A04C6C"/>
    <w:rsid w:val="00A0547E"/>
    <w:rsid w:val="00A06D6A"/>
    <w:rsid w:val="00A10549"/>
    <w:rsid w:val="00A10713"/>
    <w:rsid w:val="00A135FA"/>
    <w:rsid w:val="00A1388C"/>
    <w:rsid w:val="00A139D0"/>
    <w:rsid w:val="00A17BFC"/>
    <w:rsid w:val="00A21258"/>
    <w:rsid w:val="00A22285"/>
    <w:rsid w:val="00A22D7A"/>
    <w:rsid w:val="00A24900"/>
    <w:rsid w:val="00A24950"/>
    <w:rsid w:val="00A24D4E"/>
    <w:rsid w:val="00A2534F"/>
    <w:rsid w:val="00A26BDE"/>
    <w:rsid w:val="00A272E8"/>
    <w:rsid w:val="00A27CBB"/>
    <w:rsid w:val="00A3097C"/>
    <w:rsid w:val="00A31D9A"/>
    <w:rsid w:val="00A335F5"/>
    <w:rsid w:val="00A33BF3"/>
    <w:rsid w:val="00A344BF"/>
    <w:rsid w:val="00A3611C"/>
    <w:rsid w:val="00A36A5D"/>
    <w:rsid w:val="00A41EBD"/>
    <w:rsid w:val="00A43B5B"/>
    <w:rsid w:val="00A446AB"/>
    <w:rsid w:val="00A449A4"/>
    <w:rsid w:val="00A46D9D"/>
    <w:rsid w:val="00A472F6"/>
    <w:rsid w:val="00A5016D"/>
    <w:rsid w:val="00A51D9E"/>
    <w:rsid w:val="00A522B9"/>
    <w:rsid w:val="00A52374"/>
    <w:rsid w:val="00A532C4"/>
    <w:rsid w:val="00A53CC1"/>
    <w:rsid w:val="00A54246"/>
    <w:rsid w:val="00A55FF5"/>
    <w:rsid w:val="00A563E8"/>
    <w:rsid w:val="00A5786B"/>
    <w:rsid w:val="00A61235"/>
    <w:rsid w:val="00A6152F"/>
    <w:rsid w:val="00A61D34"/>
    <w:rsid w:val="00A63D5D"/>
    <w:rsid w:val="00A644D1"/>
    <w:rsid w:val="00A64B83"/>
    <w:rsid w:val="00A6565B"/>
    <w:rsid w:val="00A65C3F"/>
    <w:rsid w:val="00A65E74"/>
    <w:rsid w:val="00A66591"/>
    <w:rsid w:val="00A66F1A"/>
    <w:rsid w:val="00A679E9"/>
    <w:rsid w:val="00A70227"/>
    <w:rsid w:val="00A71590"/>
    <w:rsid w:val="00A7267F"/>
    <w:rsid w:val="00A729E0"/>
    <w:rsid w:val="00A730EE"/>
    <w:rsid w:val="00A7355D"/>
    <w:rsid w:val="00A7379E"/>
    <w:rsid w:val="00A739DB"/>
    <w:rsid w:val="00A7457B"/>
    <w:rsid w:val="00A74C33"/>
    <w:rsid w:val="00A810A2"/>
    <w:rsid w:val="00A8188C"/>
    <w:rsid w:val="00A81BB4"/>
    <w:rsid w:val="00A82486"/>
    <w:rsid w:val="00A83EFD"/>
    <w:rsid w:val="00A84B5E"/>
    <w:rsid w:val="00A854E9"/>
    <w:rsid w:val="00A85B4A"/>
    <w:rsid w:val="00A86858"/>
    <w:rsid w:val="00A90635"/>
    <w:rsid w:val="00A90D24"/>
    <w:rsid w:val="00A9205F"/>
    <w:rsid w:val="00A923D4"/>
    <w:rsid w:val="00A92A62"/>
    <w:rsid w:val="00A93BEF"/>
    <w:rsid w:val="00A95D38"/>
    <w:rsid w:val="00A960E1"/>
    <w:rsid w:val="00A97914"/>
    <w:rsid w:val="00AA073B"/>
    <w:rsid w:val="00AA1809"/>
    <w:rsid w:val="00AA1AE2"/>
    <w:rsid w:val="00AA2731"/>
    <w:rsid w:val="00AA3070"/>
    <w:rsid w:val="00AA3A92"/>
    <w:rsid w:val="00AA4C90"/>
    <w:rsid w:val="00AA4EE8"/>
    <w:rsid w:val="00AA5778"/>
    <w:rsid w:val="00AA7432"/>
    <w:rsid w:val="00AB0170"/>
    <w:rsid w:val="00AB2515"/>
    <w:rsid w:val="00AB298D"/>
    <w:rsid w:val="00AB4B63"/>
    <w:rsid w:val="00AB56CA"/>
    <w:rsid w:val="00AB57C3"/>
    <w:rsid w:val="00AB59CC"/>
    <w:rsid w:val="00AB5AC2"/>
    <w:rsid w:val="00AB60D6"/>
    <w:rsid w:val="00AB650F"/>
    <w:rsid w:val="00AB78E2"/>
    <w:rsid w:val="00AB7F26"/>
    <w:rsid w:val="00AC0BF7"/>
    <w:rsid w:val="00AC0F40"/>
    <w:rsid w:val="00AC1BAB"/>
    <w:rsid w:val="00AC2C3C"/>
    <w:rsid w:val="00AC2F70"/>
    <w:rsid w:val="00AC30A3"/>
    <w:rsid w:val="00AC3105"/>
    <w:rsid w:val="00AC3D7A"/>
    <w:rsid w:val="00AC4C0D"/>
    <w:rsid w:val="00AC5354"/>
    <w:rsid w:val="00AC6214"/>
    <w:rsid w:val="00AC6451"/>
    <w:rsid w:val="00AC78C8"/>
    <w:rsid w:val="00AC7CF2"/>
    <w:rsid w:val="00AC7D97"/>
    <w:rsid w:val="00AC7F96"/>
    <w:rsid w:val="00AD3DE5"/>
    <w:rsid w:val="00AD52DA"/>
    <w:rsid w:val="00AD53CE"/>
    <w:rsid w:val="00AD5775"/>
    <w:rsid w:val="00AD5B7D"/>
    <w:rsid w:val="00AD6072"/>
    <w:rsid w:val="00AD773C"/>
    <w:rsid w:val="00AD7EA0"/>
    <w:rsid w:val="00AE2121"/>
    <w:rsid w:val="00AE507F"/>
    <w:rsid w:val="00AE55AA"/>
    <w:rsid w:val="00AE64A5"/>
    <w:rsid w:val="00AE77B3"/>
    <w:rsid w:val="00AF09A2"/>
    <w:rsid w:val="00AF2F13"/>
    <w:rsid w:val="00AF40A0"/>
    <w:rsid w:val="00AF4673"/>
    <w:rsid w:val="00AF5261"/>
    <w:rsid w:val="00AF7F61"/>
    <w:rsid w:val="00B00630"/>
    <w:rsid w:val="00B0175F"/>
    <w:rsid w:val="00B01EFD"/>
    <w:rsid w:val="00B03491"/>
    <w:rsid w:val="00B041F0"/>
    <w:rsid w:val="00B04361"/>
    <w:rsid w:val="00B04DCA"/>
    <w:rsid w:val="00B067B5"/>
    <w:rsid w:val="00B06EEF"/>
    <w:rsid w:val="00B100C0"/>
    <w:rsid w:val="00B103AE"/>
    <w:rsid w:val="00B12388"/>
    <w:rsid w:val="00B13E7B"/>
    <w:rsid w:val="00B13F82"/>
    <w:rsid w:val="00B14DC6"/>
    <w:rsid w:val="00B15883"/>
    <w:rsid w:val="00B172AA"/>
    <w:rsid w:val="00B174CB"/>
    <w:rsid w:val="00B20737"/>
    <w:rsid w:val="00B21A2D"/>
    <w:rsid w:val="00B2414F"/>
    <w:rsid w:val="00B246AD"/>
    <w:rsid w:val="00B25369"/>
    <w:rsid w:val="00B253C9"/>
    <w:rsid w:val="00B311D3"/>
    <w:rsid w:val="00B34459"/>
    <w:rsid w:val="00B35AD6"/>
    <w:rsid w:val="00B3651C"/>
    <w:rsid w:val="00B36DCA"/>
    <w:rsid w:val="00B423A7"/>
    <w:rsid w:val="00B42DB2"/>
    <w:rsid w:val="00B4307B"/>
    <w:rsid w:val="00B43B5C"/>
    <w:rsid w:val="00B44A9D"/>
    <w:rsid w:val="00B44CFD"/>
    <w:rsid w:val="00B47E9E"/>
    <w:rsid w:val="00B51947"/>
    <w:rsid w:val="00B5404F"/>
    <w:rsid w:val="00B577B8"/>
    <w:rsid w:val="00B6055B"/>
    <w:rsid w:val="00B6085A"/>
    <w:rsid w:val="00B609AA"/>
    <w:rsid w:val="00B62267"/>
    <w:rsid w:val="00B6257B"/>
    <w:rsid w:val="00B62811"/>
    <w:rsid w:val="00B63225"/>
    <w:rsid w:val="00B665BE"/>
    <w:rsid w:val="00B665EA"/>
    <w:rsid w:val="00B67BE1"/>
    <w:rsid w:val="00B70326"/>
    <w:rsid w:val="00B7364E"/>
    <w:rsid w:val="00B73C87"/>
    <w:rsid w:val="00B7401A"/>
    <w:rsid w:val="00B752C0"/>
    <w:rsid w:val="00B7573B"/>
    <w:rsid w:val="00B765A5"/>
    <w:rsid w:val="00B76A88"/>
    <w:rsid w:val="00B80436"/>
    <w:rsid w:val="00B85359"/>
    <w:rsid w:val="00B85DF0"/>
    <w:rsid w:val="00B86A9E"/>
    <w:rsid w:val="00B86CEA"/>
    <w:rsid w:val="00B870F0"/>
    <w:rsid w:val="00B911C4"/>
    <w:rsid w:val="00B92883"/>
    <w:rsid w:val="00B92ECC"/>
    <w:rsid w:val="00B933B1"/>
    <w:rsid w:val="00B935B2"/>
    <w:rsid w:val="00B94E9E"/>
    <w:rsid w:val="00B96212"/>
    <w:rsid w:val="00B96424"/>
    <w:rsid w:val="00B9672D"/>
    <w:rsid w:val="00B974D0"/>
    <w:rsid w:val="00B97A86"/>
    <w:rsid w:val="00BA2BC1"/>
    <w:rsid w:val="00BA310B"/>
    <w:rsid w:val="00BA32A3"/>
    <w:rsid w:val="00BA3638"/>
    <w:rsid w:val="00BA36C8"/>
    <w:rsid w:val="00BA4596"/>
    <w:rsid w:val="00BA53CC"/>
    <w:rsid w:val="00BA5548"/>
    <w:rsid w:val="00BA6AD3"/>
    <w:rsid w:val="00BA77DF"/>
    <w:rsid w:val="00BA7ABE"/>
    <w:rsid w:val="00BA7ECC"/>
    <w:rsid w:val="00BB11F0"/>
    <w:rsid w:val="00BB2EAD"/>
    <w:rsid w:val="00BB3FF2"/>
    <w:rsid w:val="00BB66D6"/>
    <w:rsid w:val="00BB6868"/>
    <w:rsid w:val="00BB768C"/>
    <w:rsid w:val="00BC16C3"/>
    <w:rsid w:val="00BC1C93"/>
    <w:rsid w:val="00BC3055"/>
    <w:rsid w:val="00BC3C0D"/>
    <w:rsid w:val="00BC4784"/>
    <w:rsid w:val="00BC7B31"/>
    <w:rsid w:val="00BC7D83"/>
    <w:rsid w:val="00BD0400"/>
    <w:rsid w:val="00BD0B65"/>
    <w:rsid w:val="00BD32FB"/>
    <w:rsid w:val="00BD36EB"/>
    <w:rsid w:val="00BD4BE0"/>
    <w:rsid w:val="00BD4E4A"/>
    <w:rsid w:val="00BD4E5D"/>
    <w:rsid w:val="00BD574B"/>
    <w:rsid w:val="00BD580F"/>
    <w:rsid w:val="00BD64A1"/>
    <w:rsid w:val="00BD65B0"/>
    <w:rsid w:val="00BD695F"/>
    <w:rsid w:val="00BD79F0"/>
    <w:rsid w:val="00BE044F"/>
    <w:rsid w:val="00BE300D"/>
    <w:rsid w:val="00BE55C7"/>
    <w:rsid w:val="00BE57CE"/>
    <w:rsid w:val="00BE5920"/>
    <w:rsid w:val="00BE6B9B"/>
    <w:rsid w:val="00BE705B"/>
    <w:rsid w:val="00BE7877"/>
    <w:rsid w:val="00BF03C8"/>
    <w:rsid w:val="00BF0477"/>
    <w:rsid w:val="00BF097A"/>
    <w:rsid w:val="00BF0A01"/>
    <w:rsid w:val="00BF1BE4"/>
    <w:rsid w:val="00BF1D1E"/>
    <w:rsid w:val="00BF1F2A"/>
    <w:rsid w:val="00BF1F42"/>
    <w:rsid w:val="00BF48F6"/>
    <w:rsid w:val="00BF5768"/>
    <w:rsid w:val="00BF5AF5"/>
    <w:rsid w:val="00BF6220"/>
    <w:rsid w:val="00BF629C"/>
    <w:rsid w:val="00BF68BA"/>
    <w:rsid w:val="00C03BA4"/>
    <w:rsid w:val="00C05AF1"/>
    <w:rsid w:val="00C06DF8"/>
    <w:rsid w:val="00C0725F"/>
    <w:rsid w:val="00C10731"/>
    <w:rsid w:val="00C11707"/>
    <w:rsid w:val="00C11A4D"/>
    <w:rsid w:val="00C120E1"/>
    <w:rsid w:val="00C12EE6"/>
    <w:rsid w:val="00C14B76"/>
    <w:rsid w:val="00C1627F"/>
    <w:rsid w:val="00C177CA"/>
    <w:rsid w:val="00C2108B"/>
    <w:rsid w:val="00C22205"/>
    <w:rsid w:val="00C22E8B"/>
    <w:rsid w:val="00C23957"/>
    <w:rsid w:val="00C257CD"/>
    <w:rsid w:val="00C26321"/>
    <w:rsid w:val="00C279A3"/>
    <w:rsid w:val="00C30C98"/>
    <w:rsid w:val="00C30EFC"/>
    <w:rsid w:val="00C31910"/>
    <w:rsid w:val="00C33184"/>
    <w:rsid w:val="00C3387D"/>
    <w:rsid w:val="00C340E2"/>
    <w:rsid w:val="00C35166"/>
    <w:rsid w:val="00C3521D"/>
    <w:rsid w:val="00C355A3"/>
    <w:rsid w:val="00C35EF9"/>
    <w:rsid w:val="00C36887"/>
    <w:rsid w:val="00C36FD3"/>
    <w:rsid w:val="00C44BDF"/>
    <w:rsid w:val="00C45280"/>
    <w:rsid w:val="00C4607C"/>
    <w:rsid w:val="00C46571"/>
    <w:rsid w:val="00C46F47"/>
    <w:rsid w:val="00C47BDC"/>
    <w:rsid w:val="00C54C6F"/>
    <w:rsid w:val="00C55885"/>
    <w:rsid w:val="00C558E7"/>
    <w:rsid w:val="00C5603D"/>
    <w:rsid w:val="00C57072"/>
    <w:rsid w:val="00C571BB"/>
    <w:rsid w:val="00C57B88"/>
    <w:rsid w:val="00C61376"/>
    <w:rsid w:val="00C62471"/>
    <w:rsid w:val="00C675A2"/>
    <w:rsid w:val="00C7014A"/>
    <w:rsid w:val="00C714F7"/>
    <w:rsid w:val="00C72619"/>
    <w:rsid w:val="00C73046"/>
    <w:rsid w:val="00C7313C"/>
    <w:rsid w:val="00C737AA"/>
    <w:rsid w:val="00C7380B"/>
    <w:rsid w:val="00C73E55"/>
    <w:rsid w:val="00C775B0"/>
    <w:rsid w:val="00C77CBA"/>
    <w:rsid w:val="00C80227"/>
    <w:rsid w:val="00C81286"/>
    <w:rsid w:val="00C8183D"/>
    <w:rsid w:val="00C81CFB"/>
    <w:rsid w:val="00C82AE0"/>
    <w:rsid w:val="00C82F23"/>
    <w:rsid w:val="00C83891"/>
    <w:rsid w:val="00C83D45"/>
    <w:rsid w:val="00C86103"/>
    <w:rsid w:val="00C87CA3"/>
    <w:rsid w:val="00C90F5C"/>
    <w:rsid w:val="00C9125E"/>
    <w:rsid w:val="00C926F3"/>
    <w:rsid w:val="00C93CF3"/>
    <w:rsid w:val="00C93F2D"/>
    <w:rsid w:val="00C951FF"/>
    <w:rsid w:val="00C95392"/>
    <w:rsid w:val="00C973D3"/>
    <w:rsid w:val="00C97480"/>
    <w:rsid w:val="00CA43A5"/>
    <w:rsid w:val="00CA6C58"/>
    <w:rsid w:val="00CA719B"/>
    <w:rsid w:val="00CA78B7"/>
    <w:rsid w:val="00CA79E1"/>
    <w:rsid w:val="00CA7C70"/>
    <w:rsid w:val="00CB11B0"/>
    <w:rsid w:val="00CB1A46"/>
    <w:rsid w:val="00CB26CE"/>
    <w:rsid w:val="00CB39EE"/>
    <w:rsid w:val="00CB4004"/>
    <w:rsid w:val="00CB54D0"/>
    <w:rsid w:val="00CB55E2"/>
    <w:rsid w:val="00CB5856"/>
    <w:rsid w:val="00CB6044"/>
    <w:rsid w:val="00CB63F7"/>
    <w:rsid w:val="00CB6440"/>
    <w:rsid w:val="00CB68DE"/>
    <w:rsid w:val="00CB6ECD"/>
    <w:rsid w:val="00CB7CB8"/>
    <w:rsid w:val="00CC02F2"/>
    <w:rsid w:val="00CC077C"/>
    <w:rsid w:val="00CC0A3C"/>
    <w:rsid w:val="00CC14BC"/>
    <w:rsid w:val="00CC1ADF"/>
    <w:rsid w:val="00CC2149"/>
    <w:rsid w:val="00CC61C8"/>
    <w:rsid w:val="00CC761B"/>
    <w:rsid w:val="00CD0D89"/>
    <w:rsid w:val="00CD0EBE"/>
    <w:rsid w:val="00CD19D2"/>
    <w:rsid w:val="00CD2084"/>
    <w:rsid w:val="00CD2873"/>
    <w:rsid w:val="00CD4051"/>
    <w:rsid w:val="00CD4399"/>
    <w:rsid w:val="00CD4787"/>
    <w:rsid w:val="00CD6544"/>
    <w:rsid w:val="00CD7C41"/>
    <w:rsid w:val="00CE17A6"/>
    <w:rsid w:val="00CE3003"/>
    <w:rsid w:val="00CE393D"/>
    <w:rsid w:val="00CE3A65"/>
    <w:rsid w:val="00CE44E0"/>
    <w:rsid w:val="00CE4516"/>
    <w:rsid w:val="00CE576F"/>
    <w:rsid w:val="00CE6316"/>
    <w:rsid w:val="00CE6482"/>
    <w:rsid w:val="00CE65F5"/>
    <w:rsid w:val="00CF353F"/>
    <w:rsid w:val="00CF3565"/>
    <w:rsid w:val="00D006A1"/>
    <w:rsid w:val="00D00E2C"/>
    <w:rsid w:val="00D01950"/>
    <w:rsid w:val="00D03E0E"/>
    <w:rsid w:val="00D0412F"/>
    <w:rsid w:val="00D04780"/>
    <w:rsid w:val="00D06940"/>
    <w:rsid w:val="00D069C0"/>
    <w:rsid w:val="00D10DA6"/>
    <w:rsid w:val="00D114FF"/>
    <w:rsid w:val="00D11B16"/>
    <w:rsid w:val="00D136FB"/>
    <w:rsid w:val="00D13D82"/>
    <w:rsid w:val="00D146DC"/>
    <w:rsid w:val="00D14F97"/>
    <w:rsid w:val="00D1608C"/>
    <w:rsid w:val="00D168D9"/>
    <w:rsid w:val="00D16E7D"/>
    <w:rsid w:val="00D20DC8"/>
    <w:rsid w:val="00D22AA5"/>
    <w:rsid w:val="00D23708"/>
    <w:rsid w:val="00D24E35"/>
    <w:rsid w:val="00D25C01"/>
    <w:rsid w:val="00D25D7F"/>
    <w:rsid w:val="00D260E8"/>
    <w:rsid w:val="00D2677C"/>
    <w:rsid w:val="00D27055"/>
    <w:rsid w:val="00D271AB"/>
    <w:rsid w:val="00D279F3"/>
    <w:rsid w:val="00D3035E"/>
    <w:rsid w:val="00D3043D"/>
    <w:rsid w:val="00D3057C"/>
    <w:rsid w:val="00D3067F"/>
    <w:rsid w:val="00D313D9"/>
    <w:rsid w:val="00D322A0"/>
    <w:rsid w:val="00D34AA7"/>
    <w:rsid w:val="00D357DF"/>
    <w:rsid w:val="00D36408"/>
    <w:rsid w:val="00D364D4"/>
    <w:rsid w:val="00D36852"/>
    <w:rsid w:val="00D37371"/>
    <w:rsid w:val="00D37DCC"/>
    <w:rsid w:val="00D37FD3"/>
    <w:rsid w:val="00D43095"/>
    <w:rsid w:val="00D4569C"/>
    <w:rsid w:val="00D458E3"/>
    <w:rsid w:val="00D45FAE"/>
    <w:rsid w:val="00D464EE"/>
    <w:rsid w:val="00D4684D"/>
    <w:rsid w:val="00D47970"/>
    <w:rsid w:val="00D50F58"/>
    <w:rsid w:val="00D51026"/>
    <w:rsid w:val="00D5114A"/>
    <w:rsid w:val="00D51AB2"/>
    <w:rsid w:val="00D52321"/>
    <w:rsid w:val="00D52639"/>
    <w:rsid w:val="00D545C6"/>
    <w:rsid w:val="00D55F14"/>
    <w:rsid w:val="00D6007C"/>
    <w:rsid w:val="00D62DF9"/>
    <w:rsid w:val="00D646C3"/>
    <w:rsid w:val="00D65BC0"/>
    <w:rsid w:val="00D66A8F"/>
    <w:rsid w:val="00D66E05"/>
    <w:rsid w:val="00D70023"/>
    <w:rsid w:val="00D7249C"/>
    <w:rsid w:val="00D74D91"/>
    <w:rsid w:val="00D75370"/>
    <w:rsid w:val="00D76F93"/>
    <w:rsid w:val="00D776F9"/>
    <w:rsid w:val="00D8030F"/>
    <w:rsid w:val="00D8257F"/>
    <w:rsid w:val="00D82647"/>
    <w:rsid w:val="00D82BDE"/>
    <w:rsid w:val="00D8331F"/>
    <w:rsid w:val="00D8391E"/>
    <w:rsid w:val="00D84291"/>
    <w:rsid w:val="00D8434F"/>
    <w:rsid w:val="00D85E6F"/>
    <w:rsid w:val="00D902AC"/>
    <w:rsid w:val="00D919DE"/>
    <w:rsid w:val="00D920E3"/>
    <w:rsid w:val="00D924E3"/>
    <w:rsid w:val="00D956D0"/>
    <w:rsid w:val="00D95C2C"/>
    <w:rsid w:val="00D95CC4"/>
    <w:rsid w:val="00D9628B"/>
    <w:rsid w:val="00D9705D"/>
    <w:rsid w:val="00D97E3B"/>
    <w:rsid w:val="00DA0E82"/>
    <w:rsid w:val="00DA1360"/>
    <w:rsid w:val="00DA16AF"/>
    <w:rsid w:val="00DA23E8"/>
    <w:rsid w:val="00DA29F5"/>
    <w:rsid w:val="00DA2E66"/>
    <w:rsid w:val="00DA3E96"/>
    <w:rsid w:val="00DA452D"/>
    <w:rsid w:val="00DA54EE"/>
    <w:rsid w:val="00DA6A71"/>
    <w:rsid w:val="00DA7634"/>
    <w:rsid w:val="00DA7EDD"/>
    <w:rsid w:val="00DB0D82"/>
    <w:rsid w:val="00DB1F8A"/>
    <w:rsid w:val="00DB3330"/>
    <w:rsid w:val="00DB464F"/>
    <w:rsid w:val="00DB4764"/>
    <w:rsid w:val="00DB4BBC"/>
    <w:rsid w:val="00DB58E2"/>
    <w:rsid w:val="00DB6231"/>
    <w:rsid w:val="00DC1CEE"/>
    <w:rsid w:val="00DC6914"/>
    <w:rsid w:val="00DC6D2A"/>
    <w:rsid w:val="00DC7E01"/>
    <w:rsid w:val="00DD0017"/>
    <w:rsid w:val="00DD0F64"/>
    <w:rsid w:val="00DD1EC4"/>
    <w:rsid w:val="00DD22B2"/>
    <w:rsid w:val="00DD5F78"/>
    <w:rsid w:val="00DD6D33"/>
    <w:rsid w:val="00DD71F5"/>
    <w:rsid w:val="00DD78E9"/>
    <w:rsid w:val="00DE2644"/>
    <w:rsid w:val="00DE4197"/>
    <w:rsid w:val="00DE4852"/>
    <w:rsid w:val="00DE5A36"/>
    <w:rsid w:val="00DE6CFA"/>
    <w:rsid w:val="00DE6FA0"/>
    <w:rsid w:val="00DE7040"/>
    <w:rsid w:val="00DE7048"/>
    <w:rsid w:val="00DE7EE0"/>
    <w:rsid w:val="00DF0299"/>
    <w:rsid w:val="00DF1423"/>
    <w:rsid w:val="00DF167D"/>
    <w:rsid w:val="00DF271D"/>
    <w:rsid w:val="00DF5D46"/>
    <w:rsid w:val="00DF5D8A"/>
    <w:rsid w:val="00DF68BF"/>
    <w:rsid w:val="00DF7A5D"/>
    <w:rsid w:val="00E02EB4"/>
    <w:rsid w:val="00E032F3"/>
    <w:rsid w:val="00E04C5E"/>
    <w:rsid w:val="00E05291"/>
    <w:rsid w:val="00E0605C"/>
    <w:rsid w:val="00E0757F"/>
    <w:rsid w:val="00E12733"/>
    <w:rsid w:val="00E1319C"/>
    <w:rsid w:val="00E13386"/>
    <w:rsid w:val="00E133EE"/>
    <w:rsid w:val="00E13CF4"/>
    <w:rsid w:val="00E1481E"/>
    <w:rsid w:val="00E15035"/>
    <w:rsid w:val="00E15C20"/>
    <w:rsid w:val="00E17B50"/>
    <w:rsid w:val="00E20C23"/>
    <w:rsid w:val="00E21B9C"/>
    <w:rsid w:val="00E22AD9"/>
    <w:rsid w:val="00E22C7B"/>
    <w:rsid w:val="00E244EE"/>
    <w:rsid w:val="00E2526A"/>
    <w:rsid w:val="00E264D6"/>
    <w:rsid w:val="00E26D6A"/>
    <w:rsid w:val="00E32028"/>
    <w:rsid w:val="00E348AE"/>
    <w:rsid w:val="00E355DD"/>
    <w:rsid w:val="00E36E9E"/>
    <w:rsid w:val="00E41042"/>
    <w:rsid w:val="00E41217"/>
    <w:rsid w:val="00E428C1"/>
    <w:rsid w:val="00E42BE0"/>
    <w:rsid w:val="00E42D3F"/>
    <w:rsid w:val="00E42F58"/>
    <w:rsid w:val="00E43AF9"/>
    <w:rsid w:val="00E456C9"/>
    <w:rsid w:val="00E460AD"/>
    <w:rsid w:val="00E50A07"/>
    <w:rsid w:val="00E50D00"/>
    <w:rsid w:val="00E52580"/>
    <w:rsid w:val="00E53FE5"/>
    <w:rsid w:val="00E55497"/>
    <w:rsid w:val="00E57E1F"/>
    <w:rsid w:val="00E57FE7"/>
    <w:rsid w:val="00E614FB"/>
    <w:rsid w:val="00E62381"/>
    <w:rsid w:val="00E65F17"/>
    <w:rsid w:val="00E66055"/>
    <w:rsid w:val="00E662FB"/>
    <w:rsid w:val="00E66845"/>
    <w:rsid w:val="00E66858"/>
    <w:rsid w:val="00E67578"/>
    <w:rsid w:val="00E701A5"/>
    <w:rsid w:val="00E7410C"/>
    <w:rsid w:val="00E74D30"/>
    <w:rsid w:val="00E74F1A"/>
    <w:rsid w:val="00E76848"/>
    <w:rsid w:val="00E76950"/>
    <w:rsid w:val="00E77ECF"/>
    <w:rsid w:val="00E804AC"/>
    <w:rsid w:val="00E82996"/>
    <w:rsid w:val="00E83CCD"/>
    <w:rsid w:val="00E8441C"/>
    <w:rsid w:val="00E84BBC"/>
    <w:rsid w:val="00E8566D"/>
    <w:rsid w:val="00E867F2"/>
    <w:rsid w:val="00E873B9"/>
    <w:rsid w:val="00E90372"/>
    <w:rsid w:val="00E90578"/>
    <w:rsid w:val="00E90949"/>
    <w:rsid w:val="00E92198"/>
    <w:rsid w:val="00E925B7"/>
    <w:rsid w:val="00E92CE5"/>
    <w:rsid w:val="00E94649"/>
    <w:rsid w:val="00E94AC8"/>
    <w:rsid w:val="00E96A1E"/>
    <w:rsid w:val="00E971D5"/>
    <w:rsid w:val="00E973CB"/>
    <w:rsid w:val="00EA035C"/>
    <w:rsid w:val="00EA0645"/>
    <w:rsid w:val="00EA0B74"/>
    <w:rsid w:val="00EA1AD1"/>
    <w:rsid w:val="00EA313D"/>
    <w:rsid w:val="00EA3838"/>
    <w:rsid w:val="00EA47E4"/>
    <w:rsid w:val="00EA4DA7"/>
    <w:rsid w:val="00EA52E7"/>
    <w:rsid w:val="00EA52FF"/>
    <w:rsid w:val="00EA59A8"/>
    <w:rsid w:val="00EA7B8F"/>
    <w:rsid w:val="00EB17D7"/>
    <w:rsid w:val="00EB1B0B"/>
    <w:rsid w:val="00EB2A86"/>
    <w:rsid w:val="00EB30AD"/>
    <w:rsid w:val="00EB363F"/>
    <w:rsid w:val="00EB411B"/>
    <w:rsid w:val="00EB50B1"/>
    <w:rsid w:val="00EB5377"/>
    <w:rsid w:val="00EB5AA0"/>
    <w:rsid w:val="00EB63B5"/>
    <w:rsid w:val="00EB65C9"/>
    <w:rsid w:val="00EB6C82"/>
    <w:rsid w:val="00EB7FBC"/>
    <w:rsid w:val="00EC07C8"/>
    <w:rsid w:val="00EC1669"/>
    <w:rsid w:val="00EC1EEF"/>
    <w:rsid w:val="00EC65BB"/>
    <w:rsid w:val="00ED00AB"/>
    <w:rsid w:val="00ED1134"/>
    <w:rsid w:val="00ED2658"/>
    <w:rsid w:val="00ED2EB7"/>
    <w:rsid w:val="00ED3C7A"/>
    <w:rsid w:val="00ED5434"/>
    <w:rsid w:val="00ED5506"/>
    <w:rsid w:val="00ED6879"/>
    <w:rsid w:val="00ED6E46"/>
    <w:rsid w:val="00ED7C1B"/>
    <w:rsid w:val="00EE15AE"/>
    <w:rsid w:val="00EE16CB"/>
    <w:rsid w:val="00EE3B80"/>
    <w:rsid w:val="00EE540D"/>
    <w:rsid w:val="00EE56E5"/>
    <w:rsid w:val="00EE6FD9"/>
    <w:rsid w:val="00EE7459"/>
    <w:rsid w:val="00EF0F42"/>
    <w:rsid w:val="00EF330D"/>
    <w:rsid w:val="00EF36C9"/>
    <w:rsid w:val="00EF47F5"/>
    <w:rsid w:val="00EF48C8"/>
    <w:rsid w:val="00EF7063"/>
    <w:rsid w:val="00EF7A5B"/>
    <w:rsid w:val="00F0033C"/>
    <w:rsid w:val="00F010DF"/>
    <w:rsid w:val="00F03450"/>
    <w:rsid w:val="00F04107"/>
    <w:rsid w:val="00F04D98"/>
    <w:rsid w:val="00F04F44"/>
    <w:rsid w:val="00F06375"/>
    <w:rsid w:val="00F109D8"/>
    <w:rsid w:val="00F13A66"/>
    <w:rsid w:val="00F13BD9"/>
    <w:rsid w:val="00F149E9"/>
    <w:rsid w:val="00F15172"/>
    <w:rsid w:val="00F15D60"/>
    <w:rsid w:val="00F1613D"/>
    <w:rsid w:val="00F16701"/>
    <w:rsid w:val="00F16C16"/>
    <w:rsid w:val="00F17A52"/>
    <w:rsid w:val="00F20546"/>
    <w:rsid w:val="00F2094C"/>
    <w:rsid w:val="00F20E2C"/>
    <w:rsid w:val="00F24EA0"/>
    <w:rsid w:val="00F26970"/>
    <w:rsid w:val="00F27846"/>
    <w:rsid w:val="00F279A4"/>
    <w:rsid w:val="00F27EC3"/>
    <w:rsid w:val="00F27EF4"/>
    <w:rsid w:val="00F30090"/>
    <w:rsid w:val="00F301C2"/>
    <w:rsid w:val="00F30417"/>
    <w:rsid w:val="00F30E4C"/>
    <w:rsid w:val="00F313E7"/>
    <w:rsid w:val="00F32023"/>
    <w:rsid w:val="00F32777"/>
    <w:rsid w:val="00F32B1E"/>
    <w:rsid w:val="00F33285"/>
    <w:rsid w:val="00F33C4E"/>
    <w:rsid w:val="00F33C69"/>
    <w:rsid w:val="00F3431A"/>
    <w:rsid w:val="00F357A4"/>
    <w:rsid w:val="00F35C1A"/>
    <w:rsid w:val="00F36717"/>
    <w:rsid w:val="00F36E75"/>
    <w:rsid w:val="00F37314"/>
    <w:rsid w:val="00F37EB3"/>
    <w:rsid w:val="00F42826"/>
    <w:rsid w:val="00F4416C"/>
    <w:rsid w:val="00F5086E"/>
    <w:rsid w:val="00F50B09"/>
    <w:rsid w:val="00F50B48"/>
    <w:rsid w:val="00F51204"/>
    <w:rsid w:val="00F51496"/>
    <w:rsid w:val="00F55376"/>
    <w:rsid w:val="00F560C0"/>
    <w:rsid w:val="00F62945"/>
    <w:rsid w:val="00F62E16"/>
    <w:rsid w:val="00F636D6"/>
    <w:rsid w:val="00F6403A"/>
    <w:rsid w:val="00F64446"/>
    <w:rsid w:val="00F64490"/>
    <w:rsid w:val="00F64ECD"/>
    <w:rsid w:val="00F6626B"/>
    <w:rsid w:val="00F66315"/>
    <w:rsid w:val="00F674DE"/>
    <w:rsid w:val="00F70AAD"/>
    <w:rsid w:val="00F71AE7"/>
    <w:rsid w:val="00F72F54"/>
    <w:rsid w:val="00F73118"/>
    <w:rsid w:val="00F75DB5"/>
    <w:rsid w:val="00F768A6"/>
    <w:rsid w:val="00F76C9F"/>
    <w:rsid w:val="00F77938"/>
    <w:rsid w:val="00F8088C"/>
    <w:rsid w:val="00F8169A"/>
    <w:rsid w:val="00F81C70"/>
    <w:rsid w:val="00F81E82"/>
    <w:rsid w:val="00F82F62"/>
    <w:rsid w:val="00F8332A"/>
    <w:rsid w:val="00F83E68"/>
    <w:rsid w:val="00F846D6"/>
    <w:rsid w:val="00F8583C"/>
    <w:rsid w:val="00F85B8D"/>
    <w:rsid w:val="00F85D48"/>
    <w:rsid w:val="00F85F41"/>
    <w:rsid w:val="00F86ACA"/>
    <w:rsid w:val="00F87183"/>
    <w:rsid w:val="00F87556"/>
    <w:rsid w:val="00F9082F"/>
    <w:rsid w:val="00F90840"/>
    <w:rsid w:val="00F918BA"/>
    <w:rsid w:val="00F935BA"/>
    <w:rsid w:val="00F9434F"/>
    <w:rsid w:val="00F964CA"/>
    <w:rsid w:val="00F96F18"/>
    <w:rsid w:val="00FA025C"/>
    <w:rsid w:val="00FA1B80"/>
    <w:rsid w:val="00FA1EC2"/>
    <w:rsid w:val="00FA2352"/>
    <w:rsid w:val="00FA5A01"/>
    <w:rsid w:val="00FA6264"/>
    <w:rsid w:val="00FA6B72"/>
    <w:rsid w:val="00FA6D53"/>
    <w:rsid w:val="00FB19F2"/>
    <w:rsid w:val="00FB513F"/>
    <w:rsid w:val="00FB5434"/>
    <w:rsid w:val="00FB5EA3"/>
    <w:rsid w:val="00FB69F3"/>
    <w:rsid w:val="00FB7732"/>
    <w:rsid w:val="00FC0A2C"/>
    <w:rsid w:val="00FC124D"/>
    <w:rsid w:val="00FC1F24"/>
    <w:rsid w:val="00FC20D6"/>
    <w:rsid w:val="00FC2D01"/>
    <w:rsid w:val="00FC41CB"/>
    <w:rsid w:val="00FC52F4"/>
    <w:rsid w:val="00FC78B4"/>
    <w:rsid w:val="00FC7C7E"/>
    <w:rsid w:val="00FC7FA9"/>
    <w:rsid w:val="00FD00F0"/>
    <w:rsid w:val="00FD0803"/>
    <w:rsid w:val="00FD14EF"/>
    <w:rsid w:val="00FD1BB8"/>
    <w:rsid w:val="00FD2024"/>
    <w:rsid w:val="00FD2F68"/>
    <w:rsid w:val="00FD6CBF"/>
    <w:rsid w:val="00FD75C8"/>
    <w:rsid w:val="00FD7751"/>
    <w:rsid w:val="00FD7A79"/>
    <w:rsid w:val="00FE1837"/>
    <w:rsid w:val="00FE18A9"/>
    <w:rsid w:val="00FE28AF"/>
    <w:rsid w:val="00FE301F"/>
    <w:rsid w:val="00FE305B"/>
    <w:rsid w:val="00FE3625"/>
    <w:rsid w:val="00FE39BB"/>
    <w:rsid w:val="00FE3F2B"/>
    <w:rsid w:val="00FE4BD7"/>
    <w:rsid w:val="00FE5D6E"/>
    <w:rsid w:val="00FE6450"/>
    <w:rsid w:val="00FE72A8"/>
    <w:rsid w:val="00FE7330"/>
    <w:rsid w:val="00FE7B07"/>
    <w:rsid w:val="00FF211D"/>
    <w:rsid w:val="00FF2D94"/>
    <w:rsid w:val="00FF2FF9"/>
    <w:rsid w:val="00FF4896"/>
    <w:rsid w:val="00FF5058"/>
    <w:rsid w:val="00FF5154"/>
    <w:rsid w:val="00FF6304"/>
    <w:rsid w:val="00FF6F2D"/>
    <w:rsid w:val="00FF7A5B"/>
    <w:rsid w:val="00FF7E9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rsid w:val="00877878"/>
    <w:pPr>
      <w:keepNext/>
      <w:numPr>
        <w:numId w:val="4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877878"/>
    <w:pPr>
      <w:keepNext/>
      <w:numPr>
        <w:ilvl w:val="1"/>
        <w:numId w:val="4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877878"/>
    <w:pPr>
      <w:keepNext/>
      <w:numPr>
        <w:ilvl w:val="2"/>
        <w:numId w:val="41"/>
      </w:numPr>
      <w:outlineLvl w:val="2"/>
    </w:pPr>
    <w:rPr>
      <w:rFonts w:eastAsiaTheme="majorEastAsia"/>
      <w:bCs/>
      <w:i/>
    </w:rPr>
  </w:style>
  <w:style w:type="paragraph" w:styleId="Heading4">
    <w:name w:val="heading 4"/>
    <w:basedOn w:val="Normal"/>
    <w:next w:val="Text1"/>
    <w:link w:val="Heading4Char"/>
    <w:uiPriority w:val="9"/>
    <w:semiHidden/>
    <w:unhideWhenUsed/>
    <w:qFormat/>
    <w:rsid w:val="00877878"/>
    <w:pPr>
      <w:keepNext/>
      <w:numPr>
        <w:ilvl w:val="3"/>
        <w:numId w:val="4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s-titreobjet">
    <w:name w:val="Sous-titre objet"/>
    <w:basedOn w:val="Normal"/>
    <w:uiPriority w:val="99"/>
    <w:rsid w:val="007D53B6"/>
    <w:pPr>
      <w:spacing w:before="0" w:after="0"/>
      <w:jc w:val="center"/>
    </w:pPr>
    <w:rPr>
      <w:b/>
    </w:rPr>
  </w:style>
  <w:style w:type="paragraph" w:customStyle="1" w:styleId="Sous-titreobjetPagedecouverture">
    <w:name w:val="Sous-titre objet (Page de couverture)"/>
    <w:basedOn w:val="Sous-titreobjet"/>
    <w:uiPriority w:val="99"/>
    <w:rsid w:val="007D53B6"/>
  </w:style>
  <w:style w:type="character" w:styleId="CommentReference">
    <w:name w:val="annotation reference"/>
    <w:basedOn w:val="DefaultParagraphFont"/>
    <w:unhideWhenUsed/>
    <w:rsid w:val="00DE6CFA"/>
    <w:rPr>
      <w:sz w:val="16"/>
      <w:szCs w:val="16"/>
    </w:rPr>
  </w:style>
  <w:style w:type="paragraph" w:styleId="CommentText">
    <w:name w:val="annotation text"/>
    <w:basedOn w:val="Normal"/>
    <w:link w:val="CommentTextChar"/>
    <w:uiPriority w:val="99"/>
    <w:unhideWhenUsed/>
    <w:rsid w:val="00DE6CFA"/>
    <w:rPr>
      <w:sz w:val="20"/>
      <w:szCs w:val="20"/>
    </w:rPr>
  </w:style>
  <w:style w:type="character" w:customStyle="1" w:styleId="CommentTextChar">
    <w:name w:val="Comment Text Char"/>
    <w:basedOn w:val="DefaultParagraphFont"/>
    <w:link w:val="CommentText"/>
    <w:uiPriority w:val="99"/>
    <w:rsid w:val="00DE6CFA"/>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DE6CFA"/>
    <w:rPr>
      <w:b/>
      <w:bCs/>
    </w:rPr>
  </w:style>
  <w:style w:type="character" w:customStyle="1" w:styleId="CommentSubjectChar">
    <w:name w:val="Comment Subject Char"/>
    <w:basedOn w:val="CommentTextChar"/>
    <w:link w:val="CommentSubject"/>
    <w:uiPriority w:val="99"/>
    <w:semiHidden/>
    <w:rsid w:val="00DE6CFA"/>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DE6CFA"/>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6CFA"/>
    <w:rPr>
      <w:rFonts w:ascii="Tahoma" w:hAnsi="Tahoma" w:cs="Tahoma"/>
      <w:sz w:val="16"/>
      <w:szCs w:val="16"/>
      <w:lang w:val="en-GB"/>
    </w:rPr>
  </w:style>
  <w:style w:type="paragraph" w:styleId="Revision">
    <w:name w:val="Revision"/>
    <w:hidden/>
    <w:uiPriority w:val="99"/>
    <w:semiHidden/>
    <w:rsid w:val="00DE6CFA"/>
    <w:pPr>
      <w:spacing w:after="0" w:line="240" w:lineRule="auto"/>
    </w:pPr>
    <w:rPr>
      <w:rFonts w:ascii="Times New Roman" w:hAnsi="Times New Roman" w:cs="Times New Roman"/>
      <w:sz w:val="24"/>
      <w:lang w:val="en-GB"/>
    </w:rPr>
  </w:style>
  <w:style w:type="paragraph" w:styleId="ListBullet">
    <w:name w:val="List Bullet"/>
    <w:basedOn w:val="Normal"/>
    <w:uiPriority w:val="99"/>
    <w:semiHidden/>
    <w:unhideWhenUsed/>
    <w:rsid w:val="005D1F5C"/>
    <w:pPr>
      <w:numPr>
        <w:numId w:val="1"/>
      </w:numPr>
      <w:contextualSpacing/>
    </w:pPr>
  </w:style>
  <w:style w:type="paragraph" w:styleId="ListBullet2">
    <w:name w:val="List Bullet 2"/>
    <w:basedOn w:val="Normal"/>
    <w:uiPriority w:val="99"/>
    <w:semiHidden/>
    <w:unhideWhenUsed/>
    <w:rsid w:val="005D1F5C"/>
    <w:pPr>
      <w:numPr>
        <w:numId w:val="2"/>
      </w:numPr>
      <w:contextualSpacing/>
    </w:pPr>
  </w:style>
  <w:style w:type="paragraph" w:styleId="ListBullet3">
    <w:name w:val="List Bullet 3"/>
    <w:basedOn w:val="Normal"/>
    <w:uiPriority w:val="99"/>
    <w:semiHidden/>
    <w:unhideWhenUsed/>
    <w:rsid w:val="005D1F5C"/>
    <w:pPr>
      <w:numPr>
        <w:numId w:val="3"/>
      </w:numPr>
      <w:contextualSpacing/>
    </w:pPr>
  </w:style>
  <w:style w:type="paragraph" w:styleId="ListBullet4">
    <w:name w:val="List Bullet 4"/>
    <w:basedOn w:val="Normal"/>
    <w:uiPriority w:val="99"/>
    <w:semiHidden/>
    <w:unhideWhenUsed/>
    <w:rsid w:val="005D1F5C"/>
    <w:pPr>
      <w:numPr>
        <w:numId w:val="4"/>
      </w:numPr>
      <w:contextualSpacing/>
    </w:pPr>
  </w:style>
  <w:style w:type="character" w:styleId="Hyperlink">
    <w:name w:val="Hyperlink"/>
    <w:basedOn w:val="DefaultParagraphFont"/>
    <w:uiPriority w:val="99"/>
    <w:unhideWhenUsed/>
    <w:qFormat/>
    <w:rsid w:val="00E74D30"/>
    <w:rPr>
      <w:color w:val="0000FF" w:themeColor="hyperlink"/>
      <w:u w:val="single"/>
    </w:rPr>
  </w:style>
  <w:style w:type="character" w:styleId="FollowedHyperlink">
    <w:name w:val="FollowedHyperlink"/>
    <w:basedOn w:val="DefaultParagraphFont"/>
    <w:uiPriority w:val="99"/>
    <w:semiHidden/>
    <w:unhideWhenUsed/>
    <w:rsid w:val="00E74D30"/>
    <w:rPr>
      <w:color w:val="800080" w:themeColor="followedHyperlink"/>
      <w:u w:val="single"/>
    </w:rPr>
  </w:style>
  <w:style w:type="character" w:customStyle="1" w:styleId="italic1">
    <w:name w:val="italic1"/>
    <w:basedOn w:val="DefaultParagraphFont"/>
    <w:rsid w:val="00247593"/>
    <w:rPr>
      <w:i/>
      <w:iCs/>
    </w:rPr>
  </w:style>
  <w:style w:type="paragraph" w:styleId="ListParagraph">
    <w:name w:val="List Paragraph"/>
    <w:aliases w:val="Table of contents numbered,Normal bullet 2,Antes de enumeración,Párrafo de lista1,Bullet list,List Paragraph1,Dot pt,F5 List Paragraph,No Spacing1,List Paragraph Char Char Char,Indicator Text,Colorful List - Accent 11,Numbered Para 1,L"/>
    <w:basedOn w:val="Normal"/>
    <w:link w:val="ListParagraphChar"/>
    <w:uiPriority w:val="34"/>
    <w:qFormat/>
    <w:rsid w:val="00612219"/>
    <w:pPr>
      <w:ind w:left="720"/>
      <w:contextualSpacing/>
    </w:pPr>
  </w:style>
  <w:style w:type="paragraph" w:customStyle="1" w:styleId="CM1">
    <w:name w:val="CM1"/>
    <w:basedOn w:val="Normal"/>
    <w:next w:val="Normal"/>
    <w:uiPriority w:val="99"/>
    <w:rsid w:val="00AD53CE"/>
    <w:pPr>
      <w:autoSpaceDE w:val="0"/>
      <w:autoSpaceDN w:val="0"/>
      <w:adjustRightInd w:val="0"/>
      <w:spacing w:before="0" w:after="0"/>
      <w:jc w:val="left"/>
    </w:pPr>
    <w:rPr>
      <w:rFonts w:ascii="EUAlbertina" w:hAnsi="EUAlbertina" w:cstheme="minorBidi"/>
      <w:szCs w:val="24"/>
    </w:rPr>
  </w:style>
  <w:style w:type="paragraph" w:customStyle="1" w:styleId="CM3">
    <w:name w:val="CM3"/>
    <w:basedOn w:val="Normal"/>
    <w:next w:val="Normal"/>
    <w:uiPriority w:val="99"/>
    <w:rsid w:val="00AD53CE"/>
    <w:pPr>
      <w:autoSpaceDE w:val="0"/>
      <w:autoSpaceDN w:val="0"/>
      <w:adjustRightInd w:val="0"/>
      <w:spacing w:before="0" w:after="0"/>
      <w:jc w:val="left"/>
    </w:pPr>
    <w:rPr>
      <w:rFonts w:ascii="EUAlbertina" w:hAnsi="EUAlbertina" w:cstheme="minorBidi"/>
      <w:szCs w:val="24"/>
    </w:rPr>
  </w:style>
  <w:style w:type="paragraph" w:customStyle="1" w:styleId="title-article-norm">
    <w:name w:val="title-article-norm"/>
    <w:basedOn w:val="Normal"/>
    <w:uiPriority w:val="99"/>
    <w:rsid w:val="00E57E1F"/>
    <w:pPr>
      <w:spacing w:before="100" w:beforeAutospacing="1" w:after="100" w:afterAutospacing="1"/>
      <w:jc w:val="left"/>
    </w:pPr>
    <w:rPr>
      <w:rFonts w:eastAsia="Times New Roman"/>
      <w:szCs w:val="24"/>
      <w:lang w:eastAsia="en-GB"/>
    </w:rPr>
  </w:style>
  <w:style w:type="paragraph" w:customStyle="1" w:styleId="stitle-article-norm">
    <w:name w:val="stitle-article-norm"/>
    <w:basedOn w:val="Normal"/>
    <w:uiPriority w:val="99"/>
    <w:rsid w:val="00E57E1F"/>
    <w:pPr>
      <w:spacing w:before="100" w:beforeAutospacing="1" w:after="100" w:afterAutospacing="1"/>
      <w:jc w:val="left"/>
    </w:pPr>
    <w:rPr>
      <w:rFonts w:eastAsia="Times New Roman"/>
      <w:szCs w:val="24"/>
      <w:lang w:eastAsia="en-GB"/>
    </w:rPr>
  </w:style>
  <w:style w:type="paragraph" w:customStyle="1" w:styleId="norm">
    <w:name w:val="norm"/>
    <w:basedOn w:val="Normal"/>
    <w:uiPriority w:val="99"/>
    <w:rsid w:val="00E57E1F"/>
    <w:pPr>
      <w:spacing w:before="100" w:beforeAutospacing="1" w:after="100" w:afterAutospacing="1"/>
      <w:jc w:val="left"/>
    </w:pPr>
    <w:rPr>
      <w:rFonts w:eastAsia="Times New Roman"/>
      <w:szCs w:val="24"/>
      <w:lang w:eastAsia="en-GB"/>
    </w:rPr>
  </w:style>
  <w:style w:type="paragraph" w:customStyle="1" w:styleId="CM4">
    <w:name w:val="CM4"/>
    <w:basedOn w:val="Normal"/>
    <w:next w:val="Normal"/>
    <w:uiPriority w:val="99"/>
    <w:rsid w:val="00623468"/>
    <w:pPr>
      <w:autoSpaceDE w:val="0"/>
      <w:autoSpaceDN w:val="0"/>
      <w:adjustRightInd w:val="0"/>
      <w:spacing w:before="0" w:after="0"/>
      <w:jc w:val="left"/>
    </w:pPr>
    <w:rPr>
      <w:rFonts w:ascii="EUAlbertina" w:hAnsi="EUAlbertina" w:cstheme="minorBidi"/>
      <w:szCs w:val="24"/>
    </w:rPr>
  </w:style>
  <w:style w:type="paragraph" w:customStyle="1" w:styleId="Default">
    <w:name w:val="Default"/>
    <w:uiPriority w:val="99"/>
    <w:rsid w:val="005C719E"/>
    <w:pPr>
      <w:autoSpaceDE w:val="0"/>
      <w:autoSpaceDN w:val="0"/>
      <w:adjustRightInd w:val="0"/>
      <w:spacing w:after="0" w:line="240" w:lineRule="auto"/>
    </w:pPr>
    <w:rPr>
      <w:rFonts w:ascii="EU Albertina" w:hAnsi="EU Albertina" w:cs="EU Albertina"/>
      <w:color w:val="000000"/>
      <w:sz w:val="24"/>
      <w:szCs w:val="24"/>
      <w:lang w:val="en-GB"/>
    </w:rPr>
  </w:style>
  <w:style w:type="paragraph" w:customStyle="1" w:styleId="Body">
    <w:name w:val="Body"/>
    <w:link w:val="BodyChar"/>
    <w:qFormat/>
    <w:rsid w:val="001C2FE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n-GB"/>
    </w:rPr>
  </w:style>
  <w:style w:type="numbering" w:customStyle="1" w:styleId="Lettered">
    <w:name w:val="Lettered"/>
    <w:rsid w:val="001C2FE7"/>
    <w:pPr>
      <w:numPr>
        <w:numId w:val="5"/>
      </w:numPr>
    </w:pPr>
  </w:style>
  <w:style w:type="paragraph" w:customStyle="1" w:styleId="Corpo">
    <w:name w:val="Corpo"/>
    <w:uiPriority w:val="99"/>
    <w:rsid w:val="0072797A"/>
    <w:pPr>
      <w:pBdr>
        <w:top w:val="nil"/>
        <w:left w:val="nil"/>
        <w:bottom w:val="nil"/>
        <w:right w:val="nil"/>
        <w:between w:val="nil"/>
        <w:bar w:val="nil"/>
      </w:pBdr>
    </w:pPr>
    <w:rPr>
      <w:rFonts w:ascii="Calibri" w:eastAsia="Calibri" w:hAnsi="Calibri" w:cs="Calibri"/>
      <w:color w:val="000000"/>
      <w:u w:color="000000"/>
      <w:bdr w:val="nil"/>
      <w:lang w:eastAsia="en-GB"/>
    </w:rPr>
  </w:style>
  <w:style w:type="character" w:customStyle="1" w:styleId="super">
    <w:name w:val="super"/>
    <w:basedOn w:val="DefaultParagraphFont"/>
    <w:rsid w:val="0072797A"/>
    <w:rPr>
      <w:sz w:val="17"/>
      <w:szCs w:val="17"/>
      <w:vertAlign w:val="superscript"/>
    </w:rPr>
  </w:style>
  <w:style w:type="paragraph" w:styleId="NormalWeb">
    <w:name w:val="Normal (Web)"/>
    <w:basedOn w:val="Normal"/>
    <w:uiPriority w:val="99"/>
    <w:unhideWhenUsed/>
    <w:rsid w:val="00410769"/>
    <w:pPr>
      <w:spacing w:before="100" w:beforeAutospacing="1" w:after="100" w:afterAutospacing="1"/>
      <w:jc w:val="left"/>
    </w:pPr>
    <w:rPr>
      <w:rFonts w:eastAsia="Times New Roman"/>
      <w:szCs w:val="24"/>
      <w:lang w:eastAsia="en-GB"/>
    </w:rPr>
  </w:style>
  <w:style w:type="character" w:customStyle="1" w:styleId="sup1">
    <w:name w:val="sup1"/>
    <w:basedOn w:val="DefaultParagraphFont"/>
    <w:rsid w:val="00410769"/>
    <w:rPr>
      <w:sz w:val="19"/>
      <w:szCs w:val="19"/>
      <w:vertAlign w:val="superscript"/>
    </w:rPr>
  </w:style>
  <w:style w:type="paragraph" w:customStyle="1" w:styleId="FootnoteText1">
    <w:name w:val="Footnote Text1"/>
    <w:basedOn w:val="Normal"/>
    <w:next w:val="FootnoteText"/>
    <w:uiPriority w:val="99"/>
    <w:unhideWhenUsed/>
    <w:rsid w:val="00211ACE"/>
    <w:pPr>
      <w:spacing w:before="0" w:after="0"/>
      <w:jc w:val="left"/>
    </w:pPr>
    <w:rPr>
      <w:rFonts w:asciiTheme="minorHAnsi" w:hAnsiTheme="minorHAnsi" w:cstheme="minorBidi"/>
      <w:sz w:val="20"/>
      <w:szCs w:val="20"/>
    </w:rPr>
  </w:style>
  <w:style w:type="character" w:customStyle="1" w:styleId="Hyperlink1">
    <w:name w:val="Hyperlink1"/>
    <w:basedOn w:val="DefaultParagraphFont"/>
    <w:uiPriority w:val="99"/>
    <w:unhideWhenUsed/>
    <w:rsid w:val="00211ACE"/>
    <w:rPr>
      <w:color w:val="0563C1"/>
      <w:u w:val="single"/>
    </w:rPr>
  </w:style>
  <w:style w:type="table" w:styleId="TableGrid">
    <w:name w:val="Table Grid"/>
    <w:aliases w:val="Document Table,CV1"/>
    <w:basedOn w:val="TableNormal"/>
    <w:uiPriority w:val="59"/>
    <w:rsid w:val="00211ACE"/>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Char">
    <w:name w:val="Body Char"/>
    <w:basedOn w:val="DefaultParagraphFont"/>
    <w:link w:val="Body"/>
    <w:locked/>
    <w:rsid w:val="00211ACE"/>
    <w:rPr>
      <w:rFonts w:ascii="Helvetica Neue" w:eastAsia="Arial Unicode MS" w:hAnsi="Helvetica Neue" w:cs="Arial Unicode MS"/>
      <w:color w:val="000000"/>
      <w:bdr w:val="nil"/>
      <w:lang w:eastAsia="en-GB"/>
    </w:rPr>
  </w:style>
  <w:style w:type="character" w:customStyle="1" w:styleId="ListParagraphChar">
    <w:name w:val="List Paragraph Char"/>
    <w:aliases w:val="Table of contents numbered Char,Normal bullet 2 Char,Antes de enumeración Char,Párrafo de lista1 Char,Bullet list Char,List Paragraph1 Char,Dot pt Char,F5 List Paragraph Char,No Spacing1 Char,List Paragraph Char Char Char Char,L Char"/>
    <w:link w:val="ListParagraph"/>
    <w:uiPriority w:val="34"/>
    <w:qFormat/>
    <w:locked/>
    <w:rsid w:val="00211ACE"/>
    <w:rPr>
      <w:rFonts w:ascii="Times New Roman" w:hAnsi="Times New Roman" w:cs="Times New Roman"/>
      <w:sz w:val="24"/>
      <w:lang w:val="en-GB"/>
    </w:rPr>
  </w:style>
  <w:style w:type="paragraph" w:customStyle="1" w:styleId="NormalLeftAligned">
    <w:name w:val="NormalLeftAligned"/>
    <w:basedOn w:val="Normal"/>
    <w:uiPriority w:val="6"/>
    <w:qFormat/>
    <w:rsid w:val="00211ACE"/>
    <w:pPr>
      <w:spacing w:line="240" w:lineRule="atLeast"/>
    </w:pPr>
    <w:rPr>
      <w:rFonts w:ascii="Arial" w:hAnsi="Arial"/>
      <w:sz w:val="20"/>
      <w:szCs w:val="24"/>
    </w:rPr>
  </w:style>
  <w:style w:type="paragraph" w:styleId="Caption">
    <w:name w:val="caption"/>
    <w:basedOn w:val="Normal"/>
    <w:next w:val="Normal"/>
    <w:uiPriority w:val="35"/>
    <w:semiHidden/>
    <w:unhideWhenUsed/>
    <w:qFormat/>
    <w:rsid w:val="005118F1"/>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5118F1"/>
    <w:pPr>
      <w:spacing w:after="0"/>
    </w:pPr>
  </w:style>
  <w:style w:type="paragraph" w:styleId="ListNumber">
    <w:name w:val="List Number"/>
    <w:basedOn w:val="Normal"/>
    <w:uiPriority w:val="99"/>
    <w:unhideWhenUsed/>
    <w:rsid w:val="005118F1"/>
    <w:pPr>
      <w:numPr>
        <w:numId w:val="8"/>
      </w:numPr>
      <w:contextualSpacing/>
    </w:pPr>
  </w:style>
  <w:style w:type="paragraph" w:styleId="ListNumber2">
    <w:name w:val="List Number 2"/>
    <w:basedOn w:val="Normal"/>
    <w:uiPriority w:val="99"/>
    <w:semiHidden/>
    <w:unhideWhenUsed/>
    <w:rsid w:val="005118F1"/>
    <w:pPr>
      <w:numPr>
        <w:numId w:val="9"/>
      </w:numPr>
      <w:contextualSpacing/>
    </w:pPr>
  </w:style>
  <w:style w:type="paragraph" w:styleId="ListNumber3">
    <w:name w:val="List Number 3"/>
    <w:basedOn w:val="Normal"/>
    <w:uiPriority w:val="99"/>
    <w:semiHidden/>
    <w:unhideWhenUsed/>
    <w:rsid w:val="005118F1"/>
    <w:pPr>
      <w:numPr>
        <w:numId w:val="10"/>
      </w:numPr>
      <w:contextualSpacing/>
    </w:pPr>
  </w:style>
  <w:style w:type="paragraph" w:styleId="ListNumber4">
    <w:name w:val="List Number 4"/>
    <w:basedOn w:val="Normal"/>
    <w:uiPriority w:val="99"/>
    <w:semiHidden/>
    <w:unhideWhenUsed/>
    <w:rsid w:val="005118F1"/>
    <w:pPr>
      <w:numPr>
        <w:numId w:val="11"/>
      </w:numPr>
      <w:contextualSpacing/>
    </w:pPr>
  </w:style>
  <w:style w:type="paragraph" w:customStyle="1" w:styleId="ListDash1">
    <w:name w:val="List Dash 1"/>
    <w:basedOn w:val="Normal"/>
    <w:uiPriority w:val="99"/>
    <w:rsid w:val="00242822"/>
    <w:pPr>
      <w:ind w:left="1134"/>
    </w:pPr>
    <w:rPr>
      <w:rFonts w:eastAsia="Times New Roman"/>
      <w:noProof/>
      <w:lang w:eastAsia="en-GB"/>
    </w:rPr>
  </w:style>
  <w:style w:type="paragraph" w:customStyle="1" w:styleId="ListDash2">
    <w:name w:val="List Dash 2"/>
    <w:basedOn w:val="Normal"/>
    <w:uiPriority w:val="99"/>
    <w:rsid w:val="006A5B18"/>
    <w:pPr>
      <w:numPr>
        <w:numId w:val="13"/>
      </w:numPr>
    </w:pPr>
    <w:rPr>
      <w:rFonts w:eastAsia="Times New Roman"/>
      <w:lang w:eastAsia="en-GB"/>
    </w:rPr>
  </w:style>
  <w:style w:type="paragraph" w:customStyle="1" w:styleId="ListNumberLevel2">
    <w:name w:val="List Number (Level 2)"/>
    <w:basedOn w:val="Normal"/>
    <w:uiPriority w:val="99"/>
    <w:rsid w:val="006A5B18"/>
    <w:pPr>
      <w:tabs>
        <w:tab w:val="num" w:pos="1417"/>
      </w:tabs>
      <w:ind w:left="1417" w:hanging="708"/>
    </w:pPr>
    <w:rPr>
      <w:rFonts w:eastAsia="Times New Roman"/>
      <w:lang w:eastAsia="en-GB"/>
    </w:rPr>
  </w:style>
  <w:style w:type="paragraph" w:customStyle="1" w:styleId="ListNumberLevel3">
    <w:name w:val="List Number (Level 3)"/>
    <w:basedOn w:val="Normal"/>
    <w:uiPriority w:val="99"/>
    <w:rsid w:val="007A40BE"/>
    <w:pPr>
      <w:numPr>
        <w:ilvl w:val="2"/>
        <w:numId w:val="14"/>
      </w:numPr>
      <w:tabs>
        <w:tab w:val="clear" w:pos="2126"/>
        <w:tab w:val="num" w:pos="1843"/>
      </w:tabs>
    </w:pPr>
    <w:rPr>
      <w:rFonts w:eastAsia="Times New Roman"/>
      <w:noProof/>
      <w:lang w:eastAsia="en-GB"/>
    </w:rPr>
  </w:style>
  <w:style w:type="paragraph" w:customStyle="1" w:styleId="ListNumberLevel4">
    <w:name w:val="List Number (Level 4)"/>
    <w:basedOn w:val="Normal"/>
    <w:uiPriority w:val="99"/>
    <w:rsid w:val="006A5B18"/>
    <w:pPr>
      <w:tabs>
        <w:tab w:val="num" w:pos="2835"/>
      </w:tabs>
      <w:ind w:left="2835" w:hanging="709"/>
    </w:pPr>
    <w:rPr>
      <w:rFonts w:eastAsia="Times New Roman"/>
      <w:lang w:eastAsia="en-GB"/>
    </w:rPr>
  </w:style>
  <w:style w:type="paragraph" w:styleId="EndnoteText">
    <w:name w:val="endnote text"/>
    <w:basedOn w:val="Normal"/>
    <w:link w:val="EndnoteTextChar"/>
    <w:uiPriority w:val="99"/>
    <w:semiHidden/>
    <w:unhideWhenUsed/>
    <w:rsid w:val="007A20D4"/>
    <w:pPr>
      <w:spacing w:before="0" w:after="0"/>
    </w:pPr>
    <w:rPr>
      <w:sz w:val="20"/>
      <w:szCs w:val="20"/>
    </w:rPr>
  </w:style>
  <w:style w:type="character" w:customStyle="1" w:styleId="EndnoteTextChar">
    <w:name w:val="Endnote Text Char"/>
    <w:basedOn w:val="DefaultParagraphFont"/>
    <w:link w:val="EndnoteText"/>
    <w:uiPriority w:val="99"/>
    <w:semiHidden/>
    <w:rsid w:val="007A20D4"/>
    <w:rPr>
      <w:rFonts w:ascii="Times New Roman" w:hAnsi="Times New Roman" w:cs="Times New Roman"/>
      <w:sz w:val="20"/>
      <w:szCs w:val="20"/>
      <w:lang w:val="en-GB"/>
    </w:rPr>
  </w:style>
  <w:style w:type="character" w:styleId="EndnoteReference">
    <w:name w:val="endnote reference"/>
    <w:basedOn w:val="DefaultParagraphFont"/>
    <w:uiPriority w:val="99"/>
    <w:semiHidden/>
    <w:unhideWhenUsed/>
    <w:rsid w:val="007A20D4"/>
    <w:rPr>
      <w:vertAlign w:val="superscript"/>
    </w:rPr>
  </w:style>
  <w:style w:type="paragraph" w:styleId="NormalIndent">
    <w:name w:val="Normal Indent"/>
    <w:basedOn w:val="Normal"/>
    <w:uiPriority w:val="99"/>
    <w:unhideWhenUsed/>
    <w:rsid w:val="009A1FC5"/>
    <w:pPr>
      <w:ind w:left="720"/>
    </w:pPr>
  </w:style>
  <w:style w:type="character" w:customStyle="1" w:styleId="st1">
    <w:name w:val="st1"/>
    <w:basedOn w:val="DefaultParagraphFont"/>
    <w:rsid w:val="00B76A88"/>
  </w:style>
  <w:style w:type="character" w:customStyle="1" w:styleId="highlight">
    <w:name w:val="highlight"/>
    <w:basedOn w:val="DefaultParagraphFont"/>
    <w:rsid w:val="00B76A88"/>
    <w:rPr>
      <w:shd w:val="clear" w:color="auto" w:fill="auto"/>
    </w:rPr>
  </w:style>
  <w:style w:type="character" w:styleId="Strong">
    <w:name w:val="Strong"/>
    <w:basedOn w:val="DefaultParagraphFont"/>
    <w:uiPriority w:val="22"/>
    <w:qFormat/>
    <w:rsid w:val="0009563A"/>
    <w:rPr>
      <w:b/>
      <w:bCs/>
    </w:rPr>
  </w:style>
  <w:style w:type="paragraph" w:styleId="Header">
    <w:name w:val="header"/>
    <w:basedOn w:val="Normal"/>
    <w:link w:val="HeaderChar"/>
    <w:uiPriority w:val="99"/>
    <w:unhideWhenUsed/>
    <w:rsid w:val="00377BF1"/>
    <w:pPr>
      <w:tabs>
        <w:tab w:val="center" w:pos="4535"/>
        <w:tab w:val="right" w:pos="9071"/>
      </w:tabs>
      <w:spacing w:before="0"/>
    </w:pPr>
  </w:style>
  <w:style w:type="character" w:customStyle="1" w:styleId="HeaderChar">
    <w:name w:val="Header Char"/>
    <w:basedOn w:val="DefaultParagraphFont"/>
    <w:link w:val="Header"/>
    <w:uiPriority w:val="99"/>
    <w:rsid w:val="00377BF1"/>
    <w:rPr>
      <w:rFonts w:ascii="Times New Roman" w:hAnsi="Times New Roman" w:cs="Times New Roman"/>
      <w:sz w:val="24"/>
      <w:lang w:val="bg-BG"/>
    </w:rPr>
  </w:style>
  <w:style w:type="paragraph" w:styleId="Footer">
    <w:name w:val="footer"/>
    <w:basedOn w:val="Normal"/>
    <w:link w:val="FooterChar"/>
    <w:uiPriority w:val="99"/>
    <w:unhideWhenUsed/>
    <w:rsid w:val="00377BF1"/>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377BF1"/>
    <w:rPr>
      <w:rFonts w:ascii="Times New Roman" w:hAnsi="Times New Roman" w:cs="Times New Roman"/>
      <w:sz w:val="24"/>
      <w:lang w:val="bg-BG"/>
    </w:rPr>
  </w:style>
  <w:style w:type="paragraph" w:styleId="FootnoteText">
    <w:name w:val="footnote text"/>
    <w:basedOn w:val="Normal"/>
    <w:link w:val="FootnoteTextChar"/>
    <w:uiPriority w:val="99"/>
    <w:semiHidden/>
    <w:unhideWhenUsed/>
    <w:rsid w:val="00877878"/>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877878"/>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877878"/>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sid w:val="00877878"/>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sid w:val="00877878"/>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sid w:val="00877878"/>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rsid w:val="00877878"/>
    <w:pPr>
      <w:spacing w:after="240"/>
      <w:jc w:val="center"/>
    </w:pPr>
    <w:rPr>
      <w:b/>
      <w:sz w:val="28"/>
    </w:rPr>
  </w:style>
  <w:style w:type="paragraph" w:styleId="TOC1">
    <w:name w:val="toc 1"/>
    <w:basedOn w:val="Normal"/>
    <w:next w:val="Normal"/>
    <w:uiPriority w:val="39"/>
    <w:semiHidden/>
    <w:unhideWhenUsed/>
    <w:rsid w:val="00877878"/>
    <w:pPr>
      <w:tabs>
        <w:tab w:val="right" w:leader="dot" w:pos="9071"/>
      </w:tabs>
      <w:spacing w:before="60"/>
      <w:ind w:left="850" w:hanging="850"/>
      <w:jc w:val="left"/>
    </w:pPr>
  </w:style>
  <w:style w:type="paragraph" w:styleId="TOC2">
    <w:name w:val="toc 2"/>
    <w:basedOn w:val="Normal"/>
    <w:next w:val="Normal"/>
    <w:uiPriority w:val="39"/>
    <w:semiHidden/>
    <w:unhideWhenUsed/>
    <w:rsid w:val="00877878"/>
    <w:pPr>
      <w:tabs>
        <w:tab w:val="right" w:leader="dot" w:pos="9071"/>
      </w:tabs>
      <w:spacing w:before="60"/>
      <w:ind w:left="850" w:hanging="850"/>
      <w:jc w:val="left"/>
    </w:pPr>
  </w:style>
  <w:style w:type="paragraph" w:styleId="TOC3">
    <w:name w:val="toc 3"/>
    <w:basedOn w:val="Normal"/>
    <w:next w:val="Normal"/>
    <w:uiPriority w:val="39"/>
    <w:semiHidden/>
    <w:unhideWhenUsed/>
    <w:rsid w:val="00877878"/>
    <w:pPr>
      <w:tabs>
        <w:tab w:val="right" w:leader="dot" w:pos="9071"/>
      </w:tabs>
      <w:spacing w:before="60"/>
      <w:ind w:left="850" w:hanging="850"/>
      <w:jc w:val="left"/>
    </w:pPr>
  </w:style>
  <w:style w:type="paragraph" w:styleId="TOC4">
    <w:name w:val="toc 4"/>
    <w:basedOn w:val="Normal"/>
    <w:next w:val="Normal"/>
    <w:uiPriority w:val="39"/>
    <w:semiHidden/>
    <w:unhideWhenUsed/>
    <w:rsid w:val="00877878"/>
    <w:pPr>
      <w:tabs>
        <w:tab w:val="right" w:leader="dot" w:pos="9071"/>
      </w:tabs>
      <w:spacing w:before="60"/>
      <w:ind w:left="850" w:hanging="850"/>
      <w:jc w:val="left"/>
    </w:pPr>
  </w:style>
  <w:style w:type="paragraph" w:styleId="TOC5">
    <w:name w:val="toc 5"/>
    <w:basedOn w:val="Normal"/>
    <w:next w:val="Normal"/>
    <w:uiPriority w:val="39"/>
    <w:semiHidden/>
    <w:unhideWhenUsed/>
    <w:rsid w:val="00877878"/>
    <w:pPr>
      <w:tabs>
        <w:tab w:val="right" w:leader="dot" w:pos="9071"/>
      </w:tabs>
      <w:spacing w:before="300"/>
      <w:jc w:val="left"/>
    </w:pPr>
  </w:style>
  <w:style w:type="paragraph" w:styleId="TOC6">
    <w:name w:val="toc 6"/>
    <w:basedOn w:val="Normal"/>
    <w:next w:val="Normal"/>
    <w:uiPriority w:val="39"/>
    <w:semiHidden/>
    <w:unhideWhenUsed/>
    <w:rsid w:val="00877878"/>
    <w:pPr>
      <w:tabs>
        <w:tab w:val="right" w:leader="dot" w:pos="9071"/>
      </w:tabs>
      <w:spacing w:before="240"/>
      <w:jc w:val="left"/>
    </w:pPr>
  </w:style>
  <w:style w:type="paragraph" w:styleId="TOC7">
    <w:name w:val="toc 7"/>
    <w:basedOn w:val="Normal"/>
    <w:next w:val="Normal"/>
    <w:uiPriority w:val="39"/>
    <w:semiHidden/>
    <w:unhideWhenUsed/>
    <w:rsid w:val="00877878"/>
    <w:pPr>
      <w:tabs>
        <w:tab w:val="right" w:leader="dot" w:pos="9071"/>
      </w:tabs>
      <w:spacing w:before="180"/>
      <w:jc w:val="left"/>
    </w:pPr>
  </w:style>
  <w:style w:type="paragraph" w:styleId="TOC8">
    <w:name w:val="toc 8"/>
    <w:basedOn w:val="Normal"/>
    <w:next w:val="Normal"/>
    <w:uiPriority w:val="39"/>
    <w:semiHidden/>
    <w:unhideWhenUsed/>
    <w:rsid w:val="00877878"/>
    <w:pPr>
      <w:tabs>
        <w:tab w:val="right" w:leader="dot" w:pos="9071"/>
      </w:tabs>
      <w:jc w:val="left"/>
    </w:pPr>
  </w:style>
  <w:style w:type="paragraph" w:styleId="TOC9">
    <w:name w:val="toc 9"/>
    <w:basedOn w:val="Normal"/>
    <w:next w:val="Normal"/>
    <w:uiPriority w:val="39"/>
    <w:semiHidden/>
    <w:unhideWhenUsed/>
    <w:rsid w:val="00877878"/>
    <w:pPr>
      <w:tabs>
        <w:tab w:val="right" w:leader="dot" w:pos="9071"/>
      </w:tabs>
    </w:pPr>
  </w:style>
  <w:style w:type="paragraph" w:customStyle="1" w:styleId="HeaderLandscape">
    <w:name w:val="HeaderLandscape"/>
    <w:basedOn w:val="Normal"/>
    <w:rsid w:val="00377BF1"/>
    <w:pPr>
      <w:tabs>
        <w:tab w:val="center" w:pos="7285"/>
        <w:tab w:val="right" w:pos="14003"/>
      </w:tabs>
      <w:spacing w:before="0"/>
    </w:pPr>
  </w:style>
  <w:style w:type="paragraph" w:customStyle="1" w:styleId="FooterLandscape">
    <w:name w:val="FooterLandscape"/>
    <w:basedOn w:val="Normal"/>
    <w:rsid w:val="00377BF1"/>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877878"/>
    <w:rPr>
      <w:shd w:val="clear" w:color="auto" w:fill="auto"/>
      <w:vertAlign w:val="superscript"/>
    </w:rPr>
  </w:style>
  <w:style w:type="paragraph" w:customStyle="1" w:styleId="HeaderSensitivity">
    <w:name w:val="Header Sensitivity"/>
    <w:basedOn w:val="Normal"/>
    <w:rsid w:val="00377BF1"/>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rsid w:val="00377BF1"/>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877878"/>
    <w:pPr>
      <w:ind w:left="850"/>
    </w:pPr>
  </w:style>
  <w:style w:type="paragraph" w:customStyle="1" w:styleId="Text2">
    <w:name w:val="Text 2"/>
    <w:basedOn w:val="Normal"/>
    <w:rsid w:val="00877878"/>
    <w:pPr>
      <w:ind w:left="1417"/>
    </w:pPr>
  </w:style>
  <w:style w:type="paragraph" w:customStyle="1" w:styleId="Text3">
    <w:name w:val="Text 3"/>
    <w:basedOn w:val="Normal"/>
    <w:rsid w:val="00877878"/>
    <w:pPr>
      <w:ind w:left="1984"/>
    </w:pPr>
  </w:style>
  <w:style w:type="paragraph" w:customStyle="1" w:styleId="Text4">
    <w:name w:val="Text 4"/>
    <w:basedOn w:val="Normal"/>
    <w:rsid w:val="00877878"/>
    <w:pPr>
      <w:ind w:left="2551"/>
    </w:pPr>
  </w:style>
  <w:style w:type="paragraph" w:customStyle="1" w:styleId="NormalCentered">
    <w:name w:val="Normal Centered"/>
    <w:basedOn w:val="Normal"/>
    <w:rsid w:val="00877878"/>
    <w:pPr>
      <w:jc w:val="center"/>
    </w:pPr>
  </w:style>
  <w:style w:type="paragraph" w:customStyle="1" w:styleId="NormalLeft">
    <w:name w:val="Normal Left"/>
    <w:basedOn w:val="Normal"/>
    <w:rsid w:val="00877878"/>
    <w:pPr>
      <w:jc w:val="left"/>
    </w:pPr>
  </w:style>
  <w:style w:type="paragraph" w:customStyle="1" w:styleId="NormalRight">
    <w:name w:val="Normal Right"/>
    <w:basedOn w:val="Normal"/>
    <w:rsid w:val="00877878"/>
    <w:pPr>
      <w:jc w:val="right"/>
    </w:pPr>
  </w:style>
  <w:style w:type="paragraph" w:customStyle="1" w:styleId="QuotedText">
    <w:name w:val="Quoted Text"/>
    <w:basedOn w:val="Normal"/>
    <w:rsid w:val="00877878"/>
    <w:pPr>
      <w:ind w:left="1417"/>
    </w:pPr>
  </w:style>
  <w:style w:type="paragraph" w:customStyle="1" w:styleId="Point0">
    <w:name w:val="Point 0"/>
    <w:basedOn w:val="Normal"/>
    <w:rsid w:val="00877878"/>
    <w:pPr>
      <w:ind w:left="850" w:hanging="850"/>
    </w:pPr>
  </w:style>
  <w:style w:type="paragraph" w:customStyle="1" w:styleId="Point1">
    <w:name w:val="Point 1"/>
    <w:basedOn w:val="Normal"/>
    <w:rsid w:val="00877878"/>
    <w:pPr>
      <w:ind w:left="1417" w:hanging="567"/>
    </w:pPr>
  </w:style>
  <w:style w:type="paragraph" w:customStyle="1" w:styleId="Point2">
    <w:name w:val="Point 2"/>
    <w:basedOn w:val="Normal"/>
    <w:rsid w:val="00877878"/>
    <w:pPr>
      <w:ind w:left="1984" w:hanging="567"/>
    </w:pPr>
  </w:style>
  <w:style w:type="paragraph" w:customStyle="1" w:styleId="Point3">
    <w:name w:val="Point 3"/>
    <w:basedOn w:val="Normal"/>
    <w:rsid w:val="00877878"/>
    <w:pPr>
      <w:ind w:left="2551" w:hanging="567"/>
    </w:pPr>
  </w:style>
  <w:style w:type="paragraph" w:customStyle="1" w:styleId="Point4">
    <w:name w:val="Point 4"/>
    <w:basedOn w:val="Normal"/>
    <w:rsid w:val="00877878"/>
    <w:pPr>
      <w:ind w:left="3118" w:hanging="567"/>
    </w:pPr>
  </w:style>
  <w:style w:type="paragraph" w:customStyle="1" w:styleId="Tiret0">
    <w:name w:val="Tiret 0"/>
    <w:basedOn w:val="Point0"/>
    <w:rsid w:val="00877878"/>
    <w:pPr>
      <w:numPr>
        <w:numId w:val="35"/>
      </w:numPr>
    </w:pPr>
  </w:style>
  <w:style w:type="paragraph" w:customStyle="1" w:styleId="Tiret1">
    <w:name w:val="Tiret 1"/>
    <w:basedOn w:val="Point1"/>
    <w:rsid w:val="00877878"/>
    <w:pPr>
      <w:numPr>
        <w:numId w:val="36"/>
      </w:numPr>
    </w:pPr>
  </w:style>
  <w:style w:type="paragraph" w:customStyle="1" w:styleId="Tiret2">
    <w:name w:val="Tiret 2"/>
    <w:basedOn w:val="Point2"/>
    <w:rsid w:val="00877878"/>
    <w:pPr>
      <w:numPr>
        <w:numId w:val="37"/>
      </w:numPr>
    </w:pPr>
  </w:style>
  <w:style w:type="paragraph" w:customStyle="1" w:styleId="Tiret3">
    <w:name w:val="Tiret 3"/>
    <w:basedOn w:val="Point3"/>
    <w:rsid w:val="00877878"/>
    <w:pPr>
      <w:numPr>
        <w:numId w:val="38"/>
      </w:numPr>
    </w:pPr>
  </w:style>
  <w:style w:type="paragraph" w:customStyle="1" w:styleId="Tiret4">
    <w:name w:val="Tiret 4"/>
    <w:basedOn w:val="Point4"/>
    <w:rsid w:val="00877878"/>
    <w:pPr>
      <w:numPr>
        <w:numId w:val="39"/>
      </w:numPr>
    </w:pPr>
  </w:style>
  <w:style w:type="paragraph" w:customStyle="1" w:styleId="PointDouble0">
    <w:name w:val="PointDouble 0"/>
    <w:basedOn w:val="Normal"/>
    <w:rsid w:val="00877878"/>
    <w:pPr>
      <w:tabs>
        <w:tab w:val="left" w:pos="850"/>
      </w:tabs>
      <w:ind w:left="1417" w:hanging="1417"/>
    </w:pPr>
  </w:style>
  <w:style w:type="paragraph" w:customStyle="1" w:styleId="PointDouble1">
    <w:name w:val="PointDouble 1"/>
    <w:basedOn w:val="Normal"/>
    <w:rsid w:val="00877878"/>
    <w:pPr>
      <w:tabs>
        <w:tab w:val="left" w:pos="1417"/>
      </w:tabs>
      <w:ind w:left="1984" w:hanging="1134"/>
    </w:pPr>
  </w:style>
  <w:style w:type="paragraph" w:customStyle="1" w:styleId="PointDouble2">
    <w:name w:val="PointDouble 2"/>
    <w:basedOn w:val="Normal"/>
    <w:rsid w:val="00877878"/>
    <w:pPr>
      <w:tabs>
        <w:tab w:val="left" w:pos="1984"/>
      </w:tabs>
      <w:ind w:left="2551" w:hanging="1134"/>
    </w:pPr>
  </w:style>
  <w:style w:type="paragraph" w:customStyle="1" w:styleId="PointDouble3">
    <w:name w:val="PointDouble 3"/>
    <w:basedOn w:val="Normal"/>
    <w:rsid w:val="00877878"/>
    <w:pPr>
      <w:tabs>
        <w:tab w:val="left" w:pos="2551"/>
      </w:tabs>
      <w:ind w:left="3118" w:hanging="1134"/>
    </w:pPr>
  </w:style>
  <w:style w:type="paragraph" w:customStyle="1" w:styleId="PointDouble4">
    <w:name w:val="PointDouble 4"/>
    <w:basedOn w:val="Normal"/>
    <w:rsid w:val="00877878"/>
    <w:pPr>
      <w:tabs>
        <w:tab w:val="left" w:pos="3118"/>
      </w:tabs>
      <w:ind w:left="3685" w:hanging="1134"/>
    </w:pPr>
  </w:style>
  <w:style w:type="paragraph" w:customStyle="1" w:styleId="PointTriple0">
    <w:name w:val="PointTriple 0"/>
    <w:basedOn w:val="Normal"/>
    <w:rsid w:val="00877878"/>
    <w:pPr>
      <w:tabs>
        <w:tab w:val="left" w:pos="850"/>
        <w:tab w:val="left" w:pos="1417"/>
      </w:tabs>
      <w:ind w:left="1984" w:hanging="1984"/>
    </w:pPr>
  </w:style>
  <w:style w:type="paragraph" w:customStyle="1" w:styleId="PointTriple1">
    <w:name w:val="PointTriple 1"/>
    <w:basedOn w:val="Normal"/>
    <w:rsid w:val="00877878"/>
    <w:pPr>
      <w:tabs>
        <w:tab w:val="left" w:pos="1417"/>
        <w:tab w:val="left" w:pos="1984"/>
      </w:tabs>
      <w:ind w:left="2551" w:hanging="1701"/>
    </w:pPr>
  </w:style>
  <w:style w:type="paragraph" w:customStyle="1" w:styleId="PointTriple2">
    <w:name w:val="PointTriple 2"/>
    <w:basedOn w:val="Normal"/>
    <w:rsid w:val="00877878"/>
    <w:pPr>
      <w:tabs>
        <w:tab w:val="left" w:pos="1984"/>
        <w:tab w:val="left" w:pos="2551"/>
      </w:tabs>
      <w:ind w:left="3118" w:hanging="1701"/>
    </w:pPr>
  </w:style>
  <w:style w:type="paragraph" w:customStyle="1" w:styleId="PointTriple3">
    <w:name w:val="PointTriple 3"/>
    <w:basedOn w:val="Normal"/>
    <w:rsid w:val="00877878"/>
    <w:pPr>
      <w:tabs>
        <w:tab w:val="left" w:pos="2551"/>
        <w:tab w:val="left" w:pos="3118"/>
      </w:tabs>
      <w:ind w:left="3685" w:hanging="1701"/>
    </w:pPr>
  </w:style>
  <w:style w:type="paragraph" w:customStyle="1" w:styleId="PointTriple4">
    <w:name w:val="PointTriple 4"/>
    <w:basedOn w:val="Normal"/>
    <w:rsid w:val="00877878"/>
    <w:pPr>
      <w:tabs>
        <w:tab w:val="left" w:pos="3118"/>
        <w:tab w:val="left" w:pos="3685"/>
      </w:tabs>
      <w:ind w:left="4252" w:hanging="1701"/>
    </w:pPr>
  </w:style>
  <w:style w:type="paragraph" w:customStyle="1" w:styleId="NumPar1">
    <w:name w:val="NumPar 1"/>
    <w:basedOn w:val="Normal"/>
    <w:next w:val="Text1"/>
    <w:rsid w:val="00877878"/>
    <w:pPr>
      <w:numPr>
        <w:numId w:val="40"/>
      </w:numPr>
    </w:pPr>
  </w:style>
  <w:style w:type="paragraph" w:customStyle="1" w:styleId="NumPar2">
    <w:name w:val="NumPar 2"/>
    <w:basedOn w:val="Normal"/>
    <w:next w:val="Text1"/>
    <w:rsid w:val="00877878"/>
    <w:pPr>
      <w:numPr>
        <w:ilvl w:val="1"/>
        <w:numId w:val="40"/>
      </w:numPr>
    </w:pPr>
  </w:style>
  <w:style w:type="paragraph" w:customStyle="1" w:styleId="NumPar3">
    <w:name w:val="NumPar 3"/>
    <w:basedOn w:val="Normal"/>
    <w:next w:val="Text1"/>
    <w:rsid w:val="00877878"/>
    <w:pPr>
      <w:numPr>
        <w:ilvl w:val="2"/>
        <w:numId w:val="40"/>
      </w:numPr>
    </w:pPr>
  </w:style>
  <w:style w:type="paragraph" w:customStyle="1" w:styleId="NumPar4">
    <w:name w:val="NumPar 4"/>
    <w:basedOn w:val="Normal"/>
    <w:next w:val="Text1"/>
    <w:rsid w:val="00877878"/>
    <w:pPr>
      <w:numPr>
        <w:ilvl w:val="3"/>
        <w:numId w:val="40"/>
      </w:numPr>
    </w:pPr>
  </w:style>
  <w:style w:type="paragraph" w:customStyle="1" w:styleId="ManualNumPar1">
    <w:name w:val="Manual NumPar 1"/>
    <w:basedOn w:val="Normal"/>
    <w:next w:val="Text1"/>
    <w:rsid w:val="00877878"/>
    <w:pPr>
      <w:ind w:left="850" w:hanging="850"/>
    </w:pPr>
  </w:style>
  <w:style w:type="paragraph" w:customStyle="1" w:styleId="ManualNumPar2">
    <w:name w:val="Manual NumPar 2"/>
    <w:basedOn w:val="Normal"/>
    <w:next w:val="Text1"/>
    <w:rsid w:val="00877878"/>
    <w:pPr>
      <w:ind w:left="850" w:hanging="850"/>
    </w:pPr>
  </w:style>
  <w:style w:type="paragraph" w:customStyle="1" w:styleId="ManualNumPar3">
    <w:name w:val="Manual NumPar 3"/>
    <w:basedOn w:val="Normal"/>
    <w:next w:val="Text1"/>
    <w:rsid w:val="00877878"/>
    <w:pPr>
      <w:ind w:left="850" w:hanging="850"/>
    </w:pPr>
  </w:style>
  <w:style w:type="paragraph" w:customStyle="1" w:styleId="ManualNumPar4">
    <w:name w:val="Manual NumPar 4"/>
    <w:basedOn w:val="Normal"/>
    <w:next w:val="Text1"/>
    <w:rsid w:val="00877878"/>
    <w:pPr>
      <w:ind w:left="850" w:hanging="850"/>
    </w:pPr>
  </w:style>
  <w:style w:type="paragraph" w:customStyle="1" w:styleId="QuotedNumPar">
    <w:name w:val="Quoted NumPar"/>
    <w:basedOn w:val="Normal"/>
    <w:rsid w:val="00877878"/>
    <w:pPr>
      <w:ind w:left="1417" w:hanging="567"/>
    </w:pPr>
  </w:style>
  <w:style w:type="paragraph" w:customStyle="1" w:styleId="ManualHeading1">
    <w:name w:val="Manual Heading 1"/>
    <w:basedOn w:val="Normal"/>
    <w:next w:val="Text1"/>
    <w:rsid w:val="00877878"/>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877878"/>
    <w:pPr>
      <w:keepNext/>
      <w:tabs>
        <w:tab w:val="left" w:pos="850"/>
      </w:tabs>
      <w:ind w:left="850" w:hanging="850"/>
      <w:outlineLvl w:val="1"/>
    </w:pPr>
    <w:rPr>
      <w:b/>
    </w:rPr>
  </w:style>
  <w:style w:type="paragraph" w:customStyle="1" w:styleId="ManualHeading3">
    <w:name w:val="Manual Heading 3"/>
    <w:basedOn w:val="Normal"/>
    <w:next w:val="Text1"/>
    <w:rsid w:val="00877878"/>
    <w:pPr>
      <w:keepNext/>
      <w:tabs>
        <w:tab w:val="left" w:pos="850"/>
      </w:tabs>
      <w:ind w:left="850" w:hanging="850"/>
      <w:outlineLvl w:val="2"/>
    </w:pPr>
    <w:rPr>
      <w:i/>
    </w:rPr>
  </w:style>
  <w:style w:type="paragraph" w:customStyle="1" w:styleId="ManualHeading4">
    <w:name w:val="Manual Heading 4"/>
    <w:basedOn w:val="Normal"/>
    <w:next w:val="Text1"/>
    <w:rsid w:val="00877878"/>
    <w:pPr>
      <w:keepNext/>
      <w:tabs>
        <w:tab w:val="left" w:pos="850"/>
      </w:tabs>
      <w:ind w:left="850" w:hanging="850"/>
      <w:outlineLvl w:val="3"/>
    </w:pPr>
  </w:style>
  <w:style w:type="paragraph" w:customStyle="1" w:styleId="ChapterTitle">
    <w:name w:val="ChapterTitle"/>
    <w:basedOn w:val="Normal"/>
    <w:next w:val="Normal"/>
    <w:rsid w:val="00877878"/>
    <w:pPr>
      <w:keepNext/>
      <w:spacing w:after="360"/>
      <w:jc w:val="center"/>
    </w:pPr>
    <w:rPr>
      <w:b/>
      <w:sz w:val="32"/>
    </w:rPr>
  </w:style>
  <w:style w:type="paragraph" w:customStyle="1" w:styleId="PartTitle">
    <w:name w:val="PartTitle"/>
    <w:basedOn w:val="Normal"/>
    <w:next w:val="ChapterTitle"/>
    <w:rsid w:val="00877878"/>
    <w:pPr>
      <w:keepNext/>
      <w:pageBreakBefore/>
      <w:spacing w:after="360"/>
      <w:jc w:val="center"/>
    </w:pPr>
    <w:rPr>
      <w:b/>
      <w:sz w:val="36"/>
    </w:rPr>
  </w:style>
  <w:style w:type="paragraph" w:customStyle="1" w:styleId="SectionTitle">
    <w:name w:val="SectionTitle"/>
    <w:basedOn w:val="Normal"/>
    <w:next w:val="Heading1"/>
    <w:rsid w:val="00877878"/>
    <w:pPr>
      <w:keepNext/>
      <w:spacing w:after="360"/>
      <w:jc w:val="center"/>
    </w:pPr>
    <w:rPr>
      <w:b/>
      <w:smallCaps/>
      <w:sz w:val="28"/>
    </w:rPr>
  </w:style>
  <w:style w:type="paragraph" w:customStyle="1" w:styleId="TableTitle">
    <w:name w:val="Table Title"/>
    <w:basedOn w:val="Normal"/>
    <w:next w:val="Normal"/>
    <w:rsid w:val="00877878"/>
    <w:pPr>
      <w:jc w:val="center"/>
    </w:pPr>
    <w:rPr>
      <w:b/>
    </w:rPr>
  </w:style>
  <w:style w:type="character" w:customStyle="1" w:styleId="Marker">
    <w:name w:val="Marker"/>
    <w:basedOn w:val="DefaultParagraphFont"/>
    <w:rsid w:val="00877878"/>
    <w:rPr>
      <w:color w:val="0000FF"/>
      <w:shd w:val="clear" w:color="auto" w:fill="auto"/>
    </w:rPr>
  </w:style>
  <w:style w:type="character" w:customStyle="1" w:styleId="Marker1">
    <w:name w:val="Marker1"/>
    <w:basedOn w:val="DefaultParagraphFont"/>
    <w:rsid w:val="00877878"/>
    <w:rPr>
      <w:color w:val="008000"/>
      <w:shd w:val="clear" w:color="auto" w:fill="auto"/>
    </w:rPr>
  </w:style>
  <w:style w:type="character" w:customStyle="1" w:styleId="Marker2">
    <w:name w:val="Marker2"/>
    <w:basedOn w:val="DefaultParagraphFont"/>
    <w:rsid w:val="00877878"/>
    <w:rPr>
      <w:color w:val="FF0000"/>
      <w:shd w:val="clear" w:color="auto" w:fill="auto"/>
    </w:rPr>
  </w:style>
  <w:style w:type="paragraph" w:customStyle="1" w:styleId="Point0number">
    <w:name w:val="Point 0 (number)"/>
    <w:basedOn w:val="Normal"/>
    <w:rsid w:val="00877878"/>
    <w:pPr>
      <w:numPr>
        <w:numId w:val="42"/>
      </w:numPr>
    </w:pPr>
  </w:style>
  <w:style w:type="paragraph" w:customStyle="1" w:styleId="Point1number">
    <w:name w:val="Point 1 (number)"/>
    <w:basedOn w:val="Normal"/>
    <w:rsid w:val="00877878"/>
    <w:pPr>
      <w:numPr>
        <w:ilvl w:val="2"/>
        <w:numId w:val="42"/>
      </w:numPr>
    </w:pPr>
  </w:style>
  <w:style w:type="paragraph" w:customStyle="1" w:styleId="Point2number">
    <w:name w:val="Point 2 (number)"/>
    <w:basedOn w:val="Normal"/>
    <w:rsid w:val="00877878"/>
    <w:pPr>
      <w:numPr>
        <w:ilvl w:val="4"/>
        <w:numId w:val="42"/>
      </w:numPr>
    </w:pPr>
  </w:style>
  <w:style w:type="paragraph" w:customStyle="1" w:styleId="Point3number">
    <w:name w:val="Point 3 (number)"/>
    <w:basedOn w:val="Normal"/>
    <w:rsid w:val="00877878"/>
    <w:pPr>
      <w:numPr>
        <w:ilvl w:val="6"/>
        <w:numId w:val="42"/>
      </w:numPr>
    </w:pPr>
  </w:style>
  <w:style w:type="paragraph" w:customStyle="1" w:styleId="Point0letter">
    <w:name w:val="Point 0 (letter)"/>
    <w:basedOn w:val="Normal"/>
    <w:rsid w:val="00877878"/>
    <w:pPr>
      <w:numPr>
        <w:ilvl w:val="1"/>
        <w:numId w:val="42"/>
      </w:numPr>
    </w:pPr>
  </w:style>
  <w:style w:type="paragraph" w:customStyle="1" w:styleId="Point1letter">
    <w:name w:val="Point 1 (letter)"/>
    <w:basedOn w:val="Normal"/>
    <w:rsid w:val="00877878"/>
    <w:pPr>
      <w:numPr>
        <w:ilvl w:val="3"/>
        <w:numId w:val="42"/>
      </w:numPr>
    </w:pPr>
  </w:style>
  <w:style w:type="paragraph" w:customStyle="1" w:styleId="Point2letter">
    <w:name w:val="Point 2 (letter)"/>
    <w:basedOn w:val="Normal"/>
    <w:rsid w:val="00877878"/>
    <w:pPr>
      <w:numPr>
        <w:ilvl w:val="5"/>
        <w:numId w:val="42"/>
      </w:numPr>
    </w:pPr>
  </w:style>
  <w:style w:type="paragraph" w:customStyle="1" w:styleId="Point3letter">
    <w:name w:val="Point 3 (letter)"/>
    <w:basedOn w:val="Normal"/>
    <w:rsid w:val="00877878"/>
    <w:pPr>
      <w:numPr>
        <w:ilvl w:val="7"/>
        <w:numId w:val="42"/>
      </w:numPr>
    </w:pPr>
  </w:style>
  <w:style w:type="paragraph" w:customStyle="1" w:styleId="Point4letter">
    <w:name w:val="Point 4 (letter)"/>
    <w:basedOn w:val="Normal"/>
    <w:rsid w:val="00877878"/>
    <w:pPr>
      <w:numPr>
        <w:ilvl w:val="8"/>
        <w:numId w:val="42"/>
      </w:numPr>
    </w:pPr>
  </w:style>
  <w:style w:type="paragraph" w:customStyle="1" w:styleId="Bullet0">
    <w:name w:val="Bullet 0"/>
    <w:basedOn w:val="Normal"/>
    <w:rsid w:val="00877878"/>
    <w:pPr>
      <w:numPr>
        <w:numId w:val="43"/>
      </w:numPr>
    </w:pPr>
  </w:style>
  <w:style w:type="paragraph" w:customStyle="1" w:styleId="Bullet1">
    <w:name w:val="Bullet 1"/>
    <w:basedOn w:val="Normal"/>
    <w:rsid w:val="00877878"/>
    <w:pPr>
      <w:numPr>
        <w:numId w:val="44"/>
      </w:numPr>
    </w:pPr>
  </w:style>
  <w:style w:type="paragraph" w:customStyle="1" w:styleId="Bullet2">
    <w:name w:val="Bullet 2"/>
    <w:basedOn w:val="Normal"/>
    <w:rsid w:val="00877878"/>
    <w:pPr>
      <w:numPr>
        <w:numId w:val="45"/>
      </w:numPr>
    </w:pPr>
  </w:style>
  <w:style w:type="paragraph" w:customStyle="1" w:styleId="Bullet3">
    <w:name w:val="Bullet 3"/>
    <w:basedOn w:val="Normal"/>
    <w:rsid w:val="00877878"/>
    <w:pPr>
      <w:numPr>
        <w:numId w:val="46"/>
      </w:numPr>
    </w:pPr>
  </w:style>
  <w:style w:type="paragraph" w:customStyle="1" w:styleId="Bullet4">
    <w:name w:val="Bullet 4"/>
    <w:basedOn w:val="Normal"/>
    <w:rsid w:val="00877878"/>
    <w:pPr>
      <w:numPr>
        <w:numId w:val="47"/>
      </w:numPr>
    </w:pPr>
  </w:style>
  <w:style w:type="paragraph" w:customStyle="1" w:styleId="Langue">
    <w:name w:val="Langue"/>
    <w:basedOn w:val="Normal"/>
    <w:next w:val="Rfrenceinterne"/>
    <w:rsid w:val="00877878"/>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877878"/>
    <w:pPr>
      <w:spacing w:before="0" w:after="0"/>
      <w:jc w:val="left"/>
    </w:pPr>
    <w:rPr>
      <w:rFonts w:ascii="Arial" w:hAnsi="Arial" w:cs="Arial"/>
    </w:rPr>
  </w:style>
  <w:style w:type="paragraph" w:customStyle="1" w:styleId="Emission">
    <w:name w:val="Emission"/>
    <w:basedOn w:val="Normal"/>
    <w:next w:val="Rfrenceinstitutionnelle"/>
    <w:rsid w:val="00877878"/>
    <w:pPr>
      <w:spacing w:before="0" w:after="0"/>
      <w:ind w:left="5103"/>
      <w:jc w:val="left"/>
    </w:pPr>
  </w:style>
  <w:style w:type="paragraph" w:customStyle="1" w:styleId="Rfrenceinstitutionnelle">
    <w:name w:val="Référence institutionnelle"/>
    <w:basedOn w:val="Normal"/>
    <w:next w:val="Confidentialit"/>
    <w:rsid w:val="00877878"/>
    <w:pPr>
      <w:spacing w:before="0" w:after="240"/>
      <w:ind w:left="5103"/>
      <w:jc w:val="left"/>
    </w:pPr>
  </w:style>
  <w:style w:type="paragraph" w:customStyle="1" w:styleId="Pagedecouverture">
    <w:name w:val="Page de couverture"/>
    <w:basedOn w:val="Normal"/>
    <w:next w:val="Normal"/>
    <w:rsid w:val="00877878"/>
    <w:pPr>
      <w:spacing w:before="0" w:after="0"/>
    </w:pPr>
  </w:style>
  <w:style w:type="paragraph" w:customStyle="1" w:styleId="Declassification">
    <w:name w:val="Declassification"/>
    <w:basedOn w:val="Normal"/>
    <w:next w:val="Normal"/>
    <w:rsid w:val="00877878"/>
    <w:pPr>
      <w:spacing w:before="0" w:after="0"/>
    </w:pPr>
  </w:style>
  <w:style w:type="paragraph" w:customStyle="1" w:styleId="Disclaimer">
    <w:name w:val="Disclaimer"/>
    <w:basedOn w:val="Normal"/>
    <w:rsid w:val="00877878"/>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rsid w:val="00877878"/>
    <w:pPr>
      <w:jc w:val="center"/>
    </w:pPr>
    <w:rPr>
      <w:b/>
      <w:u w:val="single"/>
    </w:rPr>
  </w:style>
  <w:style w:type="paragraph" w:customStyle="1" w:styleId="Annexetitre">
    <w:name w:val="Annexe titre"/>
    <w:basedOn w:val="Normal"/>
    <w:next w:val="Normal"/>
    <w:rsid w:val="00877878"/>
    <w:pPr>
      <w:jc w:val="center"/>
    </w:pPr>
    <w:rPr>
      <w:b/>
      <w:u w:val="single"/>
    </w:rPr>
  </w:style>
  <w:style w:type="paragraph" w:customStyle="1" w:styleId="Annexetitrefichefinancire">
    <w:name w:val="Annexe titre (fiche financière)"/>
    <w:basedOn w:val="Normal"/>
    <w:next w:val="Normal"/>
    <w:rsid w:val="00877878"/>
    <w:pPr>
      <w:jc w:val="center"/>
    </w:pPr>
    <w:rPr>
      <w:b/>
      <w:u w:val="single"/>
    </w:rPr>
  </w:style>
  <w:style w:type="paragraph" w:customStyle="1" w:styleId="Applicationdirecte">
    <w:name w:val="Application directe"/>
    <w:basedOn w:val="Normal"/>
    <w:next w:val="Fait"/>
    <w:rsid w:val="00877878"/>
    <w:pPr>
      <w:spacing w:before="480"/>
    </w:pPr>
  </w:style>
  <w:style w:type="paragraph" w:customStyle="1" w:styleId="Avertissementtitre">
    <w:name w:val="Avertissement titre"/>
    <w:basedOn w:val="Normal"/>
    <w:next w:val="Normal"/>
    <w:rsid w:val="00877878"/>
    <w:pPr>
      <w:keepNext/>
      <w:spacing w:before="480"/>
    </w:pPr>
    <w:rPr>
      <w:u w:val="single"/>
    </w:rPr>
  </w:style>
  <w:style w:type="paragraph" w:customStyle="1" w:styleId="Confidence">
    <w:name w:val="Confidence"/>
    <w:basedOn w:val="Normal"/>
    <w:next w:val="Normal"/>
    <w:rsid w:val="00877878"/>
    <w:pPr>
      <w:spacing w:before="360"/>
      <w:jc w:val="center"/>
    </w:pPr>
  </w:style>
  <w:style w:type="paragraph" w:customStyle="1" w:styleId="Confidentialit">
    <w:name w:val="Confidentialité"/>
    <w:basedOn w:val="Normal"/>
    <w:next w:val="TypedudocumentPagedecouverture"/>
    <w:rsid w:val="00877878"/>
    <w:pPr>
      <w:spacing w:before="240" w:after="240"/>
      <w:ind w:left="5103"/>
      <w:jc w:val="left"/>
    </w:pPr>
    <w:rPr>
      <w:i/>
      <w:sz w:val="32"/>
    </w:rPr>
  </w:style>
  <w:style w:type="paragraph" w:customStyle="1" w:styleId="Considrant">
    <w:name w:val="Considérant"/>
    <w:basedOn w:val="Normal"/>
    <w:rsid w:val="00877878"/>
    <w:pPr>
      <w:numPr>
        <w:numId w:val="48"/>
      </w:numPr>
    </w:pPr>
  </w:style>
  <w:style w:type="paragraph" w:customStyle="1" w:styleId="Corrigendum">
    <w:name w:val="Corrigendum"/>
    <w:basedOn w:val="Normal"/>
    <w:next w:val="Normal"/>
    <w:rsid w:val="00877878"/>
    <w:pPr>
      <w:spacing w:before="0" w:after="240"/>
      <w:jc w:val="left"/>
    </w:pPr>
  </w:style>
  <w:style w:type="paragraph" w:customStyle="1" w:styleId="Datedadoption">
    <w:name w:val="Date d'adoption"/>
    <w:basedOn w:val="Normal"/>
    <w:next w:val="Titreobjet"/>
    <w:rsid w:val="00877878"/>
    <w:pPr>
      <w:spacing w:before="360" w:after="0"/>
      <w:jc w:val="center"/>
    </w:pPr>
    <w:rPr>
      <w:b/>
    </w:rPr>
  </w:style>
  <w:style w:type="paragraph" w:customStyle="1" w:styleId="Exposdesmotifstitre">
    <w:name w:val="Exposé des motifs titre"/>
    <w:basedOn w:val="Normal"/>
    <w:next w:val="Normal"/>
    <w:rsid w:val="00877878"/>
    <w:pPr>
      <w:jc w:val="center"/>
    </w:pPr>
    <w:rPr>
      <w:b/>
      <w:u w:val="single"/>
    </w:rPr>
  </w:style>
  <w:style w:type="paragraph" w:customStyle="1" w:styleId="Fait">
    <w:name w:val="Fait à"/>
    <w:basedOn w:val="Normal"/>
    <w:next w:val="Institutionquisigne"/>
    <w:rsid w:val="00877878"/>
    <w:pPr>
      <w:keepNext/>
      <w:spacing w:after="0"/>
    </w:pPr>
  </w:style>
  <w:style w:type="paragraph" w:customStyle="1" w:styleId="Formuledadoption">
    <w:name w:val="Formule d'adoption"/>
    <w:basedOn w:val="Normal"/>
    <w:next w:val="Titrearticle"/>
    <w:rsid w:val="00877878"/>
    <w:pPr>
      <w:keepNext/>
    </w:pPr>
  </w:style>
  <w:style w:type="paragraph" w:customStyle="1" w:styleId="Institutionquiagit">
    <w:name w:val="Institution qui agit"/>
    <w:basedOn w:val="Normal"/>
    <w:next w:val="Normal"/>
    <w:rsid w:val="00877878"/>
    <w:pPr>
      <w:keepNext/>
      <w:spacing w:before="600"/>
    </w:pPr>
  </w:style>
  <w:style w:type="paragraph" w:customStyle="1" w:styleId="Institutionquisigne">
    <w:name w:val="Institution qui signe"/>
    <w:basedOn w:val="Normal"/>
    <w:next w:val="Personnequisigne"/>
    <w:rsid w:val="00877878"/>
    <w:pPr>
      <w:keepNext/>
      <w:tabs>
        <w:tab w:val="left" w:pos="4252"/>
      </w:tabs>
      <w:spacing w:before="720" w:after="0"/>
    </w:pPr>
    <w:rPr>
      <w:i/>
    </w:rPr>
  </w:style>
  <w:style w:type="paragraph" w:customStyle="1" w:styleId="ManualConsidrant">
    <w:name w:val="Manual Considérant"/>
    <w:basedOn w:val="Normal"/>
    <w:rsid w:val="00877878"/>
    <w:pPr>
      <w:ind w:left="709" w:hanging="709"/>
    </w:pPr>
  </w:style>
  <w:style w:type="paragraph" w:customStyle="1" w:styleId="Personnequisigne">
    <w:name w:val="Personne qui signe"/>
    <w:basedOn w:val="Normal"/>
    <w:next w:val="Institutionquisigne"/>
    <w:rsid w:val="00877878"/>
    <w:pPr>
      <w:tabs>
        <w:tab w:val="left" w:pos="4252"/>
      </w:tabs>
      <w:spacing w:before="0" w:after="0"/>
      <w:jc w:val="left"/>
    </w:pPr>
    <w:rPr>
      <w:i/>
    </w:rPr>
  </w:style>
  <w:style w:type="paragraph" w:customStyle="1" w:styleId="Rfrenceinterinstitutionnelle">
    <w:name w:val="Référence interinstitutionnelle"/>
    <w:basedOn w:val="Normal"/>
    <w:next w:val="Statut"/>
    <w:rsid w:val="00877878"/>
    <w:pPr>
      <w:spacing w:before="0" w:after="0"/>
      <w:ind w:left="5103"/>
      <w:jc w:val="left"/>
    </w:pPr>
  </w:style>
  <w:style w:type="paragraph" w:customStyle="1" w:styleId="Rfrenceinterne">
    <w:name w:val="Référence interne"/>
    <w:basedOn w:val="Normal"/>
    <w:next w:val="Rfrenceinterinstitutionnelle"/>
    <w:rsid w:val="00877878"/>
    <w:pPr>
      <w:spacing w:before="0" w:after="0"/>
      <w:ind w:left="5103"/>
      <w:jc w:val="left"/>
    </w:pPr>
  </w:style>
  <w:style w:type="paragraph" w:customStyle="1" w:styleId="Statut">
    <w:name w:val="Statut"/>
    <w:basedOn w:val="Normal"/>
    <w:next w:val="Typedudocument"/>
    <w:rsid w:val="00877878"/>
    <w:pPr>
      <w:spacing w:before="360" w:after="0"/>
      <w:jc w:val="center"/>
    </w:pPr>
  </w:style>
  <w:style w:type="paragraph" w:customStyle="1" w:styleId="Titrearticle">
    <w:name w:val="Titre article"/>
    <w:basedOn w:val="Normal"/>
    <w:next w:val="Normal"/>
    <w:rsid w:val="00877878"/>
    <w:pPr>
      <w:keepNext/>
      <w:spacing w:before="360"/>
      <w:jc w:val="center"/>
    </w:pPr>
    <w:rPr>
      <w:i/>
    </w:rPr>
  </w:style>
  <w:style w:type="paragraph" w:customStyle="1" w:styleId="Titreobjet">
    <w:name w:val="Titre objet"/>
    <w:basedOn w:val="Normal"/>
    <w:next w:val="IntrtEEE"/>
    <w:rsid w:val="00877878"/>
    <w:pPr>
      <w:spacing w:before="360" w:after="360"/>
      <w:jc w:val="center"/>
    </w:pPr>
    <w:rPr>
      <w:b/>
    </w:rPr>
  </w:style>
  <w:style w:type="paragraph" w:customStyle="1" w:styleId="Typedudocument">
    <w:name w:val="Type du document"/>
    <w:basedOn w:val="Normal"/>
    <w:next w:val="Titreobjet"/>
    <w:rsid w:val="00877878"/>
    <w:pPr>
      <w:spacing w:before="360" w:after="0"/>
      <w:jc w:val="center"/>
    </w:pPr>
    <w:rPr>
      <w:b/>
    </w:rPr>
  </w:style>
  <w:style w:type="character" w:customStyle="1" w:styleId="Added">
    <w:name w:val="Added"/>
    <w:basedOn w:val="DefaultParagraphFont"/>
    <w:rsid w:val="00877878"/>
    <w:rPr>
      <w:b/>
      <w:u w:val="single"/>
      <w:shd w:val="clear" w:color="auto" w:fill="auto"/>
    </w:rPr>
  </w:style>
  <w:style w:type="character" w:customStyle="1" w:styleId="Deleted">
    <w:name w:val="Deleted"/>
    <w:basedOn w:val="DefaultParagraphFont"/>
    <w:rsid w:val="00877878"/>
    <w:rPr>
      <w:strike/>
      <w:dstrike w:val="0"/>
      <w:shd w:val="clear" w:color="auto" w:fill="auto"/>
    </w:rPr>
  </w:style>
  <w:style w:type="paragraph" w:customStyle="1" w:styleId="Address">
    <w:name w:val="Address"/>
    <w:basedOn w:val="Normal"/>
    <w:next w:val="Normal"/>
    <w:rsid w:val="00877878"/>
    <w:pPr>
      <w:keepLines/>
      <w:spacing w:line="360" w:lineRule="auto"/>
      <w:ind w:left="3402"/>
      <w:jc w:val="left"/>
    </w:pPr>
  </w:style>
  <w:style w:type="paragraph" w:customStyle="1" w:styleId="Objetexterne">
    <w:name w:val="Objet externe"/>
    <w:basedOn w:val="Normal"/>
    <w:next w:val="Normal"/>
    <w:rsid w:val="00877878"/>
    <w:rPr>
      <w:i/>
      <w:caps/>
    </w:rPr>
  </w:style>
  <w:style w:type="paragraph" w:customStyle="1" w:styleId="Supertitre">
    <w:name w:val="Supertitre"/>
    <w:basedOn w:val="Normal"/>
    <w:next w:val="Normal"/>
    <w:rsid w:val="00877878"/>
    <w:pPr>
      <w:spacing w:before="0" w:after="600"/>
      <w:jc w:val="center"/>
    </w:pPr>
    <w:rPr>
      <w:b/>
    </w:rPr>
  </w:style>
  <w:style w:type="paragraph" w:customStyle="1" w:styleId="Languesfaisantfoi">
    <w:name w:val="Langues faisant foi"/>
    <w:basedOn w:val="Normal"/>
    <w:next w:val="Normal"/>
    <w:rsid w:val="00877878"/>
    <w:pPr>
      <w:spacing w:before="360" w:after="0"/>
      <w:jc w:val="center"/>
    </w:pPr>
  </w:style>
  <w:style w:type="paragraph" w:customStyle="1" w:styleId="Rfrencecroise">
    <w:name w:val="Référence croisée"/>
    <w:basedOn w:val="Normal"/>
    <w:rsid w:val="00877878"/>
    <w:pPr>
      <w:spacing w:before="0" w:after="0"/>
      <w:jc w:val="center"/>
    </w:pPr>
  </w:style>
  <w:style w:type="paragraph" w:customStyle="1" w:styleId="Fichefinanciretitre">
    <w:name w:val="Fiche financière titre"/>
    <w:basedOn w:val="Normal"/>
    <w:next w:val="Normal"/>
    <w:rsid w:val="00877878"/>
    <w:pPr>
      <w:jc w:val="center"/>
    </w:pPr>
    <w:rPr>
      <w:b/>
      <w:u w:val="single"/>
    </w:rPr>
  </w:style>
  <w:style w:type="paragraph" w:customStyle="1" w:styleId="DatedadoptionPagedecouverture">
    <w:name w:val="Date d'adoption (Page de couverture)"/>
    <w:basedOn w:val="Datedadoption"/>
    <w:next w:val="TitreobjetPagedecouverture"/>
    <w:rsid w:val="00877878"/>
  </w:style>
  <w:style w:type="paragraph" w:customStyle="1" w:styleId="RfrenceinterinstitutionnellePagedecouverture">
    <w:name w:val="Référence interinstitutionnelle (Page de couverture)"/>
    <w:basedOn w:val="Rfrenceinterinstitutionnelle"/>
    <w:next w:val="Confidentialit"/>
    <w:rsid w:val="00877878"/>
  </w:style>
  <w:style w:type="paragraph" w:customStyle="1" w:styleId="StatutPagedecouverture">
    <w:name w:val="Statut (Page de couverture)"/>
    <w:basedOn w:val="Statut"/>
    <w:next w:val="TypedudocumentPagedecouverture"/>
    <w:rsid w:val="00877878"/>
  </w:style>
  <w:style w:type="paragraph" w:customStyle="1" w:styleId="TitreobjetPagedecouverture">
    <w:name w:val="Titre objet (Page de couverture)"/>
    <w:basedOn w:val="Titreobjet"/>
    <w:next w:val="IntrtEEEPagedecouverture"/>
    <w:rsid w:val="00877878"/>
  </w:style>
  <w:style w:type="paragraph" w:customStyle="1" w:styleId="TypedudocumentPagedecouverture">
    <w:name w:val="Type du document (Page de couverture)"/>
    <w:basedOn w:val="Typedudocument"/>
    <w:next w:val="TitreobjetPagedecouverture"/>
    <w:rsid w:val="00877878"/>
  </w:style>
  <w:style w:type="paragraph" w:customStyle="1" w:styleId="Volume">
    <w:name w:val="Volume"/>
    <w:basedOn w:val="Normal"/>
    <w:next w:val="Confidentialit"/>
    <w:rsid w:val="00877878"/>
    <w:pPr>
      <w:spacing w:before="0" w:after="240"/>
      <w:ind w:left="5103"/>
      <w:jc w:val="left"/>
    </w:pPr>
  </w:style>
  <w:style w:type="paragraph" w:customStyle="1" w:styleId="IntrtEEE">
    <w:name w:val="Intérêt EEE"/>
    <w:basedOn w:val="Languesfaisantfoi"/>
    <w:next w:val="Normal"/>
    <w:rsid w:val="00877878"/>
    <w:pPr>
      <w:spacing w:after="240"/>
    </w:pPr>
  </w:style>
  <w:style w:type="paragraph" w:customStyle="1" w:styleId="Accompagnant">
    <w:name w:val="Accompagnant"/>
    <w:basedOn w:val="Normal"/>
    <w:next w:val="Typeacteprincipal"/>
    <w:rsid w:val="00877878"/>
    <w:pPr>
      <w:spacing w:before="0" w:after="240"/>
      <w:jc w:val="center"/>
    </w:pPr>
    <w:rPr>
      <w:b/>
      <w:i/>
    </w:rPr>
  </w:style>
  <w:style w:type="paragraph" w:customStyle="1" w:styleId="Typeacteprincipal">
    <w:name w:val="Type acte principal"/>
    <w:basedOn w:val="Normal"/>
    <w:next w:val="Objetacteprincipal"/>
    <w:rsid w:val="00877878"/>
    <w:pPr>
      <w:spacing w:before="0" w:after="240"/>
      <w:jc w:val="center"/>
    </w:pPr>
    <w:rPr>
      <w:b/>
    </w:rPr>
  </w:style>
  <w:style w:type="paragraph" w:customStyle="1" w:styleId="Objetacteprincipal">
    <w:name w:val="Objet acte principal"/>
    <w:basedOn w:val="Normal"/>
    <w:next w:val="Titrearticle"/>
    <w:rsid w:val="00877878"/>
    <w:pPr>
      <w:spacing w:before="0" w:after="360"/>
      <w:jc w:val="center"/>
    </w:pPr>
    <w:rPr>
      <w:b/>
    </w:rPr>
  </w:style>
  <w:style w:type="paragraph" w:customStyle="1" w:styleId="IntrtEEEPagedecouverture">
    <w:name w:val="Intérêt EEE (Page de couverture)"/>
    <w:basedOn w:val="IntrtEEE"/>
    <w:next w:val="Rfrencecroise"/>
    <w:rsid w:val="00877878"/>
  </w:style>
  <w:style w:type="paragraph" w:customStyle="1" w:styleId="AccompagnantPagedecouverture">
    <w:name w:val="Accompagnant (Page de couverture)"/>
    <w:basedOn w:val="Accompagnant"/>
    <w:next w:val="TypeacteprincipalPagedecouverture"/>
    <w:rsid w:val="00877878"/>
  </w:style>
  <w:style w:type="paragraph" w:customStyle="1" w:styleId="TypeacteprincipalPagedecouverture">
    <w:name w:val="Type acte principal (Page de couverture)"/>
    <w:basedOn w:val="Typeacteprincipal"/>
    <w:next w:val="ObjetacteprincipalPagedecouverture"/>
    <w:rsid w:val="00877878"/>
  </w:style>
  <w:style w:type="paragraph" w:customStyle="1" w:styleId="ObjetacteprincipalPagedecouverture">
    <w:name w:val="Objet acte principal (Page de couverture)"/>
    <w:basedOn w:val="Objetacteprincipal"/>
    <w:next w:val="Rfrencecroise"/>
    <w:rsid w:val="00877878"/>
  </w:style>
  <w:style w:type="paragraph" w:customStyle="1" w:styleId="LanguesfaisantfoiPagedecouverture">
    <w:name w:val="Langues faisant foi (Page de couverture)"/>
    <w:basedOn w:val="Normal"/>
    <w:next w:val="Normal"/>
    <w:rsid w:val="00877878"/>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rsid w:val="00877878"/>
    <w:pPr>
      <w:keepNext/>
      <w:numPr>
        <w:numId w:val="4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877878"/>
    <w:pPr>
      <w:keepNext/>
      <w:numPr>
        <w:ilvl w:val="1"/>
        <w:numId w:val="4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877878"/>
    <w:pPr>
      <w:keepNext/>
      <w:numPr>
        <w:ilvl w:val="2"/>
        <w:numId w:val="41"/>
      </w:numPr>
      <w:outlineLvl w:val="2"/>
    </w:pPr>
    <w:rPr>
      <w:rFonts w:eastAsiaTheme="majorEastAsia"/>
      <w:bCs/>
      <w:i/>
    </w:rPr>
  </w:style>
  <w:style w:type="paragraph" w:styleId="Heading4">
    <w:name w:val="heading 4"/>
    <w:basedOn w:val="Normal"/>
    <w:next w:val="Text1"/>
    <w:link w:val="Heading4Char"/>
    <w:uiPriority w:val="9"/>
    <w:semiHidden/>
    <w:unhideWhenUsed/>
    <w:qFormat/>
    <w:rsid w:val="00877878"/>
    <w:pPr>
      <w:keepNext/>
      <w:numPr>
        <w:ilvl w:val="3"/>
        <w:numId w:val="4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s-titreobjet">
    <w:name w:val="Sous-titre objet"/>
    <w:basedOn w:val="Normal"/>
    <w:uiPriority w:val="99"/>
    <w:rsid w:val="007D53B6"/>
    <w:pPr>
      <w:spacing w:before="0" w:after="0"/>
      <w:jc w:val="center"/>
    </w:pPr>
    <w:rPr>
      <w:b/>
    </w:rPr>
  </w:style>
  <w:style w:type="paragraph" w:customStyle="1" w:styleId="Sous-titreobjetPagedecouverture">
    <w:name w:val="Sous-titre objet (Page de couverture)"/>
    <w:basedOn w:val="Sous-titreobjet"/>
    <w:uiPriority w:val="99"/>
    <w:rsid w:val="007D53B6"/>
  </w:style>
  <w:style w:type="character" w:styleId="CommentReference">
    <w:name w:val="annotation reference"/>
    <w:basedOn w:val="DefaultParagraphFont"/>
    <w:unhideWhenUsed/>
    <w:rsid w:val="00DE6CFA"/>
    <w:rPr>
      <w:sz w:val="16"/>
      <w:szCs w:val="16"/>
    </w:rPr>
  </w:style>
  <w:style w:type="paragraph" w:styleId="CommentText">
    <w:name w:val="annotation text"/>
    <w:basedOn w:val="Normal"/>
    <w:link w:val="CommentTextChar"/>
    <w:uiPriority w:val="99"/>
    <w:unhideWhenUsed/>
    <w:rsid w:val="00DE6CFA"/>
    <w:rPr>
      <w:sz w:val="20"/>
      <w:szCs w:val="20"/>
    </w:rPr>
  </w:style>
  <w:style w:type="character" w:customStyle="1" w:styleId="CommentTextChar">
    <w:name w:val="Comment Text Char"/>
    <w:basedOn w:val="DefaultParagraphFont"/>
    <w:link w:val="CommentText"/>
    <w:uiPriority w:val="99"/>
    <w:rsid w:val="00DE6CFA"/>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DE6CFA"/>
    <w:rPr>
      <w:b/>
      <w:bCs/>
    </w:rPr>
  </w:style>
  <w:style w:type="character" w:customStyle="1" w:styleId="CommentSubjectChar">
    <w:name w:val="Comment Subject Char"/>
    <w:basedOn w:val="CommentTextChar"/>
    <w:link w:val="CommentSubject"/>
    <w:uiPriority w:val="99"/>
    <w:semiHidden/>
    <w:rsid w:val="00DE6CFA"/>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DE6CFA"/>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6CFA"/>
    <w:rPr>
      <w:rFonts w:ascii="Tahoma" w:hAnsi="Tahoma" w:cs="Tahoma"/>
      <w:sz w:val="16"/>
      <w:szCs w:val="16"/>
      <w:lang w:val="en-GB"/>
    </w:rPr>
  </w:style>
  <w:style w:type="paragraph" w:styleId="Revision">
    <w:name w:val="Revision"/>
    <w:hidden/>
    <w:uiPriority w:val="99"/>
    <w:semiHidden/>
    <w:rsid w:val="00DE6CFA"/>
    <w:pPr>
      <w:spacing w:after="0" w:line="240" w:lineRule="auto"/>
    </w:pPr>
    <w:rPr>
      <w:rFonts w:ascii="Times New Roman" w:hAnsi="Times New Roman" w:cs="Times New Roman"/>
      <w:sz w:val="24"/>
      <w:lang w:val="en-GB"/>
    </w:rPr>
  </w:style>
  <w:style w:type="paragraph" w:styleId="ListBullet">
    <w:name w:val="List Bullet"/>
    <w:basedOn w:val="Normal"/>
    <w:uiPriority w:val="99"/>
    <w:semiHidden/>
    <w:unhideWhenUsed/>
    <w:rsid w:val="005D1F5C"/>
    <w:pPr>
      <w:numPr>
        <w:numId w:val="1"/>
      </w:numPr>
      <w:contextualSpacing/>
    </w:pPr>
  </w:style>
  <w:style w:type="paragraph" w:styleId="ListBullet2">
    <w:name w:val="List Bullet 2"/>
    <w:basedOn w:val="Normal"/>
    <w:uiPriority w:val="99"/>
    <w:semiHidden/>
    <w:unhideWhenUsed/>
    <w:rsid w:val="005D1F5C"/>
    <w:pPr>
      <w:numPr>
        <w:numId w:val="2"/>
      </w:numPr>
      <w:contextualSpacing/>
    </w:pPr>
  </w:style>
  <w:style w:type="paragraph" w:styleId="ListBullet3">
    <w:name w:val="List Bullet 3"/>
    <w:basedOn w:val="Normal"/>
    <w:uiPriority w:val="99"/>
    <w:semiHidden/>
    <w:unhideWhenUsed/>
    <w:rsid w:val="005D1F5C"/>
    <w:pPr>
      <w:numPr>
        <w:numId w:val="3"/>
      </w:numPr>
      <w:contextualSpacing/>
    </w:pPr>
  </w:style>
  <w:style w:type="paragraph" w:styleId="ListBullet4">
    <w:name w:val="List Bullet 4"/>
    <w:basedOn w:val="Normal"/>
    <w:uiPriority w:val="99"/>
    <w:semiHidden/>
    <w:unhideWhenUsed/>
    <w:rsid w:val="005D1F5C"/>
    <w:pPr>
      <w:numPr>
        <w:numId w:val="4"/>
      </w:numPr>
      <w:contextualSpacing/>
    </w:pPr>
  </w:style>
  <w:style w:type="character" w:styleId="Hyperlink">
    <w:name w:val="Hyperlink"/>
    <w:basedOn w:val="DefaultParagraphFont"/>
    <w:uiPriority w:val="99"/>
    <w:unhideWhenUsed/>
    <w:qFormat/>
    <w:rsid w:val="00E74D30"/>
    <w:rPr>
      <w:color w:val="0000FF" w:themeColor="hyperlink"/>
      <w:u w:val="single"/>
    </w:rPr>
  </w:style>
  <w:style w:type="character" w:styleId="FollowedHyperlink">
    <w:name w:val="FollowedHyperlink"/>
    <w:basedOn w:val="DefaultParagraphFont"/>
    <w:uiPriority w:val="99"/>
    <w:semiHidden/>
    <w:unhideWhenUsed/>
    <w:rsid w:val="00E74D30"/>
    <w:rPr>
      <w:color w:val="800080" w:themeColor="followedHyperlink"/>
      <w:u w:val="single"/>
    </w:rPr>
  </w:style>
  <w:style w:type="character" w:customStyle="1" w:styleId="italic1">
    <w:name w:val="italic1"/>
    <w:basedOn w:val="DefaultParagraphFont"/>
    <w:rsid w:val="00247593"/>
    <w:rPr>
      <w:i/>
      <w:iCs/>
    </w:rPr>
  </w:style>
  <w:style w:type="paragraph" w:styleId="ListParagraph">
    <w:name w:val="List Paragraph"/>
    <w:aliases w:val="Table of contents numbered,Normal bullet 2,Antes de enumeración,Párrafo de lista1,Bullet list,List Paragraph1,Dot pt,F5 List Paragraph,No Spacing1,List Paragraph Char Char Char,Indicator Text,Colorful List - Accent 11,Numbered Para 1,L"/>
    <w:basedOn w:val="Normal"/>
    <w:link w:val="ListParagraphChar"/>
    <w:uiPriority w:val="34"/>
    <w:qFormat/>
    <w:rsid w:val="00612219"/>
    <w:pPr>
      <w:ind w:left="720"/>
      <w:contextualSpacing/>
    </w:pPr>
  </w:style>
  <w:style w:type="paragraph" w:customStyle="1" w:styleId="CM1">
    <w:name w:val="CM1"/>
    <w:basedOn w:val="Normal"/>
    <w:next w:val="Normal"/>
    <w:uiPriority w:val="99"/>
    <w:rsid w:val="00AD53CE"/>
    <w:pPr>
      <w:autoSpaceDE w:val="0"/>
      <w:autoSpaceDN w:val="0"/>
      <w:adjustRightInd w:val="0"/>
      <w:spacing w:before="0" w:after="0"/>
      <w:jc w:val="left"/>
    </w:pPr>
    <w:rPr>
      <w:rFonts w:ascii="EUAlbertina" w:hAnsi="EUAlbertina" w:cstheme="minorBidi"/>
      <w:szCs w:val="24"/>
    </w:rPr>
  </w:style>
  <w:style w:type="paragraph" w:customStyle="1" w:styleId="CM3">
    <w:name w:val="CM3"/>
    <w:basedOn w:val="Normal"/>
    <w:next w:val="Normal"/>
    <w:uiPriority w:val="99"/>
    <w:rsid w:val="00AD53CE"/>
    <w:pPr>
      <w:autoSpaceDE w:val="0"/>
      <w:autoSpaceDN w:val="0"/>
      <w:adjustRightInd w:val="0"/>
      <w:spacing w:before="0" w:after="0"/>
      <w:jc w:val="left"/>
    </w:pPr>
    <w:rPr>
      <w:rFonts w:ascii="EUAlbertina" w:hAnsi="EUAlbertina" w:cstheme="minorBidi"/>
      <w:szCs w:val="24"/>
    </w:rPr>
  </w:style>
  <w:style w:type="paragraph" w:customStyle="1" w:styleId="title-article-norm">
    <w:name w:val="title-article-norm"/>
    <w:basedOn w:val="Normal"/>
    <w:uiPriority w:val="99"/>
    <w:rsid w:val="00E57E1F"/>
    <w:pPr>
      <w:spacing w:before="100" w:beforeAutospacing="1" w:after="100" w:afterAutospacing="1"/>
      <w:jc w:val="left"/>
    </w:pPr>
    <w:rPr>
      <w:rFonts w:eastAsia="Times New Roman"/>
      <w:szCs w:val="24"/>
      <w:lang w:eastAsia="en-GB"/>
    </w:rPr>
  </w:style>
  <w:style w:type="paragraph" w:customStyle="1" w:styleId="stitle-article-norm">
    <w:name w:val="stitle-article-norm"/>
    <w:basedOn w:val="Normal"/>
    <w:uiPriority w:val="99"/>
    <w:rsid w:val="00E57E1F"/>
    <w:pPr>
      <w:spacing w:before="100" w:beforeAutospacing="1" w:after="100" w:afterAutospacing="1"/>
      <w:jc w:val="left"/>
    </w:pPr>
    <w:rPr>
      <w:rFonts w:eastAsia="Times New Roman"/>
      <w:szCs w:val="24"/>
      <w:lang w:eastAsia="en-GB"/>
    </w:rPr>
  </w:style>
  <w:style w:type="paragraph" w:customStyle="1" w:styleId="norm">
    <w:name w:val="norm"/>
    <w:basedOn w:val="Normal"/>
    <w:uiPriority w:val="99"/>
    <w:rsid w:val="00E57E1F"/>
    <w:pPr>
      <w:spacing w:before="100" w:beforeAutospacing="1" w:after="100" w:afterAutospacing="1"/>
      <w:jc w:val="left"/>
    </w:pPr>
    <w:rPr>
      <w:rFonts w:eastAsia="Times New Roman"/>
      <w:szCs w:val="24"/>
      <w:lang w:eastAsia="en-GB"/>
    </w:rPr>
  </w:style>
  <w:style w:type="paragraph" w:customStyle="1" w:styleId="CM4">
    <w:name w:val="CM4"/>
    <w:basedOn w:val="Normal"/>
    <w:next w:val="Normal"/>
    <w:uiPriority w:val="99"/>
    <w:rsid w:val="00623468"/>
    <w:pPr>
      <w:autoSpaceDE w:val="0"/>
      <w:autoSpaceDN w:val="0"/>
      <w:adjustRightInd w:val="0"/>
      <w:spacing w:before="0" w:after="0"/>
      <w:jc w:val="left"/>
    </w:pPr>
    <w:rPr>
      <w:rFonts w:ascii="EUAlbertina" w:hAnsi="EUAlbertina" w:cstheme="minorBidi"/>
      <w:szCs w:val="24"/>
    </w:rPr>
  </w:style>
  <w:style w:type="paragraph" w:customStyle="1" w:styleId="Default">
    <w:name w:val="Default"/>
    <w:uiPriority w:val="99"/>
    <w:rsid w:val="005C719E"/>
    <w:pPr>
      <w:autoSpaceDE w:val="0"/>
      <w:autoSpaceDN w:val="0"/>
      <w:adjustRightInd w:val="0"/>
      <w:spacing w:after="0" w:line="240" w:lineRule="auto"/>
    </w:pPr>
    <w:rPr>
      <w:rFonts w:ascii="EU Albertina" w:hAnsi="EU Albertina" w:cs="EU Albertina"/>
      <w:color w:val="000000"/>
      <w:sz w:val="24"/>
      <w:szCs w:val="24"/>
      <w:lang w:val="en-GB"/>
    </w:rPr>
  </w:style>
  <w:style w:type="paragraph" w:customStyle="1" w:styleId="Body">
    <w:name w:val="Body"/>
    <w:link w:val="BodyChar"/>
    <w:qFormat/>
    <w:rsid w:val="001C2FE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n-GB"/>
    </w:rPr>
  </w:style>
  <w:style w:type="numbering" w:customStyle="1" w:styleId="Lettered">
    <w:name w:val="Lettered"/>
    <w:rsid w:val="001C2FE7"/>
    <w:pPr>
      <w:numPr>
        <w:numId w:val="5"/>
      </w:numPr>
    </w:pPr>
  </w:style>
  <w:style w:type="paragraph" w:customStyle="1" w:styleId="Corpo">
    <w:name w:val="Corpo"/>
    <w:uiPriority w:val="99"/>
    <w:rsid w:val="0072797A"/>
    <w:pPr>
      <w:pBdr>
        <w:top w:val="nil"/>
        <w:left w:val="nil"/>
        <w:bottom w:val="nil"/>
        <w:right w:val="nil"/>
        <w:between w:val="nil"/>
        <w:bar w:val="nil"/>
      </w:pBdr>
    </w:pPr>
    <w:rPr>
      <w:rFonts w:ascii="Calibri" w:eastAsia="Calibri" w:hAnsi="Calibri" w:cs="Calibri"/>
      <w:color w:val="000000"/>
      <w:u w:color="000000"/>
      <w:bdr w:val="nil"/>
      <w:lang w:eastAsia="en-GB"/>
    </w:rPr>
  </w:style>
  <w:style w:type="character" w:customStyle="1" w:styleId="super">
    <w:name w:val="super"/>
    <w:basedOn w:val="DefaultParagraphFont"/>
    <w:rsid w:val="0072797A"/>
    <w:rPr>
      <w:sz w:val="17"/>
      <w:szCs w:val="17"/>
      <w:vertAlign w:val="superscript"/>
    </w:rPr>
  </w:style>
  <w:style w:type="paragraph" w:styleId="NormalWeb">
    <w:name w:val="Normal (Web)"/>
    <w:basedOn w:val="Normal"/>
    <w:uiPriority w:val="99"/>
    <w:unhideWhenUsed/>
    <w:rsid w:val="00410769"/>
    <w:pPr>
      <w:spacing w:before="100" w:beforeAutospacing="1" w:after="100" w:afterAutospacing="1"/>
      <w:jc w:val="left"/>
    </w:pPr>
    <w:rPr>
      <w:rFonts w:eastAsia="Times New Roman"/>
      <w:szCs w:val="24"/>
      <w:lang w:eastAsia="en-GB"/>
    </w:rPr>
  </w:style>
  <w:style w:type="character" w:customStyle="1" w:styleId="sup1">
    <w:name w:val="sup1"/>
    <w:basedOn w:val="DefaultParagraphFont"/>
    <w:rsid w:val="00410769"/>
    <w:rPr>
      <w:sz w:val="19"/>
      <w:szCs w:val="19"/>
      <w:vertAlign w:val="superscript"/>
    </w:rPr>
  </w:style>
  <w:style w:type="paragraph" w:customStyle="1" w:styleId="FootnoteText1">
    <w:name w:val="Footnote Text1"/>
    <w:basedOn w:val="Normal"/>
    <w:next w:val="FootnoteText"/>
    <w:uiPriority w:val="99"/>
    <w:unhideWhenUsed/>
    <w:rsid w:val="00211ACE"/>
    <w:pPr>
      <w:spacing w:before="0" w:after="0"/>
      <w:jc w:val="left"/>
    </w:pPr>
    <w:rPr>
      <w:rFonts w:asciiTheme="minorHAnsi" w:hAnsiTheme="minorHAnsi" w:cstheme="minorBidi"/>
      <w:sz w:val="20"/>
      <w:szCs w:val="20"/>
    </w:rPr>
  </w:style>
  <w:style w:type="character" w:customStyle="1" w:styleId="Hyperlink1">
    <w:name w:val="Hyperlink1"/>
    <w:basedOn w:val="DefaultParagraphFont"/>
    <w:uiPriority w:val="99"/>
    <w:unhideWhenUsed/>
    <w:rsid w:val="00211ACE"/>
    <w:rPr>
      <w:color w:val="0563C1"/>
      <w:u w:val="single"/>
    </w:rPr>
  </w:style>
  <w:style w:type="table" w:styleId="TableGrid">
    <w:name w:val="Table Grid"/>
    <w:aliases w:val="Document Table,CV1"/>
    <w:basedOn w:val="TableNormal"/>
    <w:uiPriority w:val="59"/>
    <w:rsid w:val="00211ACE"/>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Char">
    <w:name w:val="Body Char"/>
    <w:basedOn w:val="DefaultParagraphFont"/>
    <w:link w:val="Body"/>
    <w:locked/>
    <w:rsid w:val="00211ACE"/>
    <w:rPr>
      <w:rFonts w:ascii="Helvetica Neue" w:eastAsia="Arial Unicode MS" w:hAnsi="Helvetica Neue" w:cs="Arial Unicode MS"/>
      <w:color w:val="000000"/>
      <w:bdr w:val="nil"/>
      <w:lang w:eastAsia="en-GB"/>
    </w:rPr>
  </w:style>
  <w:style w:type="character" w:customStyle="1" w:styleId="ListParagraphChar">
    <w:name w:val="List Paragraph Char"/>
    <w:aliases w:val="Table of contents numbered Char,Normal bullet 2 Char,Antes de enumeración Char,Párrafo de lista1 Char,Bullet list Char,List Paragraph1 Char,Dot pt Char,F5 List Paragraph Char,No Spacing1 Char,List Paragraph Char Char Char Char,L Char"/>
    <w:link w:val="ListParagraph"/>
    <w:uiPriority w:val="34"/>
    <w:qFormat/>
    <w:locked/>
    <w:rsid w:val="00211ACE"/>
    <w:rPr>
      <w:rFonts w:ascii="Times New Roman" w:hAnsi="Times New Roman" w:cs="Times New Roman"/>
      <w:sz w:val="24"/>
      <w:lang w:val="en-GB"/>
    </w:rPr>
  </w:style>
  <w:style w:type="paragraph" w:customStyle="1" w:styleId="NormalLeftAligned">
    <w:name w:val="NormalLeftAligned"/>
    <w:basedOn w:val="Normal"/>
    <w:uiPriority w:val="6"/>
    <w:qFormat/>
    <w:rsid w:val="00211ACE"/>
    <w:pPr>
      <w:spacing w:line="240" w:lineRule="atLeast"/>
    </w:pPr>
    <w:rPr>
      <w:rFonts w:ascii="Arial" w:hAnsi="Arial"/>
      <w:sz w:val="20"/>
      <w:szCs w:val="24"/>
    </w:rPr>
  </w:style>
  <w:style w:type="paragraph" w:styleId="Caption">
    <w:name w:val="caption"/>
    <w:basedOn w:val="Normal"/>
    <w:next w:val="Normal"/>
    <w:uiPriority w:val="35"/>
    <w:semiHidden/>
    <w:unhideWhenUsed/>
    <w:qFormat/>
    <w:rsid w:val="005118F1"/>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5118F1"/>
    <w:pPr>
      <w:spacing w:after="0"/>
    </w:pPr>
  </w:style>
  <w:style w:type="paragraph" w:styleId="ListNumber">
    <w:name w:val="List Number"/>
    <w:basedOn w:val="Normal"/>
    <w:uiPriority w:val="99"/>
    <w:unhideWhenUsed/>
    <w:rsid w:val="005118F1"/>
    <w:pPr>
      <w:numPr>
        <w:numId w:val="8"/>
      </w:numPr>
      <w:contextualSpacing/>
    </w:pPr>
  </w:style>
  <w:style w:type="paragraph" w:styleId="ListNumber2">
    <w:name w:val="List Number 2"/>
    <w:basedOn w:val="Normal"/>
    <w:uiPriority w:val="99"/>
    <w:semiHidden/>
    <w:unhideWhenUsed/>
    <w:rsid w:val="005118F1"/>
    <w:pPr>
      <w:numPr>
        <w:numId w:val="9"/>
      </w:numPr>
      <w:contextualSpacing/>
    </w:pPr>
  </w:style>
  <w:style w:type="paragraph" w:styleId="ListNumber3">
    <w:name w:val="List Number 3"/>
    <w:basedOn w:val="Normal"/>
    <w:uiPriority w:val="99"/>
    <w:semiHidden/>
    <w:unhideWhenUsed/>
    <w:rsid w:val="005118F1"/>
    <w:pPr>
      <w:numPr>
        <w:numId w:val="10"/>
      </w:numPr>
      <w:contextualSpacing/>
    </w:pPr>
  </w:style>
  <w:style w:type="paragraph" w:styleId="ListNumber4">
    <w:name w:val="List Number 4"/>
    <w:basedOn w:val="Normal"/>
    <w:uiPriority w:val="99"/>
    <w:semiHidden/>
    <w:unhideWhenUsed/>
    <w:rsid w:val="005118F1"/>
    <w:pPr>
      <w:numPr>
        <w:numId w:val="11"/>
      </w:numPr>
      <w:contextualSpacing/>
    </w:pPr>
  </w:style>
  <w:style w:type="paragraph" w:customStyle="1" w:styleId="ListDash1">
    <w:name w:val="List Dash 1"/>
    <w:basedOn w:val="Normal"/>
    <w:uiPriority w:val="99"/>
    <w:rsid w:val="00242822"/>
    <w:pPr>
      <w:ind w:left="1134"/>
    </w:pPr>
    <w:rPr>
      <w:rFonts w:eastAsia="Times New Roman"/>
      <w:noProof/>
      <w:lang w:eastAsia="en-GB"/>
    </w:rPr>
  </w:style>
  <w:style w:type="paragraph" w:customStyle="1" w:styleId="ListDash2">
    <w:name w:val="List Dash 2"/>
    <w:basedOn w:val="Normal"/>
    <w:uiPriority w:val="99"/>
    <w:rsid w:val="006A5B18"/>
    <w:pPr>
      <w:numPr>
        <w:numId w:val="13"/>
      </w:numPr>
    </w:pPr>
    <w:rPr>
      <w:rFonts w:eastAsia="Times New Roman"/>
      <w:lang w:eastAsia="en-GB"/>
    </w:rPr>
  </w:style>
  <w:style w:type="paragraph" w:customStyle="1" w:styleId="ListNumberLevel2">
    <w:name w:val="List Number (Level 2)"/>
    <w:basedOn w:val="Normal"/>
    <w:uiPriority w:val="99"/>
    <w:rsid w:val="006A5B18"/>
    <w:pPr>
      <w:tabs>
        <w:tab w:val="num" w:pos="1417"/>
      </w:tabs>
      <w:ind w:left="1417" w:hanging="708"/>
    </w:pPr>
    <w:rPr>
      <w:rFonts w:eastAsia="Times New Roman"/>
      <w:lang w:eastAsia="en-GB"/>
    </w:rPr>
  </w:style>
  <w:style w:type="paragraph" w:customStyle="1" w:styleId="ListNumberLevel3">
    <w:name w:val="List Number (Level 3)"/>
    <w:basedOn w:val="Normal"/>
    <w:uiPriority w:val="99"/>
    <w:rsid w:val="007A40BE"/>
    <w:pPr>
      <w:numPr>
        <w:ilvl w:val="2"/>
        <w:numId w:val="14"/>
      </w:numPr>
      <w:tabs>
        <w:tab w:val="clear" w:pos="2126"/>
        <w:tab w:val="num" w:pos="1843"/>
      </w:tabs>
    </w:pPr>
    <w:rPr>
      <w:rFonts w:eastAsia="Times New Roman"/>
      <w:noProof/>
      <w:lang w:eastAsia="en-GB"/>
    </w:rPr>
  </w:style>
  <w:style w:type="paragraph" w:customStyle="1" w:styleId="ListNumberLevel4">
    <w:name w:val="List Number (Level 4)"/>
    <w:basedOn w:val="Normal"/>
    <w:uiPriority w:val="99"/>
    <w:rsid w:val="006A5B18"/>
    <w:pPr>
      <w:tabs>
        <w:tab w:val="num" w:pos="2835"/>
      </w:tabs>
      <w:ind w:left="2835" w:hanging="709"/>
    </w:pPr>
    <w:rPr>
      <w:rFonts w:eastAsia="Times New Roman"/>
      <w:lang w:eastAsia="en-GB"/>
    </w:rPr>
  </w:style>
  <w:style w:type="paragraph" w:styleId="EndnoteText">
    <w:name w:val="endnote text"/>
    <w:basedOn w:val="Normal"/>
    <w:link w:val="EndnoteTextChar"/>
    <w:uiPriority w:val="99"/>
    <w:semiHidden/>
    <w:unhideWhenUsed/>
    <w:rsid w:val="007A20D4"/>
    <w:pPr>
      <w:spacing w:before="0" w:after="0"/>
    </w:pPr>
    <w:rPr>
      <w:sz w:val="20"/>
      <w:szCs w:val="20"/>
    </w:rPr>
  </w:style>
  <w:style w:type="character" w:customStyle="1" w:styleId="EndnoteTextChar">
    <w:name w:val="Endnote Text Char"/>
    <w:basedOn w:val="DefaultParagraphFont"/>
    <w:link w:val="EndnoteText"/>
    <w:uiPriority w:val="99"/>
    <w:semiHidden/>
    <w:rsid w:val="007A20D4"/>
    <w:rPr>
      <w:rFonts w:ascii="Times New Roman" w:hAnsi="Times New Roman" w:cs="Times New Roman"/>
      <w:sz w:val="20"/>
      <w:szCs w:val="20"/>
      <w:lang w:val="en-GB"/>
    </w:rPr>
  </w:style>
  <w:style w:type="character" w:styleId="EndnoteReference">
    <w:name w:val="endnote reference"/>
    <w:basedOn w:val="DefaultParagraphFont"/>
    <w:uiPriority w:val="99"/>
    <w:semiHidden/>
    <w:unhideWhenUsed/>
    <w:rsid w:val="007A20D4"/>
    <w:rPr>
      <w:vertAlign w:val="superscript"/>
    </w:rPr>
  </w:style>
  <w:style w:type="paragraph" w:styleId="NormalIndent">
    <w:name w:val="Normal Indent"/>
    <w:basedOn w:val="Normal"/>
    <w:uiPriority w:val="99"/>
    <w:unhideWhenUsed/>
    <w:rsid w:val="009A1FC5"/>
    <w:pPr>
      <w:ind w:left="720"/>
    </w:pPr>
  </w:style>
  <w:style w:type="character" w:customStyle="1" w:styleId="st1">
    <w:name w:val="st1"/>
    <w:basedOn w:val="DefaultParagraphFont"/>
    <w:rsid w:val="00B76A88"/>
  </w:style>
  <w:style w:type="character" w:customStyle="1" w:styleId="highlight">
    <w:name w:val="highlight"/>
    <w:basedOn w:val="DefaultParagraphFont"/>
    <w:rsid w:val="00B76A88"/>
    <w:rPr>
      <w:shd w:val="clear" w:color="auto" w:fill="auto"/>
    </w:rPr>
  </w:style>
  <w:style w:type="character" w:styleId="Strong">
    <w:name w:val="Strong"/>
    <w:basedOn w:val="DefaultParagraphFont"/>
    <w:uiPriority w:val="22"/>
    <w:qFormat/>
    <w:rsid w:val="0009563A"/>
    <w:rPr>
      <w:b/>
      <w:bCs/>
    </w:rPr>
  </w:style>
  <w:style w:type="paragraph" w:styleId="Header">
    <w:name w:val="header"/>
    <w:basedOn w:val="Normal"/>
    <w:link w:val="HeaderChar"/>
    <w:uiPriority w:val="99"/>
    <w:unhideWhenUsed/>
    <w:rsid w:val="00377BF1"/>
    <w:pPr>
      <w:tabs>
        <w:tab w:val="center" w:pos="4535"/>
        <w:tab w:val="right" w:pos="9071"/>
      </w:tabs>
      <w:spacing w:before="0"/>
    </w:pPr>
  </w:style>
  <w:style w:type="character" w:customStyle="1" w:styleId="HeaderChar">
    <w:name w:val="Header Char"/>
    <w:basedOn w:val="DefaultParagraphFont"/>
    <w:link w:val="Header"/>
    <w:uiPriority w:val="99"/>
    <w:rsid w:val="00377BF1"/>
    <w:rPr>
      <w:rFonts w:ascii="Times New Roman" w:hAnsi="Times New Roman" w:cs="Times New Roman"/>
      <w:sz w:val="24"/>
      <w:lang w:val="bg-BG"/>
    </w:rPr>
  </w:style>
  <w:style w:type="paragraph" w:styleId="Footer">
    <w:name w:val="footer"/>
    <w:basedOn w:val="Normal"/>
    <w:link w:val="FooterChar"/>
    <w:uiPriority w:val="99"/>
    <w:unhideWhenUsed/>
    <w:rsid w:val="00377BF1"/>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377BF1"/>
    <w:rPr>
      <w:rFonts w:ascii="Times New Roman" w:hAnsi="Times New Roman" w:cs="Times New Roman"/>
      <w:sz w:val="24"/>
      <w:lang w:val="bg-BG"/>
    </w:rPr>
  </w:style>
  <w:style w:type="paragraph" w:styleId="FootnoteText">
    <w:name w:val="footnote text"/>
    <w:basedOn w:val="Normal"/>
    <w:link w:val="FootnoteTextChar"/>
    <w:uiPriority w:val="99"/>
    <w:semiHidden/>
    <w:unhideWhenUsed/>
    <w:rsid w:val="00877878"/>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877878"/>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877878"/>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sid w:val="00877878"/>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sid w:val="00877878"/>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sid w:val="00877878"/>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rsid w:val="00877878"/>
    <w:pPr>
      <w:spacing w:after="240"/>
      <w:jc w:val="center"/>
    </w:pPr>
    <w:rPr>
      <w:b/>
      <w:sz w:val="28"/>
    </w:rPr>
  </w:style>
  <w:style w:type="paragraph" w:styleId="TOC1">
    <w:name w:val="toc 1"/>
    <w:basedOn w:val="Normal"/>
    <w:next w:val="Normal"/>
    <w:uiPriority w:val="39"/>
    <w:semiHidden/>
    <w:unhideWhenUsed/>
    <w:rsid w:val="00877878"/>
    <w:pPr>
      <w:tabs>
        <w:tab w:val="right" w:leader="dot" w:pos="9071"/>
      </w:tabs>
      <w:spacing w:before="60"/>
      <w:ind w:left="850" w:hanging="850"/>
      <w:jc w:val="left"/>
    </w:pPr>
  </w:style>
  <w:style w:type="paragraph" w:styleId="TOC2">
    <w:name w:val="toc 2"/>
    <w:basedOn w:val="Normal"/>
    <w:next w:val="Normal"/>
    <w:uiPriority w:val="39"/>
    <w:semiHidden/>
    <w:unhideWhenUsed/>
    <w:rsid w:val="00877878"/>
    <w:pPr>
      <w:tabs>
        <w:tab w:val="right" w:leader="dot" w:pos="9071"/>
      </w:tabs>
      <w:spacing w:before="60"/>
      <w:ind w:left="850" w:hanging="850"/>
      <w:jc w:val="left"/>
    </w:pPr>
  </w:style>
  <w:style w:type="paragraph" w:styleId="TOC3">
    <w:name w:val="toc 3"/>
    <w:basedOn w:val="Normal"/>
    <w:next w:val="Normal"/>
    <w:uiPriority w:val="39"/>
    <w:semiHidden/>
    <w:unhideWhenUsed/>
    <w:rsid w:val="00877878"/>
    <w:pPr>
      <w:tabs>
        <w:tab w:val="right" w:leader="dot" w:pos="9071"/>
      </w:tabs>
      <w:spacing w:before="60"/>
      <w:ind w:left="850" w:hanging="850"/>
      <w:jc w:val="left"/>
    </w:pPr>
  </w:style>
  <w:style w:type="paragraph" w:styleId="TOC4">
    <w:name w:val="toc 4"/>
    <w:basedOn w:val="Normal"/>
    <w:next w:val="Normal"/>
    <w:uiPriority w:val="39"/>
    <w:semiHidden/>
    <w:unhideWhenUsed/>
    <w:rsid w:val="00877878"/>
    <w:pPr>
      <w:tabs>
        <w:tab w:val="right" w:leader="dot" w:pos="9071"/>
      </w:tabs>
      <w:spacing w:before="60"/>
      <w:ind w:left="850" w:hanging="850"/>
      <w:jc w:val="left"/>
    </w:pPr>
  </w:style>
  <w:style w:type="paragraph" w:styleId="TOC5">
    <w:name w:val="toc 5"/>
    <w:basedOn w:val="Normal"/>
    <w:next w:val="Normal"/>
    <w:uiPriority w:val="39"/>
    <w:semiHidden/>
    <w:unhideWhenUsed/>
    <w:rsid w:val="00877878"/>
    <w:pPr>
      <w:tabs>
        <w:tab w:val="right" w:leader="dot" w:pos="9071"/>
      </w:tabs>
      <w:spacing w:before="300"/>
      <w:jc w:val="left"/>
    </w:pPr>
  </w:style>
  <w:style w:type="paragraph" w:styleId="TOC6">
    <w:name w:val="toc 6"/>
    <w:basedOn w:val="Normal"/>
    <w:next w:val="Normal"/>
    <w:uiPriority w:val="39"/>
    <w:semiHidden/>
    <w:unhideWhenUsed/>
    <w:rsid w:val="00877878"/>
    <w:pPr>
      <w:tabs>
        <w:tab w:val="right" w:leader="dot" w:pos="9071"/>
      </w:tabs>
      <w:spacing w:before="240"/>
      <w:jc w:val="left"/>
    </w:pPr>
  </w:style>
  <w:style w:type="paragraph" w:styleId="TOC7">
    <w:name w:val="toc 7"/>
    <w:basedOn w:val="Normal"/>
    <w:next w:val="Normal"/>
    <w:uiPriority w:val="39"/>
    <w:semiHidden/>
    <w:unhideWhenUsed/>
    <w:rsid w:val="00877878"/>
    <w:pPr>
      <w:tabs>
        <w:tab w:val="right" w:leader="dot" w:pos="9071"/>
      </w:tabs>
      <w:spacing w:before="180"/>
      <w:jc w:val="left"/>
    </w:pPr>
  </w:style>
  <w:style w:type="paragraph" w:styleId="TOC8">
    <w:name w:val="toc 8"/>
    <w:basedOn w:val="Normal"/>
    <w:next w:val="Normal"/>
    <w:uiPriority w:val="39"/>
    <w:semiHidden/>
    <w:unhideWhenUsed/>
    <w:rsid w:val="00877878"/>
    <w:pPr>
      <w:tabs>
        <w:tab w:val="right" w:leader="dot" w:pos="9071"/>
      </w:tabs>
      <w:jc w:val="left"/>
    </w:pPr>
  </w:style>
  <w:style w:type="paragraph" w:styleId="TOC9">
    <w:name w:val="toc 9"/>
    <w:basedOn w:val="Normal"/>
    <w:next w:val="Normal"/>
    <w:uiPriority w:val="39"/>
    <w:semiHidden/>
    <w:unhideWhenUsed/>
    <w:rsid w:val="00877878"/>
    <w:pPr>
      <w:tabs>
        <w:tab w:val="right" w:leader="dot" w:pos="9071"/>
      </w:tabs>
    </w:pPr>
  </w:style>
  <w:style w:type="paragraph" w:customStyle="1" w:styleId="HeaderLandscape">
    <w:name w:val="HeaderLandscape"/>
    <w:basedOn w:val="Normal"/>
    <w:rsid w:val="00377BF1"/>
    <w:pPr>
      <w:tabs>
        <w:tab w:val="center" w:pos="7285"/>
        <w:tab w:val="right" w:pos="14003"/>
      </w:tabs>
      <w:spacing w:before="0"/>
    </w:pPr>
  </w:style>
  <w:style w:type="paragraph" w:customStyle="1" w:styleId="FooterLandscape">
    <w:name w:val="FooterLandscape"/>
    <w:basedOn w:val="Normal"/>
    <w:rsid w:val="00377BF1"/>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877878"/>
    <w:rPr>
      <w:shd w:val="clear" w:color="auto" w:fill="auto"/>
      <w:vertAlign w:val="superscript"/>
    </w:rPr>
  </w:style>
  <w:style w:type="paragraph" w:customStyle="1" w:styleId="HeaderSensitivity">
    <w:name w:val="Header Sensitivity"/>
    <w:basedOn w:val="Normal"/>
    <w:rsid w:val="00377BF1"/>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rsid w:val="00377BF1"/>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877878"/>
    <w:pPr>
      <w:ind w:left="850"/>
    </w:pPr>
  </w:style>
  <w:style w:type="paragraph" w:customStyle="1" w:styleId="Text2">
    <w:name w:val="Text 2"/>
    <w:basedOn w:val="Normal"/>
    <w:rsid w:val="00877878"/>
    <w:pPr>
      <w:ind w:left="1417"/>
    </w:pPr>
  </w:style>
  <w:style w:type="paragraph" w:customStyle="1" w:styleId="Text3">
    <w:name w:val="Text 3"/>
    <w:basedOn w:val="Normal"/>
    <w:rsid w:val="00877878"/>
    <w:pPr>
      <w:ind w:left="1984"/>
    </w:pPr>
  </w:style>
  <w:style w:type="paragraph" w:customStyle="1" w:styleId="Text4">
    <w:name w:val="Text 4"/>
    <w:basedOn w:val="Normal"/>
    <w:rsid w:val="00877878"/>
    <w:pPr>
      <w:ind w:left="2551"/>
    </w:pPr>
  </w:style>
  <w:style w:type="paragraph" w:customStyle="1" w:styleId="NormalCentered">
    <w:name w:val="Normal Centered"/>
    <w:basedOn w:val="Normal"/>
    <w:rsid w:val="00877878"/>
    <w:pPr>
      <w:jc w:val="center"/>
    </w:pPr>
  </w:style>
  <w:style w:type="paragraph" w:customStyle="1" w:styleId="NormalLeft">
    <w:name w:val="Normal Left"/>
    <w:basedOn w:val="Normal"/>
    <w:rsid w:val="00877878"/>
    <w:pPr>
      <w:jc w:val="left"/>
    </w:pPr>
  </w:style>
  <w:style w:type="paragraph" w:customStyle="1" w:styleId="NormalRight">
    <w:name w:val="Normal Right"/>
    <w:basedOn w:val="Normal"/>
    <w:rsid w:val="00877878"/>
    <w:pPr>
      <w:jc w:val="right"/>
    </w:pPr>
  </w:style>
  <w:style w:type="paragraph" w:customStyle="1" w:styleId="QuotedText">
    <w:name w:val="Quoted Text"/>
    <w:basedOn w:val="Normal"/>
    <w:rsid w:val="00877878"/>
    <w:pPr>
      <w:ind w:left="1417"/>
    </w:pPr>
  </w:style>
  <w:style w:type="paragraph" w:customStyle="1" w:styleId="Point0">
    <w:name w:val="Point 0"/>
    <w:basedOn w:val="Normal"/>
    <w:rsid w:val="00877878"/>
    <w:pPr>
      <w:ind w:left="850" w:hanging="850"/>
    </w:pPr>
  </w:style>
  <w:style w:type="paragraph" w:customStyle="1" w:styleId="Point1">
    <w:name w:val="Point 1"/>
    <w:basedOn w:val="Normal"/>
    <w:rsid w:val="00877878"/>
    <w:pPr>
      <w:ind w:left="1417" w:hanging="567"/>
    </w:pPr>
  </w:style>
  <w:style w:type="paragraph" w:customStyle="1" w:styleId="Point2">
    <w:name w:val="Point 2"/>
    <w:basedOn w:val="Normal"/>
    <w:rsid w:val="00877878"/>
    <w:pPr>
      <w:ind w:left="1984" w:hanging="567"/>
    </w:pPr>
  </w:style>
  <w:style w:type="paragraph" w:customStyle="1" w:styleId="Point3">
    <w:name w:val="Point 3"/>
    <w:basedOn w:val="Normal"/>
    <w:rsid w:val="00877878"/>
    <w:pPr>
      <w:ind w:left="2551" w:hanging="567"/>
    </w:pPr>
  </w:style>
  <w:style w:type="paragraph" w:customStyle="1" w:styleId="Point4">
    <w:name w:val="Point 4"/>
    <w:basedOn w:val="Normal"/>
    <w:rsid w:val="00877878"/>
    <w:pPr>
      <w:ind w:left="3118" w:hanging="567"/>
    </w:pPr>
  </w:style>
  <w:style w:type="paragraph" w:customStyle="1" w:styleId="Tiret0">
    <w:name w:val="Tiret 0"/>
    <w:basedOn w:val="Point0"/>
    <w:rsid w:val="00877878"/>
    <w:pPr>
      <w:numPr>
        <w:numId w:val="35"/>
      </w:numPr>
    </w:pPr>
  </w:style>
  <w:style w:type="paragraph" w:customStyle="1" w:styleId="Tiret1">
    <w:name w:val="Tiret 1"/>
    <w:basedOn w:val="Point1"/>
    <w:rsid w:val="00877878"/>
    <w:pPr>
      <w:numPr>
        <w:numId w:val="36"/>
      </w:numPr>
    </w:pPr>
  </w:style>
  <w:style w:type="paragraph" w:customStyle="1" w:styleId="Tiret2">
    <w:name w:val="Tiret 2"/>
    <w:basedOn w:val="Point2"/>
    <w:rsid w:val="00877878"/>
    <w:pPr>
      <w:numPr>
        <w:numId w:val="37"/>
      </w:numPr>
    </w:pPr>
  </w:style>
  <w:style w:type="paragraph" w:customStyle="1" w:styleId="Tiret3">
    <w:name w:val="Tiret 3"/>
    <w:basedOn w:val="Point3"/>
    <w:rsid w:val="00877878"/>
    <w:pPr>
      <w:numPr>
        <w:numId w:val="38"/>
      </w:numPr>
    </w:pPr>
  </w:style>
  <w:style w:type="paragraph" w:customStyle="1" w:styleId="Tiret4">
    <w:name w:val="Tiret 4"/>
    <w:basedOn w:val="Point4"/>
    <w:rsid w:val="00877878"/>
    <w:pPr>
      <w:numPr>
        <w:numId w:val="39"/>
      </w:numPr>
    </w:pPr>
  </w:style>
  <w:style w:type="paragraph" w:customStyle="1" w:styleId="PointDouble0">
    <w:name w:val="PointDouble 0"/>
    <w:basedOn w:val="Normal"/>
    <w:rsid w:val="00877878"/>
    <w:pPr>
      <w:tabs>
        <w:tab w:val="left" w:pos="850"/>
      </w:tabs>
      <w:ind w:left="1417" w:hanging="1417"/>
    </w:pPr>
  </w:style>
  <w:style w:type="paragraph" w:customStyle="1" w:styleId="PointDouble1">
    <w:name w:val="PointDouble 1"/>
    <w:basedOn w:val="Normal"/>
    <w:rsid w:val="00877878"/>
    <w:pPr>
      <w:tabs>
        <w:tab w:val="left" w:pos="1417"/>
      </w:tabs>
      <w:ind w:left="1984" w:hanging="1134"/>
    </w:pPr>
  </w:style>
  <w:style w:type="paragraph" w:customStyle="1" w:styleId="PointDouble2">
    <w:name w:val="PointDouble 2"/>
    <w:basedOn w:val="Normal"/>
    <w:rsid w:val="00877878"/>
    <w:pPr>
      <w:tabs>
        <w:tab w:val="left" w:pos="1984"/>
      </w:tabs>
      <w:ind w:left="2551" w:hanging="1134"/>
    </w:pPr>
  </w:style>
  <w:style w:type="paragraph" w:customStyle="1" w:styleId="PointDouble3">
    <w:name w:val="PointDouble 3"/>
    <w:basedOn w:val="Normal"/>
    <w:rsid w:val="00877878"/>
    <w:pPr>
      <w:tabs>
        <w:tab w:val="left" w:pos="2551"/>
      </w:tabs>
      <w:ind w:left="3118" w:hanging="1134"/>
    </w:pPr>
  </w:style>
  <w:style w:type="paragraph" w:customStyle="1" w:styleId="PointDouble4">
    <w:name w:val="PointDouble 4"/>
    <w:basedOn w:val="Normal"/>
    <w:rsid w:val="00877878"/>
    <w:pPr>
      <w:tabs>
        <w:tab w:val="left" w:pos="3118"/>
      </w:tabs>
      <w:ind w:left="3685" w:hanging="1134"/>
    </w:pPr>
  </w:style>
  <w:style w:type="paragraph" w:customStyle="1" w:styleId="PointTriple0">
    <w:name w:val="PointTriple 0"/>
    <w:basedOn w:val="Normal"/>
    <w:rsid w:val="00877878"/>
    <w:pPr>
      <w:tabs>
        <w:tab w:val="left" w:pos="850"/>
        <w:tab w:val="left" w:pos="1417"/>
      </w:tabs>
      <w:ind w:left="1984" w:hanging="1984"/>
    </w:pPr>
  </w:style>
  <w:style w:type="paragraph" w:customStyle="1" w:styleId="PointTriple1">
    <w:name w:val="PointTriple 1"/>
    <w:basedOn w:val="Normal"/>
    <w:rsid w:val="00877878"/>
    <w:pPr>
      <w:tabs>
        <w:tab w:val="left" w:pos="1417"/>
        <w:tab w:val="left" w:pos="1984"/>
      </w:tabs>
      <w:ind w:left="2551" w:hanging="1701"/>
    </w:pPr>
  </w:style>
  <w:style w:type="paragraph" w:customStyle="1" w:styleId="PointTriple2">
    <w:name w:val="PointTriple 2"/>
    <w:basedOn w:val="Normal"/>
    <w:rsid w:val="00877878"/>
    <w:pPr>
      <w:tabs>
        <w:tab w:val="left" w:pos="1984"/>
        <w:tab w:val="left" w:pos="2551"/>
      </w:tabs>
      <w:ind w:left="3118" w:hanging="1701"/>
    </w:pPr>
  </w:style>
  <w:style w:type="paragraph" w:customStyle="1" w:styleId="PointTriple3">
    <w:name w:val="PointTriple 3"/>
    <w:basedOn w:val="Normal"/>
    <w:rsid w:val="00877878"/>
    <w:pPr>
      <w:tabs>
        <w:tab w:val="left" w:pos="2551"/>
        <w:tab w:val="left" w:pos="3118"/>
      </w:tabs>
      <w:ind w:left="3685" w:hanging="1701"/>
    </w:pPr>
  </w:style>
  <w:style w:type="paragraph" w:customStyle="1" w:styleId="PointTriple4">
    <w:name w:val="PointTriple 4"/>
    <w:basedOn w:val="Normal"/>
    <w:rsid w:val="00877878"/>
    <w:pPr>
      <w:tabs>
        <w:tab w:val="left" w:pos="3118"/>
        <w:tab w:val="left" w:pos="3685"/>
      </w:tabs>
      <w:ind w:left="4252" w:hanging="1701"/>
    </w:pPr>
  </w:style>
  <w:style w:type="paragraph" w:customStyle="1" w:styleId="NumPar1">
    <w:name w:val="NumPar 1"/>
    <w:basedOn w:val="Normal"/>
    <w:next w:val="Text1"/>
    <w:rsid w:val="00877878"/>
    <w:pPr>
      <w:numPr>
        <w:numId w:val="40"/>
      </w:numPr>
    </w:pPr>
  </w:style>
  <w:style w:type="paragraph" w:customStyle="1" w:styleId="NumPar2">
    <w:name w:val="NumPar 2"/>
    <w:basedOn w:val="Normal"/>
    <w:next w:val="Text1"/>
    <w:rsid w:val="00877878"/>
    <w:pPr>
      <w:numPr>
        <w:ilvl w:val="1"/>
        <w:numId w:val="40"/>
      </w:numPr>
    </w:pPr>
  </w:style>
  <w:style w:type="paragraph" w:customStyle="1" w:styleId="NumPar3">
    <w:name w:val="NumPar 3"/>
    <w:basedOn w:val="Normal"/>
    <w:next w:val="Text1"/>
    <w:rsid w:val="00877878"/>
    <w:pPr>
      <w:numPr>
        <w:ilvl w:val="2"/>
        <w:numId w:val="40"/>
      </w:numPr>
    </w:pPr>
  </w:style>
  <w:style w:type="paragraph" w:customStyle="1" w:styleId="NumPar4">
    <w:name w:val="NumPar 4"/>
    <w:basedOn w:val="Normal"/>
    <w:next w:val="Text1"/>
    <w:rsid w:val="00877878"/>
    <w:pPr>
      <w:numPr>
        <w:ilvl w:val="3"/>
        <w:numId w:val="40"/>
      </w:numPr>
    </w:pPr>
  </w:style>
  <w:style w:type="paragraph" w:customStyle="1" w:styleId="ManualNumPar1">
    <w:name w:val="Manual NumPar 1"/>
    <w:basedOn w:val="Normal"/>
    <w:next w:val="Text1"/>
    <w:rsid w:val="00877878"/>
    <w:pPr>
      <w:ind w:left="850" w:hanging="850"/>
    </w:pPr>
  </w:style>
  <w:style w:type="paragraph" w:customStyle="1" w:styleId="ManualNumPar2">
    <w:name w:val="Manual NumPar 2"/>
    <w:basedOn w:val="Normal"/>
    <w:next w:val="Text1"/>
    <w:rsid w:val="00877878"/>
    <w:pPr>
      <w:ind w:left="850" w:hanging="850"/>
    </w:pPr>
  </w:style>
  <w:style w:type="paragraph" w:customStyle="1" w:styleId="ManualNumPar3">
    <w:name w:val="Manual NumPar 3"/>
    <w:basedOn w:val="Normal"/>
    <w:next w:val="Text1"/>
    <w:rsid w:val="00877878"/>
    <w:pPr>
      <w:ind w:left="850" w:hanging="850"/>
    </w:pPr>
  </w:style>
  <w:style w:type="paragraph" w:customStyle="1" w:styleId="ManualNumPar4">
    <w:name w:val="Manual NumPar 4"/>
    <w:basedOn w:val="Normal"/>
    <w:next w:val="Text1"/>
    <w:rsid w:val="00877878"/>
    <w:pPr>
      <w:ind w:left="850" w:hanging="850"/>
    </w:pPr>
  </w:style>
  <w:style w:type="paragraph" w:customStyle="1" w:styleId="QuotedNumPar">
    <w:name w:val="Quoted NumPar"/>
    <w:basedOn w:val="Normal"/>
    <w:rsid w:val="00877878"/>
    <w:pPr>
      <w:ind w:left="1417" w:hanging="567"/>
    </w:pPr>
  </w:style>
  <w:style w:type="paragraph" w:customStyle="1" w:styleId="ManualHeading1">
    <w:name w:val="Manual Heading 1"/>
    <w:basedOn w:val="Normal"/>
    <w:next w:val="Text1"/>
    <w:rsid w:val="00877878"/>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877878"/>
    <w:pPr>
      <w:keepNext/>
      <w:tabs>
        <w:tab w:val="left" w:pos="850"/>
      </w:tabs>
      <w:ind w:left="850" w:hanging="850"/>
      <w:outlineLvl w:val="1"/>
    </w:pPr>
    <w:rPr>
      <w:b/>
    </w:rPr>
  </w:style>
  <w:style w:type="paragraph" w:customStyle="1" w:styleId="ManualHeading3">
    <w:name w:val="Manual Heading 3"/>
    <w:basedOn w:val="Normal"/>
    <w:next w:val="Text1"/>
    <w:rsid w:val="00877878"/>
    <w:pPr>
      <w:keepNext/>
      <w:tabs>
        <w:tab w:val="left" w:pos="850"/>
      </w:tabs>
      <w:ind w:left="850" w:hanging="850"/>
      <w:outlineLvl w:val="2"/>
    </w:pPr>
    <w:rPr>
      <w:i/>
    </w:rPr>
  </w:style>
  <w:style w:type="paragraph" w:customStyle="1" w:styleId="ManualHeading4">
    <w:name w:val="Manual Heading 4"/>
    <w:basedOn w:val="Normal"/>
    <w:next w:val="Text1"/>
    <w:rsid w:val="00877878"/>
    <w:pPr>
      <w:keepNext/>
      <w:tabs>
        <w:tab w:val="left" w:pos="850"/>
      </w:tabs>
      <w:ind w:left="850" w:hanging="850"/>
      <w:outlineLvl w:val="3"/>
    </w:pPr>
  </w:style>
  <w:style w:type="paragraph" w:customStyle="1" w:styleId="ChapterTitle">
    <w:name w:val="ChapterTitle"/>
    <w:basedOn w:val="Normal"/>
    <w:next w:val="Normal"/>
    <w:rsid w:val="00877878"/>
    <w:pPr>
      <w:keepNext/>
      <w:spacing w:after="360"/>
      <w:jc w:val="center"/>
    </w:pPr>
    <w:rPr>
      <w:b/>
      <w:sz w:val="32"/>
    </w:rPr>
  </w:style>
  <w:style w:type="paragraph" w:customStyle="1" w:styleId="PartTitle">
    <w:name w:val="PartTitle"/>
    <w:basedOn w:val="Normal"/>
    <w:next w:val="ChapterTitle"/>
    <w:rsid w:val="00877878"/>
    <w:pPr>
      <w:keepNext/>
      <w:pageBreakBefore/>
      <w:spacing w:after="360"/>
      <w:jc w:val="center"/>
    </w:pPr>
    <w:rPr>
      <w:b/>
      <w:sz w:val="36"/>
    </w:rPr>
  </w:style>
  <w:style w:type="paragraph" w:customStyle="1" w:styleId="SectionTitle">
    <w:name w:val="SectionTitle"/>
    <w:basedOn w:val="Normal"/>
    <w:next w:val="Heading1"/>
    <w:rsid w:val="00877878"/>
    <w:pPr>
      <w:keepNext/>
      <w:spacing w:after="360"/>
      <w:jc w:val="center"/>
    </w:pPr>
    <w:rPr>
      <w:b/>
      <w:smallCaps/>
      <w:sz w:val="28"/>
    </w:rPr>
  </w:style>
  <w:style w:type="paragraph" w:customStyle="1" w:styleId="TableTitle">
    <w:name w:val="Table Title"/>
    <w:basedOn w:val="Normal"/>
    <w:next w:val="Normal"/>
    <w:rsid w:val="00877878"/>
    <w:pPr>
      <w:jc w:val="center"/>
    </w:pPr>
    <w:rPr>
      <w:b/>
    </w:rPr>
  </w:style>
  <w:style w:type="character" w:customStyle="1" w:styleId="Marker">
    <w:name w:val="Marker"/>
    <w:basedOn w:val="DefaultParagraphFont"/>
    <w:rsid w:val="00877878"/>
    <w:rPr>
      <w:color w:val="0000FF"/>
      <w:shd w:val="clear" w:color="auto" w:fill="auto"/>
    </w:rPr>
  </w:style>
  <w:style w:type="character" w:customStyle="1" w:styleId="Marker1">
    <w:name w:val="Marker1"/>
    <w:basedOn w:val="DefaultParagraphFont"/>
    <w:rsid w:val="00877878"/>
    <w:rPr>
      <w:color w:val="008000"/>
      <w:shd w:val="clear" w:color="auto" w:fill="auto"/>
    </w:rPr>
  </w:style>
  <w:style w:type="character" w:customStyle="1" w:styleId="Marker2">
    <w:name w:val="Marker2"/>
    <w:basedOn w:val="DefaultParagraphFont"/>
    <w:rsid w:val="00877878"/>
    <w:rPr>
      <w:color w:val="FF0000"/>
      <w:shd w:val="clear" w:color="auto" w:fill="auto"/>
    </w:rPr>
  </w:style>
  <w:style w:type="paragraph" w:customStyle="1" w:styleId="Point0number">
    <w:name w:val="Point 0 (number)"/>
    <w:basedOn w:val="Normal"/>
    <w:rsid w:val="00877878"/>
    <w:pPr>
      <w:numPr>
        <w:numId w:val="42"/>
      </w:numPr>
    </w:pPr>
  </w:style>
  <w:style w:type="paragraph" w:customStyle="1" w:styleId="Point1number">
    <w:name w:val="Point 1 (number)"/>
    <w:basedOn w:val="Normal"/>
    <w:rsid w:val="00877878"/>
    <w:pPr>
      <w:numPr>
        <w:ilvl w:val="2"/>
        <w:numId w:val="42"/>
      </w:numPr>
    </w:pPr>
  </w:style>
  <w:style w:type="paragraph" w:customStyle="1" w:styleId="Point2number">
    <w:name w:val="Point 2 (number)"/>
    <w:basedOn w:val="Normal"/>
    <w:rsid w:val="00877878"/>
    <w:pPr>
      <w:numPr>
        <w:ilvl w:val="4"/>
        <w:numId w:val="42"/>
      </w:numPr>
    </w:pPr>
  </w:style>
  <w:style w:type="paragraph" w:customStyle="1" w:styleId="Point3number">
    <w:name w:val="Point 3 (number)"/>
    <w:basedOn w:val="Normal"/>
    <w:rsid w:val="00877878"/>
    <w:pPr>
      <w:numPr>
        <w:ilvl w:val="6"/>
        <w:numId w:val="42"/>
      </w:numPr>
    </w:pPr>
  </w:style>
  <w:style w:type="paragraph" w:customStyle="1" w:styleId="Point0letter">
    <w:name w:val="Point 0 (letter)"/>
    <w:basedOn w:val="Normal"/>
    <w:rsid w:val="00877878"/>
    <w:pPr>
      <w:numPr>
        <w:ilvl w:val="1"/>
        <w:numId w:val="42"/>
      </w:numPr>
    </w:pPr>
  </w:style>
  <w:style w:type="paragraph" w:customStyle="1" w:styleId="Point1letter">
    <w:name w:val="Point 1 (letter)"/>
    <w:basedOn w:val="Normal"/>
    <w:rsid w:val="00877878"/>
    <w:pPr>
      <w:numPr>
        <w:ilvl w:val="3"/>
        <w:numId w:val="42"/>
      </w:numPr>
    </w:pPr>
  </w:style>
  <w:style w:type="paragraph" w:customStyle="1" w:styleId="Point2letter">
    <w:name w:val="Point 2 (letter)"/>
    <w:basedOn w:val="Normal"/>
    <w:rsid w:val="00877878"/>
    <w:pPr>
      <w:numPr>
        <w:ilvl w:val="5"/>
        <w:numId w:val="42"/>
      </w:numPr>
    </w:pPr>
  </w:style>
  <w:style w:type="paragraph" w:customStyle="1" w:styleId="Point3letter">
    <w:name w:val="Point 3 (letter)"/>
    <w:basedOn w:val="Normal"/>
    <w:rsid w:val="00877878"/>
    <w:pPr>
      <w:numPr>
        <w:ilvl w:val="7"/>
        <w:numId w:val="42"/>
      </w:numPr>
    </w:pPr>
  </w:style>
  <w:style w:type="paragraph" w:customStyle="1" w:styleId="Point4letter">
    <w:name w:val="Point 4 (letter)"/>
    <w:basedOn w:val="Normal"/>
    <w:rsid w:val="00877878"/>
    <w:pPr>
      <w:numPr>
        <w:ilvl w:val="8"/>
        <w:numId w:val="42"/>
      </w:numPr>
    </w:pPr>
  </w:style>
  <w:style w:type="paragraph" w:customStyle="1" w:styleId="Bullet0">
    <w:name w:val="Bullet 0"/>
    <w:basedOn w:val="Normal"/>
    <w:rsid w:val="00877878"/>
    <w:pPr>
      <w:numPr>
        <w:numId w:val="43"/>
      </w:numPr>
    </w:pPr>
  </w:style>
  <w:style w:type="paragraph" w:customStyle="1" w:styleId="Bullet1">
    <w:name w:val="Bullet 1"/>
    <w:basedOn w:val="Normal"/>
    <w:rsid w:val="00877878"/>
    <w:pPr>
      <w:numPr>
        <w:numId w:val="44"/>
      </w:numPr>
    </w:pPr>
  </w:style>
  <w:style w:type="paragraph" w:customStyle="1" w:styleId="Bullet2">
    <w:name w:val="Bullet 2"/>
    <w:basedOn w:val="Normal"/>
    <w:rsid w:val="00877878"/>
    <w:pPr>
      <w:numPr>
        <w:numId w:val="45"/>
      </w:numPr>
    </w:pPr>
  </w:style>
  <w:style w:type="paragraph" w:customStyle="1" w:styleId="Bullet3">
    <w:name w:val="Bullet 3"/>
    <w:basedOn w:val="Normal"/>
    <w:rsid w:val="00877878"/>
    <w:pPr>
      <w:numPr>
        <w:numId w:val="46"/>
      </w:numPr>
    </w:pPr>
  </w:style>
  <w:style w:type="paragraph" w:customStyle="1" w:styleId="Bullet4">
    <w:name w:val="Bullet 4"/>
    <w:basedOn w:val="Normal"/>
    <w:rsid w:val="00877878"/>
    <w:pPr>
      <w:numPr>
        <w:numId w:val="47"/>
      </w:numPr>
    </w:pPr>
  </w:style>
  <w:style w:type="paragraph" w:customStyle="1" w:styleId="Langue">
    <w:name w:val="Langue"/>
    <w:basedOn w:val="Normal"/>
    <w:next w:val="Rfrenceinterne"/>
    <w:rsid w:val="00877878"/>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877878"/>
    <w:pPr>
      <w:spacing w:before="0" w:after="0"/>
      <w:jc w:val="left"/>
    </w:pPr>
    <w:rPr>
      <w:rFonts w:ascii="Arial" w:hAnsi="Arial" w:cs="Arial"/>
    </w:rPr>
  </w:style>
  <w:style w:type="paragraph" w:customStyle="1" w:styleId="Emission">
    <w:name w:val="Emission"/>
    <w:basedOn w:val="Normal"/>
    <w:next w:val="Rfrenceinstitutionnelle"/>
    <w:rsid w:val="00877878"/>
    <w:pPr>
      <w:spacing w:before="0" w:after="0"/>
      <w:ind w:left="5103"/>
      <w:jc w:val="left"/>
    </w:pPr>
  </w:style>
  <w:style w:type="paragraph" w:customStyle="1" w:styleId="Rfrenceinstitutionnelle">
    <w:name w:val="Référence institutionnelle"/>
    <w:basedOn w:val="Normal"/>
    <w:next w:val="Confidentialit"/>
    <w:rsid w:val="00877878"/>
    <w:pPr>
      <w:spacing w:before="0" w:after="240"/>
      <w:ind w:left="5103"/>
      <w:jc w:val="left"/>
    </w:pPr>
  </w:style>
  <w:style w:type="paragraph" w:customStyle="1" w:styleId="Pagedecouverture">
    <w:name w:val="Page de couverture"/>
    <w:basedOn w:val="Normal"/>
    <w:next w:val="Normal"/>
    <w:rsid w:val="00877878"/>
    <w:pPr>
      <w:spacing w:before="0" w:after="0"/>
    </w:pPr>
  </w:style>
  <w:style w:type="paragraph" w:customStyle="1" w:styleId="Declassification">
    <w:name w:val="Declassification"/>
    <w:basedOn w:val="Normal"/>
    <w:next w:val="Normal"/>
    <w:rsid w:val="00877878"/>
    <w:pPr>
      <w:spacing w:before="0" w:after="0"/>
    </w:pPr>
  </w:style>
  <w:style w:type="paragraph" w:customStyle="1" w:styleId="Disclaimer">
    <w:name w:val="Disclaimer"/>
    <w:basedOn w:val="Normal"/>
    <w:rsid w:val="00877878"/>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rsid w:val="00877878"/>
    <w:pPr>
      <w:jc w:val="center"/>
    </w:pPr>
    <w:rPr>
      <w:b/>
      <w:u w:val="single"/>
    </w:rPr>
  </w:style>
  <w:style w:type="paragraph" w:customStyle="1" w:styleId="Annexetitre">
    <w:name w:val="Annexe titre"/>
    <w:basedOn w:val="Normal"/>
    <w:next w:val="Normal"/>
    <w:rsid w:val="00877878"/>
    <w:pPr>
      <w:jc w:val="center"/>
    </w:pPr>
    <w:rPr>
      <w:b/>
      <w:u w:val="single"/>
    </w:rPr>
  </w:style>
  <w:style w:type="paragraph" w:customStyle="1" w:styleId="Annexetitrefichefinancire">
    <w:name w:val="Annexe titre (fiche financière)"/>
    <w:basedOn w:val="Normal"/>
    <w:next w:val="Normal"/>
    <w:rsid w:val="00877878"/>
    <w:pPr>
      <w:jc w:val="center"/>
    </w:pPr>
    <w:rPr>
      <w:b/>
      <w:u w:val="single"/>
    </w:rPr>
  </w:style>
  <w:style w:type="paragraph" w:customStyle="1" w:styleId="Applicationdirecte">
    <w:name w:val="Application directe"/>
    <w:basedOn w:val="Normal"/>
    <w:next w:val="Fait"/>
    <w:rsid w:val="00877878"/>
    <w:pPr>
      <w:spacing w:before="480"/>
    </w:pPr>
  </w:style>
  <w:style w:type="paragraph" w:customStyle="1" w:styleId="Avertissementtitre">
    <w:name w:val="Avertissement titre"/>
    <w:basedOn w:val="Normal"/>
    <w:next w:val="Normal"/>
    <w:rsid w:val="00877878"/>
    <w:pPr>
      <w:keepNext/>
      <w:spacing w:before="480"/>
    </w:pPr>
    <w:rPr>
      <w:u w:val="single"/>
    </w:rPr>
  </w:style>
  <w:style w:type="paragraph" w:customStyle="1" w:styleId="Confidence">
    <w:name w:val="Confidence"/>
    <w:basedOn w:val="Normal"/>
    <w:next w:val="Normal"/>
    <w:rsid w:val="00877878"/>
    <w:pPr>
      <w:spacing w:before="360"/>
      <w:jc w:val="center"/>
    </w:pPr>
  </w:style>
  <w:style w:type="paragraph" w:customStyle="1" w:styleId="Confidentialit">
    <w:name w:val="Confidentialité"/>
    <w:basedOn w:val="Normal"/>
    <w:next w:val="TypedudocumentPagedecouverture"/>
    <w:rsid w:val="00877878"/>
    <w:pPr>
      <w:spacing w:before="240" w:after="240"/>
      <w:ind w:left="5103"/>
      <w:jc w:val="left"/>
    </w:pPr>
    <w:rPr>
      <w:i/>
      <w:sz w:val="32"/>
    </w:rPr>
  </w:style>
  <w:style w:type="paragraph" w:customStyle="1" w:styleId="Considrant">
    <w:name w:val="Considérant"/>
    <w:basedOn w:val="Normal"/>
    <w:rsid w:val="00877878"/>
    <w:pPr>
      <w:numPr>
        <w:numId w:val="48"/>
      </w:numPr>
    </w:pPr>
  </w:style>
  <w:style w:type="paragraph" w:customStyle="1" w:styleId="Corrigendum">
    <w:name w:val="Corrigendum"/>
    <w:basedOn w:val="Normal"/>
    <w:next w:val="Normal"/>
    <w:rsid w:val="00877878"/>
    <w:pPr>
      <w:spacing w:before="0" w:after="240"/>
      <w:jc w:val="left"/>
    </w:pPr>
  </w:style>
  <w:style w:type="paragraph" w:customStyle="1" w:styleId="Datedadoption">
    <w:name w:val="Date d'adoption"/>
    <w:basedOn w:val="Normal"/>
    <w:next w:val="Titreobjet"/>
    <w:rsid w:val="00877878"/>
    <w:pPr>
      <w:spacing w:before="360" w:after="0"/>
      <w:jc w:val="center"/>
    </w:pPr>
    <w:rPr>
      <w:b/>
    </w:rPr>
  </w:style>
  <w:style w:type="paragraph" w:customStyle="1" w:styleId="Exposdesmotifstitre">
    <w:name w:val="Exposé des motifs titre"/>
    <w:basedOn w:val="Normal"/>
    <w:next w:val="Normal"/>
    <w:rsid w:val="00877878"/>
    <w:pPr>
      <w:jc w:val="center"/>
    </w:pPr>
    <w:rPr>
      <w:b/>
      <w:u w:val="single"/>
    </w:rPr>
  </w:style>
  <w:style w:type="paragraph" w:customStyle="1" w:styleId="Fait">
    <w:name w:val="Fait à"/>
    <w:basedOn w:val="Normal"/>
    <w:next w:val="Institutionquisigne"/>
    <w:rsid w:val="00877878"/>
    <w:pPr>
      <w:keepNext/>
      <w:spacing w:after="0"/>
    </w:pPr>
  </w:style>
  <w:style w:type="paragraph" w:customStyle="1" w:styleId="Formuledadoption">
    <w:name w:val="Formule d'adoption"/>
    <w:basedOn w:val="Normal"/>
    <w:next w:val="Titrearticle"/>
    <w:rsid w:val="00877878"/>
    <w:pPr>
      <w:keepNext/>
    </w:pPr>
  </w:style>
  <w:style w:type="paragraph" w:customStyle="1" w:styleId="Institutionquiagit">
    <w:name w:val="Institution qui agit"/>
    <w:basedOn w:val="Normal"/>
    <w:next w:val="Normal"/>
    <w:rsid w:val="00877878"/>
    <w:pPr>
      <w:keepNext/>
      <w:spacing w:before="600"/>
    </w:pPr>
  </w:style>
  <w:style w:type="paragraph" w:customStyle="1" w:styleId="Institutionquisigne">
    <w:name w:val="Institution qui signe"/>
    <w:basedOn w:val="Normal"/>
    <w:next w:val="Personnequisigne"/>
    <w:rsid w:val="00877878"/>
    <w:pPr>
      <w:keepNext/>
      <w:tabs>
        <w:tab w:val="left" w:pos="4252"/>
      </w:tabs>
      <w:spacing w:before="720" w:after="0"/>
    </w:pPr>
    <w:rPr>
      <w:i/>
    </w:rPr>
  </w:style>
  <w:style w:type="paragraph" w:customStyle="1" w:styleId="ManualConsidrant">
    <w:name w:val="Manual Considérant"/>
    <w:basedOn w:val="Normal"/>
    <w:rsid w:val="00877878"/>
    <w:pPr>
      <w:ind w:left="709" w:hanging="709"/>
    </w:pPr>
  </w:style>
  <w:style w:type="paragraph" w:customStyle="1" w:styleId="Personnequisigne">
    <w:name w:val="Personne qui signe"/>
    <w:basedOn w:val="Normal"/>
    <w:next w:val="Institutionquisigne"/>
    <w:rsid w:val="00877878"/>
    <w:pPr>
      <w:tabs>
        <w:tab w:val="left" w:pos="4252"/>
      </w:tabs>
      <w:spacing w:before="0" w:after="0"/>
      <w:jc w:val="left"/>
    </w:pPr>
    <w:rPr>
      <w:i/>
    </w:rPr>
  </w:style>
  <w:style w:type="paragraph" w:customStyle="1" w:styleId="Rfrenceinterinstitutionnelle">
    <w:name w:val="Référence interinstitutionnelle"/>
    <w:basedOn w:val="Normal"/>
    <w:next w:val="Statut"/>
    <w:rsid w:val="00877878"/>
    <w:pPr>
      <w:spacing w:before="0" w:after="0"/>
      <w:ind w:left="5103"/>
      <w:jc w:val="left"/>
    </w:pPr>
  </w:style>
  <w:style w:type="paragraph" w:customStyle="1" w:styleId="Rfrenceinterne">
    <w:name w:val="Référence interne"/>
    <w:basedOn w:val="Normal"/>
    <w:next w:val="Rfrenceinterinstitutionnelle"/>
    <w:rsid w:val="00877878"/>
    <w:pPr>
      <w:spacing w:before="0" w:after="0"/>
      <w:ind w:left="5103"/>
      <w:jc w:val="left"/>
    </w:pPr>
  </w:style>
  <w:style w:type="paragraph" w:customStyle="1" w:styleId="Statut">
    <w:name w:val="Statut"/>
    <w:basedOn w:val="Normal"/>
    <w:next w:val="Typedudocument"/>
    <w:rsid w:val="00877878"/>
    <w:pPr>
      <w:spacing w:before="360" w:after="0"/>
      <w:jc w:val="center"/>
    </w:pPr>
  </w:style>
  <w:style w:type="paragraph" w:customStyle="1" w:styleId="Titrearticle">
    <w:name w:val="Titre article"/>
    <w:basedOn w:val="Normal"/>
    <w:next w:val="Normal"/>
    <w:rsid w:val="00877878"/>
    <w:pPr>
      <w:keepNext/>
      <w:spacing w:before="360"/>
      <w:jc w:val="center"/>
    </w:pPr>
    <w:rPr>
      <w:i/>
    </w:rPr>
  </w:style>
  <w:style w:type="paragraph" w:customStyle="1" w:styleId="Titreobjet">
    <w:name w:val="Titre objet"/>
    <w:basedOn w:val="Normal"/>
    <w:next w:val="IntrtEEE"/>
    <w:rsid w:val="00877878"/>
    <w:pPr>
      <w:spacing w:before="360" w:after="360"/>
      <w:jc w:val="center"/>
    </w:pPr>
    <w:rPr>
      <w:b/>
    </w:rPr>
  </w:style>
  <w:style w:type="paragraph" w:customStyle="1" w:styleId="Typedudocument">
    <w:name w:val="Type du document"/>
    <w:basedOn w:val="Normal"/>
    <w:next w:val="Titreobjet"/>
    <w:rsid w:val="00877878"/>
    <w:pPr>
      <w:spacing w:before="360" w:after="0"/>
      <w:jc w:val="center"/>
    </w:pPr>
    <w:rPr>
      <w:b/>
    </w:rPr>
  </w:style>
  <w:style w:type="character" w:customStyle="1" w:styleId="Added">
    <w:name w:val="Added"/>
    <w:basedOn w:val="DefaultParagraphFont"/>
    <w:rsid w:val="00877878"/>
    <w:rPr>
      <w:b/>
      <w:u w:val="single"/>
      <w:shd w:val="clear" w:color="auto" w:fill="auto"/>
    </w:rPr>
  </w:style>
  <w:style w:type="character" w:customStyle="1" w:styleId="Deleted">
    <w:name w:val="Deleted"/>
    <w:basedOn w:val="DefaultParagraphFont"/>
    <w:rsid w:val="00877878"/>
    <w:rPr>
      <w:strike/>
      <w:dstrike w:val="0"/>
      <w:shd w:val="clear" w:color="auto" w:fill="auto"/>
    </w:rPr>
  </w:style>
  <w:style w:type="paragraph" w:customStyle="1" w:styleId="Address">
    <w:name w:val="Address"/>
    <w:basedOn w:val="Normal"/>
    <w:next w:val="Normal"/>
    <w:rsid w:val="00877878"/>
    <w:pPr>
      <w:keepLines/>
      <w:spacing w:line="360" w:lineRule="auto"/>
      <w:ind w:left="3402"/>
      <w:jc w:val="left"/>
    </w:pPr>
  </w:style>
  <w:style w:type="paragraph" w:customStyle="1" w:styleId="Objetexterne">
    <w:name w:val="Objet externe"/>
    <w:basedOn w:val="Normal"/>
    <w:next w:val="Normal"/>
    <w:rsid w:val="00877878"/>
    <w:rPr>
      <w:i/>
      <w:caps/>
    </w:rPr>
  </w:style>
  <w:style w:type="paragraph" w:customStyle="1" w:styleId="Supertitre">
    <w:name w:val="Supertitre"/>
    <w:basedOn w:val="Normal"/>
    <w:next w:val="Normal"/>
    <w:rsid w:val="00877878"/>
    <w:pPr>
      <w:spacing w:before="0" w:after="600"/>
      <w:jc w:val="center"/>
    </w:pPr>
    <w:rPr>
      <w:b/>
    </w:rPr>
  </w:style>
  <w:style w:type="paragraph" w:customStyle="1" w:styleId="Languesfaisantfoi">
    <w:name w:val="Langues faisant foi"/>
    <w:basedOn w:val="Normal"/>
    <w:next w:val="Normal"/>
    <w:rsid w:val="00877878"/>
    <w:pPr>
      <w:spacing w:before="360" w:after="0"/>
      <w:jc w:val="center"/>
    </w:pPr>
  </w:style>
  <w:style w:type="paragraph" w:customStyle="1" w:styleId="Rfrencecroise">
    <w:name w:val="Référence croisée"/>
    <w:basedOn w:val="Normal"/>
    <w:rsid w:val="00877878"/>
    <w:pPr>
      <w:spacing w:before="0" w:after="0"/>
      <w:jc w:val="center"/>
    </w:pPr>
  </w:style>
  <w:style w:type="paragraph" w:customStyle="1" w:styleId="Fichefinanciretitre">
    <w:name w:val="Fiche financière titre"/>
    <w:basedOn w:val="Normal"/>
    <w:next w:val="Normal"/>
    <w:rsid w:val="00877878"/>
    <w:pPr>
      <w:jc w:val="center"/>
    </w:pPr>
    <w:rPr>
      <w:b/>
      <w:u w:val="single"/>
    </w:rPr>
  </w:style>
  <w:style w:type="paragraph" w:customStyle="1" w:styleId="DatedadoptionPagedecouverture">
    <w:name w:val="Date d'adoption (Page de couverture)"/>
    <w:basedOn w:val="Datedadoption"/>
    <w:next w:val="TitreobjetPagedecouverture"/>
    <w:rsid w:val="00877878"/>
  </w:style>
  <w:style w:type="paragraph" w:customStyle="1" w:styleId="RfrenceinterinstitutionnellePagedecouverture">
    <w:name w:val="Référence interinstitutionnelle (Page de couverture)"/>
    <w:basedOn w:val="Rfrenceinterinstitutionnelle"/>
    <w:next w:val="Confidentialit"/>
    <w:rsid w:val="00877878"/>
  </w:style>
  <w:style w:type="paragraph" w:customStyle="1" w:styleId="StatutPagedecouverture">
    <w:name w:val="Statut (Page de couverture)"/>
    <w:basedOn w:val="Statut"/>
    <w:next w:val="TypedudocumentPagedecouverture"/>
    <w:rsid w:val="00877878"/>
  </w:style>
  <w:style w:type="paragraph" w:customStyle="1" w:styleId="TitreobjetPagedecouverture">
    <w:name w:val="Titre objet (Page de couverture)"/>
    <w:basedOn w:val="Titreobjet"/>
    <w:next w:val="IntrtEEEPagedecouverture"/>
    <w:rsid w:val="00877878"/>
  </w:style>
  <w:style w:type="paragraph" w:customStyle="1" w:styleId="TypedudocumentPagedecouverture">
    <w:name w:val="Type du document (Page de couverture)"/>
    <w:basedOn w:val="Typedudocument"/>
    <w:next w:val="TitreobjetPagedecouverture"/>
    <w:rsid w:val="00877878"/>
  </w:style>
  <w:style w:type="paragraph" w:customStyle="1" w:styleId="Volume">
    <w:name w:val="Volume"/>
    <w:basedOn w:val="Normal"/>
    <w:next w:val="Confidentialit"/>
    <w:rsid w:val="00877878"/>
    <w:pPr>
      <w:spacing w:before="0" w:after="240"/>
      <w:ind w:left="5103"/>
      <w:jc w:val="left"/>
    </w:pPr>
  </w:style>
  <w:style w:type="paragraph" w:customStyle="1" w:styleId="IntrtEEE">
    <w:name w:val="Intérêt EEE"/>
    <w:basedOn w:val="Languesfaisantfoi"/>
    <w:next w:val="Normal"/>
    <w:rsid w:val="00877878"/>
    <w:pPr>
      <w:spacing w:after="240"/>
    </w:pPr>
  </w:style>
  <w:style w:type="paragraph" w:customStyle="1" w:styleId="Accompagnant">
    <w:name w:val="Accompagnant"/>
    <w:basedOn w:val="Normal"/>
    <w:next w:val="Typeacteprincipal"/>
    <w:rsid w:val="00877878"/>
    <w:pPr>
      <w:spacing w:before="0" w:after="240"/>
      <w:jc w:val="center"/>
    </w:pPr>
    <w:rPr>
      <w:b/>
      <w:i/>
    </w:rPr>
  </w:style>
  <w:style w:type="paragraph" w:customStyle="1" w:styleId="Typeacteprincipal">
    <w:name w:val="Type acte principal"/>
    <w:basedOn w:val="Normal"/>
    <w:next w:val="Objetacteprincipal"/>
    <w:rsid w:val="00877878"/>
    <w:pPr>
      <w:spacing w:before="0" w:after="240"/>
      <w:jc w:val="center"/>
    </w:pPr>
    <w:rPr>
      <w:b/>
    </w:rPr>
  </w:style>
  <w:style w:type="paragraph" w:customStyle="1" w:styleId="Objetacteprincipal">
    <w:name w:val="Objet acte principal"/>
    <w:basedOn w:val="Normal"/>
    <w:next w:val="Titrearticle"/>
    <w:rsid w:val="00877878"/>
    <w:pPr>
      <w:spacing w:before="0" w:after="360"/>
      <w:jc w:val="center"/>
    </w:pPr>
    <w:rPr>
      <w:b/>
    </w:rPr>
  </w:style>
  <w:style w:type="paragraph" w:customStyle="1" w:styleId="IntrtEEEPagedecouverture">
    <w:name w:val="Intérêt EEE (Page de couverture)"/>
    <w:basedOn w:val="IntrtEEE"/>
    <w:next w:val="Rfrencecroise"/>
    <w:rsid w:val="00877878"/>
  </w:style>
  <w:style w:type="paragraph" w:customStyle="1" w:styleId="AccompagnantPagedecouverture">
    <w:name w:val="Accompagnant (Page de couverture)"/>
    <w:basedOn w:val="Accompagnant"/>
    <w:next w:val="TypeacteprincipalPagedecouverture"/>
    <w:rsid w:val="00877878"/>
  </w:style>
  <w:style w:type="paragraph" w:customStyle="1" w:styleId="TypeacteprincipalPagedecouverture">
    <w:name w:val="Type acte principal (Page de couverture)"/>
    <w:basedOn w:val="Typeacteprincipal"/>
    <w:next w:val="ObjetacteprincipalPagedecouverture"/>
    <w:rsid w:val="00877878"/>
  </w:style>
  <w:style w:type="paragraph" w:customStyle="1" w:styleId="ObjetacteprincipalPagedecouverture">
    <w:name w:val="Objet acte principal (Page de couverture)"/>
    <w:basedOn w:val="Objetacteprincipal"/>
    <w:next w:val="Rfrencecroise"/>
    <w:rsid w:val="00877878"/>
  </w:style>
  <w:style w:type="paragraph" w:customStyle="1" w:styleId="LanguesfaisantfoiPagedecouverture">
    <w:name w:val="Langues faisant foi (Page de couverture)"/>
    <w:basedOn w:val="Normal"/>
    <w:next w:val="Normal"/>
    <w:rsid w:val="00877878"/>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84843">
      <w:bodyDiv w:val="1"/>
      <w:marLeft w:val="0"/>
      <w:marRight w:val="0"/>
      <w:marTop w:val="0"/>
      <w:marBottom w:val="0"/>
      <w:divBdr>
        <w:top w:val="none" w:sz="0" w:space="0" w:color="auto"/>
        <w:left w:val="none" w:sz="0" w:space="0" w:color="auto"/>
        <w:bottom w:val="none" w:sz="0" w:space="0" w:color="auto"/>
        <w:right w:val="none" w:sz="0" w:space="0" w:color="auto"/>
      </w:divBdr>
    </w:div>
    <w:div w:id="55978795">
      <w:bodyDiv w:val="1"/>
      <w:marLeft w:val="390"/>
      <w:marRight w:val="390"/>
      <w:marTop w:val="0"/>
      <w:marBottom w:val="0"/>
      <w:divBdr>
        <w:top w:val="none" w:sz="0" w:space="0" w:color="auto"/>
        <w:left w:val="none" w:sz="0" w:space="0" w:color="auto"/>
        <w:bottom w:val="none" w:sz="0" w:space="0" w:color="auto"/>
        <w:right w:val="none" w:sz="0" w:space="0" w:color="auto"/>
      </w:divBdr>
    </w:div>
    <w:div w:id="57482360">
      <w:bodyDiv w:val="1"/>
      <w:marLeft w:val="0"/>
      <w:marRight w:val="0"/>
      <w:marTop w:val="0"/>
      <w:marBottom w:val="0"/>
      <w:divBdr>
        <w:top w:val="none" w:sz="0" w:space="0" w:color="auto"/>
        <w:left w:val="none" w:sz="0" w:space="0" w:color="auto"/>
        <w:bottom w:val="none" w:sz="0" w:space="0" w:color="auto"/>
        <w:right w:val="none" w:sz="0" w:space="0" w:color="auto"/>
      </w:divBdr>
    </w:div>
    <w:div w:id="213784156">
      <w:bodyDiv w:val="1"/>
      <w:marLeft w:val="0"/>
      <w:marRight w:val="0"/>
      <w:marTop w:val="0"/>
      <w:marBottom w:val="0"/>
      <w:divBdr>
        <w:top w:val="none" w:sz="0" w:space="0" w:color="auto"/>
        <w:left w:val="none" w:sz="0" w:space="0" w:color="auto"/>
        <w:bottom w:val="none" w:sz="0" w:space="0" w:color="auto"/>
        <w:right w:val="none" w:sz="0" w:space="0" w:color="auto"/>
      </w:divBdr>
    </w:div>
    <w:div w:id="285963309">
      <w:bodyDiv w:val="1"/>
      <w:marLeft w:val="0"/>
      <w:marRight w:val="0"/>
      <w:marTop w:val="0"/>
      <w:marBottom w:val="0"/>
      <w:divBdr>
        <w:top w:val="none" w:sz="0" w:space="0" w:color="auto"/>
        <w:left w:val="none" w:sz="0" w:space="0" w:color="auto"/>
        <w:bottom w:val="none" w:sz="0" w:space="0" w:color="auto"/>
        <w:right w:val="none" w:sz="0" w:space="0" w:color="auto"/>
      </w:divBdr>
    </w:div>
    <w:div w:id="288904405">
      <w:bodyDiv w:val="1"/>
      <w:marLeft w:val="0"/>
      <w:marRight w:val="0"/>
      <w:marTop w:val="0"/>
      <w:marBottom w:val="0"/>
      <w:divBdr>
        <w:top w:val="none" w:sz="0" w:space="0" w:color="auto"/>
        <w:left w:val="none" w:sz="0" w:space="0" w:color="auto"/>
        <w:bottom w:val="none" w:sz="0" w:space="0" w:color="auto"/>
        <w:right w:val="none" w:sz="0" w:space="0" w:color="auto"/>
      </w:divBdr>
    </w:div>
    <w:div w:id="350956537">
      <w:bodyDiv w:val="1"/>
      <w:marLeft w:val="0"/>
      <w:marRight w:val="0"/>
      <w:marTop w:val="0"/>
      <w:marBottom w:val="0"/>
      <w:divBdr>
        <w:top w:val="none" w:sz="0" w:space="0" w:color="auto"/>
        <w:left w:val="none" w:sz="0" w:space="0" w:color="auto"/>
        <w:bottom w:val="none" w:sz="0" w:space="0" w:color="auto"/>
        <w:right w:val="none" w:sz="0" w:space="0" w:color="auto"/>
      </w:divBdr>
    </w:div>
    <w:div w:id="387074541">
      <w:bodyDiv w:val="1"/>
      <w:marLeft w:val="390"/>
      <w:marRight w:val="390"/>
      <w:marTop w:val="0"/>
      <w:marBottom w:val="0"/>
      <w:divBdr>
        <w:top w:val="none" w:sz="0" w:space="0" w:color="auto"/>
        <w:left w:val="none" w:sz="0" w:space="0" w:color="auto"/>
        <w:bottom w:val="none" w:sz="0" w:space="0" w:color="auto"/>
        <w:right w:val="none" w:sz="0" w:space="0" w:color="auto"/>
      </w:divBdr>
    </w:div>
    <w:div w:id="523829370">
      <w:bodyDiv w:val="1"/>
      <w:marLeft w:val="0"/>
      <w:marRight w:val="0"/>
      <w:marTop w:val="0"/>
      <w:marBottom w:val="0"/>
      <w:divBdr>
        <w:top w:val="none" w:sz="0" w:space="0" w:color="auto"/>
        <w:left w:val="none" w:sz="0" w:space="0" w:color="auto"/>
        <w:bottom w:val="none" w:sz="0" w:space="0" w:color="auto"/>
        <w:right w:val="none" w:sz="0" w:space="0" w:color="auto"/>
      </w:divBdr>
    </w:div>
    <w:div w:id="525993850">
      <w:bodyDiv w:val="1"/>
      <w:marLeft w:val="0"/>
      <w:marRight w:val="0"/>
      <w:marTop w:val="0"/>
      <w:marBottom w:val="0"/>
      <w:divBdr>
        <w:top w:val="none" w:sz="0" w:space="0" w:color="auto"/>
        <w:left w:val="none" w:sz="0" w:space="0" w:color="auto"/>
        <w:bottom w:val="none" w:sz="0" w:space="0" w:color="auto"/>
        <w:right w:val="none" w:sz="0" w:space="0" w:color="auto"/>
      </w:divBdr>
    </w:div>
    <w:div w:id="553128121">
      <w:bodyDiv w:val="1"/>
      <w:marLeft w:val="0"/>
      <w:marRight w:val="0"/>
      <w:marTop w:val="0"/>
      <w:marBottom w:val="0"/>
      <w:divBdr>
        <w:top w:val="none" w:sz="0" w:space="0" w:color="auto"/>
        <w:left w:val="none" w:sz="0" w:space="0" w:color="auto"/>
        <w:bottom w:val="none" w:sz="0" w:space="0" w:color="auto"/>
        <w:right w:val="none" w:sz="0" w:space="0" w:color="auto"/>
      </w:divBdr>
    </w:div>
    <w:div w:id="587421938">
      <w:bodyDiv w:val="1"/>
      <w:marLeft w:val="0"/>
      <w:marRight w:val="0"/>
      <w:marTop w:val="0"/>
      <w:marBottom w:val="0"/>
      <w:divBdr>
        <w:top w:val="none" w:sz="0" w:space="0" w:color="auto"/>
        <w:left w:val="none" w:sz="0" w:space="0" w:color="auto"/>
        <w:bottom w:val="none" w:sz="0" w:space="0" w:color="auto"/>
        <w:right w:val="none" w:sz="0" w:space="0" w:color="auto"/>
      </w:divBdr>
    </w:div>
    <w:div w:id="628438785">
      <w:bodyDiv w:val="1"/>
      <w:marLeft w:val="0"/>
      <w:marRight w:val="0"/>
      <w:marTop w:val="0"/>
      <w:marBottom w:val="0"/>
      <w:divBdr>
        <w:top w:val="none" w:sz="0" w:space="0" w:color="auto"/>
        <w:left w:val="none" w:sz="0" w:space="0" w:color="auto"/>
        <w:bottom w:val="none" w:sz="0" w:space="0" w:color="auto"/>
        <w:right w:val="none" w:sz="0" w:space="0" w:color="auto"/>
      </w:divBdr>
    </w:div>
    <w:div w:id="652879439">
      <w:bodyDiv w:val="1"/>
      <w:marLeft w:val="390"/>
      <w:marRight w:val="390"/>
      <w:marTop w:val="0"/>
      <w:marBottom w:val="0"/>
      <w:divBdr>
        <w:top w:val="none" w:sz="0" w:space="0" w:color="auto"/>
        <w:left w:val="none" w:sz="0" w:space="0" w:color="auto"/>
        <w:bottom w:val="none" w:sz="0" w:space="0" w:color="auto"/>
        <w:right w:val="none" w:sz="0" w:space="0" w:color="auto"/>
      </w:divBdr>
    </w:div>
    <w:div w:id="696004529">
      <w:bodyDiv w:val="1"/>
      <w:marLeft w:val="0"/>
      <w:marRight w:val="0"/>
      <w:marTop w:val="0"/>
      <w:marBottom w:val="0"/>
      <w:divBdr>
        <w:top w:val="none" w:sz="0" w:space="0" w:color="auto"/>
        <w:left w:val="none" w:sz="0" w:space="0" w:color="auto"/>
        <w:bottom w:val="none" w:sz="0" w:space="0" w:color="auto"/>
        <w:right w:val="none" w:sz="0" w:space="0" w:color="auto"/>
      </w:divBdr>
    </w:div>
    <w:div w:id="830293091">
      <w:bodyDiv w:val="1"/>
      <w:marLeft w:val="390"/>
      <w:marRight w:val="390"/>
      <w:marTop w:val="0"/>
      <w:marBottom w:val="0"/>
      <w:divBdr>
        <w:top w:val="none" w:sz="0" w:space="0" w:color="auto"/>
        <w:left w:val="none" w:sz="0" w:space="0" w:color="auto"/>
        <w:bottom w:val="none" w:sz="0" w:space="0" w:color="auto"/>
        <w:right w:val="none" w:sz="0" w:space="0" w:color="auto"/>
      </w:divBdr>
    </w:div>
    <w:div w:id="889728645">
      <w:bodyDiv w:val="1"/>
      <w:marLeft w:val="0"/>
      <w:marRight w:val="0"/>
      <w:marTop w:val="0"/>
      <w:marBottom w:val="0"/>
      <w:divBdr>
        <w:top w:val="none" w:sz="0" w:space="0" w:color="auto"/>
        <w:left w:val="none" w:sz="0" w:space="0" w:color="auto"/>
        <w:bottom w:val="none" w:sz="0" w:space="0" w:color="auto"/>
        <w:right w:val="none" w:sz="0" w:space="0" w:color="auto"/>
      </w:divBdr>
    </w:div>
    <w:div w:id="917638859">
      <w:bodyDiv w:val="1"/>
      <w:marLeft w:val="0"/>
      <w:marRight w:val="0"/>
      <w:marTop w:val="0"/>
      <w:marBottom w:val="0"/>
      <w:divBdr>
        <w:top w:val="none" w:sz="0" w:space="0" w:color="auto"/>
        <w:left w:val="none" w:sz="0" w:space="0" w:color="auto"/>
        <w:bottom w:val="none" w:sz="0" w:space="0" w:color="auto"/>
        <w:right w:val="none" w:sz="0" w:space="0" w:color="auto"/>
      </w:divBdr>
    </w:div>
    <w:div w:id="963148572">
      <w:bodyDiv w:val="1"/>
      <w:marLeft w:val="390"/>
      <w:marRight w:val="390"/>
      <w:marTop w:val="0"/>
      <w:marBottom w:val="0"/>
      <w:divBdr>
        <w:top w:val="none" w:sz="0" w:space="0" w:color="auto"/>
        <w:left w:val="none" w:sz="0" w:space="0" w:color="auto"/>
        <w:bottom w:val="none" w:sz="0" w:space="0" w:color="auto"/>
        <w:right w:val="none" w:sz="0" w:space="0" w:color="auto"/>
      </w:divBdr>
    </w:div>
    <w:div w:id="968164961">
      <w:bodyDiv w:val="1"/>
      <w:marLeft w:val="390"/>
      <w:marRight w:val="390"/>
      <w:marTop w:val="0"/>
      <w:marBottom w:val="0"/>
      <w:divBdr>
        <w:top w:val="none" w:sz="0" w:space="0" w:color="auto"/>
        <w:left w:val="none" w:sz="0" w:space="0" w:color="auto"/>
        <w:bottom w:val="none" w:sz="0" w:space="0" w:color="auto"/>
        <w:right w:val="none" w:sz="0" w:space="0" w:color="auto"/>
      </w:divBdr>
    </w:div>
    <w:div w:id="1159689640">
      <w:bodyDiv w:val="1"/>
      <w:marLeft w:val="0"/>
      <w:marRight w:val="0"/>
      <w:marTop w:val="0"/>
      <w:marBottom w:val="0"/>
      <w:divBdr>
        <w:top w:val="none" w:sz="0" w:space="0" w:color="auto"/>
        <w:left w:val="none" w:sz="0" w:space="0" w:color="auto"/>
        <w:bottom w:val="none" w:sz="0" w:space="0" w:color="auto"/>
        <w:right w:val="none" w:sz="0" w:space="0" w:color="auto"/>
      </w:divBdr>
    </w:div>
    <w:div w:id="1395280985">
      <w:bodyDiv w:val="1"/>
      <w:marLeft w:val="390"/>
      <w:marRight w:val="390"/>
      <w:marTop w:val="0"/>
      <w:marBottom w:val="0"/>
      <w:divBdr>
        <w:top w:val="none" w:sz="0" w:space="0" w:color="auto"/>
        <w:left w:val="none" w:sz="0" w:space="0" w:color="auto"/>
        <w:bottom w:val="none" w:sz="0" w:space="0" w:color="auto"/>
        <w:right w:val="none" w:sz="0" w:space="0" w:color="auto"/>
      </w:divBdr>
    </w:div>
    <w:div w:id="1404138560">
      <w:bodyDiv w:val="1"/>
      <w:marLeft w:val="0"/>
      <w:marRight w:val="0"/>
      <w:marTop w:val="0"/>
      <w:marBottom w:val="0"/>
      <w:divBdr>
        <w:top w:val="none" w:sz="0" w:space="0" w:color="auto"/>
        <w:left w:val="none" w:sz="0" w:space="0" w:color="auto"/>
        <w:bottom w:val="none" w:sz="0" w:space="0" w:color="auto"/>
        <w:right w:val="none" w:sz="0" w:space="0" w:color="auto"/>
      </w:divBdr>
    </w:div>
    <w:div w:id="1419450351">
      <w:bodyDiv w:val="1"/>
      <w:marLeft w:val="0"/>
      <w:marRight w:val="0"/>
      <w:marTop w:val="0"/>
      <w:marBottom w:val="0"/>
      <w:divBdr>
        <w:top w:val="none" w:sz="0" w:space="0" w:color="auto"/>
        <w:left w:val="none" w:sz="0" w:space="0" w:color="auto"/>
        <w:bottom w:val="none" w:sz="0" w:space="0" w:color="auto"/>
        <w:right w:val="none" w:sz="0" w:space="0" w:color="auto"/>
      </w:divBdr>
    </w:div>
    <w:div w:id="1463353350">
      <w:bodyDiv w:val="1"/>
      <w:marLeft w:val="0"/>
      <w:marRight w:val="0"/>
      <w:marTop w:val="0"/>
      <w:marBottom w:val="0"/>
      <w:divBdr>
        <w:top w:val="none" w:sz="0" w:space="0" w:color="auto"/>
        <w:left w:val="none" w:sz="0" w:space="0" w:color="auto"/>
        <w:bottom w:val="none" w:sz="0" w:space="0" w:color="auto"/>
        <w:right w:val="none" w:sz="0" w:space="0" w:color="auto"/>
      </w:divBdr>
    </w:div>
    <w:div w:id="1481338200">
      <w:bodyDiv w:val="1"/>
      <w:marLeft w:val="0"/>
      <w:marRight w:val="0"/>
      <w:marTop w:val="0"/>
      <w:marBottom w:val="0"/>
      <w:divBdr>
        <w:top w:val="none" w:sz="0" w:space="0" w:color="auto"/>
        <w:left w:val="none" w:sz="0" w:space="0" w:color="auto"/>
        <w:bottom w:val="none" w:sz="0" w:space="0" w:color="auto"/>
        <w:right w:val="none" w:sz="0" w:space="0" w:color="auto"/>
      </w:divBdr>
    </w:div>
    <w:div w:id="1558318212">
      <w:bodyDiv w:val="1"/>
      <w:marLeft w:val="0"/>
      <w:marRight w:val="0"/>
      <w:marTop w:val="0"/>
      <w:marBottom w:val="0"/>
      <w:divBdr>
        <w:top w:val="none" w:sz="0" w:space="0" w:color="auto"/>
        <w:left w:val="none" w:sz="0" w:space="0" w:color="auto"/>
        <w:bottom w:val="none" w:sz="0" w:space="0" w:color="auto"/>
        <w:right w:val="none" w:sz="0" w:space="0" w:color="auto"/>
      </w:divBdr>
      <w:divsChild>
        <w:div w:id="975766741">
          <w:marLeft w:val="0"/>
          <w:marRight w:val="0"/>
          <w:marTop w:val="0"/>
          <w:marBottom w:val="0"/>
          <w:divBdr>
            <w:top w:val="none" w:sz="0" w:space="0" w:color="auto"/>
            <w:left w:val="none" w:sz="0" w:space="0" w:color="auto"/>
            <w:bottom w:val="none" w:sz="0" w:space="0" w:color="auto"/>
            <w:right w:val="none" w:sz="0" w:space="0" w:color="auto"/>
          </w:divBdr>
          <w:divsChild>
            <w:div w:id="1967268948">
              <w:marLeft w:val="0"/>
              <w:marRight w:val="0"/>
              <w:marTop w:val="0"/>
              <w:marBottom w:val="300"/>
              <w:divBdr>
                <w:top w:val="none" w:sz="0" w:space="0" w:color="auto"/>
                <w:left w:val="none" w:sz="0" w:space="0" w:color="auto"/>
                <w:bottom w:val="none" w:sz="0" w:space="0" w:color="auto"/>
                <w:right w:val="none" w:sz="0" w:space="0" w:color="auto"/>
              </w:divBdr>
              <w:divsChild>
                <w:div w:id="7603859">
                  <w:marLeft w:val="0"/>
                  <w:marRight w:val="0"/>
                  <w:marTop w:val="100"/>
                  <w:marBottom w:val="100"/>
                  <w:divBdr>
                    <w:top w:val="none" w:sz="0" w:space="0" w:color="auto"/>
                    <w:left w:val="none" w:sz="0" w:space="0" w:color="auto"/>
                    <w:bottom w:val="none" w:sz="0" w:space="0" w:color="auto"/>
                    <w:right w:val="none" w:sz="0" w:space="0" w:color="auto"/>
                  </w:divBdr>
                </w:div>
                <w:div w:id="268898560">
                  <w:marLeft w:val="0"/>
                  <w:marRight w:val="0"/>
                  <w:marTop w:val="0"/>
                  <w:marBottom w:val="0"/>
                  <w:divBdr>
                    <w:top w:val="none" w:sz="0" w:space="0" w:color="auto"/>
                    <w:left w:val="none" w:sz="0" w:space="0" w:color="auto"/>
                    <w:bottom w:val="none" w:sz="0" w:space="0" w:color="auto"/>
                    <w:right w:val="none" w:sz="0" w:space="0" w:color="auto"/>
                  </w:divBdr>
                </w:div>
                <w:div w:id="911887274">
                  <w:marLeft w:val="0"/>
                  <w:marRight w:val="0"/>
                  <w:marTop w:val="0"/>
                  <w:marBottom w:val="0"/>
                  <w:divBdr>
                    <w:top w:val="none" w:sz="0" w:space="0" w:color="auto"/>
                    <w:left w:val="none" w:sz="0" w:space="0" w:color="auto"/>
                    <w:bottom w:val="none" w:sz="0" w:space="0" w:color="auto"/>
                    <w:right w:val="none" w:sz="0" w:space="0" w:color="auto"/>
                  </w:divBdr>
                </w:div>
                <w:div w:id="1742210232">
                  <w:marLeft w:val="0"/>
                  <w:marRight w:val="0"/>
                  <w:marTop w:val="150"/>
                  <w:marBottom w:val="240"/>
                  <w:divBdr>
                    <w:top w:val="none" w:sz="0" w:space="0" w:color="auto"/>
                    <w:left w:val="none" w:sz="0" w:space="0" w:color="auto"/>
                    <w:bottom w:val="none" w:sz="0" w:space="0" w:color="auto"/>
                    <w:right w:val="none" w:sz="0" w:space="0" w:color="auto"/>
                  </w:divBdr>
                </w:div>
              </w:divsChild>
            </w:div>
          </w:divsChild>
        </w:div>
      </w:divsChild>
    </w:div>
    <w:div w:id="1761219896">
      <w:bodyDiv w:val="1"/>
      <w:marLeft w:val="0"/>
      <w:marRight w:val="0"/>
      <w:marTop w:val="0"/>
      <w:marBottom w:val="0"/>
      <w:divBdr>
        <w:top w:val="none" w:sz="0" w:space="0" w:color="auto"/>
        <w:left w:val="none" w:sz="0" w:space="0" w:color="auto"/>
        <w:bottom w:val="none" w:sz="0" w:space="0" w:color="auto"/>
        <w:right w:val="none" w:sz="0" w:space="0" w:color="auto"/>
      </w:divBdr>
    </w:div>
    <w:div w:id="1762024620">
      <w:bodyDiv w:val="1"/>
      <w:marLeft w:val="0"/>
      <w:marRight w:val="0"/>
      <w:marTop w:val="0"/>
      <w:marBottom w:val="0"/>
      <w:divBdr>
        <w:top w:val="none" w:sz="0" w:space="0" w:color="auto"/>
        <w:left w:val="none" w:sz="0" w:space="0" w:color="auto"/>
        <w:bottom w:val="none" w:sz="0" w:space="0" w:color="auto"/>
        <w:right w:val="none" w:sz="0" w:space="0" w:color="auto"/>
      </w:divBdr>
      <w:divsChild>
        <w:div w:id="2020698949">
          <w:marLeft w:val="0"/>
          <w:marRight w:val="0"/>
          <w:marTop w:val="0"/>
          <w:marBottom w:val="0"/>
          <w:divBdr>
            <w:top w:val="none" w:sz="0" w:space="0" w:color="auto"/>
            <w:left w:val="none" w:sz="0" w:space="0" w:color="auto"/>
            <w:bottom w:val="none" w:sz="0" w:space="0" w:color="auto"/>
            <w:right w:val="none" w:sz="0" w:space="0" w:color="auto"/>
          </w:divBdr>
          <w:divsChild>
            <w:div w:id="290139956">
              <w:marLeft w:val="0"/>
              <w:marRight w:val="0"/>
              <w:marTop w:val="0"/>
              <w:marBottom w:val="0"/>
              <w:divBdr>
                <w:top w:val="none" w:sz="0" w:space="0" w:color="auto"/>
                <w:left w:val="none" w:sz="0" w:space="0" w:color="auto"/>
                <w:bottom w:val="none" w:sz="0" w:space="0" w:color="auto"/>
                <w:right w:val="none" w:sz="0" w:space="0" w:color="auto"/>
              </w:divBdr>
              <w:divsChild>
                <w:div w:id="118187075">
                  <w:marLeft w:val="0"/>
                  <w:marRight w:val="0"/>
                  <w:marTop w:val="0"/>
                  <w:marBottom w:val="0"/>
                  <w:divBdr>
                    <w:top w:val="none" w:sz="0" w:space="0" w:color="auto"/>
                    <w:left w:val="none" w:sz="0" w:space="0" w:color="auto"/>
                    <w:bottom w:val="none" w:sz="0" w:space="0" w:color="auto"/>
                    <w:right w:val="none" w:sz="0" w:space="0" w:color="auto"/>
                  </w:divBdr>
                  <w:divsChild>
                    <w:div w:id="286475486">
                      <w:marLeft w:val="1"/>
                      <w:marRight w:val="1"/>
                      <w:marTop w:val="0"/>
                      <w:marBottom w:val="0"/>
                      <w:divBdr>
                        <w:top w:val="none" w:sz="0" w:space="0" w:color="auto"/>
                        <w:left w:val="none" w:sz="0" w:space="0" w:color="auto"/>
                        <w:bottom w:val="none" w:sz="0" w:space="0" w:color="auto"/>
                        <w:right w:val="none" w:sz="0" w:space="0" w:color="auto"/>
                      </w:divBdr>
                      <w:divsChild>
                        <w:div w:id="1004893376">
                          <w:marLeft w:val="0"/>
                          <w:marRight w:val="0"/>
                          <w:marTop w:val="0"/>
                          <w:marBottom w:val="0"/>
                          <w:divBdr>
                            <w:top w:val="none" w:sz="0" w:space="0" w:color="auto"/>
                            <w:left w:val="none" w:sz="0" w:space="0" w:color="auto"/>
                            <w:bottom w:val="none" w:sz="0" w:space="0" w:color="auto"/>
                            <w:right w:val="none" w:sz="0" w:space="0" w:color="auto"/>
                          </w:divBdr>
                          <w:divsChild>
                            <w:div w:id="2037581886">
                              <w:marLeft w:val="0"/>
                              <w:marRight w:val="0"/>
                              <w:marTop w:val="0"/>
                              <w:marBottom w:val="360"/>
                              <w:divBdr>
                                <w:top w:val="none" w:sz="0" w:space="0" w:color="auto"/>
                                <w:left w:val="none" w:sz="0" w:space="0" w:color="auto"/>
                                <w:bottom w:val="none" w:sz="0" w:space="0" w:color="auto"/>
                                <w:right w:val="none" w:sz="0" w:space="0" w:color="auto"/>
                              </w:divBdr>
                              <w:divsChild>
                                <w:div w:id="1935701160">
                                  <w:marLeft w:val="0"/>
                                  <w:marRight w:val="0"/>
                                  <w:marTop w:val="0"/>
                                  <w:marBottom w:val="0"/>
                                  <w:divBdr>
                                    <w:top w:val="none" w:sz="0" w:space="0" w:color="auto"/>
                                    <w:left w:val="none" w:sz="0" w:space="0" w:color="auto"/>
                                    <w:bottom w:val="none" w:sz="0" w:space="0" w:color="auto"/>
                                    <w:right w:val="none" w:sz="0" w:space="0" w:color="auto"/>
                                  </w:divBdr>
                                  <w:divsChild>
                                    <w:div w:id="1457067960">
                                      <w:marLeft w:val="0"/>
                                      <w:marRight w:val="0"/>
                                      <w:marTop w:val="0"/>
                                      <w:marBottom w:val="0"/>
                                      <w:divBdr>
                                        <w:top w:val="none" w:sz="0" w:space="0" w:color="auto"/>
                                        <w:left w:val="none" w:sz="0" w:space="0" w:color="auto"/>
                                        <w:bottom w:val="none" w:sz="0" w:space="0" w:color="auto"/>
                                        <w:right w:val="none" w:sz="0" w:space="0" w:color="auto"/>
                                      </w:divBdr>
                                      <w:divsChild>
                                        <w:div w:id="678851977">
                                          <w:marLeft w:val="0"/>
                                          <w:marRight w:val="0"/>
                                          <w:marTop w:val="0"/>
                                          <w:marBottom w:val="0"/>
                                          <w:divBdr>
                                            <w:top w:val="none" w:sz="0" w:space="0" w:color="auto"/>
                                            <w:left w:val="none" w:sz="0" w:space="0" w:color="auto"/>
                                            <w:bottom w:val="none" w:sz="0" w:space="0" w:color="auto"/>
                                            <w:right w:val="none" w:sz="0" w:space="0" w:color="auto"/>
                                          </w:divBdr>
                                        </w:div>
                                        <w:div w:id="110684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0390211">
      <w:bodyDiv w:val="1"/>
      <w:marLeft w:val="0"/>
      <w:marRight w:val="0"/>
      <w:marTop w:val="0"/>
      <w:marBottom w:val="0"/>
      <w:divBdr>
        <w:top w:val="none" w:sz="0" w:space="0" w:color="auto"/>
        <w:left w:val="none" w:sz="0" w:space="0" w:color="auto"/>
        <w:bottom w:val="none" w:sz="0" w:space="0" w:color="auto"/>
        <w:right w:val="none" w:sz="0" w:space="0" w:color="auto"/>
      </w:divBdr>
    </w:div>
    <w:div w:id="1806775611">
      <w:bodyDiv w:val="1"/>
      <w:marLeft w:val="0"/>
      <w:marRight w:val="0"/>
      <w:marTop w:val="0"/>
      <w:marBottom w:val="0"/>
      <w:divBdr>
        <w:top w:val="none" w:sz="0" w:space="0" w:color="auto"/>
        <w:left w:val="none" w:sz="0" w:space="0" w:color="auto"/>
        <w:bottom w:val="none" w:sz="0" w:space="0" w:color="auto"/>
        <w:right w:val="none" w:sz="0" w:space="0" w:color="auto"/>
      </w:divBdr>
    </w:div>
    <w:div w:id="1968273060">
      <w:bodyDiv w:val="1"/>
      <w:marLeft w:val="0"/>
      <w:marRight w:val="0"/>
      <w:marTop w:val="0"/>
      <w:marBottom w:val="0"/>
      <w:divBdr>
        <w:top w:val="none" w:sz="0" w:space="0" w:color="auto"/>
        <w:left w:val="none" w:sz="0" w:space="0" w:color="auto"/>
        <w:bottom w:val="none" w:sz="0" w:space="0" w:color="auto"/>
        <w:right w:val="none" w:sz="0" w:space="0" w:color="auto"/>
      </w:divBdr>
    </w:div>
    <w:div w:id="1994873747">
      <w:bodyDiv w:val="1"/>
      <w:marLeft w:val="0"/>
      <w:marRight w:val="0"/>
      <w:marTop w:val="0"/>
      <w:marBottom w:val="0"/>
      <w:divBdr>
        <w:top w:val="none" w:sz="0" w:space="0" w:color="auto"/>
        <w:left w:val="none" w:sz="0" w:space="0" w:color="auto"/>
        <w:bottom w:val="none" w:sz="0" w:space="0" w:color="auto"/>
        <w:right w:val="none" w:sz="0" w:space="0" w:color="auto"/>
      </w:divBdr>
    </w:div>
    <w:div w:id="2032295696">
      <w:bodyDiv w:val="1"/>
      <w:marLeft w:val="0"/>
      <w:marRight w:val="0"/>
      <w:marTop w:val="0"/>
      <w:marBottom w:val="0"/>
      <w:divBdr>
        <w:top w:val="none" w:sz="0" w:space="0" w:color="auto"/>
        <w:left w:val="none" w:sz="0" w:space="0" w:color="auto"/>
        <w:bottom w:val="none" w:sz="0" w:space="0" w:color="auto"/>
        <w:right w:val="none" w:sz="0" w:space="0" w:color="auto"/>
      </w:divBdr>
    </w:div>
    <w:div w:id="2041317111">
      <w:bodyDiv w:val="1"/>
      <w:marLeft w:val="0"/>
      <w:marRight w:val="0"/>
      <w:marTop w:val="0"/>
      <w:marBottom w:val="0"/>
      <w:divBdr>
        <w:top w:val="none" w:sz="0" w:space="0" w:color="auto"/>
        <w:left w:val="none" w:sz="0" w:space="0" w:color="auto"/>
        <w:bottom w:val="none" w:sz="0" w:space="0" w:color="auto"/>
        <w:right w:val="none" w:sz="0" w:space="0" w:color="auto"/>
      </w:divBdr>
    </w:div>
    <w:div w:id="2048675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7.xml"/><Relationship Id="rId39" Type="http://schemas.openxmlformats.org/officeDocument/2006/relationships/footer" Target="footer13.xml"/><Relationship Id="rId3" Type="http://schemas.openxmlformats.org/officeDocument/2006/relationships/customXml" Target="../customXml/item3.xml"/><Relationship Id="rId21" Type="http://schemas.openxmlformats.org/officeDocument/2006/relationships/header" Target="header5.xml"/><Relationship Id="rId34" Type="http://schemas.openxmlformats.org/officeDocument/2006/relationships/header" Target="header11.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eader" Target="header7.xml"/><Relationship Id="rId33" Type="http://schemas.openxmlformats.org/officeDocument/2006/relationships/footer" Target="footer10.xml"/><Relationship Id="rId38" Type="http://schemas.openxmlformats.org/officeDocument/2006/relationships/header" Target="header1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footer" Target="footer8.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32" Type="http://schemas.openxmlformats.org/officeDocument/2006/relationships/header" Target="header10.xml"/><Relationship Id="rId37" Type="http://schemas.openxmlformats.org/officeDocument/2006/relationships/footer" Target="footer12.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header" Target="header8.xml"/><Relationship Id="rId36" Type="http://schemas.openxmlformats.org/officeDocument/2006/relationships/header" Target="header12.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footer" Target="footer9.xml"/><Relationship Id="rId44"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hyperlink" Target="https://myintracomm.ec.europa.eu/budgweb/EN/bud/mff/Pages/mff-post-2020.aspx" TargetMode="External"/><Relationship Id="rId30" Type="http://schemas.openxmlformats.org/officeDocument/2006/relationships/header" Target="header9.xml"/><Relationship Id="rId35" Type="http://schemas.openxmlformats.org/officeDocument/2006/relationships/footer" Target="footer11.xml"/><Relationship Id="rId43" Type="http://schemas.microsoft.com/office/2011/relationships/people" Target="people.xml"/></Relationships>
</file>

<file path=word/_rels/footnotes.xml.rels><?xml version="1.0" encoding="UTF-8" standalone="yes"?>
<Relationships xmlns="http://schemas.openxmlformats.org/package/2006/relationships"><Relationship Id="rId8" Type="http://schemas.openxmlformats.org/officeDocument/2006/relationships/hyperlink" Target="https://eur-lex.europa.eu/legal-content/BG/TXT/?uri=COM:2016:0594:FIN" TargetMode="External"/><Relationship Id="rId13" Type="http://schemas.openxmlformats.org/officeDocument/2006/relationships/hyperlink" Target="https://myintracomm.ec.europa.eu/budgweb/EN/man/budgmanag/Pages/budgmanag.aspx" TargetMode="External"/><Relationship Id="rId3" Type="http://schemas.openxmlformats.org/officeDocument/2006/relationships/hyperlink" Target="http://eur-lex.europa.eu/legal-content/BG/TXT/?uri=COM:2017:673:FIN" TargetMode="External"/><Relationship Id="rId7" Type="http://schemas.openxmlformats.org/officeDocument/2006/relationships/hyperlink" Target="http://eur-lex.europa.eu/legal-content/BG/TXT/?uri=COM:2017:479:FIN" TargetMode="External"/><Relationship Id="rId12" Type="http://schemas.openxmlformats.org/officeDocument/2006/relationships/hyperlink" Target="https://eur-lex.europa.eu/legal-content/bg/ALL/?uri=CELEX:52017DC0479" TargetMode="External"/><Relationship Id="rId2" Type="http://schemas.openxmlformats.org/officeDocument/2006/relationships/hyperlink" Target="https://europa.eu/cultural-heritage/european-year-cultural-heritage_bg" TargetMode="External"/><Relationship Id="rId1" Type="http://schemas.openxmlformats.org/officeDocument/2006/relationships/hyperlink" Target="http://www.consilium.europa.eu/bg/press/press-releases/2017/03/25/rome-declaration/" TargetMode="External"/><Relationship Id="rId6" Type="http://schemas.openxmlformats.org/officeDocument/2006/relationships/hyperlink" Target="https://eur-lex.europa.eu/legal-content/BG/TXT/?qid=1526930757252&amp;uri=CELEX:52018DC0236" TargetMode="External"/><Relationship Id="rId11" Type="http://schemas.openxmlformats.org/officeDocument/2006/relationships/hyperlink" Target="https://eur-lex.europa.eu/legal-content/BG/TXT/?uri=CELEX:52014DC0477" TargetMode="External"/><Relationship Id="rId5" Type="http://schemas.openxmlformats.org/officeDocument/2006/relationships/hyperlink" Target="https://eur-lex.europa.eu/legal-content/BG/TXT/?uri=CELEX:52014DC0477" TargetMode="External"/><Relationship Id="rId10" Type="http://schemas.openxmlformats.org/officeDocument/2006/relationships/hyperlink" Target="http://eur-lex.europa.eu/legal-content/BG/TXT/?uri=JOIN:2016:29:FIN" TargetMode="External"/><Relationship Id="rId4" Type="http://schemas.openxmlformats.org/officeDocument/2006/relationships/hyperlink" Target="http://eur-lex.europa.eu/legal-content/BG/TXT/?uri=JOIN:2016:29:FIN" TargetMode="External"/><Relationship Id="rId9" Type="http://schemas.openxmlformats.org/officeDocument/2006/relationships/hyperlink" Target="https://eur-lex.europa.eu/legal-content/BG/TXT/?uri=COM:2016:0287:FI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A9A6091F8B0C04AB0C61E67AE2895D1" ma:contentTypeVersion="1" ma:contentTypeDescription="Create a new document." ma:contentTypeScope="" ma:versionID="e1ebd5d2f25bb99c04e47ac780c5fb99">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291499-BE44-4231-899A-DEC9D1BA9F52}">
  <ds:schemaRefs>
    <ds:schemaRef ds:uri="http://schemas.microsoft.com/office/2006/documentManagement/types"/>
    <ds:schemaRef ds:uri="http://www.w3.org/XML/1998/namespace"/>
    <ds:schemaRef ds:uri="http://purl.org/dc/terms/"/>
    <ds:schemaRef ds:uri="http://schemas.openxmlformats.org/package/2006/metadata/core-properties"/>
    <ds:schemaRef ds:uri="http://schemas.microsoft.com/office/infopath/2007/PartnerControls"/>
    <ds:schemaRef ds:uri="http://purl.org/dc/dcmitype/"/>
    <ds:schemaRef ds:uri="http://schemas.microsoft.com/sharepoint/v3"/>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50DAF9A5-E432-4FB3-80E1-0B77F0250A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F907E8-CCE6-46C0-B2DA-DB437DCC689C}">
  <ds:schemaRefs>
    <ds:schemaRef ds:uri="http://schemas.microsoft.com/sharepoint/v3/contenttype/forms"/>
  </ds:schemaRefs>
</ds:datastoreItem>
</file>

<file path=customXml/itemProps4.xml><?xml version="1.0" encoding="utf-8"?>
<ds:datastoreItem xmlns:ds="http://schemas.openxmlformats.org/officeDocument/2006/customXml" ds:itemID="{75AD098B-99EA-4AE1-B2AA-82118C7D8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4</TotalTime>
  <Pages>50</Pages>
  <Words>17234</Words>
  <Characters>105537</Characters>
  <Application>Microsoft Office Word</Application>
  <DocSecurity>0</DocSecurity>
  <Lines>2345</Lines>
  <Paragraphs>1006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121765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SALYKOVA Magda (BUDG)</dc:creator>
  <cp:lastModifiedBy>PAGANELI Erifili (SG)</cp:lastModifiedBy>
  <cp:revision>4</cp:revision>
  <cp:lastPrinted>2018-05-29T10:26:00Z</cp:lastPrinted>
  <dcterms:created xsi:type="dcterms:W3CDTF">2018-06-04T12:56:00Z</dcterms:created>
  <dcterms:modified xsi:type="dcterms:W3CDTF">2018-06-08T08:26:00Z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5.8.86.0</vt:lpwstr>
  </property>
  <property fmtid="{D5CDD505-2E9C-101B-9397-08002B2CF9AE}" pid="4" name="Last edited using">
    <vt:lpwstr>LW 6.0, Build 20171009</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SJ-023</vt:lpwstr>
  </property>
  <property fmtid="{D5CDD505-2E9C-101B-9397-08002B2CF9AE}" pid="9" name="ContentTypeId">
    <vt:lpwstr>0x0101001A9A6091F8B0C04AB0C61E67AE2895D1</vt:lpwstr>
  </property>
  <property fmtid="{D5CDD505-2E9C-101B-9397-08002B2CF9AE}" pid="10" name="Level of sensitivity">
    <vt:lpwstr>Standard treatment</vt:lpwstr>
  </property>
  <property fmtid="{D5CDD505-2E9C-101B-9397-08002B2CF9AE}" pid="11" name="DQCStatus">
    <vt:lpwstr>Yellow (DQC version 03)</vt:lpwstr>
  </property>
</Properties>
</file>