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F779E01-5B70-4978-818D-29FB365668A8" style="width:450.6pt;height:320.7pt">
            <v:imagedata r:id="rId9" o:title=""/>
          </v:shape>
        </w:pict>
      </w:r>
    </w:p>
    <w:bookmarkEnd w:id="4"/>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5" w:name="_GoBack"/>
      <w:bookmarkEnd w:id="5"/>
      <w:r>
        <w:rPr>
          <w:noProof/>
        </w:rPr>
        <w:lastRenderedPageBreak/>
        <w:t>REPORT FROM THE COMMISSION</w:t>
      </w:r>
    </w:p>
    <w:p>
      <w:pPr>
        <w:pStyle w:val="Titreobjet"/>
        <w:rPr>
          <w:noProof/>
        </w:rPr>
      </w:pPr>
      <w:r>
        <w:rPr>
          <w:noProof/>
        </w:rPr>
        <w:t>Regulation (EC) No 2173/2005 of 20 December 2005 on the establishment of a FLEGT licensing scheme for imports of timber into the European Community</w:t>
      </w:r>
      <w:r>
        <w:rPr>
          <w:noProof/>
        </w:rPr>
        <w:br/>
        <w:t>Annual synthesis report for the year 2016</w:t>
      </w:r>
    </w:p>
    <w:p>
      <w:pPr>
        <w:tabs>
          <w:tab w:val="left" w:pos="360"/>
        </w:tabs>
        <w:jc w:val="both"/>
        <w:rPr>
          <w:rFonts w:ascii="Times New Roman" w:hAnsi="Times New Roman"/>
          <w:noProof/>
          <w:sz w:val="24"/>
          <w:szCs w:val="24"/>
        </w:rPr>
      </w:pPr>
      <w:r>
        <w:rPr>
          <w:rFonts w:ascii="Times New Roman" w:hAnsi="Times New Roman"/>
          <w:b/>
          <w:bCs/>
          <w:noProof/>
          <w:sz w:val="24"/>
          <w:szCs w:val="24"/>
        </w:rPr>
        <w:t>1.</w:t>
      </w:r>
      <w:r>
        <w:rPr>
          <w:rFonts w:ascii="Times New Roman" w:hAnsi="Times New Roman"/>
          <w:b/>
          <w:bCs/>
          <w:noProof/>
          <w:sz w:val="24"/>
          <w:szCs w:val="24"/>
        </w:rPr>
        <w:tab/>
        <w:t>Introduction</w:t>
      </w:r>
      <w:bookmarkEnd w:id="0"/>
    </w:p>
    <w:p>
      <w:pPr>
        <w:spacing w:line="240" w:lineRule="auto"/>
        <w:jc w:val="both"/>
        <w:rPr>
          <w:rFonts w:ascii="Times New Roman" w:hAnsi="Times New Roman"/>
          <w:noProof/>
          <w:sz w:val="24"/>
          <w:szCs w:val="24"/>
        </w:rPr>
      </w:pPr>
      <w:r>
        <w:rPr>
          <w:rFonts w:ascii="Times New Roman" w:hAnsi="Times New Roman"/>
          <w:noProof/>
          <w:sz w:val="24"/>
          <w:szCs w:val="24"/>
        </w:rPr>
        <w:t>In 2005, the European Union (EU) adopted Regulation (EC) No 2173/2005</w:t>
      </w:r>
      <w:r>
        <w:rPr>
          <w:rFonts w:ascii="Times New Roman" w:hAnsi="Times New Roman"/>
          <w:noProof/>
          <w:sz w:val="24"/>
          <w:szCs w:val="24"/>
          <w:vertAlign w:val="superscript"/>
        </w:rPr>
        <w:footnoteReference w:id="1"/>
      </w:r>
      <w:r>
        <w:rPr>
          <w:rFonts w:ascii="Times New Roman" w:hAnsi="Times New Roman"/>
          <w:noProof/>
          <w:sz w:val="24"/>
          <w:szCs w:val="24"/>
        </w:rPr>
        <w:t xml:space="preserve"> of 20 December 2005 </w:t>
      </w:r>
      <w:r>
        <w:rPr>
          <w:rFonts w:ascii="Times New Roman" w:hAnsi="Times New Roman"/>
          <w:i/>
          <w:noProof/>
          <w:sz w:val="24"/>
          <w:szCs w:val="24"/>
        </w:rPr>
        <w:t>on the establishment of a FLEGT licensing scheme for imports of timber into the European Community</w:t>
      </w:r>
      <w:r>
        <w:rPr>
          <w:rFonts w:ascii="Times New Roman" w:hAnsi="Times New Roman"/>
          <w:noProof/>
          <w:sz w:val="24"/>
          <w:szCs w:val="24"/>
        </w:rPr>
        <w:t xml:space="preserve"> (hereinafter the FLEGT Regulation), as part of the implementation of the 2003 EU Action Plan on Forest Law Enforcement, Governance and Trade (FLEGT)</w:t>
      </w:r>
      <w:r>
        <w:rPr>
          <w:rStyle w:val="FootnoteReference"/>
          <w:rFonts w:ascii="Times New Roman" w:hAnsi="Times New Roman"/>
          <w:noProof/>
          <w:sz w:val="24"/>
          <w:szCs w:val="24"/>
        </w:rPr>
        <w:footnoteReference w:id="2"/>
      </w:r>
      <w:r>
        <w:rPr>
          <w:rFonts w:ascii="Times New Roman" w:hAnsi="Times New Roman"/>
          <w:noProof/>
          <w:sz w:val="24"/>
          <w:szCs w:val="24"/>
        </w:rPr>
        <w:t>. In 2008, the Commission also adopted implementing Regulation (EC) No 1024/2008</w:t>
      </w:r>
      <w:r>
        <w:rPr>
          <w:rFonts w:ascii="Times New Roman" w:hAnsi="Times New Roman"/>
          <w:noProof/>
          <w:sz w:val="24"/>
          <w:szCs w:val="24"/>
          <w:vertAlign w:val="superscript"/>
        </w:rPr>
        <w:footnoteReference w:id="3"/>
      </w:r>
      <w:r>
        <w:rPr>
          <w:rFonts w:ascii="Times New Roman" w:hAnsi="Times New Roman"/>
          <w:noProof/>
          <w:sz w:val="24"/>
          <w:szCs w:val="24"/>
        </w:rPr>
        <w:t xml:space="preserve"> </w:t>
      </w:r>
      <w:r>
        <w:rPr>
          <w:rFonts w:ascii="Times New Roman" w:hAnsi="Times New Roman"/>
          <w:i/>
          <w:noProof/>
          <w:sz w:val="24"/>
          <w:szCs w:val="24"/>
        </w:rPr>
        <w:t>laying down detailed measures for the implementation of the FLEGT Regulation</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The FLEGT Regulation lays down rules for the implementation of the FLEGT licensing scheme through the conclusion of Voluntary Partnership Agreements (VPAs) with timber producing countries, including a requirement for imports into the EU of timber products originating in FLEGT partner countries to be covered by a FLEGT licence.</w:t>
      </w:r>
    </w:p>
    <w:p>
      <w:pPr>
        <w:spacing w:line="240" w:lineRule="auto"/>
        <w:jc w:val="both"/>
        <w:rPr>
          <w:rFonts w:ascii="Times New Roman" w:hAnsi="Times New Roman"/>
          <w:noProof/>
          <w:sz w:val="24"/>
          <w:szCs w:val="24"/>
        </w:rPr>
      </w:pPr>
      <w:r>
        <w:rPr>
          <w:rFonts w:ascii="Times New Roman" w:hAnsi="Times New Roman"/>
          <w:noProof/>
          <w:sz w:val="24"/>
          <w:szCs w:val="24"/>
        </w:rPr>
        <w:t>The FLEGT licensing scheme became operational for the first time on 15 November 2016 with the start of the FLEGT licensing from Indonesia. Indonesia was the only FLEGT partner country to operate such a scheme in 2016.</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Article 8(3) of the FLEGT Regulation requires the Commission to prepare and make public an annual synthesis report based on the information submitted by the Member States in their annual reports, covering the previous calendar year in accordance with Article 8(1). </w:t>
      </w:r>
    </w:p>
    <w:p>
      <w:pPr>
        <w:spacing w:line="240" w:lineRule="auto"/>
        <w:jc w:val="both"/>
        <w:rPr>
          <w:rFonts w:ascii="Times New Roman" w:hAnsi="Times New Roman"/>
          <w:noProof/>
          <w:sz w:val="24"/>
          <w:szCs w:val="24"/>
        </w:rPr>
      </w:pPr>
      <w:r>
        <w:rPr>
          <w:rFonts w:ascii="Times New Roman" w:hAnsi="Times New Roman"/>
          <w:noProof/>
          <w:sz w:val="24"/>
          <w:szCs w:val="24"/>
        </w:rPr>
        <w:t>To facilitate reporting by Member States, a reporting format was laid down by the Commission in line with Article 8(2). The format was agreed with the Member States at the FLEGT Expert Group. To facilitate monitoring of the FLEGT licensing scheme, the format includes not only the data</w:t>
      </w:r>
      <w:r>
        <w:rPr>
          <w:rFonts w:ascii="Times New Roman" w:hAnsi="Times New Roman"/>
          <w:noProof/>
          <w:color w:val="000000"/>
          <w:sz w:val="24"/>
          <w:szCs w:val="24"/>
        </w:rPr>
        <w:t xml:space="preserve"> required under Article 8(1), but also essential information on the key obligations of Member States under the FLEGT Regulation (e.g. designated Competent Authority/ies, penalties), as well as information on practical aspects of the implementation of the FLEGT licensing scheme.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report provides an analysis of the first annual reports submitted by the Member States on the implementation of the FLEGT licencing scheme for 2016 and covers the period 15 November to 31 December 2016. The analysis provides a state of play of the implementation of the FLEGT Regulation across the EU and outlines conclusions and next steps. </w:t>
      </w:r>
    </w:p>
    <w:p>
      <w:pPr>
        <w:spacing w:line="240" w:lineRule="auto"/>
        <w:jc w:val="both"/>
        <w:rPr>
          <w:rFonts w:ascii="Times New Roman" w:hAnsi="Times New Roman"/>
          <w:noProof/>
          <w:sz w:val="24"/>
          <w:szCs w:val="24"/>
        </w:rPr>
      </w:pPr>
      <w:r>
        <w:rPr>
          <w:rFonts w:ascii="Times New Roman" w:hAnsi="Times New Roman"/>
          <w:noProof/>
          <w:sz w:val="24"/>
          <w:szCs w:val="24"/>
        </w:rPr>
        <w:t>A more detailed analysis of the national reports has been prepared for the Commission by the consultant UNEP-WCMC. It provides further details and is available on the Commission website</w:t>
      </w:r>
      <w:r>
        <w:rPr>
          <w:rStyle w:val="FootnoteReference"/>
          <w:rFonts w:ascii="Times New Roman" w:hAnsi="Times New Roman"/>
          <w:noProof/>
          <w:sz w:val="24"/>
          <w:szCs w:val="24"/>
        </w:rPr>
        <w:footnoteReference w:id="4"/>
      </w:r>
      <w:r>
        <w:rPr>
          <w:rFonts w:ascii="Times New Roman" w:hAnsi="Times New Roman"/>
          <w:noProof/>
          <w:sz w:val="24"/>
          <w:szCs w:val="24"/>
        </w:rPr>
        <w:t>.</w:t>
      </w:r>
    </w:p>
    <w:p>
      <w:pPr>
        <w:pStyle w:val="ListParagraph"/>
        <w:numPr>
          <w:ilvl w:val="0"/>
          <w:numId w:val="1"/>
        </w:numPr>
        <w:jc w:val="both"/>
        <w:rPr>
          <w:rFonts w:ascii="Times New Roman" w:hAnsi="Times New Roman"/>
          <w:b/>
          <w:bCs/>
          <w:noProof/>
          <w:sz w:val="24"/>
          <w:szCs w:val="24"/>
        </w:rPr>
      </w:pPr>
      <w:r>
        <w:rPr>
          <w:rFonts w:ascii="Times New Roman" w:hAnsi="Times New Roman"/>
          <w:b/>
          <w:bCs/>
          <w:noProof/>
          <w:sz w:val="24"/>
          <w:szCs w:val="24"/>
        </w:rPr>
        <w:t>Background</w:t>
      </w:r>
    </w:p>
    <w:p>
      <w:pPr>
        <w:spacing w:line="240" w:lineRule="auto"/>
        <w:jc w:val="both"/>
        <w:rPr>
          <w:rFonts w:ascii="Times New Roman" w:hAnsi="Times New Roman"/>
          <w:noProof/>
          <w:sz w:val="24"/>
          <w:szCs w:val="24"/>
        </w:rPr>
      </w:pPr>
      <w:r>
        <w:rPr>
          <w:rFonts w:ascii="Times New Roman" w:hAnsi="Times New Roman"/>
          <w:noProof/>
          <w:sz w:val="24"/>
          <w:szCs w:val="24"/>
        </w:rPr>
        <w:t>Illegal logging is a pervasive problem of major international concern. It has a devastating impact on some of the world's most valuable remaining forests as well as on the people who live in them and who rely on the resources that forests provide. It contributes to tropical deforestation and forest degradation, which may be responsible for 7 to 14%</w:t>
      </w:r>
      <w:r>
        <w:rPr>
          <w:rFonts w:ascii="Times New Roman" w:hAnsi="Times New Roman"/>
          <w:noProof/>
          <w:sz w:val="24"/>
          <w:szCs w:val="24"/>
          <w:vertAlign w:val="superscript"/>
        </w:rPr>
        <w:footnoteReference w:id="5"/>
      </w:r>
      <w:r>
        <w:rPr>
          <w:rFonts w:ascii="Times New Roman" w:hAnsi="Times New Roman"/>
          <w:noProof/>
          <w:sz w:val="24"/>
          <w:szCs w:val="24"/>
        </w:rPr>
        <w:t xml:space="preserve"> of total CO</w:t>
      </w:r>
      <w:r>
        <w:rPr>
          <w:rFonts w:ascii="Times New Roman" w:hAnsi="Times New Roman"/>
          <w:noProof/>
          <w:sz w:val="24"/>
          <w:szCs w:val="24"/>
          <w:vertAlign w:val="subscript"/>
        </w:rPr>
        <w:t>2</w:t>
      </w:r>
      <w:r>
        <w:rPr>
          <w:rFonts w:ascii="Times New Roman" w:hAnsi="Times New Roman"/>
          <w:noProof/>
          <w:sz w:val="24"/>
          <w:szCs w:val="24"/>
        </w:rPr>
        <w:t xml:space="preserve"> emissions from human activities; it threatens biodiversity and undermines sustainable forest management and has a negative impact on poverty reduction, sustainable and inclusive economic growth and sustainable development, including by undermining the commercial viability of operators who do act in accordance with applicable legislation.</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2003 FLEGT Action Plan sets out the EU response to tackle illegal logging and associated trade by improving forest governance, strengthening law enforcement and promoting trade in legally harvested timber and timber products.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establishment of a FLEGT licensing scheme to ensure that only legally harvested timber is exported from countries participating in the scheme is one of the main elements of the FLEGT Action Plan. The FLEGT licensing scheme is implemented through the conclusion of VPAs with timber producing countries.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Under the FLEGT VPA, exporting countries develop systems to verify the legality of their timber exports to the EU and a licensing system to provide assurance that timber imported into the EU has been harvested in compliance with the legal requirements of the partner country, as set out in the relevant FLEGT VPA. </w:t>
      </w:r>
    </w:p>
    <w:p>
      <w:pPr>
        <w:spacing w:line="240" w:lineRule="auto"/>
        <w:jc w:val="both"/>
        <w:rPr>
          <w:rFonts w:ascii="Times New Roman" w:hAnsi="Times New Roman"/>
          <w:noProof/>
          <w:sz w:val="24"/>
          <w:szCs w:val="24"/>
        </w:rPr>
      </w:pPr>
      <w:r>
        <w:rPr>
          <w:rFonts w:ascii="Times New Roman" w:hAnsi="Times New Roman"/>
          <w:noProof/>
          <w:sz w:val="24"/>
          <w:szCs w:val="24"/>
        </w:rPr>
        <w:t>The product scope of the FLEGT licensing scheme covers a core list of mandatory products, as listed under Annex II to the FLEGT Regulation, as well as additional country-specific products to be listed in Annex III (in line with the product scope agreed in the relevant VPA).</w:t>
      </w:r>
    </w:p>
    <w:p>
      <w:pPr>
        <w:spacing w:line="240" w:lineRule="auto"/>
        <w:jc w:val="both"/>
        <w:rPr>
          <w:rFonts w:ascii="Times New Roman" w:hAnsi="Times New Roman"/>
          <w:noProof/>
          <w:sz w:val="24"/>
          <w:szCs w:val="24"/>
          <w:lang w:val="en"/>
        </w:rPr>
      </w:pPr>
      <w:r>
        <w:rPr>
          <w:rFonts w:ascii="Times New Roman" w:hAnsi="Times New Roman"/>
          <w:noProof/>
          <w:sz w:val="24"/>
          <w:szCs w:val="24"/>
          <w:lang w:val="en"/>
        </w:rPr>
        <w:t>To date 6 VPAs have been concluded with Cameroon, the Central African Republic, Ghana, Indonesia, Liberia and the Republic of the Congo. Negotiations are ongoing with 9 additional partner countries, notably Côte d'Ivoire, the Democratic Republic of the Congo, Gabon, Guyana, Honduras, Laos, Malaysia, Thailand, and Vietnam.</w:t>
      </w:r>
    </w:p>
    <w:p>
      <w:pPr>
        <w:spacing w:line="240" w:lineRule="auto"/>
        <w:jc w:val="both"/>
        <w:rPr>
          <w:rFonts w:ascii="Times New Roman" w:hAnsi="Times New Roman"/>
          <w:noProof/>
          <w:sz w:val="24"/>
          <w:szCs w:val="24"/>
        </w:rPr>
      </w:pPr>
      <w:r>
        <w:rPr>
          <w:rFonts w:ascii="Times New Roman" w:hAnsi="Times New Roman"/>
          <w:noProof/>
          <w:sz w:val="24"/>
          <w:szCs w:val="24"/>
        </w:rPr>
        <w:t>The FLEGT VPA between the EU and Indonesia entered into force on 1 May 2014</w:t>
      </w:r>
      <w:r>
        <w:rPr>
          <w:rFonts w:ascii="Times New Roman" w:hAnsi="Times New Roman"/>
          <w:noProof/>
          <w:sz w:val="24"/>
          <w:szCs w:val="24"/>
          <w:vertAlign w:val="superscript"/>
        </w:rPr>
        <w:footnoteReference w:id="6"/>
      </w:r>
      <w:r>
        <w:rPr>
          <w:rFonts w:ascii="Times New Roman" w:hAnsi="Times New Roman"/>
          <w:noProof/>
          <w:sz w:val="24"/>
          <w:szCs w:val="24"/>
        </w:rPr>
        <w:t xml:space="preserve">. It establishes the framework, institutions and systems of the FLEGT licensing scheme for Indonesia. It sets out the supply chain controls, legal compliance framework and independent audit requirements of the system, termed the Timber Legality Assurance System (TLAS) or ‘Sistem Verificasi Legalitas Kayu (SVLK)’ in Indonesian. </w:t>
      </w:r>
    </w:p>
    <w:p>
      <w:pPr>
        <w:spacing w:line="240" w:lineRule="auto"/>
        <w:jc w:val="both"/>
        <w:rPr>
          <w:rFonts w:ascii="Times New Roman" w:hAnsi="Times New Roman"/>
          <w:bCs/>
          <w:noProof/>
          <w:sz w:val="24"/>
          <w:szCs w:val="24"/>
        </w:rPr>
      </w:pPr>
      <w:r>
        <w:rPr>
          <w:rFonts w:ascii="Times New Roman" w:hAnsi="Times New Roman"/>
          <w:noProof/>
          <w:sz w:val="24"/>
          <w:szCs w:val="24"/>
        </w:rPr>
        <w:t xml:space="preserve">Following the positive joint assessment of the Indonesian TLAS, Indonesia became the first country to operate a FLEGT licensing scheme </w:t>
      </w:r>
      <w:r>
        <w:rPr>
          <w:rFonts w:ascii="Times New Roman" w:hAnsi="Times New Roman"/>
          <w:bCs/>
          <w:noProof/>
          <w:sz w:val="24"/>
          <w:szCs w:val="24"/>
        </w:rPr>
        <w:t>as of 15 November 2016. In line with Articles 10(1) and 10(3) of the FLEGT Regulation, the decision to start the operation of the FLEGT licensing scheme in Indonesia involved the amendment, through a Commission Delegated Regulation</w:t>
      </w:r>
      <w:r>
        <w:rPr>
          <w:rFonts w:ascii="Times New Roman" w:hAnsi="Times New Roman"/>
          <w:bCs/>
          <w:noProof/>
          <w:sz w:val="24"/>
          <w:szCs w:val="24"/>
          <w:vertAlign w:val="superscript"/>
        </w:rPr>
        <w:footnoteReference w:id="7"/>
      </w:r>
      <w:r>
        <w:rPr>
          <w:rFonts w:ascii="Times New Roman" w:hAnsi="Times New Roman"/>
          <w:bCs/>
          <w:noProof/>
          <w:sz w:val="24"/>
          <w:szCs w:val="24"/>
        </w:rPr>
        <w:t>, of Annex I and III to the FLEGT Regulation in order to include Indonesia and its Licensing Information Unit (LIU) under the list of "Partner countries and their designated licensing authorities" contained in Annex I, and the list of products covered by the FLEGT licensing scheme in Annex III "Timber products to which the FLEGT licensing scheme applies only in relation to the corresponding partner countries". This concerns most of the products covered in the EU Timber Regulation (EUTR)</w:t>
      </w:r>
      <w:r>
        <w:rPr>
          <w:rFonts w:ascii="Times New Roman" w:hAnsi="Times New Roman"/>
          <w:bCs/>
          <w:noProof/>
          <w:sz w:val="24"/>
          <w:szCs w:val="24"/>
          <w:vertAlign w:val="superscript"/>
        </w:rPr>
        <w:footnoteReference w:id="8"/>
      </w:r>
      <w:r>
        <w:rPr>
          <w:rFonts w:ascii="Times New Roman" w:hAnsi="Times New Roman"/>
          <w:bCs/>
          <w:noProof/>
          <w:sz w:val="24"/>
          <w:szCs w:val="24"/>
        </w:rPr>
        <w:t>, as well as furniture, fuel wood, wooden tools, wooden packing material, builders' joinery and carpentry of wood, wood pulp, paper and paper products, kitchen and tableware, and additional products, as per Annex I of the Indonesia-EU VPA</w:t>
      </w:r>
      <w:r>
        <w:rPr>
          <w:rFonts w:ascii="Times New Roman" w:hAnsi="Times New Roman"/>
          <w:bCs/>
          <w:noProof/>
          <w:sz w:val="24"/>
          <w:szCs w:val="24"/>
          <w:vertAlign w:val="superscript"/>
        </w:rPr>
        <w:footnoteReference w:id="9"/>
      </w:r>
      <w:r>
        <w:rPr>
          <w:rFonts w:ascii="Times New Roman" w:hAnsi="Times New Roman"/>
          <w:bCs/>
          <w:noProof/>
          <w:sz w:val="24"/>
          <w:szCs w:val="24"/>
        </w:rPr>
        <w:t>. Two types of products are excluded from the scope of the FLEGT licensing scheme for Indonesia: 1) Rattan or bamboo products, and 2) paper made from non-wooden or recycled material. In addition, it should be noted that a number of products (e.g. logs), while covered in principle by the FLEGT licensing scheme, are prohibited from exports by Indonesian legislation and in line with Article 4 of the VPA cannot be covered a FLEGT licence and hence cannot be imported into the EU.</w:t>
      </w:r>
    </w:p>
    <w:p>
      <w:pPr>
        <w:spacing w:line="240" w:lineRule="auto"/>
        <w:jc w:val="both"/>
        <w:rPr>
          <w:rFonts w:ascii="Times New Roman" w:hAnsi="Times New Roman"/>
          <w:bCs/>
          <w:iCs/>
          <w:noProof/>
          <w:sz w:val="24"/>
          <w:szCs w:val="24"/>
        </w:rPr>
      </w:pPr>
      <w:r>
        <w:rPr>
          <w:rFonts w:ascii="Times New Roman" w:hAnsi="Times New Roman"/>
          <w:bCs/>
          <w:noProof/>
          <w:sz w:val="24"/>
          <w:szCs w:val="24"/>
        </w:rPr>
        <w:t xml:space="preserve">To support the implementation of the FLEGT licensing scheme in the EU, </w:t>
      </w:r>
      <w:r>
        <w:rPr>
          <w:rFonts w:ascii="Times New Roman" w:hAnsi="Times New Roman"/>
          <w:noProof/>
          <w:sz w:val="24"/>
          <w:szCs w:val="24"/>
        </w:rPr>
        <w:t>the Commission developed an IT system for the electronic handling of FLEGT Licences by the Member States, named FLEGIT/TRACES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which also serves as a central repository for FLEGT licences. </w:t>
      </w:r>
      <w:r>
        <w:rPr>
          <w:rFonts w:ascii="Times New Roman" w:hAnsi="Times New Roman"/>
          <w:bCs/>
          <w:noProof/>
          <w:sz w:val="24"/>
          <w:szCs w:val="24"/>
        </w:rPr>
        <w:t xml:space="preserve">The Commission also published in 2014 the </w:t>
      </w:r>
      <w:r>
        <w:rPr>
          <w:rFonts w:ascii="Times New Roman" w:hAnsi="Times New Roman"/>
          <w:bCs/>
          <w:i/>
          <w:iCs/>
          <w:noProof/>
          <w:sz w:val="24"/>
          <w:szCs w:val="24"/>
        </w:rPr>
        <w:t>Customs and FLEGT Implementation Guidelines</w:t>
      </w:r>
      <w:r>
        <w:rPr>
          <w:rStyle w:val="FootnoteReference"/>
          <w:rFonts w:ascii="Times New Roman" w:hAnsi="Times New Roman"/>
          <w:bCs/>
          <w:i/>
          <w:iCs/>
          <w:noProof/>
          <w:sz w:val="24"/>
          <w:szCs w:val="24"/>
        </w:rPr>
        <w:footnoteReference w:id="11"/>
      </w:r>
      <w:r>
        <w:rPr>
          <w:rFonts w:ascii="Times New Roman" w:hAnsi="Times New Roman"/>
          <w:bCs/>
          <w:i/>
          <w:iCs/>
          <w:noProof/>
          <w:sz w:val="24"/>
          <w:szCs w:val="24"/>
        </w:rPr>
        <w:t xml:space="preserve"> </w:t>
      </w:r>
      <w:r>
        <w:rPr>
          <w:rFonts w:ascii="Times New Roman" w:hAnsi="Times New Roman"/>
          <w:bCs/>
          <w:iCs/>
          <w:noProof/>
          <w:sz w:val="24"/>
          <w:szCs w:val="24"/>
        </w:rPr>
        <w:t xml:space="preserve">to support customs in effectively carrying out their tasks in accordance with the FLEGT Regulation. </w:t>
      </w:r>
      <w:r>
        <w:rPr>
          <w:rFonts w:ascii="Times New Roman" w:hAnsi="Times New Roman"/>
          <w:bCs/>
          <w:noProof/>
          <w:sz w:val="24"/>
          <w:szCs w:val="24"/>
        </w:rPr>
        <w:t xml:space="preserve">Furthermore, the </w:t>
      </w:r>
      <w:r>
        <w:rPr>
          <w:rFonts w:ascii="Times New Roman" w:hAnsi="Times New Roman"/>
          <w:bCs/>
          <w:iCs/>
          <w:noProof/>
          <w:sz w:val="24"/>
          <w:szCs w:val="24"/>
        </w:rPr>
        <w:t>FLEGT Licence Information Point (</w:t>
      </w:r>
      <w:hyperlink r:id="rId16" w:history="1">
        <w:r>
          <w:rPr>
            <w:rStyle w:val="Hyperlink"/>
            <w:rFonts w:ascii="Times New Roman" w:hAnsi="Times New Roman"/>
            <w:bCs/>
            <w:noProof/>
            <w:sz w:val="24"/>
            <w:szCs w:val="24"/>
          </w:rPr>
          <w:t>www.flegtlicence.org</w:t>
        </w:r>
      </w:hyperlink>
      <w:r>
        <w:rPr>
          <w:rFonts w:ascii="Times New Roman" w:hAnsi="Times New Roman"/>
          <w:bCs/>
          <w:noProof/>
          <w:sz w:val="24"/>
          <w:szCs w:val="24"/>
        </w:rPr>
        <w:t xml:space="preserve">) was developed to provide relevant </w:t>
      </w:r>
      <w:r>
        <w:rPr>
          <w:rFonts w:ascii="Times New Roman" w:hAnsi="Times New Roman"/>
          <w:bCs/>
          <w:iCs/>
          <w:noProof/>
          <w:sz w:val="24"/>
          <w:szCs w:val="24"/>
        </w:rPr>
        <w:t>information for operators and FLEGT Competent Authorities (CAs) on the implementation of the FLEGT licensing scheme.</w:t>
      </w:r>
      <w:r>
        <w:rPr>
          <w:rFonts w:ascii="Times New Roman" w:hAnsi="Times New Roman"/>
          <w:bCs/>
          <w:noProof/>
          <w:sz w:val="24"/>
          <w:szCs w:val="24"/>
        </w:rPr>
        <w:t xml:space="preserve"> </w:t>
      </w:r>
      <w:r>
        <w:rPr>
          <w:rFonts w:ascii="Times New Roman" w:hAnsi="Times New Roman"/>
          <w:bCs/>
          <w:iCs/>
          <w:noProof/>
          <w:sz w:val="24"/>
          <w:szCs w:val="24"/>
        </w:rPr>
        <w:t>Finally, the Commission, in line with Article 3(2) of implementing Regulation (EC) 1024/2008, has provided the Member States with the names and other relevant details of the Licensing Authorities designated by Indonesia, authenticated specimens of stamps and signatures for each Licensing Authority, and specimens of the FLEGT licence template used by Indonesia.</w:t>
      </w:r>
    </w:p>
    <w:p>
      <w:pPr>
        <w:pStyle w:val="ListParagraph"/>
        <w:numPr>
          <w:ilvl w:val="0"/>
          <w:numId w:val="12"/>
        </w:numPr>
        <w:tabs>
          <w:tab w:val="left" w:pos="360"/>
        </w:tabs>
        <w:spacing w:line="240" w:lineRule="auto"/>
        <w:ind w:left="360"/>
        <w:jc w:val="both"/>
        <w:rPr>
          <w:rFonts w:ascii="Times New Roman" w:hAnsi="Times New Roman"/>
          <w:b/>
          <w:bCs/>
          <w:noProof/>
          <w:sz w:val="24"/>
          <w:szCs w:val="24"/>
          <w:lang w:eastAsia="en-GB"/>
        </w:rPr>
      </w:pPr>
      <w:r>
        <w:rPr>
          <w:rFonts w:ascii="Times New Roman" w:hAnsi="Times New Roman"/>
          <w:b/>
          <w:bCs/>
          <w:noProof/>
          <w:sz w:val="24"/>
          <w:szCs w:val="24"/>
          <w:lang w:eastAsia="en-GB"/>
        </w:rPr>
        <w:t>Analysis of FLEGT annual reports</w:t>
      </w:r>
    </w:p>
    <w:p>
      <w:pPr>
        <w:spacing w:line="240" w:lineRule="auto"/>
        <w:jc w:val="both"/>
        <w:rPr>
          <w:rFonts w:ascii="Times New Roman" w:hAnsi="Times New Roman"/>
          <w:noProof/>
          <w:sz w:val="24"/>
          <w:szCs w:val="24"/>
        </w:rPr>
      </w:pPr>
      <w:r>
        <w:rPr>
          <w:rFonts w:ascii="Times New Roman" w:hAnsi="Times New Roman"/>
          <w:bCs/>
          <w:noProof/>
          <w:sz w:val="24"/>
          <w:szCs w:val="24"/>
        </w:rPr>
        <w:t>In line with Article 8 of the FLEGT Regulation, Member States are required to submit</w:t>
      </w:r>
      <w:r>
        <w:rPr>
          <w:rFonts w:ascii="Times New Roman" w:hAnsi="Times New Roman"/>
          <w:noProof/>
          <w:sz w:val="24"/>
          <w:szCs w:val="24"/>
        </w:rPr>
        <w:t xml:space="preserve"> by 30 April annual reports</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on the implementation of the FLEGT licensing scheme, covering the previous calendar year. The annual reports</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submitted by Member States provide an important mechanism for the Commission to monitor the implementation of the FLEGT Regulation. They also provide a basis for information sharing among Member States and with other stakeholders, and support the identification of developments, trends, gaps or challenges, as well as possible solutions. </w:t>
      </w:r>
    </w:p>
    <w:p>
      <w:pPr>
        <w:spacing w:line="270" w:lineRule="atLeast"/>
        <w:jc w:val="both"/>
        <w:rPr>
          <w:rFonts w:ascii="Times New Roman" w:hAnsi="Times New Roman"/>
          <w:noProof/>
          <w:sz w:val="24"/>
          <w:szCs w:val="24"/>
        </w:rPr>
      </w:pPr>
      <w:r>
        <w:rPr>
          <w:rFonts w:ascii="Times New Roman" w:hAnsi="Times New Roman"/>
          <w:noProof/>
          <w:sz w:val="24"/>
          <w:szCs w:val="24"/>
        </w:rPr>
        <w:t xml:space="preserve">This annual synthesis report prepared in line with Article 8(3) is based on information provided by the Member States in their 2016 annual reports, covering the period 15 November to 31 December 2016; 15 Member States submitted their reports within the deadline, whereas 13 submitted their reports after the deadline. </w:t>
      </w:r>
    </w:p>
    <w:p>
      <w:pPr>
        <w:pStyle w:val="ListParagraph"/>
        <w:keepNext/>
        <w:keepLines/>
        <w:numPr>
          <w:ilvl w:val="0"/>
          <w:numId w:val="13"/>
        </w:numPr>
        <w:spacing w:line="270" w:lineRule="atLeast"/>
        <w:jc w:val="both"/>
        <w:outlineLvl w:val="1"/>
        <w:rPr>
          <w:rFonts w:ascii="Times New Roman" w:hAnsi="Times New Roman"/>
          <w:b/>
          <w:bCs/>
          <w:noProof/>
          <w:sz w:val="24"/>
          <w:szCs w:val="24"/>
          <w:lang w:eastAsia="en-GB"/>
        </w:rPr>
      </w:pPr>
      <w:r>
        <w:rPr>
          <w:rFonts w:ascii="Times New Roman" w:hAnsi="Times New Roman"/>
          <w:b/>
          <w:bCs/>
          <w:noProof/>
          <w:sz w:val="24"/>
          <w:szCs w:val="24"/>
          <w:lang w:eastAsia="en-GB"/>
        </w:rPr>
        <w:t>Implementation state of play</w:t>
      </w:r>
      <w:bookmarkEnd w:id="1"/>
      <w:bookmarkEnd w:id="2"/>
      <w:bookmarkEnd w:id="3"/>
    </w:p>
    <w:p>
      <w:pPr>
        <w:spacing w:line="240" w:lineRule="auto"/>
        <w:jc w:val="both"/>
        <w:rPr>
          <w:rFonts w:ascii="Times New Roman" w:hAnsi="Times New Roman"/>
          <w:noProof/>
          <w:sz w:val="24"/>
          <w:szCs w:val="24"/>
        </w:rPr>
      </w:pPr>
      <w:r>
        <w:rPr>
          <w:rFonts w:ascii="Times New Roman" w:hAnsi="Times New Roman"/>
          <w:noProof/>
          <w:sz w:val="24"/>
          <w:szCs w:val="24"/>
        </w:rPr>
        <w:t xml:space="preserve">The FLEGT Regulation requires Member States to designate CA or CAs and to adopt effective, proportionate and dissuasive penalties to enforce the Regulation. The national reports provide an overview of the status of national implementation, and are a means of assessing the level of consistency achieved across Member States. </w:t>
      </w:r>
    </w:p>
    <w:p>
      <w:pPr>
        <w:pStyle w:val="ListParagraph"/>
        <w:keepNext/>
        <w:keepLines/>
        <w:numPr>
          <w:ilvl w:val="1"/>
          <w:numId w:val="13"/>
        </w:numPr>
        <w:spacing w:before="240" w:line="270" w:lineRule="atLeast"/>
        <w:jc w:val="both"/>
        <w:outlineLvl w:val="0"/>
        <w:rPr>
          <w:rFonts w:ascii="Times New Roman" w:hAnsi="Times New Roman"/>
          <w:b/>
          <w:noProof/>
          <w:sz w:val="24"/>
          <w:szCs w:val="24"/>
          <w:lang w:eastAsia="en-GB"/>
        </w:rPr>
      </w:pPr>
      <w:bookmarkStart w:id="6" w:name="_Toc485222991"/>
      <w:r>
        <w:rPr>
          <w:rFonts w:ascii="Times New Roman" w:hAnsi="Times New Roman"/>
          <w:b/>
          <w:noProof/>
          <w:sz w:val="24"/>
          <w:szCs w:val="24"/>
          <w:lang w:eastAsia="en-GB"/>
        </w:rPr>
        <w:t>Designation of Competent Authorities</w:t>
      </w:r>
      <w:bookmarkEnd w:id="6"/>
    </w:p>
    <w:p>
      <w:pPr>
        <w:spacing w:line="240" w:lineRule="auto"/>
        <w:jc w:val="both"/>
        <w:rPr>
          <w:rFonts w:ascii="Times New Roman" w:eastAsia="Times New Roman" w:hAnsi="Times New Roman"/>
          <w:noProof/>
          <w:sz w:val="24"/>
          <w:szCs w:val="24"/>
          <w:lang w:eastAsia="en-GB"/>
        </w:rPr>
      </w:pPr>
      <w:r>
        <w:rPr>
          <w:rFonts w:ascii="Times New Roman" w:hAnsi="Times New Roman"/>
          <w:noProof/>
          <w:sz w:val="24"/>
          <w:szCs w:val="24"/>
          <w:lang w:eastAsia="en-GB"/>
        </w:rPr>
        <w:t>In accordance with Article 7(1) of the FLEGT Regulation, all Member States have designated a CA or CAs</w:t>
      </w:r>
      <w:r>
        <w:rPr>
          <w:rFonts w:ascii="Times New Roman" w:hAnsi="Times New Roman"/>
          <w:noProof/>
          <w:sz w:val="24"/>
          <w:szCs w:val="24"/>
          <w:vertAlign w:val="superscript"/>
          <w:lang w:eastAsia="en-GB"/>
        </w:rPr>
        <w:footnoteReference w:id="14"/>
      </w:r>
      <w:r>
        <w:rPr>
          <w:rFonts w:ascii="Times New Roman" w:hAnsi="Times New Roman"/>
          <w:noProof/>
          <w:sz w:val="24"/>
          <w:szCs w:val="24"/>
          <w:lang w:eastAsia="en-GB"/>
        </w:rPr>
        <w:t xml:space="preserve"> and all but 1 (Portugal) reporting Member States provided information on the legislating act designating the CAs. </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7 Member States, the customs authority has been designated as the CA for FLEGT licensing, or as part of the CA. In 21 Member States customs and the CA are separate authorities. In these Member States it is important that arrangements are in place to ensure that the authorities are able to cooperate effectively on the processing of FLEGT licences, with the CA able to delegate relevant tasks to customs and obtain the information required to verify that a FLEGT licence corresponds to a given shipment. This delegation has been established in all but 1 (Belgium) of these Member States. Some Member States nevertheless reported that cooperation between different agencies could be further improved.</w:t>
      </w:r>
    </w:p>
    <w:p>
      <w:pPr>
        <w:pStyle w:val="ListParagraph"/>
        <w:keepNext/>
        <w:keepLines/>
        <w:numPr>
          <w:ilvl w:val="1"/>
          <w:numId w:val="13"/>
        </w:numPr>
        <w:spacing w:before="240" w:line="270" w:lineRule="atLeast"/>
        <w:jc w:val="both"/>
        <w:outlineLvl w:val="0"/>
        <w:rPr>
          <w:rFonts w:ascii="Times New Roman" w:hAnsi="Times New Roman"/>
          <w:b/>
          <w:noProof/>
          <w:sz w:val="24"/>
          <w:szCs w:val="24"/>
          <w:lang w:eastAsia="en-GB"/>
        </w:rPr>
      </w:pPr>
      <w:r>
        <w:rPr>
          <w:rFonts w:ascii="Times New Roman" w:hAnsi="Times New Roman"/>
          <w:bCs/>
          <w:noProof/>
          <w:sz w:val="18"/>
          <w:szCs w:val="18"/>
          <w:lang w:eastAsia="en-GB"/>
        </w:rPr>
        <w:t xml:space="preserve"> </w:t>
      </w:r>
      <w:r>
        <w:rPr>
          <w:rFonts w:ascii="Times New Roman" w:hAnsi="Times New Roman"/>
          <w:b/>
          <w:noProof/>
          <w:sz w:val="24"/>
          <w:szCs w:val="24"/>
          <w:lang w:eastAsia="en-GB"/>
        </w:rPr>
        <w:t xml:space="preserve">Quantities of timber imported and related number of </w:t>
      </w:r>
      <w:bookmarkStart w:id="7" w:name="_Toc485222992"/>
      <w:r>
        <w:rPr>
          <w:rFonts w:ascii="Times New Roman" w:hAnsi="Times New Roman"/>
          <w:b/>
          <w:noProof/>
          <w:sz w:val="24"/>
          <w:szCs w:val="24"/>
          <w:lang w:eastAsia="en-GB"/>
        </w:rPr>
        <w:t xml:space="preserve">FLEGT Licences </w:t>
      </w:r>
      <w:bookmarkEnd w:id="7"/>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line with Article 8(1) of the FLEGT Regulation, Member States should report for the previous calendar year in particular on the following:</w:t>
      </w:r>
    </w:p>
    <w:p>
      <w:pPr>
        <w:pStyle w:val="ListParagraph"/>
        <w:numPr>
          <w:ilvl w:val="0"/>
          <w:numId w:val="10"/>
        </w:num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quantities of timber products imported into the Member State under the FLEGT licensing scheme, as per HS Heading specified in Annexes II and III and per each partner country;</w:t>
      </w:r>
    </w:p>
    <w:p>
      <w:pPr>
        <w:pStyle w:val="ListParagraph"/>
        <w:numPr>
          <w:ilvl w:val="0"/>
          <w:numId w:val="10"/>
        </w:num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number of FLEGT licences received</w:t>
      </w:r>
      <w:r>
        <w:rPr>
          <w:noProof/>
          <w:vertAlign w:val="superscript"/>
          <w:lang w:eastAsia="en-GB"/>
        </w:rPr>
        <w:footnoteReference w:id="15"/>
      </w:r>
      <w:r>
        <w:rPr>
          <w:rFonts w:ascii="Times New Roman" w:hAnsi="Times New Roman"/>
          <w:noProof/>
          <w:sz w:val="24"/>
          <w:szCs w:val="24"/>
          <w:lang w:eastAsia="en-GB"/>
        </w:rPr>
        <w:t>, as per HS Heading specified in Annexes II and III and per each partner country;</w:t>
      </w:r>
    </w:p>
    <w:p>
      <w:pPr>
        <w:pStyle w:val="ListParagraph"/>
        <w:numPr>
          <w:ilvl w:val="0"/>
          <w:numId w:val="10"/>
        </w:num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number of cases and quantities of timber products involved where Article 6(1) has been applied</w:t>
      </w:r>
      <w:r>
        <w:rPr>
          <w:noProof/>
          <w:vertAlign w:val="superscript"/>
          <w:lang w:eastAsia="en-GB"/>
        </w:rPr>
        <w:footnoteReference w:id="16"/>
      </w:r>
      <w:r>
        <w:rPr>
          <w:rFonts w:ascii="Times New Roman" w:hAnsi="Times New Roman"/>
          <w:noProof/>
          <w:sz w:val="24"/>
          <w:szCs w:val="24"/>
          <w:lang w:eastAsia="en-GB"/>
        </w:rPr>
        <w:t xml:space="preserve"> </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It is worth noting that Member States appear to have interpreted the information that should be reported on the number of licences and on the quantities on this section differently. </w:t>
      </w:r>
    </w:p>
    <w:p>
      <w:pPr>
        <w:spacing w:after="0" w:line="240" w:lineRule="auto"/>
        <w:rPr>
          <w:rFonts w:ascii="Times New Roman" w:hAnsi="Times New Roman"/>
          <w:i/>
          <w:noProof/>
          <w:sz w:val="24"/>
          <w:szCs w:val="24"/>
          <w:lang w:eastAsia="en-GB"/>
        </w:rPr>
      </w:pPr>
      <w:r>
        <w:rPr>
          <w:rFonts w:ascii="Times New Roman" w:hAnsi="Times New Roman"/>
          <w:i/>
          <w:noProof/>
          <w:sz w:val="24"/>
          <w:szCs w:val="24"/>
          <w:lang w:eastAsia="en-GB"/>
        </w:rPr>
        <w:br w:type="page"/>
      </w:r>
    </w:p>
    <w:p>
      <w:pPr>
        <w:spacing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Number of licences</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2016, 16 of the 28 Member States received FLEGT licences, with the numbers of licences varying considerably across Member States (Figure 1). A total of 591 licences were reported to have been received.</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Some Member States reported each licence separately and highlighted those licences that included more than one Harmonised Commodity (HS) code. Others reported by HS code, combining the quantities included on different licences. As the latter approach results in double-counting of some licences, Member States were contacted to confirm the total number of licences received in 2016; all concerned Member States replied to confirm the total number. </w:t>
      </w:r>
    </w:p>
    <w:p>
      <w:pPr>
        <w:spacing w:line="270" w:lineRule="atLeast"/>
        <w:jc w:val="both"/>
        <w:rPr>
          <w:rFonts w:ascii="Times New Roman" w:hAnsi="Times New Roman"/>
          <w:noProof/>
          <w:sz w:val="24"/>
          <w:szCs w:val="24"/>
          <w:lang w:eastAsia="en-GB"/>
        </w:rPr>
      </w:pPr>
    </w:p>
    <w:p>
      <w:pPr>
        <w:keepNext/>
        <w:spacing w:line="270" w:lineRule="atLeast"/>
        <w:jc w:val="both"/>
        <w:rPr>
          <w:noProof/>
        </w:rPr>
      </w:pPr>
      <w:r>
        <w:rPr>
          <w:rFonts w:ascii="Times New Roman" w:hAnsi="Times New Roman"/>
          <w:noProof/>
          <w:sz w:val="24"/>
          <w:szCs w:val="24"/>
          <w:lang w:val="en-US"/>
        </w:rPr>
        <w:drawing>
          <wp:inline distT="0" distB="0" distL="0" distR="0">
            <wp:extent cx="5487035" cy="1804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035" cy="1804670"/>
                    </a:xfrm>
                    <a:prstGeom prst="rect">
                      <a:avLst/>
                    </a:prstGeom>
                    <a:noFill/>
                  </pic:spPr>
                </pic:pic>
              </a:graphicData>
            </a:graphic>
          </wp:inline>
        </w:drawing>
      </w:r>
    </w:p>
    <w:p>
      <w:pPr>
        <w:pStyle w:val="Caption"/>
        <w:tabs>
          <w:tab w:val="left" w:pos="840"/>
        </w:tabs>
        <w:jc w:val="both"/>
        <w:rPr>
          <w:rFonts w:ascii="Times New Roman" w:hAnsi="Times New Roman"/>
          <w:noProof/>
          <w:color w:val="auto"/>
          <w:sz w:val="20"/>
          <w:szCs w:val="20"/>
          <w:lang w:eastAsia="en-GB"/>
        </w:rPr>
      </w:pPr>
      <w:r>
        <w:rPr>
          <w:rFonts w:ascii="Times New Roman" w:hAnsi="Times New Roman"/>
          <w:b/>
          <w:i w:val="0"/>
          <w:noProof/>
          <w:color w:val="auto"/>
          <w:sz w:val="20"/>
          <w:szCs w:val="20"/>
        </w:rPr>
        <w:t xml:space="preserve">Figure </w:t>
      </w:r>
      <w:r>
        <w:rPr>
          <w:rFonts w:ascii="Times New Roman" w:hAnsi="Times New Roman"/>
          <w:b/>
          <w:i w:val="0"/>
          <w:noProof/>
          <w:color w:val="auto"/>
          <w:sz w:val="20"/>
          <w:szCs w:val="20"/>
        </w:rPr>
        <w:fldChar w:fldCharType="begin"/>
      </w:r>
      <w:r>
        <w:rPr>
          <w:rFonts w:ascii="Times New Roman" w:hAnsi="Times New Roman"/>
          <w:b/>
          <w:i w:val="0"/>
          <w:noProof/>
          <w:color w:val="auto"/>
          <w:sz w:val="20"/>
          <w:szCs w:val="20"/>
        </w:rPr>
        <w:instrText xml:space="preserve"> SEQ Figure \* ARABIC </w:instrText>
      </w:r>
      <w:r>
        <w:rPr>
          <w:rFonts w:ascii="Times New Roman" w:hAnsi="Times New Roman"/>
          <w:b/>
          <w:i w:val="0"/>
          <w:noProof/>
          <w:color w:val="auto"/>
          <w:sz w:val="20"/>
          <w:szCs w:val="20"/>
        </w:rPr>
        <w:fldChar w:fldCharType="separate"/>
      </w:r>
      <w:r>
        <w:rPr>
          <w:rFonts w:ascii="Times New Roman" w:hAnsi="Times New Roman"/>
          <w:b/>
          <w:i w:val="0"/>
          <w:noProof/>
          <w:color w:val="auto"/>
          <w:sz w:val="20"/>
          <w:szCs w:val="20"/>
        </w:rPr>
        <w:t>1</w:t>
      </w:r>
      <w:r>
        <w:rPr>
          <w:rFonts w:ascii="Times New Roman" w:hAnsi="Times New Roman"/>
          <w:b/>
          <w:i w:val="0"/>
          <w:noProof/>
          <w:color w:val="auto"/>
          <w:sz w:val="20"/>
          <w:szCs w:val="20"/>
        </w:rPr>
        <w:fldChar w:fldCharType="end"/>
      </w:r>
      <w:r>
        <w:rPr>
          <w:rFonts w:ascii="Times New Roman" w:hAnsi="Times New Roman"/>
          <w:i w:val="0"/>
          <w:noProof/>
          <w:color w:val="auto"/>
          <w:sz w:val="20"/>
          <w:szCs w:val="20"/>
        </w:rPr>
        <w:t>:</w:t>
      </w:r>
      <w:r>
        <w:rPr>
          <w:rFonts w:ascii="Times New Roman" w:hAnsi="Times New Roman"/>
          <w:noProof/>
          <w:color w:val="auto"/>
          <w:sz w:val="20"/>
          <w:szCs w:val="20"/>
        </w:rPr>
        <w:tab/>
      </w:r>
      <w:r>
        <w:rPr>
          <w:rFonts w:ascii="Times New Roman" w:hAnsi="Times New Roman"/>
          <w:i w:val="0"/>
          <w:noProof/>
          <w:color w:val="auto"/>
          <w:sz w:val="20"/>
          <w:szCs w:val="20"/>
        </w:rPr>
        <w:t>Number of FLEGT licences received in 2016.</w:t>
      </w:r>
    </w:p>
    <w:p>
      <w:pPr>
        <w:spacing w:line="270" w:lineRule="atLeast"/>
        <w:jc w:val="both"/>
        <w:rPr>
          <w:rFonts w:ascii="Times New Roman" w:hAnsi="Times New Roman"/>
          <w:i/>
          <w:noProof/>
          <w:sz w:val="24"/>
          <w:szCs w:val="24"/>
          <w:lang w:eastAsia="en-GB"/>
        </w:rPr>
      </w:pPr>
      <w:r>
        <w:rPr>
          <w:rFonts w:ascii="Times New Roman" w:hAnsi="Times New Roman"/>
          <w:i/>
          <w:noProof/>
          <w:sz w:val="24"/>
          <w:szCs w:val="24"/>
          <w:lang w:eastAsia="en-GB"/>
        </w:rPr>
        <w:t>Quantities imported</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Member States reported imports of more than 13 600 tonnes of FLEGT-licensed timber over the reporting period. The main product categories imported</w:t>
      </w:r>
      <w:r>
        <w:rPr>
          <w:rFonts w:ascii="Times New Roman" w:hAnsi="Times New Roman"/>
          <w:noProof/>
          <w:sz w:val="24"/>
          <w:szCs w:val="24"/>
          <w:vertAlign w:val="superscript"/>
          <w:lang w:eastAsia="en-GB"/>
        </w:rPr>
        <w:footnoteReference w:id="17"/>
      </w:r>
      <w:r>
        <w:rPr>
          <w:rFonts w:ascii="Times New Roman" w:hAnsi="Times New Roman"/>
          <w:noProof/>
          <w:sz w:val="24"/>
          <w:szCs w:val="24"/>
          <w:lang w:eastAsia="en-GB"/>
        </w:rPr>
        <w:t xml:space="preserve"> included furniture (HS 9403), paper products (HS 4802), joinery and carpentry timber (HS 4418), plywood and similar products (HS 4412) and ‘continuously shaped’ wood (HS 4409) (Figure 2). The main importing Member States for these products are shown in Figure 3. </w:t>
      </w:r>
    </w:p>
    <w:p>
      <w:pPr>
        <w:keepNext/>
        <w:rPr>
          <w:noProof/>
        </w:rPr>
      </w:pPr>
      <w:r>
        <w:rPr>
          <w:noProof/>
          <w:lang w:val="en-US"/>
        </w:rPr>
        <w:drawing>
          <wp:inline distT="0" distB="0" distL="0" distR="0">
            <wp:extent cx="5743575" cy="5753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t="-1" b="2423"/>
                    <a:stretch/>
                  </pic:blipFill>
                  <pic:spPr bwMode="auto">
                    <a:xfrm>
                      <a:off x="0" y="0"/>
                      <a:ext cx="5743575" cy="5753100"/>
                    </a:xfrm>
                    <a:prstGeom prst="rect">
                      <a:avLst/>
                    </a:prstGeom>
                    <a:noFill/>
                    <a:ln>
                      <a:noFill/>
                    </a:ln>
                    <a:extLst>
                      <a:ext uri="{53640926-AAD7-44D8-BBD7-CCE9431645EC}">
                        <a14:shadowObscured xmlns:a14="http://schemas.microsoft.com/office/drawing/2010/main"/>
                      </a:ext>
                    </a:extLst>
                  </pic:spPr>
                </pic:pic>
              </a:graphicData>
            </a:graphic>
          </wp:inline>
        </w:drawing>
      </w:r>
    </w:p>
    <w:p>
      <w:pPr>
        <w:tabs>
          <w:tab w:val="left" w:pos="960"/>
        </w:tabs>
        <w:spacing w:line="240" w:lineRule="auto"/>
        <w:rPr>
          <w:rFonts w:ascii="Times New Roman" w:hAnsi="Times New Roman"/>
          <w:iCs/>
          <w:noProof/>
          <w:sz w:val="20"/>
          <w:szCs w:val="20"/>
        </w:rPr>
      </w:pPr>
      <w:r>
        <w:rPr>
          <w:rFonts w:ascii="Times New Roman" w:hAnsi="Times New Roman"/>
          <w:b/>
          <w:iCs/>
          <w:noProof/>
          <w:sz w:val="20"/>
          <w:szCs w:val="20"/>
        </w:rPr>
        <w:t>Figure 2</w:t>
      </w:r>
      <w:r>
        <w:rPr>
          <w:rFonts w:ascii="Times New Roman" w:hAnsi="Times New Roman"/>
          <w:iCs/>
          <w:noProof/>
          <w:sz w:val="20"/>
          <w:szCs w:val="20"/>
        </w:rPr>
        <w:t>:</w:t>
      </w:r>
      <w:r>
        <w:rPr>
          <w:rFonts w:ascii="Times New Roman" w:hAnsi="Times New Roman"/>
          <w:iCs/>
          <w:noProof/>
          <w:sz w:val="20"/>
          <w:szCs w:val="20"/>
        </w:rPr>
        <w:tab/>
        <w:t xml:space="preserve">Imports of FLEGT-licenced products from Indonesia into the EU in 2016 reported by weight (kg), </w:t>
      </w:r>
      <w:r>
        <w:rPr>
          <w:rFonts w:ascii="Times New Roman" w:hAnsi="Times New Roman"/>
          <w:iCs/>
          <w:noProof/>
          <w:sz w:val="20"/>
          <w:szCs w:val="20"/>
        </w:rPr>
        <w:tab/>
        <w:t>by HS code (see Annex A for full description of the HS codes).</w:t>
      </w:r>
    </w:p>
    <w:p>
      <w:pPr>
        <w:spacing w:line="270" w:lineRule="atLeast"/>
        <w:jc w:val="both"/>
        <w:rPr>
          <w:rFonts w:ascii="Times New Roman" w:hAnsi="Times New Roman"/>
          <w:noProof/>
          <w:sz w:val="24"/>
          <w:szCs w:val="24"/>
          <w:lang w:eastAsia="en-GB"/>
        </w:rPr>
      </w:pPr>
    </w:p>
    <w:p>
      <w:pPr>
        <w:keepNext/>
        <w:spacing w:line="270" w:lineRule="atLeast"/>
        <w:jc w:val="both"/>
        <w:rPr>
          <w:noProof/>
        </w:rPr>
      </w:pPr>
      <w:r>
        <w:rPr>
          <w:rFonts w:ascii="Times New Roman" w:hAnsi="Times New Roman"/>
          <w:noProof/>
          <w:sz w:val="24"/>
          <w:szCs w:val="24"/>
          <w:lang w:val="en-US"/>
        </w:rPr>
        <w:drawing>
          <wp:inline distT="0" distB="0" distL="0" distR="0">
            <wp:extent cx="5523230" cy="223774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3230" cy="2237740"/>
                    </a:xfrm>
                    <a:prstGeom prst="rect">
                      <a:avLst/>
                    </a:prstGeom>
                    <a:noFill/>
                  </pic:spPr>
                </pic:pic>
              </a:graphicData>
            </a:graphic>
          </wp:inline>
        </w:drawing>
      </w:r>
    </w:p>
    <w:p>
      <w:pPr>
        <w:pStyle w:val="Caption"/>
        <w:ind w:left="960" w:hanging="960"/>
        <w:jc w:val="both"/>
        <w:rPr>
          <w:rFonts w:ascii="Times New Roman" w:hAnsi="Times New Roman"/>
          <w:i w:val="0"/>
          <w:noProof/>
          <w:color w:val="auto"/>
          <w:sz w:val="20"/>
          <w:szCs w:val="20"/>
          <w:lang w:eastAsia="en-GB"/>
        </w:rPr>
      </w:pPr>
      <w:r>
        <w:rPr>
          <w:rFonts w:ascii="Times New Roman" w:hAnsi="Times New Roman"/>
          <w:b/>
          <w:i w:val="0"/>
          <w:noProof/>
          <w:color w:val="auto"/>
          <w:sz w:val="20"/>
          <w:szCs w:val="20"/>
        </w:rPr>
        <w:t>Figure 3</w:t>
      </w:r>
      <w:r>
        <w:rPr>
          <w:rFonts w:ascii="Times New Roman" w:hAnsi="Times New Roman"/>
          <w:i w:val="0"/>
          <w:noProof/>
          <w:color w:val="auto"/>
          <w:sz w:val="20"/>
          <w:szCs w:val="20"/>
        </w:rPr>
        <w:t>:</w:t>
      </w:r>
      <w:r>
        <w:rPr>
          <w:rFonts w:ascii="Times New Roman" w:hAnsi="Times New Roman"/>
          <w:i w:val="0"/>
          <w:noProof/>
          <w:color w:val="auto"/>
          <w:sz w:val="20"/>
          <w:szCs w:val="20"/>
        </w:rPr>
        <w:tab/>
        <w:t>Main EU importing Member States for the 6 main FLEGT-licenced product groups from Indonesia into the EU in 2016, as reported by weight (kg) (see Annex A for full description of the HS codes).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Some Member States reported on the basis of the quantities in the FLEGT licences, whereas others reported on the basis of the quantities in the customs declarations</w:t>
      </w:r>
      <w:r>
        <w:rPr>
          <w:rFonts w:ascii="Times New Roman" w:hAnsi="Times New Roman"/>
          <w:noProof/>
          <w:sz w:val="24"/>
          <w:szCs w:val="24"/>
          <w:vertAlign w:val="superscript"/>
          <w:lang w:eastAsia="en-GB"/>
        </w:rPr>
        <w:footnoteReference w:id="18"/>
      </w:r>
      <w:r>
        <w:rPr>
          <w:rFonts w:ascii="Times New Roman" w:hAnsi="Times New Roman"/>
          <w:noProof/>
          <w:sz w:val="24"/>
          <w:szCs w:val="24"/>
          <w:lang w:eastAsia="en-GB"/>
        </w:rPr>
        <w:t xml:space="preserve">. Given that, for a variety of reasons, there might be some discrepancies between the quantities reported in the FLEGT licence and the quantities in the customs declarations, the two different approaches lead to data not always being comparable. Under the former approach, licences approved in late 2016 are counted towards the totals imported in 2016 (“year-end trade”) even if the shipment was only cleared by customs in 2017, whereas under the latter approach, the corresponding quantities would be counted for 2017. Article 8(1) of the FLEGT Regulation specifies that Member States should be reporting on the quantities of timber products </w:t>
      </w:r>
      <w:r>
        <w:rPr>
          <w:rFonts w:ascii="Times New Roman" w:hAnsi="Times New Roman"/>
          <w:i/>
          <w:noProof/>
          <w:sz w:val="24"/>
          <w:szCs w:val="24"/>
          <w:lang w:eastAsia="en-GB"/>
        </w:rPr>
        <w:t>imported</w:t>
      </w:r>
      <w:r>
        <w:rPr>
          <w:rFonts w:ascii="Times New Roman" w:hAnsi="Times New Roman"/>
          <w:noProof/>
          <w:sz w:val="24"/>
          <w:szCs w:val="24"/>
          <w:lang w:eastAsia="en-GB"/>
        </w:rPr>
        <w:t xml:space="preserve">; the discrepancies in reporting appear to stem from different interpretations of the Regulation and the reporting template. </w:t>
      </w:r>
    </w:p>
    <w:p>
      <w:pPr>
        <w:spacing w:line="270" w:lineRule="atLeast"/>
        <w:jc w:val="both"/>
        <w:rPr>
          <w:rFonts w:ascii="Times New Roman" w:hAnsi="Times New Roman"/>
          <w:i/>
          <w:noProof/>
          <w:sz w:val="24"/>
          <w:szCs w:val="24"/>
          <w:lang w:eastAsia="en-GB"/>
        </w:rPr>
      </w:pPr>
      <w:r>
        <w:rPr>
          <w:rFonts w:ascii="Times New Roman" w:hAnsi="Times New Roman"/>
          <w:i/>
          <w:noProof/>
          <w:sz w:val="24"/>
          <w:szCs w:val="24"/>
          <w:lang w:eastAsia="en-GB"/>
        </w:rPr>
        <w:t>Cases of shipments not covered by a FLEGT Licence</w:t>
      </w:r>
    </w:p>
    <w:p>
      <w:pPr>
        <w:spacing w:line="270" w:lineRule="atLeast"/>
        <w:jc w:val="both"/>
        <w:rPr>
          <w:rFonts w:ascii="Times New Roman" w:hAnsi="Times New Roman"/>
          <w:noProof/>
          <w:sz w:val="24"/>
          <w:szCs w:val="24"/>
          <w:lang w:eastAsia="en-GB"/>
        </w:rPr>
      </w:pPr>
      <w:r>
        <w:rPr>
          <w:rFonts w:ascii="Times New Roman" w:eastAsia="Times New Roman" w:hAnsi="Times New Roman"/>
          <w:noProof/>
          <w:sz w:val="24"/>
          <w:szCs w:val="24"/>
          <w:lang w:eastAsia="en-GB"/>
        </w:rPr>
        <w:t xml:space="preserve">In 2016, all relevant shipments from Indonesia were covered by valid FLEGT licences and none of the Member States applied Article 6(1) of the FLEGT Regulation, i.e. no penalties were issued or other action taken in accordance with national legislation in force. </w:t>
      </w:r>
    </w:p>
    <w:p>
      <w:pPr>
        <w:pStyle w:val="ListParagraph"/>
        <w:numPr>
          <w:ilvl w:val="1"/>
          <w:numId w:val="13"/>
        </w:numPr>
        <w:spacing w:line="240" w:lineRule="auto"/>
        <w:jc w:val="both"/>
        <w:rPr>
          <w:rFonts w:ascii="Times New Roman" w:hAnsi="Times New Roman"/>
          <w:b/>
          <w:noProof/>
          <w:sz w:val="24"/>
          <w:szCs w:val="24"/>
          <w:lang w:eastAsia="en-GB"/>
        </w:rPr>
      </w:pPr>
      <w:bookmarkStart w:id="8" w:name="_Toc485222993"/>
      <w:r>
        <w:rPr>
          <w:rFonts w:ascii="Times New Roman" w:hAnsi="Times New Roman"/>
          <w:b/>
          <w:noProof/>
          <w:sz w:val="24"/>
          <w:szCs w:val="24"/>
          <w:lang w:eastAsia="en-GB"/>
        </w:rPr>
        <w:t>Further verification of shipments</w:t>
      </w:r>
      <w:bookmarkEnd w:id="8"/>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According to Article 5(4) of the FLEGT Regulation, the CAs shall decide on the need for further verification of shipments using a risk-based approach. Provisions are in place in 17 Member States as to which agency is to carry out further verification on FLEGT-licensed shipments as and when required (Annex B, Table 1). Member States reported using a number of risk criteria to establish whether additional verification of a shipment is needed, including in cases of mismatches between the FLEGT licence information and other documentation, such as invoice, bill of lading and customs clearance information (Annex B, Table 1).</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Arrangements for assistance with timber identification by experts have been put in place by 12 Member States and 3 more Member States reported to be preparing arrangements; 10 Member States do not have any arrangements in place and 3 Member States have not provided information.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Concerning the 591 FLEGT-licensed shipments reported to have been imported into the EU in 2016, 3 Member States carried out physical checks of FLEGT shipments: Cyprus (3 checks), Italy (8 checks) and the United Kingdom (1 check). Of the remaining Member States, 23 confirmed that no physical checks were carried out while 2 Member States (Romania, Slovenia) did not specify whether physical checks had been carried out. </w:t>
      </w:r>
      <w:bookmarkStart w:id="9" w:name="_Toc485222994"/>
    </w:p>
    <w:p>
      <w:pPr>
        <w:pStyle w:val="ListParagraph"/>
        <w:numPr>
          <w:ilvl w:val="1"/>
          <w:numId w:val="13"/>
        </w:numPr>
        <w:spacing w:line="270" w:lineRule="atLeast"/>
        <w:jc w:val="both"/>
        <w:rPr>
          <w:rFonts w:ascii="Times New Roman" w:hAnsi="Times New Roman"/>
          <w:b/>
          <w:noProof/>
          <w:sz w:val="24"/>
          <w:szCs w:val="24"/>
          <w:lang w:eastAsia="en-GB"/>
        </w:rPr>
      </w:pPr>
      <w:r>
        <w:rPr>
          <w:rFonts w:ascii="Times New Roman" w:hAnsi="Times New Roman"/>
          <w:b/>
          <w:noProof/>
          <w:sz w:val="24"/>
          <w:szCs w:val="24"/>
          <w:lang w:eastAsia="en-GB"/>
        </w:rPr>
        <w:t>Fees</w:t>
      </w:r>
      <w:bookmarkEnd w:id="9"/>
      <w:r>
        <w:rPr>
          <w:rFonts w:ascii="Times New Roman" w:hAnsi="Times New Roman"/>
          <w:b/>
          <w:noProof/>
          <w:sz w:val="24"/>
          <w:szCs w:val="24"/>
          <w:lang w:eastAsia="en-GB"/>
        </w:rPr>
        <w:t xml:space="preserve"> for processing FLEGT licences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Member States may charge fees for the processing of FLEGT licences, as per Article 5(6) of the FLEGT Regulation and 5 Member States reported doing so – with fees ranging from around EUR 11 to up to EUR 390</w:t>
      </w:r>
      <w:r>
        <w:rPr>
          <w:rStyle w:val="FootnoteReference"/>
          <w:rFonts w:ascii="Times New Roman" w:hAnsi="Times New Roman"/>
          <w:noProof/>
          <w:sz w:val="24"/>
          <w:szCs w:val="24"/>
          <w:lang w:eastAsia="en-GB"/>
        </w:rPr>
        <w:footnoteReference w:id="19"/>
      </w:r>
      <w:r>
        <w:rPr>
          <w:rFonts w:ascii="Times New Roman" w:hAnsi="Times New Roman"/>
          <w:noProof/>
          <w:sz w:val="24"/>
          <w:szCs w:val="24"/>
          <w:lang w:eastAsia="en-GB"/>
        </w:rPr>
        <w:t xml:space="preserve"> – whereas 23 Member States reported not currently charging fees</w:t>
      </w:r>
      <w:r>
        <w:rPr>
          <w:rStyle w:val="FootnoteReference"/>
          <w:rFonts w:ascii="Times New Roman" w:hAnsi="Times New Roman"/>
          <w:noProof/>
          <w:sz w:val="24"/>
          <w:szCs w:val="24"/>
          <w:lang w:eastAsia="en-GB"/>
        </w:rPr>
        <w:footnoteReference w:id="20"/>
      </w:r>
      <w:r>
        <w:rPr>
          <w:rFonts w:ascii="Times New Roman" w:hAnsi="Times New Roman"/>
          <w:noProof/>
          <w:sz w:val="24"/>
          <w:szCs w:val="24"/>
          <w:lang w:eastAsia="en-GB"/>
        </w:rPr>
        <w:t xml:space="preserve"> (Annex B, Table 2). </w:t>
      </w:r>
    </w:p>
    <w:p>
      <w:pPr>
        <w:pStyle w:val="ListParagraph"/>
        <w:numPr>
          <w:ilvl w:val="1"/>
          <w:numId w:val="13"/>
        </w:numPr>
        <w:spacing w:line="240" w:lineRule="auto"/>
        <w:jc w:val="both"/>
        <w:rPr>
          <w:rFonts w:ascii="Times New Roman" w:hAnsi="Times New Roman"/>
          <w:noProof/>
          <w:sz w:val="24"/>
          <w:szCs w:val="24"/>
          <w:lang w:eastAsia="en-GB"/>
        </w:rPr>
      </w:pPr>
      <w:bookmarkStart w:id="10" w:name="_Toc485222995"/>
      <w:r>
        <w:rPr>
          <w:rFonts w:ascii="Times New Roman" w:hAnsi="Times New Roman"/>
          <w:b/>
          <w:noProof/>
          <w:sz w:val="24"/>
          <w:szCs w:val="24"/>
          <w:lang w:eastAsia="en-GB"/>
        </w:rPr>
        <w:t>Penalties</w:t>
      </w:r>
      <w:bookmarkEnd w:id="10"/>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line with Article 5(8) of the FLEGT Regulation, "</w:t>
      </w:r>
      <w:r>
        <w:rPr>
          <w:rFonts w:ascii="Times New Roman" w:hAnsi="Times New Roman"/>
          <w:i/>
          <w:noProof/>
          <w:sz w:val="24"/>
          <w:szCs w:val="24"/>
          <w:lang w:eastAsia="en-GB"/>
        </w:rPr>
        <w:t>each Member State shall determine the penalties to be imposed where the provisions of this Regulation are infringed. Such penalties shall be effective, proportionate and dissuasive</w:t>
      </w:r>
      <w:r>
        <w:rPr>
          <w:rFonts w:ascii="Times New Roman" w:hAnsi="Times New Roman"/>
          <w:noProof/>
          <w:sz w:val="24"/>
          <w:szCs w:val="24"/>
          <w:lang w:eastAsia="en-GB"/>
        </w:rPr>
        <w:t xml:space="preserve">." None of the Member States reported having imposed any penalties related to infringements of the FLEGT Regulation in 2016.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The national reports of 19 Member States contained information on the range of </w:t>
      </w:r>
      <w:r>
        <w:rPr>
          <w:rFonts w:ascii="Times New Roman" w:hAnsi="Times New Roman"/>
          <w:i/>
          <w:noProof/>
          <w:sz w:val="24"/>
          <w:szCs w:val="24"/>
          <w:lang w:eastAsia="en-GB"/>
        </w:rPr>
        <w:t>potential</w:t>
      </w:r>
      <w:r>
        <w:rPr>
          <w:rFonts w:ascii="Times New Roman" w:hAnsi="Times New Roman"/>
          <w:noProof/>
          <w:sz w:val="24"/>
          <w:szCs w:val="24"/>
          <w:lang w:eastAsia="en-GB"/>
        </w:rPr>
        <w:t xml:space="preserve"> penalties. For the remaining 9 Member States, information was obtained through direct contact with the CAs. Administrative charges were reported to be imposed by 6 Member States, 8 reported that they may impose criminal charges, and 14 reported that they may impose both types of charges. Potential fines range from as little as EUR30 to as high as EUR24 million, and imprisonment was confirmed to be a possible penalty for infringement in 16 Member States (Annex B, Table 3).</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line with Article 5(7) of the FLEGT Regulation, customs may suspend the release of or detain timber products where they have reason to believe that the licence may not be valid and 25 Member States reported that they may seize timber products (Figure 4). Cyprus, Germany, Portugal, Slovakia and Sweden specified that confiscated goods are disposed of by either one or more of the following: selling or destroying the shipment or by returning the shipments to the country of origin. In Italy, confiscated goods can be used for educational or scientific purposes, sold by public auction or destroyed.</w:t>
      </w:r>
    </w:p>
    <w:p>
      <w:pPr>
        <w:keepNext/>
        <w:spacing w:line="270" w:lineRule="atLeast"/>
        <w:jc w:val="both"/>
        <w:rPr>
          <w:rFonts w:ascii="Times New Roman" w:hAnsi="Times New Roman"/>
          <w:bCs/>
          <w:noProof/>
          <w:sz w:val="24"/>
          <w:szCs w:val="24"/>
          <w:lang w:eastAsia="en-GB"/>
        </w:rPr>
      </w:pPr>
      <w:r>
        <w:rPr>
          <w:noProof/>
          <w:lang w:val="en-US"/>
        </w:rPr>
        <mc:AlternateContent>
          <mc:Choice Requires="wps">
            <w:drawing>
              <wp:anchor distT="45720" distB="45720" distL="114300" distR="114300" simplePos="0" relativeHeight="251660288" behindDoc="0" locked="0" layoutInCell="1" allowOverlap="1">
                <wp:simplePos x="0" y="0"/>
                <wp:positionH relativeFrom="margin">
                  <wp:posOffset>-262255</wp:posOffset>
                </wp:positionH>
                <wp:positionV relativeFrom="paragraph">
                  <wp:posOffset>2044700</wp:posOffset>
                </wp:positionV>
                <wp:extent cx="5657850" cy="435610"/>
                <wp:effectExtent l="444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ListParagraph"/>
                              <w:numPr>
                                <w:ilvl w:val="0"/>
                                <w:numId w:val="7"/>
                              </w:numPr>
                              <w:spacing w:line="270" w:lineRule="atLeast"/>
                              <w:rPr>
                                <w:color w:val="6C8911"/>
                                <w:sz w:val="28"/>
                              </w:rPr>
                            </w:pPr>
                            <w:r>
                              <w:rPr>
                                <w:color w:val="6C8911"/>
                                <w:sz w:val="28"/>
                              </w:rPr>
                              <w:t xml:space="preserve">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65pt;margin-top:161pt;width:445.5pt;height:34.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" filled="f" stroked="f">
                <v:textbox style="mso-fit-shape-to-text:t">
                  <w:txbxContent>
                    <w:p>
                      <w:pPr>
                        <w:pStyle w:val="ListParagraph"/>
                        <w:numPr>
                          <w:ilvl w:val="0"/>
                          <w:numId w:val="7"/>
                        </w:numPr>
                        <w:spacing w:line="270" w:lineRule="atLeast"/>
                        <w:rPr>
                          <w:color w:val="6C8911"/>
                          <w:sz w:val="28"/>
                        </w:rPr>
                      </w:pPr>
                      <w:r>
                        <w:rPr>
                          <w:color w:val="6C8911"/>
                          <w:sz w:val="28"/>
                        </w:rPr>
                        <w:t xml:space="preserve">                                                          B)</w:t>
                      </w:r>
                    </w:p>
                  </w:txbxContent>
                </v:textbox>
                <w10:wrap anchorx="margin"/>
              </v:shape>
            </w:pict>
          </mc:Fallback>
        </mc:AlternateContent>
      </w:r>
      <w:r>
        <w:rPr>
          <w:rFonts w:ascii="Times New Roman" w:hAnsi="Times New Roman"/>
          <w:noProof/>
          <w:sz w:val="24"/>
          <w:szCs w:val="24"/>
          <w:lang w:val="en-US"/>
        </w:rPr>
        <w:drawing>
          <wp:inline distT="0" distB="0" distL="0" distR="0">
            <wp:extent cx="2238375" cy="2611755"/>
            <wp:effectExtent l="0" t="0" r="9525"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r="46875"/>
                    <a:stretch>
                      <a:fillRect/>
                    </a:stretch>
                  </pic:blipFill>
                  <pic:spPr bwMode="auto">
                    <a:xfrm>
                      <a:off x="0" y="0"/>
                      <a:ext cx="2238375" cy="2611755"/>
                    </a:xfrm>
                    <a:prstGeom prst="rect">
                      <a:avLst/>
                    </a:prstGeom>
                    <a:noFill/>
                    <a:ln>
                      <a:noFill/>
                    </a:ln>
                  </pic:spPr>
                </pic:pic>
              </a:graphicData>
            </a:graphic>
          </wp:inline>
        </w:drawing>
      </w:r>
      <w:r>
        <w:rPr>
          <w:rFonts w:ascii="Times New Roman" w:hAnsi="Times New Roman"/>
          <w:noProof/>
          <w:sz w:val="24"/>
          <w:szCs w:val="24"/>
          <w:lang w:eastAsia="en-GB"/>
        </w:rPr>
        <w:t xml:space="preserve">                 </w:t>
      </w:r>
      <w:r>
        <w:rPr>
          <w:noProof/>
          <w:lang w:val="en-US"/>
        </w:rPr>
        <w:drawing>
          <wp:inline distT="0" distB="0" distL="0" distR="0">
            <wp:extent cx="2781300" cy="26323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36547"/>
                    <a:stretch/>
                  </pic:blipFill>
                  <pic:spPr bwMode="auto">
                    <a:xfrm>
                      <a:off x="0" y="0"/>
                      <a:ext cx="2787065" cy="2637813"/>
                    </a:xfrm>
                    <a:prstGeom prst="rect">
                      <a:avLst/>
                    </a:prstGeom>
                    <a:noFill/>
                    <a:ln>
                      <a:noFill/>
                    </a:ln>
                    <a:extLst>
                      <a:ext uri="{53640926-AAD7-44D8-BBD7-CCE9431645EC}">
                        <a14:shadowObscured xmlns:a14="http://schemas.microsoft.com/office/drawing/2010/main"/>
                      </a:ext>
                    </a:extLst>
                  </pic:spPr>
                </pic:pic>
              </a:graphicData>
            </a:graphic>
          </wp:inline>
        </w:drawing>
      </w:r>
    </w:p>
    <w:p>
      <w:pPr>
        <w:tabs>
          <w:tab w:val="left" w:pos="840"/>
        </w:tabs>
        <w:spacing w:line="270" w:lineRule="atLeast"/>
        <w:jc w:val="both"/>
        <w:rPr>
          <w:rFonts w:ascii="Times New Roman" w:hAnsi="Times New Roman"/>
          <w:noProof/>
          <w:sz w:val="24"/>
          <w:szCs w:val="24"/>
          <w:lang w:eastAsia="en-GB"/>
        </w:rPr>
      </w:pPr>
      <w:r>
        <w:rPr>
          <w:rFonts w:ascii="Times New Roman" w:hAnsi="Times New Roman"/>
          <w:b/>
          <w:bCs/>
          <w:noProof/>
          <w:sz w:val="20"/>
          <w:szCs w:val="20"/>
          <w:lang w:eastAsia="en-GB"/>
        </w:rPr>
        <w:t>Figure 4:</w:t>
      </w:r>
      <w:r>
        <w:rPr>
          <w:rFonts w:ascii="Times New Roman" w:hAnsi="Times New Roman"/>
          <w:b/>
          <w:noProof/>
          <w:sz w:val="20"/>
          <w:szCs w:val="20"/>
          <w:lang w:eastAsia="en-GB"/>
        </w:rPr>
        <w:t xml:space="preserve"> </w:t>
      </w:r>
      <w:r>
        <w:rPr>
          <w:rFonts w:ascii="Times New Roman" w:hAnsi="Times New Roman"/>
          <w:noProof/>
          <w:sz w:val="20"/>
          <w:szCs w:val="20"/>
          <w:lang w:eastAsia="en-GB"/>
        </w:rPr>
        <w:t xml:space="preserve">(A) Number of Member States where confiscation of timber goods is a possible penalty and (B) details </w:t>
      </w:r>
      <w:r>
        <w:rPr>
          <w:rFonts w:ascii="Times New Roman" w:hAnsi="Times New Roman"/>
          <w:noProof/>
          <w:sz w:val="20"/>
          <w:szCs w:val="20"/>
          <w:lang w:eastAsia="en-GB"/>
        </w:rPr>
        <w:tab/>
        <w:t>of which authority is responsible for the disposal of seized goods</w:t>
      </w:r>
      <w:r>
        <w:rPr>
          <w:rStyle w:val="FootnoteReference"/>
          <w:rFonts w:ascii="Times New Roman" w:hAnsi="Times New Roman"/>
          <w:b/>
          <w:noProof/>
          <w:sz w:val="20"/>
          <w:szCs w:val="20"/>
          <w:lang w:eastAsia="en-GB"/>
        </w:rPr>
        <w:footnoteReference w:id="21"/>
      </w:r>
    </w:p>
    <w:p>
      <w:pPr>
        <w:spacing w:line="270" w:lineRule="atLeast"/>
        <w:ind w:left="360" w:hanging="360"/>
        <w:jc w:val="both"/>
        <w:rPr>
          <w:rFonts w:ascii="Times New Roman" w:hAnsi="Times New Roman"/>
          <w:b/>
          <w:noProof/>
          <w:sz w:val="24"/>
          <w:szCs w:val="24"/>
          <w:lang w:eastAsia="en-GB"/>
        </w:rPr>
      </w:pPr>
      <w:r>
        <w:rPr>
          <w:rFonts w:ascii="Times New Roman" w:hAnsi="Times New Roman"/>
          <w:b/>
          <w:noProof/>
          <w:sz w:val="24"/>
          <w:szCs w:val="24"/>
          <w:lang w:eastAsia="en-GB"/>
        </w:rPr>
        <w:t>4.6</w:t>
      </w:r>
      <w:r>
        <w:rPr>
          <w:rFonts w:ascii="Times New Roman" w:hAnsi="Times New Roman"/>
          <w:b/>
          <w:noProof/>
          <w:sz w:val="24"/>
          <w:szCs w:val="24"/>
          <w:lang w:eastAsia="en-GB"/>
        </w:rPr>
        <w:tab/>
        <w:t>Implementation Challenges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Member States reported also some technical issues and challenges regarding the verification of certain FLEGT licences which required further verification and communication with the Indonesian authorities to obtain additional information. This was particularly due to some cases of mismatching information on FLEGT licences compared to customs declarations (e.g. different HS code classification, inconsistent weights or volumes, different timber species, etc.) related for instance to mistakes in compiling the FLEGT licence, diverging opinions of Member States and Indonesian customs authorities on the correct classification of certain goods, or last minute changes to the configuration of certain shipments not properly reflected in the FLEGT licence. Furthermore, timely exchange of information between EU and Indonesian authorities was identified as an area for improvement.</w:t>
      </w:r>
    </w:p>
    <w:p>
      <w:pPr>
        <w:spacing w:line="270" w:lineRule="atLeast"/>
        <w:jc w:val="both"/>
        <w:rPr>
          <w:rFonts w:ascii="Times New Roman" w:hAnsi="Times New Roman"/>
          <w:b/>
          <w:noProof/>
          <w:sz w:val="24"/>
          <w:szCs w:val="24"/>
          <w:lang w:eastAsia="en-GB"/>
        </w:rPr>
      </w:pPr>
      <w:r>
        <w:rPr>
          <w:rFonts w:ascii="Times New Roman" w:hAnsi="Times New Roman"/>
          <w:b/>
          <w:noProof/>
          <w:sz w:val="24"/>
          <w:szCs w:val="24"/>
          <w:lang w:eastAsia="en-GB"/>
        </w:rPr>
        <w:t>5. Conclusions</w:t>
      </w:r>
    </w:p>
    <w:p>
      <w:pPr>
        <w:spacing w:line="270" w:lineRule="atLeast"/>
        <w:jc w:val="both"/>
        <w:rPr>
          <w:rFonts w:ascii="Times New Roman" w:hAnsi="Times New Roman"/>
          <w:noProof/>
          <w:sz w:val="24"/>
          <w:szCs w:val="24"/>
        </w:rPr>
      </w:pPr>
      <w:r>
        <w:rPr>
          <w:rFonts w:ascii="Times New Roman" w:hAnsi="Times New Roman"/>
          <w:noProof/>
          <w:sz w:val="24"/>
          <w:szCs w:val="24"/>
          <w:lang w:eastAsia="en-GB"/>
        </w:rPr>
        <w:t>This first report covers a limited period of time (15 November to 31 December 2016) and a limited number of FLEGT licences (591). Nevertheless, it shows that all required measures were put in place by the Commission and the Member States for the implementation of the FLEGT licensing scheme, including the designation of CAs, the development of arrangements for cooperation with customs authorities where needed, and the setting out of provisions for penalties for infringement of the FLEGT Regulation.</w:t>
      </w:r>
      <w:r>
        <w:rPr>
          <w:rFonts w:ascii="Times New Roman" w:hAnsi="Times New Roman"/>
          <w:noProof/>
          <w:sz w:val="24"/>
          <w:szCs w:val="24"/>
        </w:rPr>
        <w:t xml:space="preserve">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The information reported by the Member States suggests that all relevant shipments from Indonesia were duly covered by FLEGT licences and there were no cases in which penalties were issued or other enforcement measures were taken to deal with shipments not accompanied by a FLEGT licence.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Considering that the FLEGT licensing scheme became operational for the first time in 2016 and represented a novelty for private sector operators and authorities both in the EU and Indonesia, it can be concluded that implementation of the scheme has progressed well. Nevertheless, implementation challenges have been highlighted by Member States particularly in relation to cases of mismatching information on FLEGT licences compared to customs declarations and timely communication with the Indonesian authorities. </w:t>
      </w:r>
    </w:p>
    <w:p>
      <w:pPr>
        <w:spacing w:line="270" w:lineRule="atLeast"/>
        <w:jc w:val="both"/>
        <w:rPr>
          <w:rFonts w:ascii="Times New Roman" w:hAnsi="Times New Roman"/>
          <w:b/>
          <w:noProof/>
          <w:sz w:val="24"/>
          <w:szCs w:val="24"/>
          <w:lang w:eastAsia="en-GB"/>
        </w:rPr>
      </w:pPr>
      <w:r>
        <w:rPr>
          <w:rFonts w:ascii="Times New Roman" w:hAnsi="Times New Roman"/>
          <w:b/>
          <w:noProof/>
          <w:sz w:val="24"/>
          <w:szCs w:val="24"/>
          <w:lang w:eastAsia="en-GB"/>
        </w:rPr>
        <w:t>6. Next Steps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The Commission will continue to work in cooperation with Member States towards a consistent application of the FLEGT Regulation across the EU, including by developing additional guidance documents or revising the </w:t>
      </w:r>
      <w:r>
        <w:rPr>
          <w:rFonts w:ascii="Times New Roman" w:hAnsi="Times New Roman"/>
          <w:bCs/>
          <w:i/>
          <w:iCs/>
          <w:noProof/>
          <w:sz w:val="24"/>
          <w:szCs w:val="24"/>
        </w:rPr>
        <w:t xml:space="preserve">Customs and FLEGT Implementation Guidelines, </w:t>
      </w:r>
      <w:r>
        <w:rPr>
          <w:rFonts w:ascii="Times New Roman" w:hAnsi="Times New Roman"/>
          <w:bCs/>
          <w:iCs/>
          <w:noProof/>
          <w:sz w:val="24"/>
          <w:szCs w:val="24"/>
        </w:rPr>
        <w:t>where necessary,</w:t>
      </w:r>
      <w:r>
        <w:rPr>
          <w:rFonts w:ascii="Times New Roman" w:hAnsi="Times New Roman"/>
          <w:bCs/>
          <w:i/>
          <w:iCs/>
          <w:noProof/>
          <w:sz w:val="24"/>
          <w:szCs w:val="24"/>
        </w:rPr>
        <w:t xml:space="preserve"> </w:t>
      </w:r>
      <w:r>
        <w:rPr>
          <w:rFonts w:ascii="Times New Roman" w:hAnsi="Times New Roman"/>
          <w:noProof/>
          <w:sz w:val="24"/>
          <w:szCs w:val="24"/>
          <w:lang w:eastAsia="en-GB"/>
        </w:rPr>
        <w:t xml:space="preserve">in the light of the experience to date. The Commission will also continue to work on the further improvement of the </w:t>
      </w:r>
      <w:r>
        <w:rPr>
          <w:rFonts w:ascii="Times New Roman" w:hAnsi="Times New Roman"/>
          <w:noProof/>
          <w:sz w:val="24"/>
          <w:szCs w:val="24"/>
        </w:rPr>
        <w:t>FLEGIT/TRACES IT system</w:t>
      </w:r>
      <w:r>
        <w:rPr>
          <w:rFonts w:ascii="Times New Roman" w:hAnsi="Times New Roman"/>
          <w:noProof/>
          <w:sz w:val="24"/>
          <w:szCs w:val="24"/>
          <w:lang w:eastAsia="en-GB"/>
        </w:rPr>
        <w:t xml:space="preserve">, and to cooperate on data exchange with Member States that have developed their own national systems.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parallel, the Commission will continue to work closely with the Indonesian authorities to address the issues and challenges identified above as part of the broader discussions on the implementation of the EU-Indonesia FLEGT VPA and monitoring of its impacts. The Commission will also continue to explore with Indonesia the possible integration of the respective IT systems and the possibility to move in the long-term towards a fully electronic-based licensing system.</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The wide range in the fees set up by Member States for the handling of FLEGT licences may reflect different administrative costs associated with the processing of the FLEGT licenses, or different estimations of the related workload. The Commission will promote a discussion among Member States on the subject.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Finally, this first reporting exercise has allowed the identification of several areas for improvement in the reporting format. The reporting format for 2018 will, therefore, be revised in order to clarify the information to be provided by the Member States in relation to Article 8 of the FLEGT Regulation. </w:t>
      </w:r>
    </w:p>
    <w:p>
      <w:pPr>
        <w:spacing w:line="270" w:lineRule="atLeast"/>
        <w:jc w:val="both"/>
        <w:rPr>
          <w:rFonts w:ascii="Times New Roman" w:hAnsi="Times New Roman"/>
          <w:noProof/>
          <w:sz w:val="24"/>
          <w:szCs w:val="24"/>
          <w:lang w:eastAsia="en-GB"/>
        </w:rPr>
      </w:pPr>
    </w:p>
    <w:p>
      <w:pPr>
        <w:spacing w:line="270" w:lineRule="atLeast"/>
        <w:jc w:val="both"/>
        <w:rPr>
          <w:rFonts w:ascii="Times New Roman" w:hAnsi="Times New Roman"/>
          <w:noProof/>
          <w:sz w:val="24"/>
          <w:szCs w:val="24"/>
          <w:lang w:eastAsia="en-GB"/>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pPr>
    </w:p>
    <w:p>
      <w:pPr>
        <w:keepNext/>
        <w:keepLines/>
        <w:spacing w:line="640" w:lineRule="atLeast"/>
        <w:jc w:val="right"/>
        <w:outlineLvl w:val="1"/>
        <w:rPr>
          <w:rFonts w:ascii="Times New Roman" w:hAnsi="Times New Roman"/>
          <w:b/>
          <w:bCs/>
          <w:noProof/>
          <w:sz w:val="24"/>
          <w:szCs w:val="24"/>
          <w:lang w:val="en-US" w:eastAsia="en-GB"/>
        </w:rPr>
      </w:pPr>
      <w:bookmarkStart w:id="11" w:name="_Toc485222998"/>
      <w:r>
        <w:rPr>
          <w:rFonts w:ascii="Times New Roman" w:hAnsi="Times New Roman"/>
          <w:b/>
          <w:bCs/>
          <w:noProof/>
          <w:sz w:val="24"/>
          <w:szCs w:val="24"/>
          <w:lang w:val="en-US" w:eastAsia="en-GB"/>
        </w:rPr>
        <w:t xml:space="preserve">Annex </w:t>
      </w:r>
      <w:bookmarkEnd w:id="11"/>
      <w:r>
        <w:rPr>
          <w:rFonts w:ascii="Times New Roman" w:hAnsi="Times New Roman"/>
          <w:b/>
          <w:bCs/>
          <w:noProof/>
          <w:sz w:val="24"/>
          <w:szCs w:val="24"/>
          <w:lang w:val="en-US" w:eastAsia="en-GB"/>
        </w:rPr>
        <w:t>A</w:t>
      </w:r>
    </w:p>
    <w:p>
      <w:pPr>
        <w:spacing w:line="270" w:lineRule="atLeast"/>
        <w:rPr>
          <w:rFonts w:ascii="Times New Roman" w:hAnsi="Times New Roman"/>
          <w:b/>
          <w:noProof/>
          <w:sz w:val="24"/>
          <w:szCs w:val="24"/>
          <w:lang w:eastAsia="en-GB"/>
        </w:rPr>
      </w:pPr>
      <w:r>
        <w:rPr>
          <w:rFonts w:ascii="Times New Roman" w:hAnsi="Times New Roman"/>
          <w:b/>
          <w:noProof/>
          <w:sz w:val="24"/>
          <w:szCs w:val="24"/>
          <w:lang w:eastAsia="en-GB"/>
        </w:rPr>
        <w:t>Key to Harmonised System (HS) codes of FLEGT products imported in 2016</w:t>
      </w: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61"/>
        <w:gridCol w:w="8127"/>
      </w:tblGrid>
      <w:tr>
        <w:tc>
          <w:tcPr>
            <w:tcW w:w="625" w:type="pct"/>
            <w:tcBorders>
              <w:left w:val="nil"/>
            </w:tcBorders>
            <w:shd w:val="clear" w:color="auto" w:fill="6C8911"/>
          </w:tcPr>
          <w:p>
            <w:pPr>
              <w:autoSpaceDE w:val="0"/>
              <w:autoSpaceDN w:val="0"/>
              <w:adjustRightInd w:val="0"/>
              <w:spacing w:before="20" w:after="20" w:line="240" w:lineRule="auto"/>
              <w:rPr>
                <w:rFonts w:ascii="Times New Roman" w:hAnsi="Times New Roman"/>
                <w:noProof/>
                <w:color w:val="FFFFFF"/>
                <w:sz w:val="18"/>
                <w:szCs w:val="18"/>
              </w:rPr>
            </w:pPr>
            <w:r>
              <w:rPr>
                <w:rFonts w:ascii="Times New Roman" w:hAnsi="Times New Roman"/>
                <w:noProof/>
                <w:color w:val="FFFFFF"/>
                <w:sz w:val="18"/>
                <w:szCs w:val="18"/>
              </w:rPr>
              <w:t>HS code</w:t>
            </w:r>
          </w:p>
        </w:tc>
        <w:tc>
          <w:tcPr>
            <w:tcW w:w="4375" w:type="pct"/>
            <w:tcBorders>
              <w:right w:val="nil"/>
            </w:tcBorders>
            <w:shd w:val="clear" w:color="auto" w:fill="6C8911"/>
          </w:tcPr>
          <w:p>
            <w:pPr>
              <w:autoSpaceDE w:val="0"/>
              <w:autoSpaceDN w:val="0"/>
              <w:adjustRightInd w:val="0"/>
              <w:spacing w:before="20" w:after="20" w:line="240" w:lineRule="auto"/>
              <w:rPr>
                <w:rFonts w:ascii="Times New Roman" w:hAnsi="Times New Roman"/>
                <w:noProof/>
                <w:color w:val="FFFFFF"/>
                <w:sz w:val="18"/>
                <w:szCs w:val="18"/>
              </w:rPr>
            </w:pPr>
            <w:r>
              <w:rPr>
                <w:rFonts w:ascii="Times New Roman" w:hAnsi="Times New Roman"/>
                <w:noProof/>
                <w:color w:val="FFFFFF"/>
                <w:sz w:val="18"/>
                <w:szCs w:val="18"/>
              </w:rPr>
              <w:t xml:space="preserve">Details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Ex. 4407</w:t>
            </w:r>
          </w:p>
        </w:tc>
        <w:tc>
          <w:tcPr>
            <w:tcW w:w="4375" w:type="pct"/>
            <w:tcBorders>
              <w:right w:val="nil"/>
            </w:tcBorders>
          </w:tcPr>
          <w:p>
            <w:pPr>
              <w:autoSpaceDE w:val="0"/>
              <w:autoSpaceDN w:val="0"/>
              <w:adjustRightInd w:val="0"/>
              <w:spacing w:before="20" w:after="20" w:line="240" w:lineRule="auto"/>
              <w:rPr>
                <w:rFonts w:ascii="Times New Roman" w:hAnsi="Times New Roman"/>
                <w:noProof/>
                <w:sz w:val="18"/>
                <w:szCs w:val="18"/>
                <w:lang w:eastAsia="en-GB"/>
              </w:rPr>
            </w:pPr>
            <w:r>
              <w:rPr>
                <w:rFonts w:ascii="Times New Roman" w:hAnsi="Times New Roman"/>
                <w:noProof/>
                <w:sz w:val="18"/>
                <w:szCs w:val="18"/>
                <w:lang w:eastAsia="en-GB"/>
              </w:rPr>
              <w:t xml:space="preserve">Wood sawn or chipped lengthwise, sliced or peeled, planed, sanded or end-jointed, of a thickness exceeding 6 mm.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4408</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Sheets for veneering (including those obtained by slicing laminated wood), for plywood or for similar laminated wood and other wood, sawn lengthwise, sliced or peeled, whether or not planed, sanded, spliced or end-jointed, of a thickness not exceeding 6 mm</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4409</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Wood (including strips and friezes for parquet flooring, not assembled) continuously shaped (tongued, grooved, rebated, chamfered, V-jointed, beaded, moulded, rounded or the like) along any of its edges, ends or faces, whether or not planed, sanded or end-jointed.</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sz w:val="18"/>
                <w:szCs w:val="18"/>
              </w:rPr>
              <w:t>4412</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7C9A"/>
                <w:sz w:val="18"/>
                <w:szCs w:val="18"/>
                <w:lang w:eastAsia="en-GB"/>
              </w:rPr>
            </w:pPr>
            <w:r>
              <w:rPr>
                <w:rFonts w:ascii="Times New Roman" w:hAnsi="Times New Roman"/>
                <w:noProof/>
                <w:sz w:val="18"/>
                <w:szCs w:val="18"/>
                <w:lang w:eastAsia="en-GB"/>
              </w:rPr>
              <w:t>Plywood, veneered panels and similar laminated wood</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4414</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Wooden frames for paintings, photographs, mirrors or similar objects (not from bamboo nor rattan)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4415</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Packing cases, boxes, crates, drums and similar packings, of wood; cable-drums of wood; pallets, box pallets and other load boards, of wood; pallet collars of wood (not from bamboo nor rattan)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4416</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Casks, barrels, vats, tubs and other coopers' products and parts thereof, of wood, including staves (not from bamboo nor rattan)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4417</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Tools, tool bodies, tool handles, broom or brush bodies and handles, of wood; boot or shoe lasts and trees, of wood (not from bamboo nor rattan)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4418</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Builders' joinery and carpentry of wood, including cellular wood panels, assembled flooring panels, shingles and shakes (not from bamboo nor rattan)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4419</w:t>
            </w:r>
          </w:p>
        </w:tc>
        <w:tc>
          <w:tcPr>
            <w:tcW w:w="4375" w:type="pct"/>
            <w:tcBorders>
              <w:right w:val="nil"/>
            </w:tcBorders>
          </w:tcPr>
          <w:p>
            <w:pPr>
              <w:autoSpaceDE w:val="0"/>
              <w:autoSpaceDN w:val="0"/>
              <w:adjustRightInd w:val="0"/>
              <w:spacing w:before="20" w:after="20" w:line="240" w:lineRule="auto"/>
              <w:rPr>
                <w:rFonts w:ascii="Times New Roman" w:hAnsi="Times New Roman"/>
                <w:i/>
                <w:noProof/>
                <w:color w:val="000000"/>
                <w:sz w:val="18"/>
                <w:szCs w:val="18"/>
                <w:highlight w:val="yellow"/>
              </w:rPr>
            </w:pPr>
            <w:r>
              <w:rPr>
                <w:rFonts w:ascii="Times New Roman" w:hAnsi="Times New Roman"/>
                <w:noProof/>
                <w:color w:val="000000"/>
                <w:sz w:val="18"/>
                <w:szCs w:val="18"/>
              </w:rPr>
              <w:t>Tableware and kitchenware, of wood (not from bamboo and rattan)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 xml:space="preserve">Ex. 4420.90 </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 xml:space="preserve">Wood marquetry and inlaid wood; caskets and cases for jewellery or cutlery, and similar articles, of wood.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Ex. 4421.90</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 xml:space="preserve">Other articles of wood </w:t>
            </w:r>
          </w:p>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 xml:space="preserve">Other - Match splints (not from bamboo nor rattan) and - Other - Wooden paving blocks (not from bamboo nor rattan)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4802</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Uncoated paper and paperboard, of a kind used for writing, printing or other graphic purposes, and non- perforated punch-cards and punch tape paper, in rolls or rectangular (including square) sheets, of any size, other than paper of heading 4801 or 4803; hand-made paper and paperboard (not from non-wooden nor recycled material)</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4804</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Uncoated kraft paper and paperboard, in rolls or sheets, other than that of heading 4802 or 4803 (not from non-wooden nor recycled material)</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4810</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Paper and paperboard, coated on one or both sides with kaolin (China clay) or other inorganic substances, with or without binder, and with no other coating, whether or not surface-coloured, surface-decorated or printed, in rolls or rectangular (including square) sheets, of any size (not from non-wooden nor recycled material)</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4817</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Envelopes, letter cards, plain postcards and correspondence cards, of paper or paper board; boxes, pouches, wallets and writing compendiums, of paper or paperboard, containing an assortment of paper stationary (not from non-wooden nor recycled material)</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9401</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Seats (other than those of heading 94.02), whether or not convertible into beds, and parts thereof</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9403</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Other furniture and parts thereof</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9406</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Prefabricated buildings</w:t>
            </w:r>
          </w:p>
        </w:tc>
      </w:tr>
    </w:tbl>
    <w:p>
      <w:pPr>
        <w:spacing w:after="0" w:line="240" w:lineRule="auto"/>
        <w:jc w:val="both"/>
        <w:rPr>
          <w:rFonts w:ascii="Times New Roman" w:hAnsi="Times New Roman"/>
          <w:noProof/>
          <w:sz w:val="24"/>
          <w:szCs w:val="24"/>
          <w:lang w:eastAsia="en-GB"/>
        </w:rPr>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pPr>
    </w:p>
    <w:p>
      <w:pPr>
        <w:spacing w:line="270" w:lineRule="atLeast"/>
        <w:jc w:val="right"/>
        <w:rPr>
          <w:rFonts w:ascii="Times New Roman" w:hAnsi="Times New Roman"/>
          <w:b/>
          <w:bCs/>
          <w:noProof/>
          <w:sz w:val="24"/>
          <w:szCs w:val="24"/>
          <w:lang w:eastAsia="en-GB"/>
        </w:rPr>
      </w:pPr>
      <w:r>
        <w:rPr>
          <w:rFonts w:ascii="Times New Roman" w:hAnsi="Times New Roman"/>
          <w:b/>
          <w:bCs/>
          <w:noProof/>
          <w:sz w:val="24"/>
          <w:szCs w:val="24"/>
          <w:lang w:eastAsia="en-GB"/>
        </w:rPr>
        <w:t>Annex B</w:t>
      </w:r>
    </w:p>
    <w:p>
      <w:pPr>
        <w:spacing w:line="270" w:lineRule="atLeast"/>
        <w:rPr>
          <w:rFonts w:ascii="Times New Roman" w:hAnsi="Times New Roman"/>
          <w:b/>
          <w:noProof/>
          <w:sz w:val="20"/>
          <w:szCs w:val="20"/>
          <w:lang w:eastAsia="en-GB"/>
        </w:rPr>
      </w:pPr>
      <w:r>
        <w:rPr>
          <w:rFonts w:ascii="Times New Roman" w:hAnsi="Times New Roman"/>
          <w:b/>
          <w:bCs/>
          <w:noProof/>
          <w:sz w:val="20"/>
          <w:szCs w:val="20"/>
          <w:lang w:eastAsia="en-GB"/>
        </w:rPr>
        <w:t>Table 1:</w:t>
      </w:r>
      <w:r>
        <w:rPr>
          <w:rFonts w:ascii="Times New Roman" w:hAnsi="Times New Roman"/>
          <w:b/>
          <w:noProof/>
          <w:sz w:val="20"/>
          <w:szCs w:val="20"/>
          <w:lang w:eastAsia="en-GB"/>
        </w:rPr>
        <w:t xml:space="preserve"> Provisions and criteria used to determine the need for additional checks on shipments</w:t>
      </w:r>
    </w:p>
    <w:tbl>
      <w:tblPr>
        <w:tblW w:w="5000" w:type="pct"/>
        <w:tblBorders>
          <w:top w:val="single" w:sz="4" w:space="0" w:color="auto"/>
          <w:bottom w:val="single" w:sz="4" w:space="0" w:color="auto"/>
          <w:insideH w:val="single" w:sz="4" w:space="0" w:color="auto"/>
        </w:tblBorders>
        <w:tblLayout w:type="fixed"/>
        <w:tblCellMar>
          <w:left w:w="28" w:type="dxa"/>
          <w:right w:w="28" w:type="dxa"/>
        </w:tblCellMar>
        <w:tblLook w:val="00A0" w:firstRow="1" w:lastRow="0" w:firstColumn="1" w:lastColumn="0" w:noHBand="0" w:noVBand="0"/>
      </w:tblPr>
      <w:tblGrid>
        <w:gridCol w:w="1000"/>
        <w:gridCol w:w="1142"/>
        <w:gridCol w:w="998"/>
        <w:gridCol w:w="998"/>
        <w:gridCol w:w="998"/>
        <w:gridCol w:w="1000"/>
        <w:gridCol w:w="712"/>
        <w:gridCol w:w="2280"/>
      </w:tblGrid>
      <w:tr>
        <w:trPr>
          <w:trHeight w:val="253"/>
        </w:trPr>
        <w:tc>
          <w:tcPr>
            <w:tcW w:w="1000" w:type="dxa"/>
            <w:tcBorders>
              <w:left w:val="nil"/>
              <w:bottom w:val="nil"/>
              <w:right w:val="nil"/>
            </w:tcBorders>
            <w:shd w:val="clear" w:color="auto" w:fill="6C8911"/>
            <w:noWrap/>
            <w:vAlign w:val="bottom"/>
          </w:tcPr>
          <w:p>
            <w:pPr>
              <w:spacing w:after="0" w:line="240" w:lineRule="auto"/>
              <w:rPr>
                <w:rFonts w:ascii="Times New Roman" w:hAnsi="Times New Roman"/>
                <w:bCs/>
                <w:noProof/>
                <w:color w:val="FFFFFF"/>
                <w:sz w:val="18"/>
                <w:szCs w:val="18"/>
              </w:rPr>
            </w:pPr>
          </w:p>
        </w:tc>
        <w:tc>
          <w:tcPr>
            <w:tcW w:w="1142" w:type="dxa"/>
            <w:tcBorders>
              <w:left w:val="nil"/>
              <w:bottom w:val="nil"/>
              <w:right w:val="nil"/>
            </w:tcBorders>
            <w:shd w:val="clear" w:color="auto" w:fill="6C8911"/>
            <w:vAlign w:val="bottom"/>
          </w:tcPr>
          <w:p>
            <w:pPr>
              <w:spacing w:after="0" w:line="240" w:lineRule="auto"/>
              <w:rPr>
                <w:rFonts w:ascii="Times New Roman" w:hAnsi="Times New Roman"/>
                <w:bCs/>
                <w:noProof/>
                <w:color w:val="FFFFFF"/>
                <w:sz w:val="18"/>
                <w:szCs w:val="18"/>
              </w:rPr>
            </w:pPr>
          </w:p>
        </w:tc>
        <w:tc>
          <w:tcPr>
            <w:tcW w:w="6986" w:type="dxa"/>
            <w:gridSpan w:val="6"/>
            <w:tcBorders>
              <w:left w:val="nil"/>
              <w:right w:val="nil"/>
            </w:tcBorders>
            <w:shd w:val="clear" w:color="auto" w:fill="A2CD19"/>
            <w:vAlign w:val="bottom"/>
          </w:tcPr>
          <w:p>
            <w:pPr>
              <w:spacing w:after="0" w:line="240" w:lineRule="auto"/>
              <w:jc w:val="center"/>
              <w:rPr>
                <w:rFonts w:ascii="Times New Roman" w:hAnsi="Times New Roman"/>
                <w:bCs/>
                <w:noProof/>
                <w:color w:val="FFFFFF"/>
                <w:sz w:val="18"/>
                <w:szCs w:val="18"/>
              </w:rPr>
            </w:pPr>
            <w:r>
              <w:rPr>
                <w:rFonts w:ascii="Times New Roman" w:hAnsi="Times New Roman"/>
                <w:bCs/>
                <w:noProof/>
                <w:color w:val="FFFFFF"/>
                <w:sz w:val="18"/>
                <w:szCs w:val="18"/>
              </w:rPr>
              <w:t>Criteria used to determine need for additional checks</w:t>
            </w:r>
          </w:p>
        </w:tc>
      </w:tr>
      <w:tr>
        <w:trPr>
          <w:trHeight w:val="20"/>
        </w:trPr>
        <w:tc>
          <w:tcPr>
            <w:tcW w:w="1000" w:type="dxa"/>
            <w:tcBorders>
              <w:top w:val="nil"/>
              <w:left w:val="nil"/>
              <w:right w:val="nil"/>
            </w:tcBorders>
            <w:shd w:val="clear" w:color="auto" w:fill="6C8911"/>
            <w:noWrap/>
            <w:vAlign w:val="bottom"/>
          </w:tcPr>
          <w:p>
            <w:pPr>
              <w:spacing w:after="0" w:line="240" w:lineRule="auto"/>
              <w:rPr>
                <w:rFonts w:ascii="Times New Roman" w:hAnsi="Times New Roman"/>
                <w:bCs/>
                <w:noProof/>
                <w:color w:val="FFFFFF"/>
                <w:sz w:val="18"/>
                <w:szCs w:val="18"/>
              </w:rPr>
            </w:pPr>
            <w:r>
              <w:rPr>
                <w:rFonts w:ascii="Times New Roman" w:hAnsi="Times New Roman"/>
                <w:bCs/>
                <w:noProof/>
                <w:color w:val="FFFFFF"/>
                <w:sz w:val="18"/>
                <w:szCs w:val="18"/>
              </w:rPr>
              <w:t xml:space="preserve">Country </w:t>
            </w:r>
          </w:p>
        </w:tc>
        <w:tc>
          <w:tcPr>
            <w:tcW w:w="1142" w:type="dxa"/>
            <w:tcBorders>
              <w:top w:val="nil"/>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bCs/>
                <w:noProof/>
                <w:color w:val="FFFFFF"/>
                <w:sz w:val="18"/>
                <w:szCs w:val="18"/>
              </w:rPr>
              <w:t>Authority to perform checks was designated</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bCs/>
                <w:noProof/>
                <w:color w:val="FFFFFF"/>
                <w:sz w:val="18"/>
                <w:szCs w:val="18"/>
              </w:rPr>
              <w:t>Mismatch of licence and shipment documents</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bCs/>
                <w:noProof/>
                <w:color w:val="FFFFFF"/>
                <w:sz w:val="18"/>
                <w:szCs w:val="18"/>
              </w:rPr>
              <w:t>Document irregularities</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bCs/>
                <w:noProof/>
                <w:color w:val="FFFFFF"/>
                <w:sz w:val="18"/>
                <w:szCs w:val="18"/>
              </w:rPr>
              <w:t>General customs risk assessment</w:t>
            </w:r>
          </w:p>
        </w:tc>
        <w:tc>
          <w:tcPr>
            <w:tcW w:w="1000"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bCs/>
                <w:noProof/>
                <w:color w:val="FFFFFF"/>
                <w:sz w:val="18"/>
                <w:szCs w:val="18"/>
              </w:rPr>
              <w:t>Risk assessment (e.g. origin, importer)</w:t>
            </w:r>
          </w:p>
        </w:tc>
        <w:tc>
          <w:tcPr>
            <w:tcW w:w="712"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bCs/>
                <w:noProof/>
                <w:color w:val="FFFFFF"/>
                <w:sz w:val="18"/>
                <w:szCs w:val="18"/>
              </w:rPr>
              <w:t>Random checks</w:t>
            </w:r>
          </w:p>
        </w:tc>
        <w:tc>
          <w:tcPr>
            <w:tcW w:w="2280"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bCs/>
                <w:noProof/>
                <w:color w:val="FFFFFF"/>
                <w:sz w:val="18"/>
                <w:szCs w:val="18"/>
              </w:rPr>
              <w:t>Other</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Austria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Belgium</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Bulgaria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Helvetica" w:eastAsia="Times New Roman" w:hAnsi="Helvetica" w:cs="Helvetica"/>
                <w:noProof/>
                <w:sz w:val="16"/>
                <w:szCs w:val="16"/>
              </w:rPr>
              <w:t>Intelligence on importer or shipment</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Croatia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Cyprus</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szCs w:val="18"/>
              </w:rPr>
              <w:t>All shipments are checked</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Czech Rep.</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Denmark</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tcPr>
          <w:p>
            <w:pPr>
              <w:spacing w:after="0" w:line="256" w:lineRule="auto"/>
              <w:jc w:val="center"/>
              <w:rPr>
                <w:rFonts w:ascii="Times New Roman" w:hAnsi="Times New Roman"/>
                <w:noProof/>
                <w:sz w:val="18"/>
                <w:szCs w:val="18"/>
              </w:rPr>
            </w:pPr>
          </w:p>
        </w:tc>
        <w:tc>
          <w:tcPr>
            <w:tcW w:w="1000" w:type="dxa"/>
            <w:tcBorders>
              <w:left w:val="nil"/>
              <w:right w:val="nil"/>
            </w:tcBorders>
            <w:noWrap/>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jc w:val="center"/>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Estonia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Finland</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France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Germany</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Greece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szCs w:val="18"/>
              </w:rPr>
              <w:t>Criteria not specified</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Hungary</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Ireland</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Italy</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szCs w:val="18"/>
              </w:rPr>
              <w:t>Substantiated concerns</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Latvia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szCs w:val="18"/>
              </w:rPr>
              <w:t>Criteria not specified</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Lithuania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szCs w:val="18"/>
              </w:rPr>
              <w:t>Criteria in FLEGT Reg. apply</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Luxembourg</w:t>
            </w:r>
          </w:p>
        </w:tc>
        <w:tc>
          <w:tcPr>
            <w:tcW w:w="114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szCs w:val="18"/>
              </w:rPr>
              <w:t>Criteria not specified</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Malta</w:t>
            </w:r>
          </w:p>
        </w:tc>
        <w:tc>
          <w:tcPr>
            <w:tcW w:w="1142" w:type="dxa"/>
            <w:tcBorders>
              <w:left w:val="nil"/>
              <w:right w:val="nil"/>
            </w:tcBorders>
            <w:noWrap/>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40" w:lineRule="auto"/>
              <w:jc w:val="center"/>
              <w:rPr>
                <w:rFonts w:ascii="Times New Roman" w:hAnsi="Times New Roman"/>
                <w:noProof/>
                <w:color w:val="000000"/>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1000" w:type="dxa"/>
            <w:tcBorders>
              <w:left w:val="nil"/>
              <w:right w:val="nil"/>
            </w:tcBorders>
            <w:vAlign w:val="bottom"/>
          </w:tcPr>
          <w:p>
            <w:pPr>
              <w:spacing w:after="0" w:line="240" w:lineRule="auto"/>
              <w:jc w:val="center"/>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r>
              <w:rPr>
                <w:rFonts w:ascii="Times New Roman" w:hAnsi="Times New Roman"/>
                <w:noProof/>
                <w:sz w:val="18"/>
                <w:szCs w:val="18"/>
              </w:rPr>
              <w:t>*</w:t>
            </w:r>
          </w:p>
        </w:tc>
        <w:tc>
          <w:tcPr>
            <w:tcW w:w="2280" w:type="dxa"/>
            <w:tcBorders>
              <w:left w:val="nil"/>
              <w:right w:val="nil"/>
            </w:tcBorders>
            <w:vAlign w:val="bottom"/>
          </w:tcPr>
          <w:p>
            <w:pPr>
              <w:spacing w:after="0" w:line="240" w:lineRule="auto"/>
              <w:rPr>
                <w:rFonts w:ascii="Times New Roman" w:hAnsi="Times New Roman"/>
                <w:noProof/>
                <w:sz w:val="18"/>
                <w:szCs w:val="18"/>
                <w:highlight w:val="yellow"/>
              </w:rPr>
            </w:pPr>
            <w:r>
              <w:rPr>
                <w:rFonts w:ascii="Times New Roman" w:hAnsi="Times New Roman"/>
                <w:noProof/>
                <w:sz w:val="18"/>
                <w:szCs w:val="18"/>
              </w:rPr>
              <w:t>*every 25</w:t>
            </w:r>
            <w:r>
              <w:rPr>
                <w:rFonts w:ascii="Times New Roman" w:hAnsi="Times New Roman"/>
                <w:noProof/>
                <w:sz w:val="18"/>
                <w:szCs w:val="18"/>
                <w:vertAlign w:val="superscript"/>
              </w:rPr>
              <w:t>th</w:t>
            </w:r>
            <w:r>
              <w:rPr>
                <w:rFonts w:ascii="Times New Roman" w:hAnsi="Times New Roman"/>
                <w:noProof/>
                <w:sz w:val="18"/>
                <w:szCs w:val="18"/>
              </w:rPr>
              <w:t xml:space="preserve"> shipment checked</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Netherlands</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Poland</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Portugal</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Romania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szCs w:val="18"/>
              </w:rPr>
              <w:t>Criteria not specified</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Slovakia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Slovenia</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7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Spain</w:t>
            </w:r>
          </w:p>
        </w:tc>
        <w:tc>
          <w:tcPr>
            <w:tcW w:w="114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szCs w:val="18"/>
              </w:rPr>
              <w:t>Criteria being developed. Criteria in FLEGT Reg. apply</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Sweden</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United Kingdom</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szCs w:val="18"/>
              </w:rPr>
              <w:t>Intelligence on importer or shipment</w:t>
            </w:r>
          </w:p>
        </w:tc>
      </w:tr>
    </w:tbl>
    <w:p>
      <w:pPr>
        <w:keepNext/>
        <w:spacing w:line="240" w:lineRule="auto"/>
        <w:jc w:val="both"/>
        <w:rPr>
          <w:rFonts w:ascii="Times New Roman" w:hAnsi="Times New Roman"/>
          <w:b/>
          <w:bCs/>
          <w:noProof/>
          <w:sz w:val="20"/>
          <w:szCs w:val="20"/>
          <w:lang w:eastAsia="en-GB"/>
        </w:rPr>
      </w:pPr>
    </w:p>
    <w:p>
      <w:pPr>
        <w:keepNext/>
        <w:spacing w:line="240" w:lineRule="auto"/>
        <w:jc w:val="both"/>
        <w:rPr>
          <w:rFonts w:ascii="Times New Roman" w:hAnsi="Times New Roman"/>
          <w:b/>
          <w:noProof/>
          <w:sz w:val="20"/>
          <w:szCs w:val="20"/>
          <w:highlight w:val="yellow"/>
          <w:lang w:eastAsia="en-GB"/>
        </w:rPr>
      </w:pPr>
      <w:r>
        <w:rPr>
          <w:rFonts w:ascii="Times New Roman" w:hAnsi="Times New Roman"/>
          <w:b/>
          <w:bCs/>
          <w:noProof/>
          <w:sz w:val="20"/>
          <w:szCs w:val="20"/>
          <w:lang w:eastAsia="en-GB"/>
        </w:rPr>
        <w:t>Table 2:</w:t>
      </w:r>
      <w:r>
        <w:rPr>
          <w:rFonts w:ascii="Times New Roman" w:hAnsi="Times New Roman"/>
          <w:b/>
          <w:noProof/>
          <w:sz w:val="20"/>
          <w:szCs w:val="20"/>
          <w:lang w:eastAsia="en-GB"/>
        </w:rPr>
        <w:t xml:space="preserve"> Approximate levels of fees and basis of calculation for those Member States charging importers for the processing of FLEGT licences</w:t>
      </w:r>
    </w:p>
    <w:tbl>
      <w:tblPr>
        <w:tblpPr w:leftFromText="180" w:rightFromText="180" w:vertAnchor="text" w:tblpY="1"/>
        <w:tblOverlap w:val="neve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7"/>
        <w:gridCol w:w="2710"/>
        <w:gridCol w:w="5131"/>
      </w:tblGrid>
      <w:tr>
        <w:tc>
          <w:tcPr>
            <w:tcW w:w="1279" w:type="dxa"/>
            <w:tcBorders>
              <w:lef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szCs w:val="18"/>
              </w:rPr>
              <w:t>Country</w:t>
            </w:r>
          </w:p>
        </w:tc>
        <w:tc>
          <w:tcPr>
            <w:tcW w:w="2693" w:type="dxa"/>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szCs w:val="18"/>
              </w:rPr>
              <w:t>Fees per FLEGT licence</w:t>
            </w:r>
          </w:p>
        </w:tc>
        <w:tc>
          <w:tcPr>
            <w:tcW w:w="5100" w:type="dxa"/>
            <w:tcBorders>
              <w:righ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szCs w:val="18"/>
              </w:rPr>
              <w:t>Basis for calculation</w:t>
            </w:r>
          </w:p>
        </w:tc>
      </w:tr>
      <w:tr>
        <w:tc>
          <w:tcPr>
            <w:tcW w:w="1279" w:type="dxa"/>
            <w:tcBorders>
              <w:left w:val="nil"/>
            </w:tcBorders>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Austria</w:t>
            </w:r>
          </w:p>
        </w:tc>
        <w:tc>
          <w:tcPr>
            <w:tcW w:w="2693" w:type="dxa"/>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rPr>
              <w:t>€</w:t>
            </w:r>
            <w:r>
              <w:rPr>
                <w:rFonts w:ascii="Times New Roman" w:hAnsi="Times New Roman"/>
                <w:noProof/>
                <w:color w:val="000000"/>
                <w:sz w:val="18"/>
                <w:szCs w:val="18"/>
                <w:lang w:eastAsia="en-GB"/>
              </w:rPr>
              <w:t xml:space="preserve"> 105.90</w:t>
            </w:r>
          </w:p>
        </w:tc>
        <w:tc>
          <w:tcPr>
            <w:tcW w:w="5100" w:type="dxa"/>
            <w:tcBorders>
              <w:right w:val="nil"/>
            </w:tcBorders>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Based on number of imports in the last 1.5 years, time for processing licences and the estimated duration and costs of physical checks.</w:t>
            </w:r>
          </w:p>
        </w:tc>
      </w:tr>
      <w:tr>
        <w:tc>
          <w:tcPr>
            <w:tcW w:w="1279" w:type="dxa"/>
            <w:tcBorders>
              <w:left w:val="nil"/>
            </w:tcBorders>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Finland</w:t>
            </w:r>
          </w:p>
        </w:tc>
        <w:tc>
          <w:tcPr>
            <w:tcW w:w="2693" w:type="dxa"/>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rPr>
              <w:t>€</w:t>
            </w:r>
            <w:r>
              <w:rPr>
                <w:rFonts w:ascii="Times New Roman" w:hAnsi="Times New Roman"/>
                <w:noProof/>
                <w:color w:val="000000"/>
                <w:sz w:val="18"/>
                <w:szCs w:val="18"/>
                <w:lang w:eastAsia="en-GB"/>
              </w:rPr>
              <w:t xml:space="preserve"> 390*</w:t>
            </w:r>
          </w:p>
        </w:tc>
        <w:tc>
          <w:tcPr>
            <w:tcW w:w="5100" w:type="dxa"/>
            <w:tcBorders>
              <w:right w:val="nil"/>
            </w:tcBorders>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Based on cost recovery.</w:t>
            </w:r>
          </w:p>
        </w:tc>
      </w:tr>
      <w:tr>
        <w:tc>
          <w:tcPr>
            <w:tcW w:w="1279" w:type="dxa"/>
            <w:tcBorders>
              <w:left w:val="nil"/>
            </w:tcBorders>
            <w:vAlign w:val="bottom"/>
          </w:tcPr>
          <w:p>
            <w:pPr>
              <w:autoSpaceDE w:val="0"/>
              <w:autoSpaceDN w:val="0"/>
              <w:adjustRightInd w:val="0"/>
              <w:spacing w:after="0" w:line="240" w:lineRule="auto"/>
              <w:rPr>
                <w:rFonts w:ascii="Times New Roman" w:hAnsi="Times New Roman"/>
                <w:noProof/>
                <w:color w:val="000000"/>
                <w:sz w:val="18"/>
                <w:szCs w:val="18"/>
              </w:rPr>
            </w:pPr>
            <w:r>
              <w:rPr>
                <w:rFonts w:ascii="Times New Roman" w:hAnsi="Times New Roman"/>
                <w:noProof/>
                <w:color w:val="000000"/>
                <w:sz w:val="18"/>
                <w:szCs w:val="18"/>
                <w:lang w:eastAsia="en-GB"/>
              </w:rPr>
              <w:t>Greece</w:t>
            </w:r>
          </w:p>
        </w:tc>
        <w:tc>
          <w:tcPr>
            <w:tcW w:w="2693" w:type="dxa"/>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rPr>
              <w:t>€</w:t>
            </w:r>
            <w:r>
              <w:rPr>
                <w:rFonts w:ascii="Times New Roman" w:hAnsi="Times New Roman"/>
                <w:noProof/>
                <w:color w:val="000000"/>
                <w:sz w:val="18"/>
                <w:szCs w:val="18"/>
                <w:lang w:eastAsia="en-GB"/>
              </w:rPr>
              <w:t xml:space="preserve"> 100</w:t>
            </w:r>
          </w:p>
        </w:tc>
        <w:tc>
          <w:tcPr>
            <w:tcW w:w="5100" w:type="dxa"/>
            <w:tcBorders>
              <w:right w:val="nil"/>
            </w:tcBorders>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Not specified</w:t>
            </w:r>
          </w:p>
        </w:tc>
      </w:tr>
      <w:tr>
        <w:tc>
          <w:tcPr>
            <w:tcW w:w="1279" w:type="dxa"/>
            <w:tcBorders>
              <w:left w:val="nil"/>
            </w:tcBorders>
            <w:vAlign w:val="bottom"/>
          </w:tcPr>
          <w:p>
            <w:pPr>
              <w:autoSpaceDE w:val="0"/>
              <w:autoSpaceDN w:val="0"/>
              <w:adjustRightInd w:val="0"/>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Italy</w:t>
            </w:r>
          </w:p>
        </w:tc>
        <w:tc>
          <w:tcPr>
            <w:tcW w:w="2693" w:type="dxa"/>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rPr>
              <w:t>€</w:t>
            </w:r>
            <w:r>
              <w:rPr>
                <w:rFonts w:ascii="Times New Roman" w:hAnsi="Times New Roman"/>
                <w:noProof/>
                <w:color w:val="000000"/>
                <w:sz w:val="18"/>
                <w:szCs w:val="18"/>
                <w:lang w:eastAsia="en-GB"/>
              </w:rPr>
              <w:t xml:space="preserve"> 50</w:t>
            </w:r>
          </w:p>
        </w:tc>
        <w:tc>
          <w:tcPr>
            <w:tcW w:w="5100" w:type="dxa"/>
            <w:tcBorders>
              <w:right w:val="nil"/>
            </w:tcBorders>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 xml:space="preserve">Based on 2h work to validate the licence by the CA. </w:t>
            </w:r>
          </w:p>
        </w:tc>
      </w:tr>
      <w:tr>
        <w:tc>
          <w:tcPr>
            <w:tcW w:w="1279" w:type="dxa"/>
            <w:tcBorders>
              <w:left w:val="nil"/>
            </w:tcBorders>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United Kingdom</w:t>
            </w:r>
          </w:p>
        </w:tc>
        <w:tc>
          <w:tcPr>
            <w:tcW w:w="2693" w:type="dxa"/>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£9.60 [</w:t>
            </w:r>
            <w:r>
              <w:rPr>
                <w:rFonts w:ascii="Times New Roman" w:hAnsi="Times New Roman"/>
                <w:noProof/>
                <w:color w:val="000000"/>
                <w:sz w:val="18"/>
                <w:szCs w:val="18"/>
              </w:rPr>
              <w:t>€</w:t>
            </w:r>
            <w:r>
              <w:rPr>
                <w:rFonts w:ascii="Times New Roman" w:hAnsi="Times New Roman"/>
                <w:noProof/>
                <w:color w:val="000000"/>
                <w:sz w:val="18"/>
                <w:szCs w:val="18"/>
                <w:lang w:eastAsia="en-GB"/>
              </w:rPr>
              <w:t xml:space="preserve"> 11.33]</w:t>
            </w:r>
          </w:p>
        </w:tc>
        <w:tc>
          <w:tcPr>
            <w:tcW w:w="5100" w:type="dxa"/>
            <w:tcBorders>
              <w:right w:val="nil"/>
            </w:tcBorders>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Based on number of imports in the last 7 years, expected trade levels and cost recovery for CA/customs/Border Force; remains under review.</w:t>
            </w:r>
          </w:p>
        </w:tc>
      </w:tr>
    </w:tbl>
    <w:p>
      <w:pPr>
        <w:spacing w:after="0" w:line="240" w:lineRule="auto"/>
        <w:jc w:val="both"/>
        <w:rPr>
          <w:rFonts w:ascii="Times New Roman" w:hAnsi="Times New Roman"/>
          <w:noProof/>
          <w:sz w:val="24"/>
          <w:szCs w:val="24"/>
          <w:lang w:eastAsia="en-GB"/>
        </w:rPr>
      </w:pPr>
    </w:p>
    <w:p>
      <w:pPr>
        <w:spacing w:after="0" w:line="240" w:lineRule="auto"/>
        <w:ind w:left="360" w:hanging="360"/>
        <w:rPr>
          <w:rFonts w:ascii="Times New Roman" w:hAnsi="Times New Roman"/>
          <w:noProof/>
          <w:color w:val="000000"/>
          <w:sz w:val="16"/>
          <w:szCs w:val="16"/>
        </w:rPr>
      </w:pPr>
      <w:r>
        <w:rPr>
          <w:rFonts w:ascii="Times New Roman" w:hAnsi="Times New Roman"/>
          <w:noProof/>
          <w:sz w:val="16"/>
          <w:szCs w:val="16"/>
          <w:lang w:eastAsia="en-GB"/>
        </w:rPr>
        <w:t xml:space="preserve">*Finland has since reduced the fee to </w:t>
      </w:r>
      <w:r>
        <w:rPr>
          <w:rFonts w:ascii="Times New Roman" w:hAnsi="Times New Roman"/>
          <w:noProof/>
          <w:color w:val="000000"/>
          <w:sz w:val="16"/>
          <w:szCs w:val="16"/>
        </w:rPr>
        <w:t>€ 70 per FLEGT licence</w:t>
      </w:r>
      <w:r>
        <w:rPr>
          <w:rFonts w:ascii="Times New Roman" w:hAnsi="Times New Roman"/>
          <w:noProof/>
          <w:sz w:val="16"/>
          <w:szCs w:val="16"/>
          <w:lang w:eastAsia="en-GB"/>
        </w:rPr>
        <w:t xml:space="preserve"> as from the</w:t>
      </w:r>
      <w:r>
        <w:rPr>
          <w:noProof/>
          <w:color w:val="000000"/>
        </w:rPr>
        <w:t xml:space="preserve"> </w:t>
      </w:r>
      <w:r>
        <w:rPr>
          <w:rFonts w:ascii="Times New Roman" w:hAnsi="Times New Roman"/>
          <w:noProof/>
          <w:color w:val="000000"/>
          <w:sz w:val="16"/>
          <w:szCs w:val="16"/>
        </w:rPr>
        <w:t>1</w:t>
      </w:r>
      <w:r>
        <w:rPr>
          <w:rFonts w:ascii="Times New Roman" w:hAnsi="Times New Roman"/>
          <w:noProof/>
          <w:color w:val="000000"/>
          <w:sz w:val="16"/>
          <w:szCs w:val="16"/>
          <w:vertAlign w:val="superscript"/>
        </w:rPr>
        <w:t>st</w:t>
      </w:r>
      <w:r>
        <w:rPr>
          <w:rFonts w:ascii="Times New Roman" w:hAnsi="Times New Roman"/>
          <w:noProof/>
          <w:color w:val="000000"/>
          <w:sz w:val="16"/>
          <w:szCs w:val="16"/>
        </w:rPr>
        <w:t xml:space="preserve"> of January 2018</w:t>
      </w:r>
    </w:p>
    <w:p>
      <w:pPr>
        <w:spacing w:after="0" w:line="240" w:lineRule="auto"/>
        <w:jc w:val="both"/>
        <w:rPr>
          <w:rFonts w:ascii="Times New Roman" w:hAnsi="Times New Roman"/>
          <w:noProof/>
          <w:sz w:val="16"/>
          <w:szCs w:val="16"/>
          <w:lang w:eastAsia="en-GB"/>
        </w:rPr>
        <w:sectPr>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20"/>
          <w:docGrid w:linePitch="360"/>
        </w:sectPr>
      </w:pPr>
    </w:p>
    <w:p>
      <w:pPr>
        <w:keepNext/>
        <w:tabs>
          <w:tab w:val="left" w:pos="10635"/>
        </w:tabs>
        <w:spacing w:after="120" w:line="270" w:lineRule="atLeast"/>
        <w:rPr>
          <w:rFonts w:ascii="Times New Roman" w:hAnsi="Times New Roman"/>
          <w:b/>
          <w:noProof/>
          <w:sz w:val="20"/>
          <w:szCs w:val="20"/>
          <w:lang w:eastAsia="en-GB"/>
        </w:rPr>
      </w:pPr>
      <w:r>
        <w:rPr>
          <w:rFonts w:ascii="Times New Roman" w:hAnsi="Times New Roman"/>
          <w:b/>
          <w:bCs/>
          <w:noProof/>
          <w:sz w:val="20"/>
          <w:szCs w:val="20"/>
          <w:lang w:eastAsia="en-GB"/>
        </w:rPr>
        <w:t>Table 3:</w:t>
      </w:r>
      <w:r>
        <w:rPr>
          <w:rFonts w:ascii="Times New Roman" w:hAnsi="Times New Roman"/>
          <w:b/>
          <w:noProof/>
          <w:sz w:val="20"/>
          <w:szCs w:val="20"/>
          <w:lang w:eastAsia="en-GB"/>
        </w:rPr>
        <w:t xml:space="preserve"> Overview of penalties that can be imposed nationally for infringements of the FLEGT Regulation</w:t>
      </w:r>
    </w:p>
    <w:tbl>
      <w:tblPr>
        <w:tblpPr w:leftFromText="180" w:rightFromText="180" w:vertAnchor="text" w:tblpY="1"/>
        <w:tblOverlap w:val="never"/>
        <w:tblW w:w="4826"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53"/>
        <w:gridCol w:w="1159"/>
        <w:gridCol w:w="4402"/>
        <w:gridCol w:w="2779"/>
        <w:gridCol w:w="4278"/>
      </w:tblGrid>
      <w:tr>
        <w:trPr>
          <w:trHeight w:val="322"/>
          <w:tblHeader/>
        </w:trPr>
        <w:tc>
          <w:tcPr>
            <w:tcW w:w="351" w:type="pct"/>
            <w:tcBorders>
              <w:lef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szCs w:val="14"/>
              </w:rPr>
              <w:t>Country</w:t>
            </w:r>
          </w:p>
        </w:tc>
        <w:tc>
          <w:tcPr>
            <w:tcW w:w="427" w:type="pct"/>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szCs w:val="14"/>
              </w:rPr>
              <w:t>Criminal/</w:t>
            </w:r>
          </w:p>
          <w:p>
            <w:pPr>
              <w:autoSpaceDE w:val="0"/>
              <w:autoSpaceDN w:val="0"/>
              <w:adjustRightInd w:val="0"/>
              <w:spacing w:after="0" w:line="240" w:lineRule="auto"/>
              <w:rPr>
                <w:rFonts w:ascii="Times New Roman" w:hAnsi="Times New Roman"/>
                <w:noProof/>
                <w:color w:val="6C8911"/>
                <w:sz w:val="14"/>
                <w:szCs w:val="14"/>
              </w:rPr>
            </w:pPr>
            <w:r>
              <w:rPr>
                <w:rFonts w:ascii="Times New Roman" w:hAnsi="Times New Roman"/>
                <w:noProof/>
                <w:color w:val="FFFFFF"/>
                <w:sz w:val="14"/>
                <w:szCs w:val="14"/>
              </w:rPr>
              <w:t>Administrative*</w:t>
            </w:r>
          </w:p>
        </w:tc>
        <w:tc>
          <w:tcPr>
            <w:tcW w:w="1622" w:type="pct"/>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szCs w:val="14"/>
              </w:rPr>
              <w:t>Financial sanctions</w:t>
            </w:r>
          </w:p>
        </w:tc>
        <w:tc>
          <w:tcPr>
            <w:tcW w:w="1024" w:type="pct"/>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szCs w:val="14"/>
              </w:rPr>
              <w:t>Imprisonment</w:t>
            </w:r>
          </w:p>
        </w:tc>
        <w:tc>
          <w:tcPr>
            <w:tcW w:w="1576" w:type="pct"/>
            <w:tcBorders>
              <w:righ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szCs w:val="14"/>
              </w:rPr>
              <w:t>Legal basis</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Austria</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€15 000; €30 000 for intent or repeated infringement</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lang w:val="de-DE"/>
              </w:rPr>
            </w:pPr>
            <w:r>
              <w:rPr>
                <w:rFonts w:ascii="Times New Roman" w:hAnsi="Times New Roman"/>
                <w:noProof/>
                <w:color w:val="000000"/>
                <w:sz w:val="14"/>
                <w:szCs w:val="14"/>
                <w:lang w:val="de-DE"/>
              </w:rPr>
              <w:t>Law “Holzhandelsüberwachungsgesetz” (BGBl. I Nr. 178/2013)</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Belgium</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A &amp; 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€480 -1 200 000 (Administrative); €960 - 24 000 000 (Criminal)</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 xml:space="preserve">Criminal: 8 days - 3 years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Law of 21 December 1998 on product norms – environmental law</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Bulgaria</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[A &amp; 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[€260-5110] BGN 500 - 10 000 (more severe penalty possible)</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Forestry Act</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Croatia</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 xml:space="preserve">[€1340 – 20 100] HRK 10 000-150 000 </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Law on the Implementation of the European Union Decree on Trade in Illegally Cutting of Wood and Products of such Wood</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Cyprus</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[C]</w:t>
            </w:r>
          </w:p>
        </w:tc>
        <w:tc>
          <w:tcPr>
            <w:tcW w:w="1622" w:type="pct"/>
            <w:vAlign w:val="bottom"/>
          </w:tcPr>
          <w:p>
            <w:pPr>
              <w:autoSpaceDE w:val="0"/>
              <w:autoSpaceDN w:val="0"/>
              <w:adjustRightInd w:val="0"/>
              <w:spacing w:after="0" w:line="240" w:lineRule="auto"/>
              <w:rPr>
                <w:rFonts w:ascii="Times New Roman" w:hAnsi="Times New Roman"/>
                <w:i/>
                <w:noProof/>
                <w:color w:val="000000"/>
                <w:sz w:val="14"/>
                <w:szCs w:val="14"/>
              </w:rPr>
            </w:pPr>
            <w:r>
              <w:rPr>
                <w:rFonts w:ascii="Times New Roman" w:hAnsi="Times New Roman"/>
                <w:noProof/>
                <w:color w:val="000000"/>
                <w:sz w:val="14"/>
                <w:szCs w:val="14"/>
              </w:rPr>
              <w:t>€40 000</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Up to 2 years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Law 125(I)/2010</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Czech Rep.</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 xml:space="preserve">[€150 400] CZK 4 000 000 </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 xml:space="preserve">Tariff Act No. </w:t>
            </w:r>
            <w:r>
              <w:rPr>
                <w:rFonts w:ascii="Times New Roman" w:eastAsiaTheme="minorHAnsi" w:hAnsi="Times New Roman"/>
                <w:noProof/>
                <w:color w:val="000000"/>
                <w:sz w:val="14"/>
                <w:szCs w:val="14"/>
              </w:rPr>
              <w:t>242/2016</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lang w:eastAsia="en-GB"/>
              </w:rPr>
            </w:pPr>
            <w:r>
              <w:rPr>
                <w:rFonts w:ascii="Times New Roman" w:hAnsi="Times New Roman"/>
                <w:noProof/>
                <w:color w:val="000000"/>
                <w:sz w:val="14"/>
                <w:szCs w:val="14"/>
                <w:lang w:eastAsia="en-GB"/>
              </w:rPr>
              <w:t>Denmark**</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szCs w:val="14"/>
              </w:rPr>
              <w:t>A &amp; 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 minimum or maximum set in legislation – level determined by the court; seizure of goods</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 minimum or maximum – level determined by the court</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Legal Act of 18. Feb. 2013 no. 169</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Estonia**</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szCs w:val="14"/>
              </w:rPr>
              <w:t>A &amp; 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Up to €3200</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Up to 5 years</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Estonian Penal Code</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Finland</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Case dependant</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Up to 4 years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lang w:val="fi-FI"/>
              </w:rPr>
            </w:pPr>
            <w:r>
              <w:rPr>
                <w:rFonts w:ascii="Times New Roman" w:hAnsi="Times New Roman"/>
                <w:noProof/>
                <w:color w:val="000000"/>
                <w:sz w:val="14"/>
                <w:szCs w:val="14"/>
                <w:lang w:val="fi-FI"/>
              </w:rPr>
              <w:t>Law “FLEGT-lupajärjestelmästä” 1425/2014; Criminal Code 39/1889</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France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szCs w:val="14"/>
              </w:rPr>
              <w:t>[ A &amp; C ]</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1-2 x the value of the goods; seizure of goods/associated objects</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Up to 3 years</w:t>
            </w:r>
          </w:p>
        </w:tc>
        <w:tc>
          <w:tcPr>
            <w:tcW w:w="1576" w:type="pct"/>
            <w:tcBorders>
              <w:right w:val="nil"/>
            </w:tcBorders>
            <w:vAlign w:val="bottom"/>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color w:val="000000"/>
                <w:sz w:val="14"/>
                <w:szCs w:val="14"/>
              </w:rPr>
            </w:pPr>
            <w:r>
              <w:rPr>
                <w:rFonts w:ascii="Times New Roman" w:hAnsi="Times New Roman"/>
                <w:noProof/>
                <w:color w:val="000000"/>
                <w:sz w:val="14"/>
                <w:szCs w:val="14"/>
              </w:rPr>
              <w:t>National customs code</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Germany</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szCs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€50 000</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Law “Holzhandels-Sicherungs-Gesetz”</w:t>
            </w:r>
          </w:p>
        </w:tc>
      </w:tr>
      <w:tr>
        <w:trPr>
          <w:trHeight w:val="394"/>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Greece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szCs w:val="14"/>
              </w:rPr>
              <w:t>A &amp; 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€50</w:t>
            </w:r>
          </w:p>
          <w:p>
            <w:pPr>
              <w:autoSpaceDE w:val="0"/>
              <w:autoSpaceDN w:val="0"/>
              <w:adjustRightInd w:val="0"/>
              <w:spacing w:after="0" w:line="240" w:lineRule="auto"/>
              <w:rPr>
                <w:rFonts w:ascii="Times New Roman" w:hAnsi="Times New Roman"/>
                <w:noProof/>
                <w:color w:val="000000"/>
                <w:sz w:val="14"/>
                <w:szCs w:val="14"/>
                <w:highlight w:val="yellow"/>
              </w:rPr>
            </w:pP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 xml:space="preserve">1-6 months (obstruction of inspection); 2 months - 2 years (possession/trafficking)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Law 86/1969 and Law 2637/1998; Joint Ministerial Decision 135279/159/2016/(A' 83)</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lang w:eastAsia="en-GB"/>
              </w:rPr>
            </w:pPr>
            <w:r>
              <w:rPr>
                <w:rFonts w:ascii="Times New Roman" w:hAnsi="Times New Roman"/>
                <w:noProof/>
                <w:color w:val="000000"/>
                <w:sz w:val="14"/>
                <w:szCs w:val="14"/>
                <w:lang w:eastAsia="en-GB"/>
              </w:rPr>
              <w:t>Hungary**</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szCs w:val="14"/>
              </w:rPr>
              <w:t>A &amp; C</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[€323 – 3227] HUF 100 000 - 1 000 000 (administrative)</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Activity without permission up to 3 years (criminal)</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 xml:space="preserve">Hungarian Criminal Code (Act C of 2012), Hungarian Customs Code (Act XIII of 2016), Decree No. 11/2016 (IV. 29) of NGM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lang w:eastAsia="en-GB"/>
              </w:rPr>
            </w:pPr>
            <w:r>
              <w:rPr>
                <w:rFonts w:ascii="Times New Roman" w:hAnsi="Times New Roman"/>
                <w:noProof/>
                <w:color w:val="000000"/>
                <w:sz w:val="14"/>
                <w:szCs w:val="14"/>
                <w:lang w:eastAsia="en-GB"/>
              </w:rPr>
              <w:t>Ireland**</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szCs w:val="14"/>
              </w:rPr>
              <w:t>A &amp; C</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Up to €250,000</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Up to 1 year</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Statutory Instrument S.I.  No. 251 of  2015</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lang w:eastAsia="en-GB"/>
              </w:rPr>
            </w:pPr>
            <w:r>
              <w:rPr>
                <w:rFonts w:ascii="Times New Roman" w:hAnsi="Times New Roman"/>
                <w:noProof/>
                <w:color w:val="000000"/>
                <w:sz w:val="14"/>
                <w:szCs w:val="14"/>
                <w:lang w:eastAsia="en-GB"/>
              </w:rPr>
              <w:t>Italy</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A &amp; 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€2000 - 50 000</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 xml:space="preserve">1 month - 1 year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 xml:space="preserve">Legislative decree No. 178/2014 (D. Lgs. 30-10-2014 No. 178)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Latvia**</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szCs w:val="14"/>
              </w:rPr>
              <w:t>A &amp; C</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specified;  seizure of goods</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Administrative violations code and Criminal law</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Lithuania</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szCs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€30 – 6 000</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Code of Administrative Infringements of the Republic of Lithuania</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Luxembourg</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A &amp; 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eastAsiaTheme="minorHAnsi" w:hAnsi="Times New Roman"/>
                <w:noProof/>
                <w:color w:val="000000"/>
                <w:sz w:val="14"/>
                <w:szCs w:val="14"/>
              </w:rPr>
              <w:t>251 – 250.000 euros</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8 days - 1 month</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lang w:val="fr-FR"/>
              </w:rPr>
            </w:pPr>
            <w:r>
              <w:rPr>
                <w:rFonts w:ascii="Times New Roman" w:hAnsi="Times New Roman"/>
                <w:noProof/>
                <w:color w:val="000000"/>
                <w:sz w:val="14"/>
                <w:szCs w:val="14"/>
                <w:lang w:val="fr-FR"/>
              </w:rPr>
              <w:t>Law “Loi du 21 juillet 2012 (CE) n°2173/2005”</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Malta</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C</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€1500 – 25 000 (first conviction); €2 500 – 50 000 (subsequent convictions); seizure of goods</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30 days - 2 years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S.L. 549.95 Forest Law Enforcement, Governance and Trade Licensing Scheme Regulations</w:t>
            </w:r>
          </w:p>
        </w:tc>
      </w:tr>
      <w:tr>
        <w:trPr>
          <w:trHeight w:val="32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Netherlands**</w:t>
            </w:r>
          </w:p>
        </w:tc>
        <w:tc>
          <w:tcPr>
            <w:tcW w:w="427" w:type="pct"/>
          </w:tcPr>
          <w:p>
            <w:pPr>
              <w:autoSpaceDE w:val="0"/>
              <w:autoSpaceDN w:val="0"/>
              <w:adjustRightInd w:val="0"/>
              <w:spacing w:after="0" w:line="240" w:lineRule="auto"/>
              <w:jc w:val="center"/>
              <w:rPr>
                <w:rFonts w:ascii="Times New Roman" w:hAnsi="Times New Roman"/>
                <w:i/>
                <w:noProof/>
                <w:color w:val="6C8911"/>
                <w:sz w:val="14"/>
                <w:szCs w:val="14"/>
                <w:highlight w:val="yellow"/>
              </w:rPr>
            </w:pPr>
            <w:r>
              <w:rPr>
                <w:rFonts w:ascii="Times New Roman" w:hAnsi="Times New Roman"/>
                <w:b/>
                <w:noProof/>
                <w:color w:val="6C8911"/>
                <w:sz w:val="14"/>
                <w:szCs w:val="14"/>
              </w:rPr>
              <w:t>C</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Up to €8100; seizure of goods</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applicable</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 xml:space="preserve">Customs law and Customs regulation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Poland</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2x the value of the goods</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Act on forests of 28 September 1991 (Official Journal of 2017, 788)</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Portugal**</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szCs w:val="14"/>
              </w:rPr>
              <w:t>A &amp; C</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Up to €165,000; seizure of goods</w:t>
            </w:r>
            <w:r>
              <w:rPr>
                <w:rFonts w:ascii="Times New Roman" w:hAnsi="Times New Roman"/>
                <w:noProof/>
                <w:sz w:val="14"/>
                <w:szCs w:val="14"/>
                <w:lang w:eastAsia="en-GB"/>
              </w:rPr>
              <w:t xml:space="preserve"> </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Up to 3 years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General Law (No 15/2001) on tax offences</w:t>
            </w:r>
          </w:p>
        </w:tc>
      </w:tr>
      <w:tr>
        <w:trPr>
          <w:trHeight w:val="4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lang w:eastAsia="en-GB"/>
              </w:rPr>
            </w:pPr>
            <w:r>
              <w:rPr>
                <w:rFonts w:ascii="Times New Roman" w:hAnsi="Times New Roman"/>
                <w:noProof/>
                <w:color w:val="000000"/>
                <w:sz w:val="14"/>
                <w:szCs w:val="14"/>
                <w:lang w:eastAsia="en-GB"/>
              </w:rPr>
              <w:t>Romania</w:t>
            </w:r>
          </w:p>
        </w:tc>
        <w:tc>
          <w:tcPr>
            <w:tcW w:w="427" w:type="pct"/>
            <w:vAlign w:val="bottom"/>
          </w:tcPr>
          <w:p>
            <w:pPr>
              <w:autoSpaceDE w:val="0"/>
              <w:autoSpaceDN w:val="0"/>
              <w:adjustRightInd w:val="0"/>
              <w:spacing w:after="0" w:line="240" w:lineRule="auto"/>
              <w:jc w:val="center"/>
              <w:rPr>
                <w:rFonts w:ascii="Times New Roman" w:hAnsi="Times New Roman"/>
                <w:b/>
                <w:i/>
                <w:noProof/>
                <w:color w:val="6C8911"/>
                <w:sz w:val="14"/>
                <w:szCs w:val="14"/>
              </w:rPr>
            </w:pPr>
            <w:r>
              <w:rPr>
                <w:rFonts w:ascii="Times New Roman" w:hAnsi="Times New Roman"/>
                <w:b/>
                <w:noProof/>
                <w:color w:val="6C8911"/>
                <w:sz w:val="14"/>
                <w:szCs w:val="14"/>
              </w:rPr>
              <w:t>[ A &amp; C ]</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 xml:space="preserve">€950- 1500 (marketing of illegal timber/timber products); €3300-5000 (import, transport, possession and/or processing/marketing of FLEGT products); €250 (failure to submit a FLEGT licence) </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specified</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Law no. 171/2010 regarding the establishment and sanctioning of forest contraventions</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Slovakia**</w:t>
            </w:r>
          </w:p>
        </w:tc>
        <w:tc>
          <w:tcPr>
            <w:tcW w:w="427" w:type="pct"/>
            <w:vAlign w:val="bottom"/>
          </w:tcPr>
          <w:p>
            <w:pPr>
              <w:autoSpaceDE w:val="0"/>
              <w:autoSpaceDN w:val="0"/>
              <w:adjustRightInd w:val="0"/>
              <w:spacing w:after="0" w:line="240" w:lineRule="auto"/>
              <w:jc w:val="center"/>
              <w:rPr>
                <w:rFonts w:ascii="Times New Roman" w:hAnsi="Times New Roman"/>
                <w:noProof/>
                <w:sz w:val="14"/>
                <w:szCs w:val="14"/>
                <w:highlight w:val="yellow"/>
              </w:rPr>
            </w:pPr>
            <w:r>
              <w:rPr>
                <w:rFonts w:ascii="Times New Roman" w:hAnsi="Times New Roman"/>
                <w:b/>
                <w:noProof/>
                <w:color w:val="6C8911"/>
                <w:sz w:val="14"/>
                <w:szCs w:val="14"/>
              </w:rPr>
              <w:t>C</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Up to €99 581.75; confiscation of the goods</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Not specified</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Customs Act (Act No 199/2004)</w:t>
            </w:r>
          </w:p>
        </w:tc>
      </w:tr>
      <w:tr>
        <w:trPr>
          <w:trHeight w:val="47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Slovenia</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szCs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€1000- 20 000</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Regulation on the implementation of Regulations (ES) on the establishment of a FLEGT licensing scheme for imports of timber the European Community (Official Journal No 77/2012)</w:t>
            </w:r>
          </w:p>
        </w:tc>
      </w:tr>
      <w:tr>
        <w:trPr>
          <w:trHeight w:val="47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lang w:eastAsia="en-GB"/>
              </w:rPr>
            </w:pPr>
            <w:r>
              <w:rPr>
                <w:rFonts w:ascii="Times New Roman" w:hAnsi="Times New Roman"/>
                <w:noProof/>
                <w:color w:val="000000"/>
                <w:sz w:val="14"/>
                <w:szCs w:val="14"/>
                <w:lang w:eastAsia="en-GB"/>
              </w:rPr>
              <w:t>Spain**</w:t>
            </w:r>
          </w:p>
        </w:tc>
        <w:tc>
          <w:tcPr>
            <w:tcW w:w="427" w:type="pct"/>
            <w:vAlign w:val="bottom"/>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szCs w:val="14"/>
              </w:rPr>
              <w:t>[ A &amp; C ]</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rPr>
              <w:t>€500 – 350% of the value of the goods (administrative). Up to 6 times the value of the goods, confiscation of the goods and cancellation of right to import (criminal)</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Up to 5 years</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lang w:val="es-ES"/>
              </w:rPr>
            </w:pPr>
            <w:r>
              <w:rPr>
                <w:rFonts w:ascii="Times New Roman" w:hAnsi="Times New Roman"/>
                <w:noProof/>
                <w:color w:val="000000"/>
                <w:sz w:val="14"/>
                <w:szCs w:val="14"/>
                <w:lang w:val="es-ES"/>
              </w:rPr>
              <w:t>Ley Orgánica 12/1995, de 12 de diciembre, and Ley Orgánica 6/2011, de 30 de junio, por la que se modifica la Ley Orgánica 12/1995, de 12 de diciembre, de represión del contrabando</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Sweden</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szCs w:val="14"/>
              </w:rPr>
              <w:t>C</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Not specified</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Up to 2 years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Reg. 2012:30; Reg. 2000:1225</w:t>
            </w:r>
          </w:p>
        </w:tc>
      </w:tr>
      <w:tr>
        <w:trPr>
          <w:trHeight w:val="365"/>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szCs w:val="14"/>
                <w:lang w:eastAsia="en-GB"/>
              </w:rPr>
              <w:t>United Kingdom</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szCs w:val="14"/>
              </w:rPr>
              <w:t>[ A &amp; C ]</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[€23 300] £20 000 or 3x the value of the goods (whichever is greater); conviction on indictment: penalty of any amount</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 xml:space="preserve">6 months; conviction on indictment: up to 3 years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szCs w:val="14"/>
              </w:rPr>
              <w:t>The Customs and Excise Management Act (CEMA) 1979</w:t>
            </w:r>
          </w:p>
        </w:tc>
      </w:tr>
    </w:tbl>
    <w:p>
      <w:pPr>
        <w:keepNext/>
        <w:tabs>
          <w:tab w:val="left" w:pos="360"/>
          <w:tab w:val="left" w:pos="10635"/>
        </w:tabs>
        <w:spacing w:after="0" w:line="240" w:lineRule="auto"/>
        <w:rPr>
          <w:rFonts w:ascii="Times New Roman" w:hAnsi="Times New Roman"/>
          <w:noProof/>
          <w:sz w:val="16"/>
          <w:szCs w:val="16"/>
          <w:lang w:eastAsia="en-GB"/>
        </w:rPr>
      </w:pPr>
      <w:r>
        <w:rPr>
          <w:rFonts w:ascii="Times New Roman" w:hAnsi="Times New Roman"/>
          <w:noProof/>
          <w:sz w:val="16"/>
          <w:szCs w:val="16"/>
          <w:lang w:eastAsia="en-GB"/>
        </w:rPr>
        <w:t xml:space="preserve"> * </w:t>
      </w:r>
      <w:r>
        <w:rPr>
          <w:rFonts w:ascii="Times New Roman" w:hAnsi="Times New Roman"/>
          <w:noProof/>
          <w:sz w:val="16"/>
          <w:szCs w:val="16"/>
          <w:lang w:eastAsia="en-GB"/>
        </w:rPr>
        <w:tab/>
        <w:t>Information that was not clearly specified by Member States, but which was inferred based on their replies, is indicated in square brackets “[….]”.</w:t>
      </w:r>
    </w:p>
    <w:p>
      <w:pPr>
        <w:tabs>
          <w:tab w:val="left" w:pos="360"/>
        </w:tabs>
        <w:spacing w:after="0" w:line="240" w:lineRule="auto"/>
        <w:jc w:val="both"/>
        <w:rPr>
          <w:rFonts w:ascii="Times New Roman" w:hAnsi="Times New Roman"/>
          <w:noProof/>
          <w:sz w:val="24"/>
          <w:szCs w:val="24"/>
          <w:lang w:eastAsia="en-GB"/>
        </w:rPr>
      </w:pPr>
      <w:r>
        <w:rPr>
          <w:rFonts w:ascii="Times New Roman" w:hAnsi="Times New Roman"/>
          <w:noProof/>
          <w:sz w:val="16"/>
          <w:szCs w:val="16"/>
          <w:lang w:eastAsia="en-GB"/>
        </w:rPr>
        <w:t xml:space="preserve">** </w:t>
      </w:r>
      <w:r>
        <w:rPr>
          <w:rFonts w:ascii="Times New Roman" w:hAnsi="Times New Roman"/>
          <w:noProof/>
          <w:sz w:val="16"/>
          <w:szCs w:val="16"/>
          <w:lang w:eastAsia="en-GB"/>
        </w:rPr>
        <w:tab/>
        <w:t>Based on information submitted to the Commission in 2014 and/or further clarification sought directly from Competent Authorities</w:t>
      </w:r>
    </w:p>
    <w:sectPr>
      <w:headerReference w:type="even" r:id="rId40"/>
      <w:headerReference w:type="default" r:id="rId41"/>
      <w:footerReference w:type="even" r:id="rId42"/>
      <w:footerReference w:type="default" r:id="rId43"/>
      <w:headerReference w:type="first" r:id="rId44"/>
      <w:footerReference w:type="first" r:id="rId45"/>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13</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11</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hAnsi="Times New Roman"/>
          <w:sz w:val="20"/>
          <w:szCs w:val="20"/>
          <w:lang w:val="pt-PT"/>
        </w:rPr>
      </w:pPr>
      <w:r>
        <w:rPr>
          <w:rStyle w:val="FootnoteReference"/>
          <w:rFonts w:ascii="Times New Roman" w:hAnsi="Times New Roman"/>
          <w:sz w:val="20"/>
          <w:szCs w:val="20"/>
        </w:rPr>
        <w:footnoteRef/>
      </w:r>
      <w:r>
        <w:rPr>
          <w:rFonts w:ascii="Times New Roman" w:hAnsi="Times New Roman"/>
          <w:sz w:val="20"/>
          <w:szCs w:val="20"/>
          <w:lang w:val="pt-PT"/>
        </w:rPr>
        <w:t xml:space="preserve"> OJ L 347, 30.12.2005, p.1.</w:t>
      </w:r>
    </w:p>
  </w:footnote>
  <w:footnote w:id="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COM/2003/0251 final</w:t>
      </w:r>
    </w:p>
  </w:footnote>
  <w:footnote w:id="3">
    <w:p>
      <w:pPr>
        <w:spacing w:after="0" w:line="240" w:lineRule="auto"/>
        <w:jc w:val="both"/>
        <w:rPr>
          <w:rFonts w:ascii="Times New Roman" w:hAnsi="Times New Roman"/>
          <w:sz w:val="20"/>
          <w:szCs w:val="20"/>
          <w:lang w:val="pt-PT"/>
        </w:rPr>
      </w:pPr>
      <w:r>
        <w:rPr>
          <w:rStyle w:val="FootnoteReference"/>
          <w:rFonts w:ascii="Times New Roman" w:hAnsi="Times New Roman"/>
          <w:sz w:val="20"/>
          <w:szCs w:val="20"/>
        </w:rPr>
        <w:footnoteRef/>
      </w:r>
      <w:r>
        <w:rPr>
          <w:rFonts w:ascii="Times New Roman" w:hAnsi="Times New Roman"/>
          <w:sz w:val="20"/>
          <w:szCs w:val="20"/>
          <w:lang w:val="pt-PT"/>
        </w:rPr>
        <w:t xml:space="preserve"> OJ L 277, 18.10.2008, p.23.</w:t>
      </w:r>
    </w:p>
  </w:footnote>
  <w:footnote w:id="4">
    <w:p>
      <w:pPr>
        <w:pStyle w:val="FootnoteText"/>
        <w:jc w:val="both"/>
        <w:rPr>
          <w:lang w:val="pt-PT"/>
        </w:rPr>
      </w:pPr>
      <w:r>
        <w:rPr>
          <w:rStyle w:val="FootnoteReference"/>
          <w:rFonts w:ascii="Times New Roman" w:hAnsi="Times New Roman"/>
        </w:rPr>
        <w:footnoteRef/>
      </w:r>
      <w:r>
        <w:rPr>
          <w:lang w:val="pt-PT"/>
        </w:rPr>
        <w:t xml:space="preserve"> </w:t>
      </w:r>
      <w:hyperlink r:id="rId1" w:history="1">
        <w:r>
          <w:rPr>
            <w:rStyle w:val="Hyperlink"/>
            <w:rFonts w:ascii="Times New Roman" w:hAnsi="Times New Roman"/>
            <w:lang w:val="pt-PT"/>
          </w:rPr>
          <w:t>http://ec.europa.eu/environment/forests/flegt.htm</w:t>
        </w:r>
      </w:hyperlink>
    </w:p>
  </w:footnote>
  <w:footnote w:id="5">
    <w:p>
      <w:pPr>
        <w:spacing w:after="0" w:line="240" w:lineRule="auto"/>
        <w:ind w:left="240" w:hanging="240"/>
        <w:jc w:val="both"/>
        <w:rPr>
          <w:lang w:val="pt-PT"/>
        </w:rPr>
      </w:pPr>
      <w:r>
        <w:rPr>
          <w:rStyle w:val="FootnoteReference"/>
          <w:rFonts w:ascii="Times New Roman" w:hAnsi="Times New Roman"/>
          <w:sz w:val="20"/>
          <w:szCs w:val="20"/>
        </w:rPr>
        <w:footnoteRef/>
      </w:r>
      <w:r>
        <w:rPr>
          <w:lang w:val="pt-PT"/>
        </w:rPr>
        <w:t xml:space="preserve"> </w:t>
      </w:r>
      <w:hyperlink r:id="rId2" w:history="1">
        <w:r>
          <w:rPr>
            <w:rStyle w:val="Hyperlink"/>
            <w:rFonts w:ascii="Times New Roman" w:hAnsi="Times New Roman"/>
            <w:color w:val="000000"/>
            <w:sz w:val="20"/>
            <w:szCs w:val="20"/>
            <w:shd w:val="clear" w:color="auto" w:fill="FFFFFF"/>
            <w:lang w:val="pt-PT"/>
          </w:rPr>
          <w:t>https://ec.europa.eu/jrc/en/news/reporting-greenhouse-gas-emissions-deforestation-and-forest-degradation-pan-tropical-biomass-maps</w:t>
        </w:r>
      </w:hyperlink>
      <w:r>
        <w:rPr>
          <w:rFonts w:ascii="Times New Roman" w:hAnsi="Times New Roman"/>
          <w:color w:val="000000"/>
          <w:sz w:val="20"/>
          <w:szCs w:val="20"/>
          <w:shd w:val="clear" w:color="auto" w:fill="FFFFFF"/>
          <w:lang w:val="pt-PT"/>
        </w:rPr>
        <w:t>.</w:t>
      </w:r>
    </w:p>
  </w:footnote>
  <w:footnote w:id="6">
    <w:p>
      <w:pPr>
        <w:tabs>
          <w:tab w:val="left" w:pos="240"/>
        </w:tabs>
        <w:spacing w:after="0" w:line="240" w:lineRule="auto"/>
        <w:ind w:left="240" w:hanging="240"/>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ab/>
        <w:t xml:space="preserve">Further information on the EU-Indonesia VPA is available at: </w:t>
      </w:r>
      <w:r>
        <w:rPr>
          <w:rFonts w:ascii="Times New Roman" w:hAnsi="Times New Roman"/>
          <w:iCs/>
          <w:sz w:val="20"/>
          <w:szCs w:val="20"/>
          <w:lang w:val="en"/>
        </w:rPr>
        <w:t xml:space="preserve">OJ L 150, 20.5.2014, p. 252  </w:t>
      </w:r>
      <w:r>
        <w:rPr>
          <w:rFonts w:ascii="Times New Roman" w:hAnsi="Times New Roman"/>
          <w:sz w:val="20"/>
          <w:szCs w:val="20"/>
        </w:rPr>
        <w:t xml:space="preserve"> and </w:t>
      </w:r>
      <w:r>
        <w:rPr>
          <w:rFonts w:ascii="Times New Roman" w:hAnsi="Times New Roman"/>
          <w:bCs/>
          <w:sz w:val="20"/>
          <w:szCs w:val="20"/>
        </w:rPr>
        <w:t>OJ L 213, 12.08.2015 p. 11.</w:t>
      </w:r>
      <w:r>
        <w:rPr>
          <w:rFonts w:ascii="Times New Roman" w:hAnsi="Times New Roman"/>
          <w:b/>
          <w:bCs/>
          <w:sz w:val="20"/>
          <w:szCs w:val="20"/>
        </w:rPr>
        <w:t xml:space="preserve"> </w:t>
      </w:r>
    </w:p>
  </w:footnote>
  <w:footnote w:id="7">
    <w:p>
      <w:pPr>
        <w:tabs>
          <w:tab w:val="left" w:pos="240"/>
        </w:tabs>
        <w:spacing w:after="0" w:line="240" w:lineRule="auto"/>
        <w:jc w:val="both"/>
        <w:rPr>
          <w:rFonts w:ascii="Times New Roman" w:hAnsi="Times New Roman"/>
          <w:sz w:val="20"/>
          <w:szCs w:val="20"/>
          <w:lang w:val="pl-PL"/>
        </w:rPr>
      </w:pPr>
      <w:r>
        <w:rPr>
          <w:rStyle w:val="FootnoteReference"/>
          <w:rFonts w:ascii="Times New Roman" w:hAnsi="Times New Roman"/>
          <w:sz w:val="20"/>
          <w:szCs w:val="20"/>
        </w:rPr>
        <w:footnoteRef/>
      </w:r>
      <w:r>
        <w:rPr>
          <w:rFonts w:ascii="Times New Roman" w:hAnsi="Times New Roman"/>
          <w:sz w:val="20"/>
          <w:szCs w:val="20"/>
          <w:lang w:val="pl-PL"/>
        </w:rPr>
        <w:t xml:space="preserve"> </w:t>
      </w:r>
      <w:r>
        <w:rPr>
          <w:rFonts w:ascii="Times New Roman" w:hAnsi="Times New Roman"/>
          <w:sz w:val="20"/>
          <w:szCs w:val="20"/>
          <w:lang w:val="pl-PL"/>
        </w:rPr>
        <w:tab/>
      </w:r>
      <w:r>
        <w:rPr>
          <w:rFonts w:ascii="Times New Roman" w:hAnsi="Times New Roman"/>
          <w:iCs/>
          <w:sz w:val="20"/>
          <w:szCs w:val="20"/>
          <w:lang w:val="pl-PL"/>
        </w:rPr>
        <w:t xml:space="preserve">OJ L 223, 18.8.2016, p. 1. </w:t>
      </w:r>
    </w:p>
  </w:footnote>
  <w:footnote w:id="8">
    <w:p>
      <w:pPr>
        <w:spacing w:after="0" w:line="240" w:lineRule="auto"/>
        <w:ind w:left="240" w:hanging="240"/>
        <w:jc w:val="both"/>
        <w:rPr>
          <w:rFonts w:ascii="Times New Roman" w:hAnsi="Times New Roman"/>
          <w:sz w:val="20"/>
          <w:szCs w:val="20"/>
          <w:lang w:val="es-ES"/>
        </w:rPr>
      </w:pPr>
      <w:r>
        <w:rPr>
          <w:rStyle w:val="FootnoteReference"/>
          <w:rFonts w:ascii="Times New Roman" w:hAnsi="Times New Roman"/>
          <w:sz w:val="20"/>
          <w:szCs w:val="20"/>
        </w:rPr>
        <w:footnoteRef/>
      </w:r>
      <w:r>
        <w:rPr>
          <w:rFonts w:ascii="Times New Roman" w:hAnsi="Times New Roman"/>
          <w:sz w:val="20"/>
          <w:szCs w:val="20"/>
          <w:lang w:val="es-ES"/>
        </w:rPr>
        <w:t xml:space="preserve"> </w:t>
      </w:r>
      <w:r>
        <w:rPr>
          <w:rFonts w:ascii="Times New Roman" w:hAnsi="Times New Roman"/>
          <w:sz w:val="20"/>
          <w:szCs w:val="20"/>
          <w:lang w:val="es-ES"/>
        </w:rPr>
        <w:tab/>
      </w:r>
      <w:r>
        <w:rPr>
          <w:rFonts w:ascii="Times New Roman" w:hAnsi="Times New Roman"/>
          <w:iCs/>
          <w:sz w:val="20"/>
          <w:szCs w:val="20"/>
          <w:lang w:val="es-ES"/>
        </w:rPr>
        <w:t xml:space="preserve">OJ L 295, 12.11.2010, p. 23. </w:t>
      </w:r>
    </w:p>
  </w:footnote>
  <w:footnote w:id="9">
    <w:p>
      <w:pPr>
        <w:spacing w:after="0" w:line="240" w:lineRule="auto"/>
        <w:ind w:left="240" w:hanging="240"/>
        <w:jc w:val="both"/>
        <w:rPr>
          <w:rFonts w:ascii="Times New Roman" w:hAnsi="Times New Roman"/>
          <w:sz w:val="20"/>
          <w:szCs w:val="20"/>
          <w:lang w:val="es-ES"/>
        </w:rPr>
      </w:pPr>
      <w:r>
        <w:rPr>
          <w:rStyle w:val="FootnoteReference"/>
          <w:rFonts w:ascii="Times New Roman" w:hAnsi="Times New Roman"/>
          <w:sz w:val="20"/>
          <w:szCs w:val="20"/>
        </w:rPr>
        <w:footnoteRef/>
      </w:r>
      <w:r>
        <w:rPr>
          <w:rFonts w:ascii="Times New Roman" w:hAnsi="Times New Roman"/>
          <w:sz w:val="20"/>
          <w:szCs w:val="20"/>
          <w:lang w:val="es-ES"/>
        </w:rPr>
        <w:t xml:space="preserve"> </w:t>
      </w:r>
      <w:r>
        <w:rPr>
          <w:rFonts w:ascii="Times New Roman" w:hAnsi="Times New Roman"/>
          <w:sz w:val="20"/>
          <w:szCs w:val="20"/>
          <w:lang w:val="es-ES"/>
        </w:rPr>
        <w:tab/>
      </w:r>
      <w:r>
        <w:rPr>
          <w:rFonts w:ascii="Times New Roman" w:hAnsi="Times New Roman"/>
          <w:iCs/>
          <w:sz w:val="20"/>
          <w:szCs w:val="20"/>
          <w:lang w:val="es-ES"/>
        </w:rPr>
        <w:t>OJ L 187, 15.7.2015, p. 30.</w:t>
      </w:r>
    </w:p>
  </w:footnote>
  <w:footnote w:id="10">
    <w:p>
      <w:pPr>
        <w:pStyle w:val="FootnoteText"/>
        <w:ind w:left="240" w:hanging="240"/>
        <w:jc w:val="both"/>
        <w:rPr>
          <w:rFonts w:ascii="Times New Roman" w:eastAsia="Calibri" w:hAnsi="Times New Roman"/>
          <w:lang w:val="en-US"/>
        </w:rPr>
      </w:pPr>
      <w:r>
        <w:rPr>
          <w:rStyle w:val="FootnoteReference"/>
        </w:rPr>
        <w:footnoteRef/>
      </w:r>
      <w:r>
        <w:t xml:space="preserve"> </w:t>
      </w:r>
      <w:r>
        <w:tab/>
      </w:r>
      <w:r>
        <w:rPr>
          <w:rFonts w:ascii="Times New Roman" w:eastAsia="Calibri" w:hAnsi="Times New Roman"/>
        </w:rPr>
        <w:t>FLEGIT/TRACES is a web application - a component of the TRACES NT system (TRAde Control and Expert System</w:t>
      </w:r>
      <w:r>
        <w:rPr>
          <w:rFonts w:ascii="Times New Roman" w:eastAsia="Calibri" w:hAnsi="Times New Roman"/>
          <w:color w:val="1F497D"/>
        </w:rPr>
        <w:t xml:space="preserve">, </w:t>
      </w:r>
      <w:r>
        <w:rPr>
          <w:rFonts w:ascii="Times New Roman" w:eastAsia="Calibri" w:hAnsi="Times New Roman"/>
        </w:rPr>
        <w:t xml:space="preserve">New Technology) - and can be used by EU importers and their agents, the Member State FLEGT Competent Authorities and the EU customs for the electronic verification and management of FLEGT Licences in a </w:t>
      </w:r>
      <w:r>
        <w:rPr>
          <w:rFonts w:ascii="Times New Roman" w:eastAsia="Calibri" w:hAnsi="Times New Roman"/>
          <w:lang w:val="en-US"/>
        </w:rPr>
        <w:t xml:space="preserve">quick and secure way. Twenty-one (21) Member States use </w:t>
      </w:r>
      <w:r>
        <w:rPr>
          <w:rFonts w:ascii="Times New Roman" w:eastAsia="Calibri" w:hAnsi="Times New Roman"/>
          <w:lang w:eastAsia="en-US"/>
        </w:rPr>
        <w:t>FLEGIT, while 4 Member States (Bulgaria, Lithuania, Latvia and Luxemburg) do not currently use any electronic system. Three (3) Member States (UK, Netherlands and Spain) have developed their own national systems for the electronic management of FLEGT Licences. In the future all national systems are expected to be interconnected with FLEGIT.</w:t>
      </w:r>
    </w:p>
  </w:footnote>
  <w:footnote w:id="11">
    <w:p>
      <w:pPr>
        <w:pStyle w:val="FootnoteText"/>
        <w:tabs>
          <w:tab w:val="left" w:pos="120"/>
        </w:tabs>
        <w:ind w:left="240" w:hanging="240"/>
      </w:pPr>
      <w:r>
        <w:rPr>
          <w:rStyle w:val="FootnoteReference"/>
          <w:rFonts w:ascii="Times New Roman" w:hAnsi="Times New Roman"/>
        </w:rPr>
        <w:footnoteRef/>
      </w:r>
      <w:r>
        <w:rPr>
          <w:rFonts w:ascii="Times New Roman" w:hAnsi="Times New Roman"/>
          <w:iCs/>
          <w:lang w:val="en"/>
        </w:rPr>
        <w:tab/>
        <w:t>OJ C 389, 4.11.2014, p. 2</w:t>
      </w:r>
      <w:r>
        <w:rPr>
          <w:rFonts w:ascii="Times New Roman" w:hAnsi="Times New Roman"/>
        </w:rPr>
        <w:t>.</w:t>
      </w:r>
    </w:p>
  </w:footnote>
  <w:footnote w:id="12">
    <w:p>
      <w:pPr>
        <w:pStyle w:val="FootnoteText"/>
        <w:ind w:left="240" w:hanging="240"/>
        <w:rPr>
          <w:rFonts w:ascii="Times New Roman" w:hAnsi="Times New Roman"/>
        </w:rPr>
      </w:pPr>
      <w:r>
        <w:rPr>
          <w:rStyle w:val="FootnoteReference"/>
          <w:rFonts w:ascii="Times New Roman" w:hAnsi="Times New Roman"/>
        </w:rPr>
        <w:footnoteRef/>
      </w:r>
      <w:r>
        <w:rPr>
          <w:rFonts w:ascii="Times New Roman" w:hAnsi="Times New Roman"/>
        </w:rPr>
        <w:tab/>
        <w:t>Using a reporting form established by the Commission in line with Article 8(2) of the FLEGT Regulation.</w:t>
      </w:r>
    </w:p>
  </w:footnote>
  <w:footnote w:id="13">
    <w:p>
      <w:pPr>
        <w:pStyle w:val="FootnoteText"/>
        <w:ind w:left="240" w:hanging="24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http://ec.europa.eu/environment/forests/flegt.htm</w:t>
        </w:r>
      </w:hyperlink>
      <w:r>
        <w:rPr>
          <w:rFonts w:ascii="Times New Roman" w:hAnsi="Times New Roman"/>
        </w:rPr>
        <w:t xml:space="preserve"> </w:t>
      </w:r>
    </w:p>
  </w:footnote>
  <w:footnote w:id="14">
    <w:p>
      <w:pPr>
        <w:tabs>
          <w:tab w:val="left" w:pos="240"/>
        </w:tabs>
        <w:spacing w:after="0" w:line="240" w:lineRule="auto"/>
        <w:jc w:val="both"/>
      </w:pPr>
      <w:r>
        <w:rPr>
          <w:rStyle w:val="FootnoteReference"/>
          <w:rFonts w:ascii="Times New Roman" w:hAnsi="Times New Roman"/>
          <w:sz w:val="20"/>
          <w:szCs w:val="20"/>
        </w:rPr>
        <w:footnoteRef/>
      </w:r>
      <w:r>
        <w:rPr>
          <w:rFonts w:ascii="Times New Roman" w:hAnsi="Times New Roman"/>
          <w:sz w:val="20"/>
          <w:szCs w:val="20"/>
        </w:rPr>
        <w:tab/>
        <w:t xml:space="preserve">See </w:t>
      </w:r>
      <w:hyperlink r:id="rId4" w:history="1">
        <w:r>
          <w:rPr>
            <w:rStyle w:val="Hyperlink"/>
            <w:rFonts w:ascii="Times New Roman" w:hAnsi="Times New Roman"/>
            <w:sz w:val="20"/>
            <w:szCs w:val="20"/>
          </w:rPr>
          <w:t>http://ec.europa.eu/environment/forests/pdf/list_competent_authorities_flegt.pdf</w:t>
        </w:r>
      </w:hyperlink>
      <w:r>
        <w:rPr>
          <w:rFonts w:ascii="Times New Roman" w:hAnsi="Times New Roman"/>
          <w:sz w:val="20"/>
          <w:szCs w:val="20"/>
        </w:rPr>
        <w:t xml:space="preserve"> </w:t>
      </w:r>
    </w:p>
  </w:footnote>
  <w:footnote w:id="15">
    <w:p>
      <w:pPr>
        <w:pStyle w:val="FootnoteText"/>
        <w:tabs>
          <w:tab w:val="left" w:pos="240"/>
        </w:tabs>
        <w:rPr>
          <w:rFonts w:ascii="Times New Roman" w:hAnsi="Times New Roman"/>
        </w:rPr>
      </w:pPr>
      <w:r>
        <w:rPr>
          <w:rStyle w:val="FootnoteReference"/>
          <w:rFonts w:ascii="Times New Roman" w:hAnsi="Times New Roman"/>
        </w:rPr>
        <w:footnoteRef/>
      </w:r>
      <w:r>
        <w:rPr>
          <w:rFonts w:ascii="Times New Roman" w:hAnsi="Times New Roman"/>
        </w:rPr>
        <w:tab/>
        <w:t>i.e. the number of licences lodged with the CA</w:t>
      </w:r>
    </w:p>
  </w:footnote>
  <w:footnote w:id="16">
    <w:p>
      <w:pPr>
        <w:pStyle w:val="FootnoteText"/>
        <w:tabs>
          <w:tab w:val="left" w:pos="240"/>
        </w:tabs>
        <w:ind w:left="240" w:hanging="240"/>
        <w:rPr>
          <w:lang w:val="en-IE"/>
        </w:rPr>
      </w:pPr>
      <w:r>
        <w:rPr>
          <w:rStyle w:val="FootnoteReference"/>
        </w:rPr>
        <w:footnoteRef/>
      </w:r>
      <w:r>
        <w:t xml:space="preserve"> </w:t>
      </w:r>
      <w:r>
        <w:tab/>
        <w:t>i.e. acting in accordance with national legislation in cases of shipments not covered by a FLEGT licence</w:t>
      </w:r>
    </w:p>
  </w:footnote>
  <w:footnote w:id="17">
    <w:p>
      <w:pPr>
        <w:tabs>
          <w:tab w:val="left" w:pos="240"/>
        </w:tabs>
        <w:spacing w:after="0" w:line="240" w:lineRule="auto"/>
        <w:jc w:val="both"/>
      </w:pPr>
      <w:r>
        <w:rPr>
          <w:rStyle w:val="FootnoteReference"/>
          <w:rFonts w:ascii="Times New Roman" w:hAnsi="Times New Roman"/>
          <w:sz w:val="20"/>
          <w:szCs w:val="20"/>
        </w:rPr>
        <w:footnoteRef/>
      </w:r>
      <w:r>
        <w:rPr>
          <w:rFonts w:ascii="Times New Roman" w:hAnsi="Times New Roman"/>
          <w:sz w:val="20"/>
          <w:szCs w:val="20"/>
        </w:rPr>
        <w:tab/>
        <w:t xml:space="preserve">France and the United Kingdom also reported receiving licences under HS code 4420 (4420.10, ornaments), </w:t>
      </w:r>
      <w:r>
        <w:rPr>
          <w:rFonts w:ascii="Times New Roman" w:hAnsi="Times New Roman"/>
          <w:sz w:val="20"/>
          <w:szCs w:val="20"/>
        </w:rPr>
        <w:tab/>
        <w:t>which is not within the scope of the VPA and no FLEGT licences are required.</w:t>
      </w:r>
    </w:p>
  </w:footnote>
  <w:footnote w:id="18">
    <w:p>
      <w:pPr>
        <w:tabs>
          <w:tab w:val="left" w:pos="240"/>
        </w:tabs>
        <w:spacing w:after="0" w:line="240" w:lineRule="auto"/>
        <w:jc w:val="both"/>
      </w:pPr>
      <w:r>
        <w:rPr>
          <w:rStyle w:val="FootnoteReference"/>
          <w:rFonts w:ascii="Times New Roman" w:hAnsi="Times New Roman"/>
          <w:sz w:val="20"/>
          <w:szCs w:val="20"/>
        </w:rPr>
        <w:footnoteRef/>
      </w:r>
      <w:r>
        <w:rPr>
          <w:rFonts w:ascii="Times New Roman" w:hAnsi="Times New Roman"/>
          <w:sz w:val="20"/>
          <w:szCs w:val="20"/>
        </w:rPr>
        <w:tab/>
        <w:t xml:space="preserve">For Italy, it is unclear whether the reported quantities are based on actual imports or those included on the </w:t>
      </w:r>
      <w:r>
        <w:rPr>
          <w:rFonts w:ascii="Times New Roman" w:hAnsi="Times New Roman"/>
          <w:sz w:val="20"/>
          <w:szCs w:val="20"/>
        </w:rPr>
        <w:tab/>
        <w:t xml:space="preserve">licences, although the latter appears to be the case. </w:t>
      </w:r>
    </w:p>
  </w:footnote>
  <w:footnote w:id="19">
    <w:p>
      <w:pPr>
        <w:pStyle w:val="FootnoteText"/>
        <w:ind w:left="240" w:hanging="240"/>
        <w:rPr>
          <w:rFonts w:ascii="Times New Roman" w:hAnsi="Times New Roman"/>
        </w:rPr>
      </w:pPr>
      <w:r>
        <w:rPr>
          <w:rStyle w:val="FootnoteReference"/>
          <w:rFonts w:ascii="Times New Roman" w:hAnsi="Times New Roman"/>
        </w:rPr>
        <w:footnoteRef/>
      </w:r>
      <w:r>
        <w:rPr>
          <w:rFonts w:ascii="Times New Roman" w:hAnsi="Times New Roman"/>
        </w:rPr>
        <w:tab/>
        <w:t xml:space="preserve">Finland has since reduced this fee to </w:t>
      </w:r>
      <w:r>
        <w:rPr>
          <w:rFonts w:ascii="Times New Roman" w:hAnsi="Times New Roman"/>
          <w:color w:val="000000"/>
        </w:rPr>
        <w:t>€ 70 per FLEGT licence</w:t>
      </w:r>
      <w:r>
        <w:rPr>
          <w:rFonts w:ascii="Times New Roman" w:hAnsi="Times New Roman"/>
        </w:rPr>
        <w:t xml:space="preserve"> as from the</w:t>
      </w:r>
      <w:r>
        <w:rPr>
          <w:rFonts w:ascii="Times New Roman" w:hAnsi="Times New Roman"/>
          <w:color w:val="000000"/>
        </w:rPr>
        <w:t xml:space="preserve"> 1</w:t>
      </w:r>
      <w:r>
        <w:rPr>
          <w:rFonts w:ascii="Times New Roman" w:hAnsi="Times New Roman"/>
          <w:color w:val="000000"/>
          <w:vertAlign w:val="superscript"/>
        </w:rPr>
        <w:t>st</w:t>
      </w:r>
      <w:r>
        <w:rPr>
          <w:rFonts w:ascii="Times New Roman" w:hAnsi="Times New Roman"/>
          <w:color w:val="000000"/>
        </w:rPr>
        <w:t xml:space="preserve"> of January 2018.</w:t>
      </w:r>
    </w:p>
  </w:footnote>
  <w:footnote w:id="20">
    <w:p>
      <w:pPr>
        <w:pStyle w:val="FootnoteText"/>
        <w:tabs>
          <w:tab w:val="left" w:pos="240"/>
        </w:tabs>
        <w:rPr>
          <w:rFonts w:ascii="Times New Roman" w:hAnsi="Times New Roman"/>
        </w:rPr>
      </w:pPr>
      <w:r>
        <w:rPr>
          <w:rStyle w:val="FootnoteReference"/>
          <w:rFonts w:ascii="Times New Roman" w:hAnsi="Times New Roman"/>
        </w:rPr>
        <w:footnoteRef/>
      </w:r>
      <w:r>
        <w:rPr>
          <w:rFonts w:ascii="Times New Roman" w:hAnsi="Times New Roman"/>
        </w:rPr>
        <w:tab/>
        <w:t>Belgium reported that it is currently considering introducing fees of approximately € 50 per licence.</w:t>
      </w:r>
    </w:p>
  </w:footnote>
  <w:footnote w:id="21">
    <w:p>
      <w:pPr>
        <w:pStyle w:val="FootnoteText"/>
        <w:tabs>
          <w:tab w:val="left" w:pos="240"/>
        </w:tabs>
        <w:rPr>
          <w:rFonts w:ascii="Times New Roman" w:hAnsi="Times New Roman"/>
        </w:rPr>
      </w:pPr>
      <w:r>
        <w:rPr>
          <w:rStyle w:val="FootnoteReference"/>
          <w:rFonts w:ascii="Times New Roman" w:hAnsi="Times New Roman"/>
        </w:rPr>
        <w:footnoteRef/>
      </w:r>
      <w:r>
        <w:rPr>
          <w:rFonts w:ascii="Times New Roman" w:hAnsi="Times New Roman"/>
        </w:rPr>
        <w:tab/>
        <w:t>Some Member States have more than one agency responsible for disposal of goods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59590F"/>
    <w:multiLevelType w:val="hybridMultilevel"/>
    <w:tmpl w:val="3A542E00"/>
    <w:lvl w:ilvl="0" w:tplc="DD78FC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i-FI"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PT" w:vendorID="64" w:dllVersion="131078" w:nlCheck="1" w:checkStyle="0"/>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F779E01-5B70-4978-818D-29FB365668A8"/>
    <w:docVar w:name="LW_COVERPAGE_TYPE" w:val="1"/>
    <w:docVar w:name="LW_CROSSREFERENCE" w:val="&lt;UNUSED&gt;"/>
    <w:docVar w:name="LW_DocType" w:val="NORMAL"/>
    <w:docVar w:name="LW_EMISSION" w:val="8.6.2018"/>
    <w:docVar w:name="LW_EMISSION_ISODATE" w:val="2018-06-08"/>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gulation (EC) No 2173/2005 of 20 December 2005 on the establishment of a FLEGT licensing scheme for imports of timber into the European Community_x000b_Annual synthesis report for the year 2016"/>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en-GB"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
    <w:basedOn w:val="Normal"/>
    <w:link w:val="FootnoteTextChar"/>
    <w:uiPriority w:val="99"/>
    <w:semiHidden/>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semiHidden/>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table" w:styleId="TableGrid">
    <w:name w:val="Table Grid"/>
    <w:basedOn w:val="TableNormal"/>
    <w:uiPriority w:val="9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en-GB"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
    <w:basedOn w:val="Normal"/>
    <w:link w:val="FootnoteTextChar"/>
    <w:uiPriority w:val="99"/>
    <w:semiHidden/>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semiHidden/>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table" w:styleId="TableGrid">
    <w:name w:val="Table Grid"/>
    <w:basedOn w:val="TableNormal"/>
    <w:uiPriority w:val="9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legtlicence.org/" TargetMode="External"/><Relationship Id="rId20" Type="http://schemas.openxmlformats.org/officeDocument/2006/relationships/image" Target="media/image5.png"/><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oter" Target="footer8.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forests/flegt.htm" TargetMode="External"/><Relationship Id="rId2" Type="http://schemas.openxmlformats.org/officeDocument/2006/relationships/hyperlink" Target="https://ec.europa.eu/jrc/en/news/reporting-greenhouse-gas-emissions-deforestation-and-forest-degradation-pan-tropical-biomass-maps" TargetMode="External"/><Relationship Id="rId1" Type="http://schemas.openxmlformats.org/officeDocument/2006/relationships/hyperlink" Target="http://ec.europa.eu/environment/forests/flegt.htm" TargetMode="External"/><Relationship Id="rId4" Type="http://schemas.openxmlformats.org/officeDocument/2006/relationships/hyperlink" Target="http://ec.europa.eu/environment/forests/pdf/list_competent_authorities_fleg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41B6-745B-44BE-90C2-E28C99A3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4887</Words>
  <Characters>25758</Characters>
  <Application>Microsoft Office Word</Application>
  <DocSecurity>0</DocSecurity>
  <Lines>804</Lines>
  <Paragraphs>464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15</cp:revision>
  <cp:lastPrinted>2018-03-05T07:34:00Z</cp:lastPrinted>
  <dcterms:created xsi:type="dcterms:W3CDTF">2018-03-05T13:38:00Z</dcterms:created>
  <dcterms:modified xsi:type="dcterms:W3CDTF">2018-06-01T12:15:00Z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