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C691B4-E680-4F4A-B2D2-C4031167778E" style="width:450.75pt;height:38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jc w:val="center"/>
        <w:rPr>
          <w:b/>
          <w:noProof/>
        </w:rPr>
      </w:pPr>
      <w:r>
        <w:rPr>
          <w:b/>
          <w:noProof/>
        </w:rPr>
        <w:t>Изчисляване на максималната финансова вноска по държави членки</w:t>
      </w:r>
    </w:p>
    <w:p>
      <w:pPr>
        <w:rPr>
          <w:noProof/>
        </w:rPr>
      </w:pPr>
    </w:p>
    <w:p>
      <w:pPr>
        <w:rPr>
          <w:noProof/>
        </w:rPr>
      </w:pPr>
      <w:r>
        <w:rPr>
          <w:noProof/>
        </w:rPr>
        <w:t>В настоящото приложение се разглежда методологията за изчисляване на максималната финансова вноска, която е на разположение на всяка държава членка в рамките на инструмента за финансова подкрепа, както е посочено в член 9, както и на максималната финансова вноска, която е на разположение на всяка държава членка в рамките на компонента за финансова подкрепа на инструмента за подкрепа за сближаване, както е посочено в член 26.</w:t>
      </w:r>
    </w:p>
    <w:p>
      <w:pPr>
        <w:rPr>
          <w:b/>
          <w:i/>
          <w:noProof/>
        </w:rPr>
      </w:pPr>
      <w:r>
        <w:rPr>
          <w:b/>
          <w:i/>
          <w:noProof/>
        </w:rPr>
        <w:t>Инструмент за осъществяване на реформи</w:t>
      </w:r>
    </w:p>
    <w:p>
      <w:pPr>
        <w:rPr>
          <w:noProof/>
        </w:rPr>
      </w:pPr>
      <w:r>
        <w:rPr>
          <w:noProof/>
        </w:rPr>
        <w:t>Максималната финансова вноска за държава членка в рамките на инструмента за осъществяване на реформи се определя, както следва:</w:t>
      </w:r>
    </w:p>
    <w:p>
      <w:pPr>
        <w:jc w:val="cente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oMath>
      </m:oMathPara>
    </w:p>
    <w:p>
      <w:pPr>
        <w:rPr>
          <w:noProof/>
        </w:rPr>
      </w:pPr>
      <w:r>
        <w:rPr>
          <w:noProof/>
        </w:rPr>
        <w:t>където:</w:t>
      </w:r>
    </w:p>
    <w:p>
      <w:pPr>
        <w:rPr>
          <w:noProof/>
        </w:rPr>
      </w:pPr>
      <w:r>
        <w:rPr>
          <w:i/>
          <w:noProof/>
        </w:rPr>
        <w:t>FS</w:t>
      </w:r>
      <w:r>
        <w:rPr>
          <w:b/>
          <w:noProof/>
        </w:rPr>
        <w:t xml:space="preserve"> </w:t>
      </w:r>
      <w:r>
        <w:rPr>
          <w:noProof/>
        </w:rPr>
        <w:t>(финансова подкрепа) е наличният финансов пакет в рамките на инструмента за осъществяване на реформи, както е посочено в член 7, параграф 2, буква а); както и</w:t>
      </w:r>
    </w:p>
    <w:p>
      <w:pPr>
        <w:rPr>
          <w:noProof/>
        </w:rPr>
      </w:pPr>
      <w:r>
        <w:rPr>
          <w:noProof/>
        </w:rPr>
        <w:t xml:space="preserve">коефициентът на разпределение на държава членка </w:t>
      </w:r>
      <w:r>
        <w:rPr>
          <w:i/>
          <w:noProof/>
        </w:rPr>
        <w:t>i, α</w:t>
      </w:r>
      <w:r>
        <w:rPr>
          <w:i/>
          <w:noProof/>
          <w:vertAlign w:val="subscript"/>
        </w:rPr>
        <w:t>i</w:t>
      </w:r>
      <w:r>
        <w:rPr>
          <w:noProof/>
        </w:rPr>
        <w:t xml:space="preserve"> се определя като:</w:t>
      </w:r>
    </w:p>
    <w:p>
      <w:pP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oMath>
      </m:oMathPara>
    </w:p>
    <w:p>
      <w:pPr>
        <w:rPr>
          <w:noProof/>
        </w:rPr>
      </w:pPr>
    </w:p>
    <w:p>
      <w:pPr>
        <w:rPr>
          <w:rFonts w:eastAsiaTheme="minorEastAsia"/>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noProof/>
        </w:rPr>
        <w:t xml:space="preserve"> е общото население в държава </w:t>
      </w:r>
      <w:r>
        <w:rPr>
          <w:rFonts w:eastAsiaTheme="minorEastAsia"/>
          <w:i/>
          <w:noProof/>
        </w:rPr>
        <w:t>i,</w:t>
      </w:r>
    </w:p>
    <w:p>
      <w:pPr>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noProof/>
        </w:rPr>
        <w:t xml:space="preserve"> е общото население във всички 27 държави — членки на ЕС.</w:t>
      </w:r>
    </w:p>
    <w:p>
      <w:pPr>
        <w:rPr>
          <w:noProof/>
        </w:rPr>
      </w:pPr>
    </w:p>
    <w:p>
      <w:pPr>
        <w:rPr>
          <w:noProof/>
        </w:rPr>
      </w:pPr>
      <w:r>
        <w:rPr>
          <w:noProof/>
        </w:rPr>
        <w:t>Прилагането на тази формула води до следния дял и сума за максималната финансова вноска в рамките на инструмента за осъществяване на реформи, която ще бъде на разположение на всяка държава членка на всеки етап и покана за представяне на предложения от процеса на разпределение, описан с член 10:</w:t>
      </w:r>
    </w:p>
    <w:p>
      <w:pPr>
        <w:jc w:val="center"/>
        <w:rPr>
          <w:noProof/>
        </w:rPr>
      </w:pPr>
    </w:p>
    <w:p>
      <w:pPr>
        <w:jc w:val="center"/>
        <w:rPr>
          <w:noProof/>
        </w:rPr>
      </w:pPr>
      <w:r>
        <w:rPr>
          <w:noProof/>
          <w:lang w:val="en-US" w:eastAsia="en-US" w:bidi="ar-SA"/>
        </w:rPr>
        <w:drawing>
          <wp:inline distT="0" distB="0" distL="0" distR="0">
            <wp:extent cx="2095500" cy="530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95500" cy="5305425"/>
                    </a:xfrm>
                    <a:prstGeom prst="rect">
                      <a:avLst/>
                    </a:prstGeom>
                  </pic:spPr>
                </pic:pic>
              </a:graphicData>
            </a:graphic>
          </wp:inline>
        </w:drawing>
      </w:r>
    </w:p>
    <w:p>
      <w:pPr>
        <w:spacing w:before="240" w:after="240"/>
        <w:rPr>
          <w:b/>
          <w:i/>
          <w:noProof/>
        </w:rPr>
      </w:pPr>
      <w:r>
        <w:rPr>
          <w:b/>
          <w:i/>
          <w:noProof/>
        </w:rPr>
        <w:t xml:space="preserve">Компонент за финансова подкрепа в рамките на механизма за сближаване </w:t>
      </w:r>
    </w:p>
    <w:p>
      <w:pPr>
        <w:rPr>
          <w:noProof/>
        </w:rPr>
      </w:pPr>
      <w:r>
        <w:rPr>
          <w:noProof/>
        </w:rPr>
        <w:t>Максималната финансова вноска в рамките на компонента за финансова подкрепа на механизма за сближаване, както е посочено в член 26, се определя от съотношението на коефициента на разпределение на всяка потенциална държава — на еврозоната, в рамките на инструмента за осъществяване на реформи към общия размер на коефициентите на разпределение на всички потенциални държави — членки на еврозоната, в рамките на инструмента за осъществяване на реформи, а именно:</w:t>
      </w:r>
    </w:p>
    <w:p>
      <w:pPr>
        <w:rPr>
          <w:noProof/>
        </w:rPr>
      </w:pPr>
      <w:r>
        <w:rPr>
          <w:noProof/>
        </w:rPr>
        <w:t xml:space="preserve">максималната финансова вноска в рамките на компонента за финансова подкрепа на механизма за сближаване за държава членка </w:t>
      </w:r>
      <w:r>
        <w:rPr>
          <w:i/>
          <w:noProof/>
        </w:rPr>
        <w:t>i</w:t>
      </w:r>
      <w:r>
        <w:rPr>
          <w:noProof/>
        </w:rPr>
        <w:t xml:space="preserve"> е :</w:t>
      </w:r>
    </w:p>
    <w:p>
      <w:pPr>
        <w:jc w:val="center"/>
        <w:rPr>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oMath>
      </m:oMathPara>
    </w:p>
    <w:p>
      <w:pPr>
        <w:rPr>
          <w:noProof/>
        </w:rPr>
      </w:pPr>
      <w:r>
        <w:rPr>
          <w:noProof/>
        </w:rPr>
        <w:t xml:space="preserve">където </w:t>
      </w:r>
      <w:r>
        <w:rPr>
          <w:i/>
          <w:noProof/>
        </w:rPr>
        <w:t>CF</w:t>
      </w:r>
      <w:r>
        <w:rPr>
          <w:noProof/>
        </w:rPr>
        <w:t xml:space="preserve"> (компонент за финансова подкрепа на механизма за сближаване) е наличният финансов пакет в рамките на компонента за финансова подкрепа на механизма за сближаване, посочен в член 7, параграф 2, буква в), подточка i);</w:t>
      </w:r>
    </w:p>
    <w:p>
      <w:pPr>
        <w:rPr>
          <w:noProof/>
        </w:rPr>
      </w:pPr>
      <w:r>
        <w:rPr>
          <w:noProof/>
        </w:rPr>
        <w:t>както и</w:t>
      </w:r>
    </w:p>
    <w:p>
      <w:pPr>
        <w:jc w:val="center"/>
        <w:rPr>
          <w:rFonts w:eastAsiaTheme="minorEastAsia"/>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α</m:t>
                  </m:r>
                </m:e>
                <m:sub>
                  <m:r>
                    <w:rPr>
                      <w:rFonts w:ascii="Cambria Math" w:hAnsi="Cambria Math"/>
                      <w:noProof/>
                    </w:rPr>
                    <m:t>BG</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CZ</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HR</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HU</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PL</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RO</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SE</m:t>
                  </m:r>
                </m:sub>
              </m:sSub>
            </m:den>
          </m:f>
        </m:oMath>
      </m:oMathPara>
    </w:p>
    <w:p>
      <w:pPr>
        <w:rPr>
          <w:noProof/>
        </w:rPr>
      </w:pPr>
    </w:p>
    <w:p>
      <w:pPr>
        <w:rPr>
          <w:noProof/>
        </w:rPr>
      </w:pPr>
      <w:r>
        <w:rPr>
          <w:noProof/>
        </w:rPr>
        <w:t>това води до следните дялове и суми за максималната финансова вноска в рамките на компонента за финансова подкрепа на механизма за сближаване:</w:t>
      </w:r>
    </w:p>
    <w:p>
      <w:pPr>
        <w:rPr>
          <w:noProof/>
        </w:rPr>
      </w:pPr>
    </w:p>
    <w:p>
      <w:pPr>
        <w:jc w:val="center"/>
        <w:rPr>
          <w:noProof/>
        </w:rPr>
      </w:pPr>
    </w:p>
    <w:p>
      <w:pPr>
        <w:jc w:val="center"/>
        <w:rPr>
          <w:noProof/>
        </w:rPr>
      </w:pPr>
      <w:r>
        <w:rPr>
          <w:noProof/>
          <w:lang w:val="en-US" w:eastAsia="en-US" w:bidi="ar-SA"/>
        </w:rPr>
        <w:drawing>
          <wp:inline distT="0" distB="0" distL="0" distR="0">
            <wp:extent cx="5438775"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39884" cy="1772011"/>
                    </a:xfrm>
                    <a:prstGeom prst="rect">
                      <a:avLst/>
                    </a:prstGeom>
                    <a:noFill/>
                    <a:ln>
                      <a:noFill/>
                    </a:ln>
                  </pic:spPr>
                </pic:pic>
              </a:graphicData>
            </a:graphic>
          </wp:inline>
        </w:drawing>
      </w:r>
    </w:p>
    <w:p>
      <w:pPr>
        <w:rPr>
          <w:noProof/>
        </w:rPr>
      </w:pPr>
      <w:r>
        <w:rPr>
          <w:noProof/>
        </w:rPr>
        <w:br w:type="page"/>
      </w:r>
      <w:r>
        <w:rPr>
          <w:b/>
          <w:noProof/>
        </w:rPr>
        <w:t>Допълнение:</w:t>
      </w:r>
      <w:r>
        <w:rPr>
          <w:noProof/>
        </w:rPr>
        <w:t xml:space="preserve"> </w:t>
      </w:r>
      <w:r>
        <w:rPr>
          <w:b/>
          <w:noProof/>
        </w:rPr>
        <w:t>пропорционални корекции на финансовата вноска</w:t>
      </w:r>
      <w:r>
        <w:rPr>
          <w:noProof/>
        </w:rPr>
        <w:t xml:space="preserve"> (член 10, параграф 5)</w:t>
      </w:r>
    </w:p>
    <w:p>
      <w:pPr>
        <w:rPr>
          <w:noProof/>
        </w:rPr>
      </w:pPr>
      <w:r>
        <w:rPr>
          <w:noProof/>
        </w:rPr>
        <w:t>В това допълнение се разглежда методът за определяне на финансовата вноска, разпределена за държавите членки, в случай че оставащата сума на целия пакет, която е на разположение в рамките на покана за представяне на предложения, организирана след края на първите двадесет месеца, не е достатъчна, за да покрие финансовите вноски за държавите членки, които са представили предложение в рамките на покана за представяне на предложение (или в рамките на инструмента за осъществяване на реформи или в рамките на компонента за финансова подкрепа на механизма за сближаване).</w:t>
      </w:r>
    </w:p>
    <w:p>
      <w:pPr>
        <w:rPr>
          <w:noProof/>
        </w:rPr>
      </w:pPr>
      <w:r>
        <w:rPr>
          <w:noProof/>
        </w:rPr>
        <w:t xml:space="preserve">В този случай финансовата вноска, разпределена за държава членка </w:t>
      </w:r>
      <w:r>
        <w:rPr>
          <w:i/>
          <w:noProof/>
        </w:rPr>
        <w:t>i</w:t>
      </w:r>
      <w:r>
        <w:rPr>
          <w:noProof/>
        </w:rPr>
        <w:t>, се изчислява, както следва:</w:t>
      </w:r>
    </w:p>
    <w:p>
      <w:pPr>
        <w:jc w:val="center"/>
        <w:rPr>
          <w:rFonts w:eastAsiaTheme="minorEastAsia"/>
          <w:noProof/>
        </w:rPr>
      </w:pPr>
      <m:oMathPara>
        <m:oMathParaPr>
          <m:jc m:val="center"/>
        </m:oMathParaPr>
        <m:oMath>
          <m:sSub>
            <m:sSubPr>
              <m:ctrlPr>
                <w:rPr>
                  <w:rFonts w:ascii="Cambria Math" w:hAnsi="Cambria Math"/>
                  <w:i/>
                  <w:noProof/>
                </w:rPr>
              </m:ctrlPr>
            </m:sSubPr>
            <m:e>
              <m:r>
                <w:rPr>
                  <w:rFonts w:ascii="Cambria Math" w:hAnsi="Cambria Math"/>
                  <w:noProof/>
                </w:rPr>
                <m:t>FC</m:t>
              </m:r>
            </m:e>
            <m:sub>
              <m:r>
                <w:rPr>
                  <w:rFonts w:ascii="Cambria Math" w:hAnsi="Cambria Math"/>
                  <w:noProof/>
                </w:rPr>
                <m:t>i</m:t>
              </m:r>
            </m:sub>
          </m:sSub>
          <m:r>
            <w:rPr>
              <w:rFonts w:ascii="Cambria Math" w:hAnsi="Cambria Math"/>
              <w:noProof/>
            </w:rPr>
            <m:t>×γ</m:t>
          </m:r>
        </m:oMath>
      </m:oMathPara>
    </w:p>
    <w:p>
      <w:pPr>
        <w:rPr>
          <w:rFonts w:eastAsiaTheme="minorEastAsia"/>
          <w:noProof/>
        </w:rPr>
      </w:pPr>
      <w:r>
        <w:rPr>
          <w:noProof/>
        </w:rPr>
        <w:t xml:space="preserve">където </w:t>
      </w:r>
      <w:r>
        <w:rPr>
          <w:rFonts w:eastAsiaTheme="minorEastAsia"/>
          <w:i/>
          <w:noProof/>
        </w:rPr>
        <w:t>FC</w:t>
      </w:r>
      <w:r>
        <w:rPr>
          <w:noProof/>
          <w:vertAlign w:val="subscript"/>
        </w:rPr>
        <w:t>i</w:t>
      </w:r>
      <w:r>
        <w:rPr>
          <w:noProof/>
        </w:rPr>
        <w:t xml:space="preserve"> е разпределението на финансовите средства за държава членка </w:t>
      </w:r>
      <w:r>
        <w:rPr>
          <w:rFonts w:eastAsiaTheme="minorEastAsia"/>
          <w:i/>
          <w:noProof/>
        </w:rPr>
        <w:t xml:space="preserve">i, </w:t>
      </w:r>
      <w:r>
        <w:rPr>
          <w:noProof/>
        </w:rPr>
        <w:t>определено въз основа на критериите, посочени в член 12, параграф 2, и се определя като:</w:t>
      </w:r>
    </w:p>
    <w:p>
      <w:pPr>
        <w:jc w:val="center"/>
        <w:rPr>
          <w:noProof/>
        </w:rPr>
      </w:pPr>
      <m:oMathPara>
        <m:oMath>
          <m:sSub>
            <m:sSubPr>
              <m:ctrlPr>
                <w:rPr>
                  <w:rFonts w:ascii="Cambria Math" w:eastAsiaTheme="minorEastAsia" w:hAnsi="Cambria Math"/>
                  <w:i/>
                  <w:noProof/>
                </w:rPr>
              </m:ctrlPr>
            </m:sSubPr>
            <m:e>
              <m:r>
                <w:rPr>
                  <w:rFonts w:ascii="Cambria Math" w:eastAsiaTheme="minorEastAsia" w:hAnsi="Cambria Math"/>
                  <w:noProof/>
                </w:rPr>
                <m:t>FC</m:t>
              </m:r>
            </m:e>
            <m:sub>
              <m:r>
                <w:rPr>
                  <w:rFonts w:ascii="Cambria Math" w:eastAsiaTheme="minorEastAsia" w:hAnsi="Cambria Math"/>
                  <w:noProof/>
                </w:rPr>
                <m:t>i</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(α</m:t>
              </m:r>
            </m:e>
            <m:sub>
              <m:r>
                <w:rPr>
                  <w:rFonts w:ascii="Cambria Math" w:eastAsiaTheme="minorEastAsia" w:hAnsi="Cambria Math"/>
                  <w:noProof/>
                </w:rPr>
                <m:t>i</m:t>
              </m:r>
            </m:sub>
          </m:sSub>
          <m:r>
            <w:rPr>
              <w:rFonts w:ascii="Cambria Math" w:eastAsiaTheme="minorEastAsia" w:hAnsi="Cambria Math"/>
              <w:noProof/>
            </w:rPr>
            <m:t xml:space="preserve"> </m:t>
          </m:r>
          <m:sSub>
            <m:sSubPr>
              <m:ctrlPr>
                <w:rPr>
                  <w:rFonts w:ascii="Cambria Math" w:hAnsi="Cambria Math"/>
                  <w:i/>
                  <w:noProof/>
                </w:rPr>
              </m:ctrlPr>
            </m:sSubPr>
            <m:e>
              <m:r>
                <w:rPr>
                  <w:rFonts w:ascii="Cambria Math" w:hAnsi="Cambria Math"/>
                  <w:noProof/>
                </w:rPr>
                <m:t xml:space="preserve">×FS), or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or(β</m:t>
              </m:r>
            </m:e>
            <m:sub>
              <m:r>
                <w:rPr>
                  <w:rFonts w:ascii="Cambria Math" w:hAnsi="Cambria Math"/>
                  <w:noProof/>
                </w:rPr>
                <m:t>i</m:t>
              </m:r>
            </m:sub>
          </m:sSub>
          <m:r>
            <w:rPr>
              <w:rFonts w:ascii="Cambria Math" w:hAnsi="Cambria Math"/>
              <w:noProof/>
            </w:rPr>
            <m:t xml:space="preserve">×CF), or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oMath>
      </m:oMathPara>
    </w:p>
    <w:p>
      <w:pPr>
        <w:rPr>
          <w:rFonts w:eastAsiaTheme="minorEastAsia"/>
          <w:noProof/>
        </w:rPr>
      </w:pPr>
      <w:r>
        <w:rPr>
          <w:noProof/>
        </w:rPr>
        <w:t xml:space="preserve">и </w:t>
      </w:r>
      <w:r>
        <w:rPr>
          <w:rFonts w:eastAsiaTheme="minorEastAsia"/>
          <w:i/>
          <w:noProof/>
        </w:rPr>
        <w:t>γ</w:t>
      </w:r>
      <w:r>
        <w:rPr>
          <w:noProof/>
        </w:rPr>
        <w:t xml:space="preserve"> е корекционният фактор, определен като:</w:t>
      </w:r>
    </w:p>
    <w:p>
      <w:pPr>
        <w:jc w:val="center"/>
        <w:rPr>
          <w:noProof/>
        </w:rPr>
      </w:pPr>
      <w:r>
        <w:rPr>
          <w:noProof/>
          <w:lang w:val="en-US" w:eastAsia="en-US" w:bidi="ar-SA"/>
        </w:rPr>
        <w:drawing>
          <wp:inline distT="0" distB="0" distL="0" distR="0">
            <wp:extent cx="5761355" cy="5332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1355" cy="533282"/>
                    </a:xfrm>
                    <a:prstGeom prst="rect">
                      <a:avLst/>
                    </a:prstGeom>
                    <a:noFill/>
                    <a:ln>
                      <a:noFill/>
                    </a:ln>
                  </pic:spPr>
                </pic:pic>
              </a:graphicData>
            </a:graphic>
          </wp:inline>
        </w:drawing>
      </w:r>
    </w:p>
    <w:p>
      <w:pPr>
        <w:rPr>
          <w:noProof/>
        </w:rPr>
      </w:pPr>
      <w:r>
        <w:rPr>
          <w:noProof/>
        </w:rPr>
        <w:t xml:space="preserve">където </w:t>
      </w:r>
      <w:r>
        <w:rPr>
          <w:i/>
          <w:noProof/>
        </w:rPr>
        <w:t xml:space="preserve">i </w:t>
      </w:r>
      <w:r>
        <w:rPr>
          <w:noProof/>
        </w:rPr>
        <w:t>се отнася до всяка държава членка, която е представила предложение за поканата за представяне на предложения.</w:t>
      </w:r>
    </w:p>
    <w:p>
      <w:pPr>
        <w:rPr>
          <w:rFonts w:eastAsiaTheme="minorEastAsia"/>
          <w:noProof/>
        </w:rPr>
      </w:pPr>
      <w:r>
        <w:rPr>
          <w:noProof/>
        </w:rPr>
        <w:t xml:space="preserve">Финансовата вноска </w:t>
      </w:r>
      <w:r>
        <w:rPr>
          <w:rFonts w:eastAsiaTheme="minorEastAsia"/>
          <w:i/>
          <w:noProof/>
        </w:rPr>
        <w:t>FC</w:t>
      </w:r>
      <w:r>
        <w:rPr>
          <w:noProof/>
          <w:vertAlign w:val="subscript"/>
        </w:rPr>
        <w:t>i</w:t>
      </w:r>
      <w:r>
        <w:rPr>
          <w:noProof/>
        </w:rPr>
        <w:t xml:space="preserve"> ще съответства на:</w:t>
      </w:r>
    </w:p>
    <w:bookmarkStart w:id="1" w:name="DQPStarAt1DQPStarAt01D7843705574FDEA7B49"/>
    <w:p>
      <w:pPr>
        <w:pStyle w:val="Bullet0"/>
        <w:numPr>
          <w:ilvl w:val="0"/>
          <w:numId w:val="10"/>
        </w:numP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×FS) </m:t>
        </m:r>
      </m:oMath>
      <w:r>
        <w:rPr>
          <w:noProof/>
        </w:rPr>
        <w:t xml:space="preserve">когато предложението за реформи на държавата членка в рамките на инструмента за осъществяване на реформи е оценено като отговарящо изцяло на критериите, определени в член 11, параграф 7, като по този начин се възползва от максималната финансова вноска; </w:t>
      </w:r>
    </w:p>
    <w:bookmarkEnd w:id="1"/>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xml:space="preserve"> </m:t>
        </m:r>
      </m:oMath>
      <w:r>
        <w:rPr>
          <w:noProof/>
        </w:rPr>
        <w:t xml:space="preserve">когато предложението за реформи на държавата членка в рамките на инструмента за осъществяване на реформи е оценено като отговарящо задоволително на критериите, определени в член 11, параграф 7, като по този начин се възползва от половината от максималната финансова вноска; </w:t>
      </w:r>
    </w:p>
    <w:p>
      <w:pPr>
        <w:pStyle w:val="Bullet0"/>
        <w:rPr>
          <w:noProof/>
        </w:rPr>
      </w:pPr>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 xml:space="preserve">×CF) </m:t>
        </m:r>
      </m:oMath>
      <w:r>
        <w:rPr>
          <w:noProof/>
        </w:rPr>
        <w:t>когато предложението за реформи на държавата членка в рамките на компонента за финансова подкрепа на механизма за сближаване е оценено като отговарящо изцяло на критериите, определени в член 11, параграф 7 и член 27, параграф 3, като по този начин се възползва от максималната финансова вноска; или</w:t>
      </w:r>
    </w:p>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r>
          <w:rPr>
            <w:rFonts w:ascii="Cambria Math" w:hAnsi="Cambria Math"/>
            <w:noProof/>
          </w:rPr>
          <m:t xml:space="preserve"> </m:t>
        </m:r>
      </m:oMath>
      <w:r>
        <w:rPr>
          <w:noProof/>
        </w:rPr>
        <w:t>когато предложението за реформи на държавата членка в рамките на компонента за финансова подкрепа на механизма за сближаване е оценено като отговарящо задоволително на критериите, определени в член 11, параграф 7 и член 27, параграф 3, като по този начин се възползва от половината от максималната финансова вноска.</w:t>
      </w:r>
    </w:p>
    <w:p>
      <w:pPr>
        <w:spacing w:before="0" w:after="200" w:line="276" w:lineRule="auto"/>
        <w:jc w:val="left"/>
        <w:rPr>
          <w:noProof/>
        </w:rPr>
      </w:pPr>
      <w:r>
        <w:rPr>
          <w:noProof/>
        </w:rPr>
        <w:br w:type="page"/>
      </w:r>
    </w:p>
    <w:p>
      <w:pPr>
        <w:pStyle w:val="Annexetitre"/>
        <w:rPr>
          <w:noProof/>
        </w:rPr>
      </w:pPr>
      <w:r>
        <w:rPr>
          <w:noProof/>
        </w:rPr>
        <w:t>ПРИЛОЖЕНИЕ II</w:t>
      </w:r>
    </w:p>
    <w:p>
      <w:pPr>
        <w:jc w:val="center"/>
        <w:rPr>
          <w:noProof/>
        </w:rPr>
      </w:pPr>
      <w:r>
        <w:rPr>
          <w:b/>
          <w:noProof/>
        </w:rPr>
        <w:t>Насоки за оценка</w:t>
      </w:r>
    </w:p>
    <w:p>
      <w:pPr>
        <w:rPr>
          <w:noProof/>
        </w:rPr>
      </w:pPr>
    </w:p>
    <w:p>
      <w:pPr>
        <w:rPr>
          <w:b/>
          <w:noProof/>
        </w:rPr>
      </w:pPr>
      <w:r>
        <w:rPr>
          <w:b/>
          <w:noProof/>
        </w:rPr>
        <w:t xml:space="preserve">1. Приложно поле </w:t>
      </w:r>
    </w:p>
    <w:p>
      <w:pPr>
        <w:rPr>
          <w:noProof/>
        </w:rPr>
      </w:pPr>
      <w:r>
        <w:rPr>
          <w:noProof/>
        </w:rPr>
        <w:t xml:space="preserve">Целта на тези насоки за оценка е да послужат, заедно с настоящия регламент, като основание за Комисията да оцени по прозрачен и справедлив начин предложенията за ангажименти за реформи, представени от държавите членки, както и да определи финансовата вноска в съответствие с целите и всички други съответни изисквания, определени в настоящия регламент, при изпълнението на инструмента за осъществяване на реформи и компонента за финансова подкрепа на механизма за сближаване. Тези насоки по-специално представляват основанието за прилагането на критериите за оценка и определянето на финансовата вноска, както съответно е посочено в член 11, параграф 7, член 12, параграф 2 и член 28. </w:t>
      </w:r>
    </w:p>
    <w:p>
      <w:pPr>
        <w:rPr>
          <w:noProof/>
        </w:rPr>
      </w:pPr>
      <w:r>
        <w:rPr>
          <w:noProof/>
        </w:rPr>
        <w:t>Насоките следователно не са приложими за инструмента за техническа подкрепа, нито за компонента за техническа подкрепа на механизма за сближаване. Следователно те не се прилагат за оценката на исканията за техническа подкрепа, посочени в членове 19 и 31.</w:t>
      </w:r>
    </w:p>
    <w:p>
      <w:pPr>
        <w:rPr>
          <w:noProof/>
        </w:rPr>
      </w:pPr>
      <w:r>
        <w:rPr>
          <w:noProof/>
        </w:rPr>
        <w:t xml:space="preserve">Насоките за оценка са предназначени да: </w:t>
      </w:r>
    </w:p>
    <w:p>
      <w:pPr>
        <w:rPr>
          <w:noProof/>
        </w:rPr>
      </w:pPr>
      <w:r>
        <w:rPr>
          <w:noProof/>
        </w:rPr>
        <w:t xml:space="preserve">а) предоставят допълнителни насоки относно процеса на оценяване на предложенията за ангажименти за реформи, представени от държавите членки; </w:t>
      </w:r>
    </w:p>
    <w:p>
      <w:pPr>
        <w:rPr>
          <w:noProof/>
        </w:rPr>
      </w:pPr>
      <w:r>
        <w:rPr>
          <w:noProof/>
        </w:rPr>
        <w:t>б) предоставят повече подробности относно критериите за оценка и предвиждат рейтингова система, която трябва да бъде създадена с оглед на това да се гарантира справедлив и прозрачен процес; както и</w:t>
      </w:r>
    </w:p>
    <w:p>
      <w:pPr>
        <w:rPr>
          <w:noProof/>
        </w:rPr>
      </w:pPr>
      <w:r>
        <w:rPr>
          <w:noProof/>
        </w:rPr>
        <w:t xml:space="preserve">в) определят връзката между оценката, която трябва да се извърши от Комисията в съответствие с критериите за оценка, и определянето на финансовата вноска, която трябва да се определи в решението на Комисията, във връзка с избраните ангажименти за реформи. </w:t>
      </w:r>
    </w:p>
    <w:p>
      <w:pPr>
        <w:rPr>
          <w:noProof/>
        </w:rPr>
      </w:pPr>
      <w:r>
        <w:rPr>
          <w:noProof/>
        </w:rPr>
        <w:t xml:space="preserve">Насоките са инструмент за улесняване на оценката на Комисията на предложенията за ангажименти за реформи, както са представени от държавите членки, както и за гарантиране на това, че инструментът за осъществяване на реформи и компонентът за финансова подкрепа на механизма за сближаване предоставят финансови стимули за изпълнението на реформи, които са от значение и съдържат значителна добавена стойност, като същевременно се гарантира равно третиране сред държавите членки. </w:t>
      </w:r>
    </w:p>
    <w:p>
      <w:pPr>
        <w:rPr>
          <w:b/>
          <w:noProof/>
        </w:rPr>
      </w:pPr>
    </w:p>
    <w:p>
      <w:pPr>
        <w:rPr>
          <w:b/>
          <w:noProof/>
        </w:rPr>
      </w:pPr>
      <w:r>
        <w:rPr>
          <w:b/>
          <w:noProof/>
        </w:rPr>
        <w:t xml:space="preserve">2. Процес </w:t>
      </w:r>
    </w:p>
    <w:p>
      <w:pPr>
        <w:rPr>
          <w:noProof/>
        </w:rPr>
      </w:pPr>
      <w:r>
        <w:rPr>
          <w:noProof/>
        </w:rPr>
        <w:t xml:space="preserve">Съгласно член 11 държава членка, която желае да получи подкрепа в рамките на инструмента за осъществяване на реформи, представя на Комисията предложение за ангажименти за реформи.. Предложението е надлежно обосновано и подкрепено с доказателства и съдържа всички елементи, посочени в член 11, параграф 3. За целите на подготовката на висококачествени предложения за ангажименти за реформи могат Комисията може да организира партньорски консултации, за да се позволи на съответната държава членка да се възползва от опита на други държави членки преди представянето на предложението. </w:t>
      </w:r>
    </w:p>
    <w:p>
      <w:pPr>
        <w:rPr>
          <w:noProof/>
        </w:rPr>
      </w:pPr>
      <w:r>
        <w:rPr>
          <w:noProof/>
        </w:rPr>
        <w:t>Процесът на оценяване се извършва от Комисията в тясно сътрудничество със съответната държава членка. Комисията може да направи коментари или да поиска допълнителна информация. Съответната държава членка предоставя поисканата допълнителна информация и може да преразгледа предложението, ако е необходимо, преди неговото официално представяне. Комисията взема предвид обосновката и елементите, предоставени от съответната държава членка, както и всяка друга съответна информация.</w:t>
      </w:r>
    </w:p>
    <w:p>
      <w:pPr>
        <w:rPr>
          <w:noProof/>
        </w:rPr>
      </w:pPr>
      <w:r>
        <w:rPr>
          <w:noProof/>
        </w:rPr>
        <w:t xml:space="preserve">Съгласно член 12, параграф 1 Комисията извършва оценката и приема решение посредством акт за изпълнение в срок от четири месеца от официалното представяне на предложението за ангажименти за реформи от съответната държава членка. </w:t>
      </w:r>
    </w:p>
    <w:p>
      <w:pPr>
        <w:rPr>
          <w:noProof/>
        </w:rPr>
      </w:pPr>
      <w:r>
        <w:rPr>
          <w:noProof/>
        </w:rPr>
        <w:t xml:space="preserve">За целите на оценката на предложенията за ангажименти за реформи, представени от държавите членки, Комисията може да се подпомага от експерти. </w:t>
      </w:r>
    </w:p>
    <w:p>
      <w:pPr>
        <w:tabs>
          <w:tab w:val="num" w:pos="850"/>
        </w:tabs>
        <w:rPr>
          <w:noProof/>
        </w:rPr>
      </w:pPr>
      <w:r>
        <w:rPr>
          <w:noProof/>
        </w:rPr>
        <w:t>Независимо от оценката, която трябва да се извърши от Комисията, Комитетът за икономическа политика, създаден с Решение на Съвета 2000/604/ЕО</w:t>
      </w:r>
      <w:r>
        <w:rPr>
          <w:rStyle w:val="FootnoteReference"/>
          <w:noProof/>
        </w:rPr>
        <w:footnoteReference w:id="2"/>
      </w:r>
      <w:r>
        <w:rPr>
          <w:noProof/>
        </w:rPr>
        <w:t xml:space="preserve">, може също така да предостави своето становище относно предложенията за ангажименти за реформи, представени от държавите членки. </w:t>
      </w:r>
    </w:p>
    <w:p>
      <w:pPr>
        <w:rPr>
          <w:noProof/>
        </w:rPr>
      </w:pPr>
      <w:r>
        <w:rPr>
          <w:noProof/>
        </w:rPr>
        <w:t>В решението на Комисията се определят ангажиментите за реформи, които трябва да се изпълнят от държавата членка, включително етапните цели и целите. В него се определя периодът за изпълнение на ангажиментите за реформи, който не трябва да е по-дълъг от три години, считано от приемането на това решение. В него също така се установяват подробните ангажименти и графикът за докладване от съответната държава членка в рамките на процеса на европейския семестър, съответните показатели във връзка с изпълнението на етапните цели и целите, както и начинът за предоставяне на достъп от Комисията до изходните съответни данни. В заключение, съгласно член 12, параграф 2, в решението на Комисията се определя финансовата вноска, която трябва да бъде разпределена за ангажиментите за реформи, които са избрани.</w:t>
      </w:r>
    </w:p>
    <w:p>
      <w:pPr>
        <w:rPr>
          <w:noProof/>
        </w:rPr>
      </w:pPr>
    </w:p>
    <w:p>
      <w:pPr>
        <w:rPr>
          <w:b/>
          <w:noProof/>
        </w:rPr>
      </w:pPr>
      <w:r>
        <w:rPr>
          <w:b/>
          <w:noProof/>
        </w:rPr>
        <w:t>3. Критерии за оценка</w:t>
      </w:r>
    </w:p>
    <w:p>
      <w:pPr>
        <w:rPr>
          <w:noProof/>
        </w:rPr>
      </w:pPr>
      <w:r>
        <w:rPr>
          <w:noProof/>
        </w:rPr>
        <w:t xml:space="preserve">Съгласно член 11, параграф 7 Комисията оценява характера и значението на предложението за ангажименти за реформи и за тази цел тя взема предвид следните критерии: </w:t>
      </w:r>
    </w:p>
    <w:p>
      <w:pPr>
        <w:pStyle w:val="Point1"/>
        <w:rPr>
          <w:noProof/>
        </w:rPr>
      </w:pPr>
      <w:r>
        <w:rPr>
          <w:noProof/>
        </w:rPr>
        <w:t>а)</w:t>
      </w:r>
      <w:r>
        <w:rPr>
          <w:noProof/>
        </w:rPr>
        <w:tab/>
        <w:t xml:space="preserve">дали ангажиментите за реформи: </w:t>
      </w:r>
    </w:p>
    <w:p>
      <w:pPr>
        <w:pStyle w:val="Point2number"/>
        <w:numPr>
          <w:ilvl w:val="4"/>
          <w:numId w:val="5"/>
        </w:numPr>
        <w:rPr>
          <w:noProof/>
          <w:szCs w:val="24"/>
        </w:rPr>
      </w:pPr>
      <w:r>
        <w:rPr>
          <w:noProof/>
        </w:rPr>
        <w:t xml:space="preserve">се очаква ефективно да преодолеят предизвикателствата, установени в контекста на европейския семестър, а именно: </w:t>
      </w:r>
    </w:p>
    <w:p>
      <w:pPr>
        <w:pStyle w:val="Tiret3"/>
        <w:numPr>
          <w:ilvl w:val="0"/>
          <w:numId w:val="11"/>
        </w:numPr>
        <w:rPr>
          <w:noProof/>
        </w:rPr>
      </w:pPr>
      <w:r>
        <w:rPr>
          <w:noProof/>
        </w:rPr>
        <w:t xml:space="preserve">в специфичните за всяка държава препоръки и в други съответни документи на европейския семестър, официално приети от Комисията; или </w:t>
      </w:r>
    </w:p>
    <w:p>
      <w:pPr>
        <w:pStyle w:val="Tiret3"/>
        <w:rPr>
          <w:noProof/>
        </w:rPr>
      </w:pPr>
      <w:r>
        <w:rPr>
          <w:noProof/>
        </w:rPr>
        <w:t>когато е приложимо, при процедурата при макроикономически дисбаланси;</w:t>
      </w:r>
    </w:p>
    <w:p>
      <w:pPr>
        <w:pStyle w:val="Point2number"/>
        <w:numPr>
          <w:ilvl w:val="4"/>
          <w:numId w:val="5"/>
        </w:numPr>
        <w:rPr>
          <w:noProof/>
        </w:rPr>
      </w:pPr>
      <w:r>
        <w:rPr>
          <w:noProof/>
        </w:rPr>
        <w:t xml:space="preserve">представляват цялостен пакет за реформи, </w:t>
      </w:r>
    </w:p>
    <w:p>
      <w:pPr>
        <w:pStyle w:val="Point2number"/>
        <w:numPr>
          <w:ilvl w:val="4"/>
          <w:numId w:val="5"/>
        </w:numPr>
        <w:rPr>
          <w:noProof/>
          <w:szCs w:val="24"/>
        </w:rPr>
      </w:pPr>
      <w:r>
        <w:rPr>
          <w:noProof/>
        </w:rPr>
        <w:t>се очаква да засилят функционирането и устойчивостта на икономиката на съответната държава членка;</w:t>
      </w:r>
    </w:p>
    <w:p>
      <w:pPr>
        <w:pStyle w:val="Point2number"/>
        <w:numPr>
          <w:ilvl w:val="4"/>
          <w:numId w:val="5"/>
        </w:numPr>
        <w:rPr>
          <w:noProof/>
        </w:rPr>
      </w:pPr>
      <w:r>
        <w:rPr>
          <w:noProof/>
        </w:rPr>
        <w:t xml:space="preserve">се очаква, посредством тяхното изпълнение, да имат дълготрайно въздействие, когато е приложимо, чрез укрепване на институционалния и административния капацитет на съответната държава членка; </w:t>
      </w:r>
    </w:p>
    <w:p>
      <w:pPr>
        <w:tabs>
          <w:tab w:val="left" w:pos="567"/>
          <w:tab w:val="left" w:pos="851"/>
        </w:tabs>
        <w:ind w:left="851"/>
        <w:rPr>
          <w:noProof/>
        </w:rPr>
      </w:pPr>
      <w:r>
        <w:rPr>
          <w:noProof/>
        </w:rPr>
        <w:tab/>
        <w:t>както и</w:t>
      </w:r>
    </w:p>
    <w:p>
      <w:pPr>
        <w:pStyle w:val="Point1"/>
        <w:rPr>
          <w:noProof/>
        </w:rPr>
      </w:pPr>
      <w:r>
        <w:rPr>
          <w:noProof/>
        </w:rPr>
        <w:t>б)</w:t>
      </w:r>
      <w:r>
        <w:rPr>
          <w:noProof/>
        </w:rPr>
        <w:tab/>
        <w:t xml:space="preserve">дали вътрешните договорености, предложени от съответните държави членки, се очаква да гарантират ефективно изпълнение на ангажиментите за реформи за максимален срок от три години, включително предложените етапни цели и цели, както и свързаните показатели. </w:t>
      </w:r>
    </w:p>
    <w:p>
      <w:pPr>
        <w:rPr>
          <w:noProof/>
        </w:rPr>
      </w:pPr>
      <w:r>
        <w:rPr>
          <w:noProof/>
        </w:rPr>
        <w:t>В резултат на процеса на оценяване Комисията предоставя рейтинги на предложенията за ангажименти за реформи, представени от държавите членки, в съответствие с всеки от критериите за оценка, посочени в член 11, член 7, за да се оцени характерът и значението на предложенията в рамките на инструмента за финансова подкрепа, и с оглед на това да се установи разпределението на финансовите средства съгласно член 12, параграф 2.</w:t>
      </w:r>
    </w:p>
    <w:p>
      <w:pPr>
        <w:rPr>
          <w:noProof/>
        </w:rPr>
      </w:pPr>
      <w:r>
        <w:rPr>
          <w:noProof/>
        </w:rPr>
        <w:t>От съображения за опростяване и ефикасност, в съответствие с всеки критерий, рейтинговата система варира от „A“ до „C“, както е определено по следния начин:</w:t>
      </w:r>
    </w:p>
    <w:p>
      <w:pPr>
        <w:rPr>
          <w:b/>
          <w:noProof/>
          <w:u w:val="single"/>
        </w:rPr>
      </w:pPr>
    </w:p>
    <w:p>
      <w:pPr>
        <w:ind w:left="426"/>
        <w:rPr>
          <w:b/>
          <w:i/>
          <w:noProof/>
          <w:u w:val="single"/>
        </w:rPr>
      </w:pPr>
      <w:r>
        <w:rPr>
          <w:b/>
          <w:i/>
          <w:noProof/>
          <w:u w:val="single"/>
        </w:rPr>
        <w:t>3.1. С ангажиментите за реформи се очаква ефективно да се преодолеят предизвикателствата, установени в контекста на европейския семестър</w:t>
      </w:r>
    </w:p>
    <w:p>
      <w:pPr>
        <w:spacing w:after="0"/>
        <w:jc w:val="left"/>
        <w:rPr>
          <w:noProof/>
          <w:szCs w:val="24"/>
        </w:rPr>
      </w:pPr>
      <w:r>
        <w:rPr>
          <w:noProof/>
        </w:rPr>
        <w:t xml:space="preserve">Комисията взема предвид следните елементи за оценката в съответствие с този критерий: </w:t>
      </w:r>
    </w:p>
    <w:p>
      <w:pPr>
        <w:spacing w:after="0"/>
        <w:jc w:val="left"/>
        <w:rPr>
          <w:b/>
          <w:i/>
          <w:noProof/>
          <w:szCs w:val="24"/>
        </w:rPr>
      </w:pPr>
    </w:p>
    <w:p>
      <w:pPr>
        <w:spacing w:after="0"/>
        <w:jc w:val="left"/>
        <w:rPr>
          <w:b/>
          <w:i/>
          <w:noProof/>
          <w:szCs w:val="24"/>
        </w:rPr>
      </w:pPr>
      <w:r>
        <w:rPr>
          <w:b/>
          <w:i/>
          <w:noProof/>
        </w:rPr>
        <w:t xml:space="preserve">Приложно поле </w:t>
      </w: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 предложението за ангажименти за реформи е насочено към преодоляване на предизвикателствата, установени в специфичните за всяка държава препоръки; </w:t>
      </w:r>
    </w:p>
    <w:p>
      <w:pPr>
        <w:pBdr>
          <w:top w:val="single" w:sz="4" w:space="1" w:color="auto"/>
          <w:left w:val="single" w:sz="4" w:space="4" w:color="auto"/>
          <w:bottom w:val="single" w:sz="4" w:space="1" w:color="auto"/>
          <w:right w:val="single" w:sz="4" w:space="4" w:color="auto"/>
        </w:pBdr>
        <w:spacing w:after="0"/>
        <w:rPr>
          <w:noProof/>
          <w:szCs w:val="24"/>
        </w:rPr>
      </w:pPr>
      <w:r>
        <w:rPr>
          <w:noProof/>
        </w:rPr>
        <w:t>или</w:t>
      </w: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 предложението за ангажименти за реформи е насочено към преодоляване на предизвикателствата, установени в други съответни документи на европейския семестър, официално приети от Комисията; </w:t>
      </w:r>
    </w:p>
    <w:p>
      <w:pPr>
        <w:pBdr>
          <w:top w:val="single" w:sz="4" w:space="1" w:color="auto"/>
          <w:left w:val="single" w:sz="4" w:space="4" w:color="auto"/>
          <w:bottom w:val="single" w:sz="4" w:space="1" w:color="auto"/>
          <w:right w:val="single" w:sz="4" w:space="4" w:color="auto"/>
        </w:pBdr>
        <w:spacing w:after="0"/>
        <w:rPr>
          <w:noProof/>
          <w:szCs w:val="24"/>
        </w:rPr>
      </w:pPr>
      <w:r>
        <w:rPr>
          <w:noProof/>
        </w:rPr>
        <w:t>или</w:t>
      </w:r>
    </w:p>
    <w:p>
      <w:pPr>
        <w:pBdr>
          <w:top w:val="single" w:sz="4" w:space="1" w:color="auto"/>
          <w:left w:val="single" w:sz="4" w:space="4" w:color="auto"/>
          <w:bottom w:val="single" w:sz="4" w:space="1" w:color="auto"/>
          <w:right w:val="single" w:sz="4" w:space="4" w:color="auto"/>
        </w:pBdr>
        <w:spacing w:after="0"/>
        <w:rPr>
          <w:noProof/>
          <w:szCs w:val="24"/>
        </w:rPr>
      </w:pPr>
      <w:r>
        <w:rPr>
          <w:noProof/>
        </w:rPr>
        <w:t>- предложението за ангажименти за реформи е насочено към преодоляване на предизвикателствата, установени в процедурата при макроикономически дисбаланси;</w:t>
      </w:r>
    </w:p>
    <w:p>
      <w:pPr>
        <w:pBdr>
          <w:top w:val="single" w:sz="4" w:space="1" w:color="auto"/>
          <w:left w:val="single" w:sz="4" w:space="4" w:color="auto"/>
          <w:bottom w:val="single" w:sz="4" w:space="1" w:color="auto"/>
          <w:right w:val="single" w:sz="4" w:space="4" w:color="auto"/>
        </w:pBdr>
        <w:spacing w:after="0"/>
        <w:rPr>
          <w:noProof/>
          <w:szCs w:val="24"/>
        </w:rPr>
      </w:pPr>
      <w:r>
        <w:rPr>
          <w:noProof/>
        </w:rPr>
        <w:t>както и</w:t>
      </w:r>
    </w:p>
    <w:p>
      <w:pPr>
        <w:pBdr>
          <w:top w:val="single" w:sz="4" w:space="1" w:color="auto"/>
          <w:left w:val="single" w:sz="4" w:space="4" w:color="auto"/>
          <w:bottom w:val="single" w:sz="4" w:space="1" w:color="auto"/>
          <w:right w:val="single" w:sz="4" w:space="4" w:color="auto"/>
        </w:pBdr>
        <w:spacing w:after="0"/>
        <w:rPr>
          <w:noProof/>
          <w:szCs w:val="24"/>
        </w:rPr>
      </w:pPr>
      <w:r>
        <w:rPr>
          <w:noProof/>
        </w:rPr>
        <w:t>- с реформите, предвидени в предложението за ангажименти за реформи, се очаква ефективно да се преодолеят посочените предизвикателства, така че след извършването на предложената(ите) реформа(и), тези предизвикателства ще бъдат считани за преодолени в контекста на процеса на европейския семестър.</w:t>
      </w:r>
    </w:p>
    <w:p>
      <w:pPr>
        <w:spacing w:after="0"/>
        <w:jc w:val="left"/>
        <w:rPr>
          <w:b/>
          <w:i/>
          <w:noProof/>
          <w:szCs w:val="24"/>
        </w:rPr>
      </w:pPr>
    </w:p>
    <w:p>
      <w:pPr>
        <w:spacing w:after="0"/>
        <w:jc w:val="left"/>
        <w:rPr>
          <w:b/>
          <w:i/>
          <w:noProof/>
          <w:szCs w:val="24"/>
        </w:rPr>
      </w:pPr>
      <w:r>
        <w:rPr>
          <w:b/>
          <w:i/>
          <w:noProof/>
        </w:rPr>
        <w:t>Рейтинг</w:t>
      </w:r>
    </w:p>
    <w:p>
      <w:pPr>
        <w:pBdr>
          <w:top w:val="single" w:sz="4" w:space="1" w:color="auto"/>
          <w:left w:val="single" w:sz="4" w:space="4" w:color="auto"/>
          <w:bottom w:val="single" w:sz="4" w:space="1" w:color="auto"/>
          <w:right w:val="single" w:sz="4" w:space="4" w:color="auto"/>
        </w:pBdr>
        <w:rPr>
          <w:noProof/>
        </w:rPr>
      </w:pPr>
      <w:r>
        <w:rPr>
          <w:noProof/>
        </w:rPr>
        <w:t>„A“ — в голяма степен и много ефективно;</w:t>
      </w:r>
    </w:p>
    <w:p>
      <w:pPr>
        <w:pBdr>
          <w:top w:val="single" w:sz="4" w:space="1" w:color="auto"/>
          <w:left w:val="single" w:sz="4" w:space="4" w:color="auto"/>
          <w:bottom w:val="single" w:sz="4" w:space="1" w:color="auto"/>
          <w:right w:val="single" w:sz="4" w:space="4" w:color="auto"/>
        </w:pBdr>
        <w:rPr>
          <w:noProof/>
        </w:rPr>
      </w:pPr>
      <w:r>
        <w:rPr>
          <w:noProof/>
        </w:rPr>
        <w:t>„B“ — в средна степен и средно ефективно;</w:t>
      </w:r>
    </w:p>
    <w:p>
      <w:pPr>
        <w:pBdr>
          <w:top w:val="single" w:sz="4" w:space="1" w:color="auto"/>
          <w:left w:val="single" w:sz="4" w:space="4" w:color="auto"/>
          <w:bottom w:val="single" w:sz="4" w:space="1" w:color="auto"/>
          <w:right w:val="single" w:sz="4" w:space="4" w:color="auto"/>
        </w:pBdr>
        <w:rPr>
          <w:noProof/>
        </w:rPr>
      </w:pPr>
      <w:r>
        <w:rPr>
          <w:noProof/>
        </w:rPr>
        <w:t>„C“ — в малка степен и слабо ефективно.</w:t>
      </w:r>
    </w:p>
    <w:p>
      <w:pPr>
        <w:rPr>
          <w:noProof/>
        </w:rPr>
      </w:pPr>
    </w:p>
    <w:p>
      <w:pPr>
        <w:ind w:left="426"/>
        <w:rPr>
          <w:b/>
          <w:i/>
          <w:noProof/>
          <w:u w:val="single"/>
        </w:rPr>
      </w:pPr>
      <w:r>
        <w:rPr>
          <w:b/>
          <w:i/>
          <w:noProof/>
          <w:u w:val="single"/>
        </w:rPr>
        <w:t>3.2 Ангажиментите за реформи представляват цялостен пакет за реформи</w:t>
      </w:r>
    </w:p>
    <w:p>
      <w:pPr>
        <w:rPr>
          <w:noProof/>
        </w:rPr>
      </w:pPr>
      <w:r>
        <w:rPr>
          <w:noProof/>
        </w:rPr>
        <w:t xml:space="preserve">Комисията взема предвид следните елементи за оценката в съответствие с този критерий: </w:t>
      </w:r>
    </w:p>
    <w:p>
      <w:pPr>
        <w:spacing w:after="0"/>
        <w:jc w:val="left"/>
        <w:rPr>
          <w:b/>
          <w:i/>
          <w:noProof/>
        </w:rPr>
      </w:pPr>
    </w:p>
    <w:p>
      <w:pPr>
        <w:spacing w:after="0"/>
        <w:jc w:val="left"/>
        <w:rPr>
          <w:b/>
          <w:i/>
          <w:noProof/>
        </w:rPr>
      </w:pPr>
      <w:r>
        <w:rPr>
          <w:b/>
          <w:i/>
          <w:noProof/>
        </w:rPr>
        <w:t>Приложно поле</w:t>
      </w: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 предложението за ангажименти за реформи е насочено към преодоляването на набор от свързани помежду си предизвикателства за държавата членка (обхват); </w:t>
      </w:r>
    </w:p>
    <w:p>
      <w:pPr>
        <w:pBdr>
          <w:top w:val="single" w:sz="4" w:space="1" w:color="auto"/>
          <w:left w:val="single" w:sz="4" w:space="4" w:color="auto"/>
          <w:bottom w:val="single" w:sz="4" w:space="1" w:color="auto"/>
          <w:right w:val="single" w:sz="4" w:space="4" w:color="auto"/>
        </w:pBdr>
        <w:spacing w:after="0"/>
        <w:rPr>
          <w:noProof/>
          <w:szCs w:val="24"/>
        </w:rPr>
      </w:pPr>
      <w:r>
        <w:rPr>
          <w:noProof/>
        </w:rPr>
        <w:t>и</w:t>
      </w:r>
    </w:p>
    <w:p>
      <w:pPr>
        <w:pBdr>
          <w:top w:val="single" w:sz="4" w:space="1" w:color="auto"/>
          <w:left w:val="single" w:sz="4" w:space="4" w:color="auto"/>
          <w:bottom w:val="single" w:sz="4" w:space="1" w:color="auto"/>
          <w:right w:val="single" w:sz="4" w:space="4" w:color="auto"/>
        </w:pBdr>
        <w:spacing w:after="0"/>
        <w:rPr>
          <w:noProof/>
        </w:rPr>
      </w:pPr>
      <w:r>
        <w:rPr>
          <w:noProof/>
        </w:rPr>
        <w:t>- предложението за ангажименти за реформи е насочено към преодоляването предизвикателства, които са от решаващо значение за функционирането на икономиката на държавата членка (значение).</w:t>
      </w:r>
    </w:p>
    <w:p>
      <w:pPr>
        <w:rPr>
          <w:b/>
          <w:i/>
          <w:noProof/>
        </w:rPr>
      </w:pPr>
    </w:p>
    <w:p>
      <w:pPr>
        <w:rPr>
          <w:b/>
          <w:i/>
          <w:noProof/>
        </w:rPr>
      </w:pPr>
      <w:r>
        <w:rPr>
          <w:b/>
          <w:i/>
          <w:noProof/>
        </w:rPr>
        <w:t xml:space="preserve">Рейтинг </w:t>
      </w:r>
    </w:p>
    <w:p>
      <w:pPr>
        <w:pBdr>
          <w:top w:val="single" w:sz="4" w:space="1" w:color="auto"/>
          <w:left w:val="single" w:sz="4" w:space="4" w:color="auto"/>
          <w:bottom w:val="single" w:sz="4" w:space="1" w:color="auto"/>
          <w:right w:val="single" w:sz="4" w:space="4" w:color="auto"/>
        </w:pBdr>
        <w:rPr>
          <w:noProof/>
        </w:rPr>
      </w:pPr>
      <w:r>
        <w:rPr>
          <w:noProof/>
        </w:rPr>
        <w:t xml:space="preserve">„А“ - Обхватът и значението са значителни: ангажиментите за реформи са насочени към преодоляване на няколко предизвикателства, установени в специфичните за всяка държава препоръки или в процедурата при макроикономически дисбаланси;  </w:t>
      </w:r>
    </w:p>
    <w:p>
      <w:pPr>
        <w:pBdr>
          <w:top w:val="single" w:sz="4" w:space="1" w:color="auto"/>
          <w:left w:val="single" w:sz="4" w:space="4" w:color="auto"/>
          <w:bottom w:val="single" w:sz="4" w:space="1" w:color="auto"/>
          <w:right w:val="single" w:sz="4" w:space="4" w:color="auto"/>
        </w:pBdr>
        <w:rPr>
          <w:noProof/>
        </w:rPr>
      </w:pPr>
      <w:r>
        <w:rPr>
          <w:noProof/>
        </w:rPr>
        <w:t xml:space="preserve">„B“ - обхватът и значението са средни: предложението за ангажименти за реформи е насочено към преодоляване на няколко предизвикателства, установени в други съответни документи на европейския семестър, официално приети от Комисията; </w:t>
      </w:r>
    </w:p>
    <w:p>
      <w:pPr>
        <w:pBdr>
          <w:top w:val="single" w:sz="4" w:space="1" w:color="auto"/>
          <w:left w:val="single" w:sz="4" w:space="4" w:color="auto"/>
          <w:bottom w:val="single" w:sz="4" w:space="1" w:color="auto"/>
          <w:right w:val="single" w:sz="4" w:space="4" w:color="auto"/>
        </w:pBdr>
        <w:rPr>
          <w:noProof/>
        </w:rPr>
      </w:pPr>
      <w:r>
        <w:rPr>
          <w:noProof/>
        </w:rPr>
        <w:t>„C“ - обхватът и значението са слаби: нито едно от горепосочените</w:t>
      </w:r>
    </w:p>
    <w:p>
      <w:pPr>
        <w:rPr>
          <w:noProof/>
        </w:rPr>
      </w:pPr>
    </w:p>
    <w:p>
      <w:pPr>
        <w:ind w:left="720"/>
        <w:rPr>
          <w:b/>
          <w:i/>
          <w:noProof/>
          <w:u w:val="single"/>
        </w:rPr>
      </w:pPr>
      <w:r>
        <w:rPr>
          <w:b/>
          <w:i/>
          <w:noProof/>
          <w:u w:val="single"/>
        </w:rPr>
        <w:t>3.3 Ангажиментите за реформи се очаква да засилят функционирането и устойчивостта на икономиката на съответната държава членка</w:t>
      </w:r>
    </w:p>
    <w:p>
      <w:pPr>
        <w:rPr>
          <w:noProof/>
        </w:rPr>
      </w:pPr>
      <w:r>
        <w:rPr>
          <w:noProof/>
        </w:rPr>
        <w:t xml:space="preserve">Комисията взема предвид следните елементи за оценката в съответствие с този критерий: </w:t>
      </w:r>
    </w:p>
    <w:p>
      <w:pPr>
        <w:spacing w:after="0"/>
        <w:jc w:val="left"/>
        <w:rPr>
          <w:noProof/>
          <w:szCs w:val="24"/>
        </w:rPr>
      </w:pPr>
    </w:p>
    <w:p>
      <w:pPr>
        <w:spacing w:after="0"/>
        <w:jc w:val="left"/>
        <w:rPr>
          <w:b/>
          <w:i/>
          <w:noProof/>
        </w:rPr>
      </w:pPr>
      <w:r>
        <w:rPr>
          <w:b/>
          <w:i/>
          <w:noProof/>
        </w:rPr>
        <w:t>Приложно поле</w:t>
      </w:r>
    </w:p>
    <w:p>
      <w:pPr>
        <w:pBdr>
          <w:top w:val="single" w:sz="4" w:space="1" w:color="auto"/>
          <w:left w:val="single" w:sz="4" w:space="4" w:color="auto"/>
          <w:bottom w:val="single" w:sz="4" w:space="1" w:color="auto"/>
          <w:right w:val="single" w:sz="4" w:space="4" w:color="auto"/>
        </w:pBdr>
        <w:spacing w:after="0"/>
        <w:rPr>
          <w:noProof/>
          <w:szCs w:val="24"/>
        </w:rPr>
      </w:pPr>
      <w:r>
        <w:rPr>
          <w:noProof/>
        </w:rPr>
        <w:t>- предложението за ангажименти за реформи е насочено към структурното подобряване на функционирането на икономиката на държавата членка;</w:t>
      </w:r>
    </w:p>
    <w:p>
      <w:pPr>
        <w:pBdr>
          <w:top w:val="single" w:sz="4" w:space="1" w:color="auto"/>
          <w:left w:val="single" w:sz="4" w:space="4" w:color="auto"/>
          <w:bottom w:val="single" w:sz="4" w:space="1" w:color="auto"/>
          <w:right w:val="single" w:sz="4" w:space="4" w:color="auto"/>
        </w:pBdr>
        <w:spacing w:after="0"/>
        <w:rPr>
          <w:noProof/>
          <w:szCs w:val="24"/>
        </w:rPr>
      </w:pPr>
      <w:r>
        <w:rPr>
          <w:noProof/>
        </w:rPr>
        <w:t>и</w:t>
      </w: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 предложението за ангажименти за реформи е насочено към намаляването на уязвимостта на икономиката на държавата членка на сътресения; </w:t>
      </w:r>
    </w:p>
    <w:p>
      <w:pPr>
        <w:pBdr>
          <w:top w:val="single" w:sz="4" w:space="1" w:color="auto"/>
          <w:left w:val="single" w:sz="4" w:space="4" w:color="auto"/>
          <w:bottom w:val="single" w:sz="4" w:space="1" w:color="auto"/>
          <w:right w:val="single" w:sz="4" w:space="4" w:color="auto"/>
        </w:pBdr>
        <w:spacing w:after="0"/>
        <w:rPr>
          <w:noProof/>
          <w:szCs w:val="24"/>
        </w:rPr>
      </w:pPr>
      <w:r>
        <w:rPr>
          <w:noProof/>
        </w:rPr>
        <w:t>или</w:t>
      </w:r>
    </w:p>
    <w:p>
      <w:pPr>
        <w:pBdr>
          <w:top w:val="single" w:sz="4" w:space="1" w:color="auto"/>
          <w:left w:val="single" w:sz="4" w:space="4" w:color="auto"/>
          <w:bottom w:val="single" w:sz="4" w:space="1" w:color="auto"/>
          <w:right w:val="single" w:sz="4" w:space="4" w:color="auto"/>
        </w:pBdr>
        <w:spacing w:after="0"/>
        <w:rPr>
          <w:noProof/>
        </w:rPr>
      </w:pPr>
      <w:r>
        <w:rPr>
          <w:noProof/>
        </w:rPr>
        <w:t>- предложението за ангажименти за реформи е насочено към повишаването на капацитета на икономическите и/или социалните структури на държавата членка за адаптирането към сътресения и издържането на сътресения.</w:t>
      </w:r>
    </w:p>
    <w:p>
      <w:pPr>
        <w:rPr>
          <w:noProof/>
        </w:rPr>
      </w:pPr>
    </w:p>
    <w:p>
      <w:pPr>
        <w:rPr>
          <w:noProof/>
        </w:rPr>
      </w:pPr>
      <w:r>
        <w:rPr>
          <w:b/>
          <w:i/>
          <w:noProof/>
        </w:rPr>
        <w:t>Рейтинг</w:t>
      </w:r>
    </w:p>
    <w:p>
      <w:pPr>
        <w:pBdr>
          <w:top w:val="single" w:sz="4" w:space="1" w:color="auto"/>
          <w:left w:val="single" w:sz="4" w:space="4" w:color="auto"/>
          <w:bottom w:val="single" w:sz="4" w:space="1" w:color="auto"/>
          <w:right w:val="single" w:sz="4" w:space="4" w:color="auto"/>
        </w:pBdr>
        <w:rPr>
          <w:noProof/>
        </w:rPr>
      </w:pPr>
      <w:r>
        <w:rPr>
          <w:noProof/>
        </w:rPr>
        <w:t>„A“ — голямо очаквано въздействие върху функционирането и устойчивостта;</w:t>
      </w:r>
    </w:p>
    <w:p>
      <w:pPr>
        <w:pBdr>
          <w:top w:val="single" w:sz="4" w:space="1" w:color="auto"/>
          <w:left w:val="single" w:sz="4" w:space="4" w:color="auto"/>
          <w:bottom w:val="single" w:sz="4" w:space="1" w:color="auto"/>
          <w:right w:val="single" w:sz="4" w:space="4" w:color="auto"/>
        </w:pBdr>
        <w:rPr>
          <w:noProof/>
        </w:rPr>
      </w:pPr>
      <w:r>
        <w:rPr>
          <w:noProof/>
        </w:rPr>
        <w:t xml:space="preserve">„B“ — средно очаквано въздействие върху функционирането и устойчивостта; </w:t>
      </w:r>
    </w:p>
    <w:p>
      <w:pPr>
        <w:pBdr>
          <w:top w:val="single" w:sz="4" w:space="1" w:color="auto"/>
          <w:left w:val="single" w:sz="4" w:space="4" w:color="auto"/>
          <w:bottom w:val="single" w:sz="4" w:space="1" w:color="auto"/>
          <w:right w:val="single" w:sz="4" w:space="4" w:color="auto"/>
        </w:pBdr>
        <w:rPr>
          <w:noProof/>
        </w:rPr>
      </w:pPr>
      <w:r>
        <w:rPr>
          <w:noProof/>
        </w:rPr>
        <w:t>„C“ — слабо очаквано въздействие върху функционирането и устойчивостта</w:t>
      </w:r>
    </w:p>
    <w:p>
      <w:pPr>
        <w:rPr>
          <w:b/>
          <w:noProof/>
        </w:rPr>
      </w:pPr>
    </w:p>
    <w:p>
      <w:pPr>
        <w:ind w:left="720"/>
        <w:rPr>
          <w:b/>
          <w:i/>
          <w:noProof/>
          <w:u w:val="single"/>
        </w:rPr>
      </w:pPr>
      <w:r>
        <w:rPr>
          <w:b/>
          <w:i/>
          <w:noProof/>
          <w:u w:val="single"/>
        </w:rPr>
        <w:t>3.4 Изпълнението на реформи се очаква да окаже дълготрайно въздействие, в съответните случаи чрез укрепване на институционалния и административния капацитет</w:t>
      </w:r>
    </w:p>
    <w:p>
      <w:pPr>
        <w:spacing w:after="0"/>
        <w:jc w:val="left"/>
        <w:rPr>
          <w:noProof/>
          <w:szCs w:val="24"/>
        </w:rPr>
      </w:pPr>
      <w:r>
        <w:rPr>
          <w:noProof/>
        </w:rPr>
        <w:t>Комисията взема предвид следните елементи за оценката в съответствие с този критерий:</w:t>
      </w:r>
    </w:p>
    <w:p>
      <w:pPr>
        <w:spacing w:after="0"/>
        <w:jc w:val="left"/>
        <w:rPr>
          <w:b/>
          <w:i/>
          <w:noProof/>
        </w:rPr>
      </w:pPr>
    </w:p>
    <w:p>
      <w:pPr>
        <w:spacing w:after="0"/>
        <w:jc w:val="left"/>
        <w:rPr>
          <w:b/>
          <w:i/>
          <w:noProof/>
        </w:rPr>
      </w:pPr>
      <w:r>
        <w:rPr>
          <w:b/>
          <w:i/>
          <w:noProof/>
        </w:rPr>
        <w:t>Приложно поле</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xml:space="preserve">- изпълнението на предложените реформи се очаква да доведе до структурна промяна в администрацията или в съответните институции;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xml:space="preserve">или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xml:space="preserve">- изпълнението на предложените реформи се очаква да доведе до структурна промяна в съответните политики; </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както и</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xml:space="preserve">- укрепването на административния капацитет може да гарантира дълготрайно въздействие. </w:t>
      </w:r>
    </w:p>
    <w:p>
      <w:pPr>
        <w:rPr>
          <w:noProof/>
        </w:rPr>
      </w:pPr>
    </w:p>
    <w:p>
      <w:pPr>
        <w:rPr>
          <w:b/>
          <w:i/>
          <w:noProof/>
        </w:rPr>
      </w:pPr>
      <w:r>
        <w:rPr>
          <w:b/>
          <w:i/>
          <w:noProof/>
        </w:rPr>
        <w:t>Рейтинг</w:t>
      </w:r>
    </w:p>
    <w:p>
      <w:pPr>
        <w:pBdr>
          <w:top w:val="single" w:sz="4" w:space="1" w:color="auto"/>
          <w:left w:val="single" w:sz="4" w:space="4" w:color="auto"/>
          <w:bottom w:val="single" w:sz="4" w:space="1" w:color="auto"/>
          <w:right w:val="single" w:sz="4" w:space="4" w:color="auto"/>
        </w:pBdr>
        <w:rPr>
          <w:noProof/>
        </w:rPr>
      </w:pPr>
      <w:r>
        <w:rPr>
          <w:noProof/>
        </w:rPr>
        <w:t xml:space="preserve">„A“ — в голяма степен; </w:t>
      </w:r>
    </w:p>
    <w:p>
      <w:pPr>
        <w:pBdr>
          <w:top w:val="single" w:sz="4" w:space="1" w:color="auto"/>
          <w:left w:val="single" w:sz="4" w:space="4" w:color="auto"/>
          <w:bottom w:val="single" w:sz="4" w:space="1" w:color="auto"/>
          <w:right w:val="single" w:sz="4" w:space="4" w:color="auto"/>
        </w:pBdr>
        <w:rPr>
          <w:noProof/>
        </w:rPr>
      </w:pPr>
      <w:r>
        <w:rPr>
          <w:noProof/>
        </w:rPr>
        <w:t xml:space="preserve">„B“ — в умерена степен; </w:t>
      </w:r>
    </w:p>
    <w:p>
      <w:pPr>
        <w:pBdr>
          <w:top w:val="single" w:sz="4" w:space="1" w:color="auto"/>
          <w:left w:val="single" w:sz="4" w:space="4" w:color="auto"/>
          <w:bottom w:val="single" w:sz="4" w:space="1" w:color="auto"/>
          <w:right w:val="single" w:sz="4" w:space="4" w:color="auto"/>
        </w:pBdr>
        <w:rPr>
          <w:noProof/>
        </w:rPr>
      </w:pPr>
      <w:r>
        <w:rPr>
          <w:noProof/>
        </w:rPr>
        <w:t xml:space="preserve">„C“ — в малка степен. </w:t>
      </w:r>
    </w:p>
    <w:p>
      <w:pPr>
        <w:rPr>
          <w:noProof/>
        </w:rPr>
      </w:pPr>
    </w:p>
    <w:p>
      <w:pPr>
        <w:ind w:left="720"/>
        <w:rPr>
          <w:b/>
          <w:i/>
          <w:noProof/>
          <w:u w:val="single"/>
        </w:rPr>
      </w:pPr>
      <w:r>
        <w:rPr>
          <w:b/>
          <w:i/>
          <w:noProof/>
          <w:u w:val="single"/>
        </w:rPr>
        <w:t>3.5 Вътрешните договорености, предложени от съответните държави членки, се очаква да гарантират ефективно изпълнение на ангажиментите за реформи за максимален срок от три години, включително предложените етапни цели и цели, както и свързаните показатели</w:t>
      </w:r>
    </w:p>
    <w:p>
      <w:pPr>
        <w:spacing w:after="0"/>
        <w:jc w:val="left"/>
        <w:rPr>
          <w:noProof/>
          <w:szCs w:val="24"/>
        </w:rPr>
      </w:pPr>
      <w:r>
        <w:rPr>
          <w:noProof/>
        </w:rPr>
        <w:t>Комисията взема предвид следните елементи за оценката в съответствие с този критерий:</w:t>
      </w:r>
    </w:p>
    <w:p>
      <w:pPr>
        <w:tabs>
          <w:tab w:val="left" w:pos="1005"/>
        </w:tabs>
        <w:spacing w:after="0"/>
        <w:jc w:val="left"/>
        <w:rPr>
          <w:b/>
          <w:i/>
          <w:noProof/>
        </w:rPr>
      </w:pPr>
    </w:p>
    <w:p>
      <w:pPr>
        <w:spacing w:after="0"/>
        <w:jc w:val="left"/>
        <w:rPr>
          <w:b/>
          <w:i/>
          <w:noProof/>
        </w:rPr>
      </w:pPr>
      <w:r>
        <w:rPr>
          <w:b/>
          <w:i/>
          <w:noProof/>
        </w:rPr>
        <w:t>Приложно поле</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на структура е възложено в рамките на държавата членка: i) изпълнението на ангажиментите за реформи; ii) наблюдението на напредъка относно етапните цели и целите; и iii) докладването;</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както и</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xml:space="preserve">- предложените етапни цели и цели са ясни и реалистични; и предложените показатели са съответстващи на целта, приемливи и надеждни; </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както и</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xml:space="preserve">- целите вътрешни договорености, предложени от държавите членки по отношение на организацията (включително разпоредба, за да се гарантира достатъчно разпределение на персонала) за изпълнението на ангажиментите за реформи, са надеждни. </w:t>
      </w:r>
    </w:p>
    <w:p>
      <w:pPr>
        <w:rPr>
          <w:noProof/>
        </w:rPr>
      </w:pPr>
    </w:p>
    <w:p>
      <w:pPr>
        <w:rPr>
          <w:b/>
          <w:i/>
          <w:noProof/>
        </w:rPr>
      </w:pPr>
      <w:r>
        <w:rPr>
          <w:b/>
          <w:i/>
          <w:noProof/>
        </w:rPr>
        <w:t>Рейтинг</w:t>
      </w:r>
    </w:p>
    <w:p>
      <w:pPr>
        <w:pBdr>
          <w:top w:val="single" w:sz="4" w:space="1" w:color="auto"/>
          <w:left w:val="single" w:sz="4" w:space="4" w:color="auto"/>
          <w:bottom w:val="single" w:sz="4" w:space="1" w:color="auto"/>
          <w:right w:val="single" w:sz="4" w:space="4" w:color="auto"/>
        </w:pBdr>
        <w:rPr>
          <w:noProof/>
        </w:rPr>
      </w:pPr>
      <w:r>
        <w:rPr>
          <w:noProof/>
        </w:rPr>
        <w:t xml:space="preserve">„A“ — подходящи вътрешни договорености за ефективно изпълнение; </w:t>
      </w:r>
    </w:p>
    <w:p>
      <w:pPr>
        <w:pBdr>
          <w:top w:val="single" w:sz="4" w:space="1" w:color="auto"/>
          <w:left w:val="single" w:sz="4" w:space="4" w:color="auto"/>
          <w:bottom w:val="single" w:sz="4" w:space="1" w:color="auto"/>
          <w:right w:val="single" w:sz="4" w:space="4" w:color="auto"/>
        </w:pBdr>
        <w:rPr>
          <w:noProof/>
        </w:rPr>
      </w:pPr>
      <w:r>
        <w:rPr>
          <w:noProof/>
        </w:rPr>
        <w:t>„B“ — минимални вътрешни договорености за ефективно изпълнение;</w:t>
      </w:r>
    </w:p>
    <w:p>
      <w:pPr>
        <w:pBdr>
          <w:top w:val="single" w:sz="4" w:space="1" w:color="auto"/>
          <w:left w:val="single" w:sz="4" w:space="4" w:color="auto"/>
          <w:bottom w:val="single" w:sz="4" w:space="1" w:color="auto"/>
          <w:right w:val="single" w:sz="4" w:space="4" w:color="auto"/>
        </w:pBdr>
        <w:rPr>
          <w:noProof/>
        </w:rPr>
      </w:pPr>
      <w:r>
        <w:rPr>
          <w:noProof/>
        </w:rPr>
        <w:t>„C“ — недостатъчни вътрешни договорености за ефективно изпълнение;</w:t>
      </w:r>
    </w:p>
    <w:p>
      <w:pPr>
        <w:rPr>
          <w:noProof/>
        </w:rPr>
      </w:pPr>
    </w:p>
    <w:p>
      <w:pPr>
        <w:rPr>
          <w:b/>
          <w:noProof/>
        </w:rPr>
      </w:pPr>
      <w:r>
        <w:rPr>
          <w:b/>
          <w:noProof/>
        </w:rPr>
        <w:t xml:space="preserve">4. Определяне на финансовата вноска в рамките на инструмента за осъществяване на реформи </w:t>
      </w:r>
    </w:p>
    <w:p>
      <w:pPr>
        <w:rPr>
          <w:noProof/>
        </w:rPr>
      </w:pPr>
      <w:r>
        <w:rPr>
          <w:noProof/>
        </w:rPr>
        <w:t>Съгласно член 12, параграф 2 Комисията определя финансовата вноска, като взема предвид характера и значението на реформите, предложени от съответната държава членка, както са оценени въз основа на критериите, определени в член 11, параграф 7. За тази цел тя прилага следните критерии:</w:t>
      </w:r>
    </w:p>
    <w:p>
      <w:pPr>
        <w:pStyle w:val="Point1"/>
        <w:rPr>
          <w:noProof/>
        </w:rPr>
      </w:pPr>
      <w:r>
        <w:rPr>
          <w:noProof/>
        </w:rPr>
        <w:t>а)</w:t>
      </w:r>
      <w:r>
        <w:rPr>
          <w:noProof/>
        </w:rPr>
        <w:tab/>
        <w:t>когато предложението за ангажименти за реформи, представено от съответната държава членка, изцяло отговаря на критериите, определени в член 11, параграф 7, ангажиментите за реформи се считат за „съществени“ и общата сума на максималната финансова вноска, посочена в член 9, се разпределя на съответната държава членка;</w:t>
      </w:r>
    </w:p>
    <w:p>
      <w:pPr>
        <w:pStyle w:val="Point1"/>
        <w:rPr>
          <w:noProof/>
        </w:rPr>
      </w:pPr>
      <w:r>
        <w:rPr>
          <w:noProof/>
        </w:rPr>
        <w:t>б)</w:t>
      </w:r>
      <w:r>
        <w:rPr>
          <w:noProof/>
        </w:rPr>
        <w:tab/>
        <w:t>когато предложението за ангажименти за реформи от съответната държава членка задоволително отговаря на критериите, определени в член 11, параграф 7, ангажиментите за реформи се считат за „значителни“ и половината от максималната финансова вноска, посочена в член 9, се разпределя на съответната държава членка.</w:t>
      </w:r>
    </w:p>
    <w:p>
      <w:pPr>
        <w:pStyle w:val="Point1"/>
        <w:rPr>
          <w:noProof/>
        </w:rPr>
      </w:pPr>
      <w:r>
        <w:rPr>
          <w:noProof/>
        </w:rPr>
        <w:t>в)</w:t>
      </w:r>
      <w:r>
        <w:rPr>
          <w:noProof/>
        </w:rPr>
        <w:tab/>
        <w:t>когато предложението за ангажименти за реформи от съответната държава членка не отговаря задоволително на критериите, определени в член 11, параграф 7, финансовата вноска няма да бъде разпределена на съответната държава членка.</w:t>
      </w:r>
    </w:p>
    <w:p>
      <w:pPr>
        <w:rPr>
          <w:noProof/>
        </w:rPr>
      </w:pPr>
      <w:r>
        <w:rPr>
          <w:noProof/>
        </w:rPr>
        <w:t xml:space="preserve">В резултат на процеса на оценяване и отчитането на рейтингите Комисията разпределя финансовата вноска на държавите членки по следния начин:  </w:t>
      </w:r>
    </w:p>
    <w:p>
      <w:pPr>
        <w:rPr>
          <w:b/>
          <w:noProof/>
          <w:u w:val="single"/>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Ангажименти за съществени реформи (предложението отговаря изцяло на критериите за оценка)</w:t>
      </w:r>
    </w:p>
    <w:p>
      <w:pPr>
        <w:pBdr>
          <w:top w:val="single" w:sz="4" w:space="1" w:color="auto"/>
          <w:left w:val="single" w:sz="4" w:space="4" w:color="auto"/>
          <w:bottom w:val="single" w:sz="4" w:space="1" w:color="auto"/>
          <w:right w:val="single" w:sz="4" w:space="4" w:color="auto"/>
        </w:pBdr>
        <w:rPr>
          <w:noProof/>
        </w:rPr>
      </w:pPr>
      <w:r>
        <w:rPr>
          <w:noProof/>
        </w:rPr>
        <w:t>Ако окончателният рейтинг включва резултати с:</w:t>
      </w:r>
    </w:p>
    <w:p>
      <w:pPr>
        <w:pBdr>
          <w:top w:val="single" w:sz="4" w:space="1" w:color="auto"/>
          <w:left w:val="single" w:sz="4" w:space="4" w:color="auto"/>
          <w:bottom w:val="single" w:sz="4" w:space="1" w:color="auto"/>
          <w:right w:val="single" w:sz="4" w:space="4" w:color="auto"/>
        </w:pBdr>
        <w:rPr>
          <w:noProof/>
        </w:rPr>
      </w:pPr>
      <w:r>
        <w:rPr>
          <w:noProof/>
        </w:rPr>
        <w:t>- всички отговори „A“, или</w:t>
      </w:r>
    </w:p>
    <w:p>
      <w:pPr>
        <w:pBdr>
          <w:top w:val="single" w:sz="4" w:space="1" w:color="auto"/>
          <w:left w:val="single" w:sz="4" w:space="4" w:color="auto"/>
          <w:bottom w:val="single" w:sz="4" w:space="1" w:color="auto"/>
          <w:right w:val="single" w:sz="4" w:space="4" w:color="auto"/>
        </w:pBdr>
        <w:rPr>
          <w:noProof/>
        </w:rPr>
      </w:pPr>
      <w:r>
        <w:rPr>
          <w:noProof/>
        </w:rPr>
        <w:t xml:space="preserve">- повече отговори „A“ от отговори „B“ и без отговори „C“, </w:t>
      </w:r>
    </w:p>
    <w:p>
      <w:pPr>
        <w:pBdr>
          <w:top w:val="single" w:sz="4" w:space="1" w:color="auto"/>
          <w:left w:val="single" w:sz="4" w:space="4" w:color="auto"/>
          <w:bottom w:val="single" w:sz="4" w:space="1" w:color="auto"/>
          <w:right w:val="single" w:sz="4" w:space="4" w:color="auto"/>
        </w:pBdr>
        <w:rPr>
          <w:noProof/>
        </w:rPr>
      </w:pPr>
      <w:r>
        <w:rPr>
          <w:noProof/>
        </w:rPr>
        <w:t>максималната финансова вноска ще бъде разпределена за предложението за реформи.</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Ангажименти за значителни реформи (предложението отговаря задоволително на критериите за оценка)</w:t>
      </w:r>
    </w:p>
    <w:p>
      <w:pPr>
        <w:pBdr>
          <w:top w:val="single" w:sz="4" w:space="1" w:color="auto"/>
          <w:left w:val="single" w:sz="4" w:space="4" w:color="auto"/>
          <w:bottom w:val="single" w:sz="4" w:space="1" w:color="auto"/>
          <w:right w:val="single" w:sz="4" w:space="4" w:color="auto"/>
        </w:pBdr>
        <w:rPr>
          <w:noProof/>
        </w:rPr>
      </w:pPr>
      <w:r>
        <w:rPr>
          <w:noProof/>
        </w:rPr>
        <w:t>Ако окончателният рейтинг включва резултати с:</w:t>
      </w:r>
    </w:p>
    <w:p>
      <w:pPr>
        <w:pBdr>
          <w:top w:val="single" w:sz="4" w:space="1" w:color="auto"/>
          <w:left w:val="single" w:sz="4" w:space="4" w:color="auto"/>
          <w:bottom w:val="single" w:sz="4" w:space="1" w:color="auto"/>
          <w:right w:val="single" w:sz="4" w:space="4" w:color="auto"/>
        </w:pBdr>
        <w:rPr>
          <w:noProof/>
        </w:rPr>
      </w:pPr>
      <w:r>
        <w:rPr>
          <w:noProof/>
        </w:rPr>
        <w:t>- повече отговори „B“ от отговори „A“ и без отговори „C“, или</w:t>
      </w:r>
    </w:p>
    <w:p>
      <w:pPr>
        <w:pBdr>
          <w:top w:val="single" w:sz="4" w:space="1" w:color="auto"/>
          <w:left w:val="single" w:sz="4" w:space="4" w:color="auto"/>
          <w:bottom w:val="single" w:sz="4" w:space="1" w:color="auto"/>
          <w:right w:val="single" w:sz="4" w:space="4" w:color="auto"/>
        </w:pBdr>
        <w:rPr>
          <w:noProof/>
        </w:rPr>
      </w:pPr>
      <w:r>
        <w:rPr>
          <w:noProof/>
        </w:rPr>
        <w:t xml:space="preserve">- всички отговори „B“, </w:t>
      </w:r>
    </w:p>
    <w:p>
      <w:pPr>
        <w:pBdr>
          <w:top w:val="single" w:sz="4" w:space="1" w:color="auto"/>
          <w:left w:val="single" w:sz="4" w:space="4" w:color="auto"/>
          <w:bottom w:val="single" w:sz="4" w:space="1" w:color="auto"/>
          <w:right w:val="single" w:sz="4" w:space="4" w:color="auto"/>
        </w:pBdr>
        <w:rPr>
          <w:noProof/>
        </w:rPr>
      </w:pPr>
      <w:r>
        <w:rPr>
          <w:noProof/>
        </w:rPr>
        <w:t>половината от максималната финансова вноска ще бъде разпределена за предложението за реформи.</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Недостатъчни ангажименти за реформи (предложението не отговаря задоволително на критериите за оценка)</w:t>
      </w:r>
    </w:p>
    <w:p>
      <w:pPr>
        <w:pBdr>
          <w:top w:val="single" w:sz="4" w:space="1" w:color="auto"/>
          <w:left w:val="single" w:sz="4" w:space="4" w:color="auto"/>
          <w:bottom w:val="single" w:sz="4" w:space="1" w:color="auto"/>
          <w:right w:val="single" w:sz="4" w:space="4" w:color="auto"/>
        </w:pBdr>
        <w:rPr>
          <w:noProof/>
        </w:rPr>
      </w:pPr>
      <w:r>
        <w:rPr>
          <w:noProof/>
        </w:rPr>
        <w:t>Ако окончателният рейтинг включва резултати с:</w:t>
      </w:r>
    </w:p>
    <w:p>
      <w:pPr>
        <w:pBdr>
          <w:top w:val="single" w:sz="4" w:space="1" w:color="auto"/>
          <w:left w:val="single" w:sz="4" w:space="4" w:color="auto"/>
          <w:bottom w:val="single" w:sz="4" w:space="1" w:color="auto"/>
          <w:right w:val="single" w:sz="4" w:space="4" w:color="auto"/>
        </w:pBdr>
        <w:rPr>
          <w:noProof/>
        </w:rPr>
      </w:pPr>
      <w:r>
        <w:rPr>
          <w:noProof/>
        </w:rPr>
        <w:t>- най-малко един отговор „C“,</w:t>
      </w:r>
    </w:p>
    <w:p>
      <w:pPr>
        <w:pBdr>
          <w:top w:val="single" w:sz="4" w:space="1" w:color="auto"/>
          <w:left w:val="single" w:sz="4" w:space="4" w:color="auto"/>
          <w:bottom w:val="single" w:sz="4" w:space="1" w:color="auto"/>
          <w:right w:val="single" w:sz="4" w:space="4" w:color="auto"/>
        </w:pBdr>
        <w:rPr>
          <w:noProof/>
        </w:rPr>
      </w:pPr>
      <w:r>
        <w:rPr>
          <w:noProof/>
        </w:rPr>
        <w:t>финансова вноска няма да бъде разпределена за предложението за реформи.</w:t>
      </w:r>
    </w:p>
    <w:p>
      <w:pPr>
        <w:tabs>
          <w:tab w:val="left" w:pos="0"/>
        </w:tabs>
        <w:rPr>
          <w:noProof/>
        </w:rPr>
      </w:pPr>
    </w:p>
    <w:p>
      <w:pPr>
        <w:rPr>
          <w:b/>
          <w:noProof/>
        </w:rPr>
      </w:pPr>
      <w:r>
        <w:rPr>
          <w:b/>
          <w:noProof/>
        </w:rPr>
        <w:t xml:space="preserve">5. Допълнителен критерий в рамките на механизма за сближаване </w:t>
      </w:r>
    </w:p>
    <w:p>
      <w:pPr>
        <w:tabs>
          <w:tab w:val="left" w:pos="0"/>
        </w:tabs>
        <w:rPr>
          <w:noProof/>
        </w:rPr>
      </w:pPr>
      <w:r>
        <w:rPr>
          <w:noProof/>
        </w:rPr>
        <w:t xml:space="preserve">Съгласно член 27, параграф 3, в контекста на механизма за сближаване, в допълнение на критериите, определени в член 11, параграф 7, сред които оценката на очакваното въздействие върху устойчивостта е от голямо значение за подготовката за членство в еврозоната, Комисията оценява значението на предложените ангажименти за реформи за подготовката на съответната държава членка за членство в еврозоната. </w:t>
      </w:r>
    </w:p>
    <w:p>
      <w:pPr>
        <w:rPr>
          <w:b/>
          <w:noProof/>
        </w:rPr>
      </w:pPr>
    </w:p>
    <w:p>
      <w:pPr>
        <w:ind w:left="426"/>
        <w:rPr>
          <w:b/>
          <w:i/>
          <w:noProof/>
          <w:u w:val="single"/>
        </w:rPr>
      </w:pPr>
      <w:r>
        <w:rPr>
          <w:b/>
          <w:i/>
          <w:noProof/>
          <w:u w:val="single"/>
        </w:rPr>
        <w:t xml:space="preserve">5.1 Значение на ангажиментите за реформи за членство в еврозоната </w:t>
      </w:r>
    </w:p>
    <w:p>
      <w:pPr>
        <w:spacing w:after="0"/>
        <w:jc w:val="left"/>
        <w:rPr>
          <w:noProof/>
          <w:szCs w:val="24"/>
        </w:rPr>
      </w:pPr>
    </w:p>
    <w:p>
      <w:pPr>
        <w:spacing w:after="0"/>
        <w:jc w:val="left"/>
        <w:rPr>
          <w:noProof/>
          <w:szCs w:val="24"/>
        </w:rPr>
      </w:pPr>
      <w:r>
        <w:rPr>
          <w:noProof/>
        </w:rPr>
        <w:t xml:space="preserve">Комисията взема предвид следните елементи за оценката в съответствие с този критерий: </w:t>
      </w:r>
    </w:p>
    <w:p>
      <w:pPr>
        <w:spacing w:after="0"/>
        <w:jc w:val="left"/>
        <w:rPr>
          <w:b/>
          <w:i/>
          <w:noProof/>
          <w:szCs w:val="24"/>
        </w:rPr>
      </w:pPr>
    </w:p>
    <w:p>
      <w:pPr>
        <w:spacing w:after="0"/>
        <w:jc w:val="left"/>
        <w:rPr>
          <w:b/>
          <w:i/>
          <w:noProof/>
          <w:szCs w:val="24"/>
        </w:rPr>
      </w:pPr>
      <w:r>
        <w:rPr>
          <w:b/>
          <w:i/>
          <w:noProof/>
        </w:rPr>
        <w:t xml:space="preserve">Приложно поле </w:t>
      </w:r>
    </w:p>
    <w:p>
      <w:pPr>
        <w:pBdr>
          <w:top w:val="single" w:sz="4" w:space="1" w:color="auto"/>
          <w:left w:val="single" w:sz="4" w:space="4" w:color="auto"/>
          <w:bottom w:val="single" w:sz="4" w:space="1" w:color="auto"/>
          <w:right w:val="single" w:sz="4" w:space="4" w:color="auto"/>
        </w:pBdr>
        <w:spacing w:after="0"/>
        <w:rPr>
          <w:noProof/>
          <w:szCs w:val="24"/>
        </w:rPr>
      </w:pPr>
      <w:r>
        <w:rPr>
          <w:noProof/>
        </w:rPr>
        <w:t>- предложението за ангажименти за реформи е в съответствие с пътната карта на държавата членка за подготовката за членство в еврозоната;</w:t>
      </w:r>
    </w:p>
    <w:p>
      <w:pPr>
        <w:pBdr>
          <w:top w:val="single" w:sz="4" w:space="1" w:color="auto"/>
          <w:left w:val="single" w:sz="4" w:space="4" w:color="auto"/>
          <w:bottom w:val="single" w:sz="4" w:space="1" w:color="auto"/>
          <w:right w:val="single" w:sz="4" w:space="4" w:color="auto"/>
        </w:pBdr>
        <w:spacing w:after="0"/>
        <w:rPr>
          <w:noProof/>
          <w:szCs w:val="24"/>
        </w:rPr>
      </w:pPr>
      <w:r>
        <w:rPr>
          <w:noProof/>
        </w:rPr>
        <w:t>както и</w:t>
      </w:r>
    </w:p>
    <w:p>
      <w:pPr>
        <w:pBdr>
          <w:top w:val="single" w:sz="4" w:space="1" w:color="auto"/>
          <w:left w:val="single" w:sz="4" w:space="4" w:color="auto"/>
          <w:bottom w:val="single" w:sz="4" w:space="1" w:color="auto"/>
          <w:right w:val="single" w:sz="4" w:space="4" w:color="auto"/>
        </w:pBdr>
        <w:spacing w:after="0"/>
        <w:rPr>
          <w:noProof/>
          <w:szCs w:val="24"/>
        </w:rPr>
      </w:pPr>
      <w:r>
        <w:rPr>
          <w:noProof/>
        </w:rPr>
        <w:t>- предложението за ангажименти за реформи се очаква да допринесе за успешното изпълнение на пътната карта на държавата членка за подготовката за членство в еврозоната;</w:t>
      </w:r>
    </w:p>
    <w:p>
      <w:pPr>
        <w:spacing w:after="0"/>
        <w:jc w:val="left"/>
        <w:rPr>
          <w:b/>
          <w:i/>
          <w:noProof/>
          <w:szCs w:val="24"/>
        </w:rPr>
      </w:pPr>
    </w:p>
    <w:p>
      <w:pPr>
        <w:spacing w:after="0"/>
        <w:jc w:val="left"/>
        <w:rPr>
          <w:b/>
          <w:i/>
          <w:noProof/>
          <w:szCs w:val="24"/>
        </w:rPr>
      </w:pPr>
      <w:r>
        <w:rPr>
          <w:b/>
          <w:i/>
          <w:noProof/>
        </w:rPr>
        <w:t>Рейтинг</w:t>
      </w:r>
    </w:p>
    <w:p>
      <w:pPr>
        <w:pBdr>
          <w:top w:val="single" w:sz="4" w:space="1" w:color="auto"/>
          <w:left w:val="single" w:sz="4" w:space="4" w:color="auto"/>
          <w:bottom w:val="single" w:sz="4" w:space="1" w:color="auto"/>
          <w:right w:val="single" w:sz="4" w:space="4" w:color="auto"/>
        </w:pBdr>
        <w:rPr>
          <w:noProof/>
        </w:rPr>
      </w:pPr>
      <w:r>
        <w:rPr>
          <w:noProof/>
        </w:rPr>
        <w:t>„A“ — голямо значение и съществена очаквана вноска;</w:t>
      </w:r>
    </w:p>
    <w:p>
      <w:pPr>
        <w:pBdr>
          <w:top w:val="single" w:sz="4" w:space="1" w:color="auto"/>
          <w:left w:val="single" w:sz="4" w:space="4" w:color="auto"/>
          <w:bottom w:val="single" w:sz="4" w:space="1" w:color="auto"/>
          <w:right w:val="single" w:sz="4" w:space="4" w:color="auto"/>
        </w:pBdr>
        <w:rPr>
          <w:noProof/>
        </w:rPr>
      </w:pPr>
      <w:r>
        <w:rPr>
          <w:noProof/>
        </w:rPr>
        <w:t xml:space="preserve">„B“ — средно значение и умерена очаквана вноска; </w:t>
      </w:r>
    </w:p>
    <w:p>
      <w:pPr>
        <w:pBdr>
          <w:top w:val="single" w:sz="4" w:space="1" w:color="auto"/>
          <w:left w:val="single" w:sz="4" w:space="4" w:color="auto"/>
          <w:bottom w:val="single" w:sz="4" w:space="1" w:color="auto"/>
          <w:right w:val="single" w:sz="4" w:space="4" w:color="auto"/>
        </w:pBdr>
        <w:rPr>
          <w:noProof/>
        </w:rPr>
      </w:pPr>
      <w:r>
        <w:rPr>
          <w:noProof/>
        </w:rPr>
        <w:t xml:space="preserve">„C“ — слабо значение и ограничена очаквана вноска. </w:t>
      </w:r>
    </w:p>
    <w:p>
      <w:pPr>
        <w:rPr>
          <w:b/>
          <w:noProof/>
        </w:rPr>
      </w:pPr>
    </w:p>
    <w:p>
      <w:pPr>
        <w:ind w:left="426"/>
        <w:rPr>
          <w:b/>
          <w:i/>
          <w:noProof/>
          <w:u w:val="single"/>
        </w:rPr>
      </w:pPr>
      <w:r>
        <w:rPr>
          <w:b/>
          <w:i/>
          <w:noProof/>
          <w:u w:val="single"/>
        </w:rPr>
        <w:t>5.2 Определяне на финансовата вноска в рамките на механизма за сближаване</w:t>
      </w:r>
    </w:p>
    <w:p>
      <w:pPr>
        <w:rPr>
          <w:noProof/>
        </w:rPr>
      </w:pPr>
    </w:p>
    <w:p>
      <w:pPr>
        <w:rPr>
          <w:noProof/>
        </w:rPr>
      </w:pPr>
      <w:r>
        <w:rPr>
          <w:noProof/>
        </w:rPr>
        <w:t>В рамките на компонента за финансова подкрепа на механизма за сближаване, в съответствие с членове 26 и 28, финансовата вноска се определя в съответствие със същите критерии, както е посочено в член 12, параграф 2, и представлява отделна и допълнителна вноска, която се разпределя на свой ред за допълнителни реформи, които са от значение за подготовката за членство в еврозоната и се предприема от съответната държава членка.</w:t>
      </w:r>
    </w:p>
    <w:p>
      <w:pPr>
        <w:rPr>
          <w:noProof/>
        </w:rPr>
      </w:pPr>
      <w:r>
        <w:rPr>
          <w:noProof/>
        </w:rPr>
        <w:t>В резултат на процеса на оценяване и отчитането на рейтингите Комисията разпределя финансовата вноска на държавите членки по следния начин:</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 xml:space="preserve">Голямо значение за участието в еврозоната  </w:t>
      </w:r>
    </w:p>
    <w:p>
      <w:pPr>
        <w:pBdr>
          <w:top w:val="single" w:sz="4" w:space="1" w:color="auto"/>
          <w:left w:val="single" w:sz="4" w:space="4" w:color="auto"/>
          <w:bottom w:val="single" w:sz="4" w:space="1" w:color="auto"/>
          <w:right w:val="single" w:sz="4" w:space="4" w:color="auto"/>
        </w:pBdr>
        <w:rPr>
          <w:noProof/>
        </w:rPr>
      </w:pPr>
      <w:r>
        <w:rPr>
          <w:noProof/>
        </w:rPr>
        <w:t>Ако окончателният рейтинг включва резултати в съответствие с всички критерии с:</w:t>
      </w:r>
    </w:p>
    <w:p>
      <w:pPr>
        <w:pBdr>
          <w:top w:val="single" w:sz="4" w:space="1" w:color="auto"/>
          <w:left w:val="single" w:sz="4" w:space="4" w:color="auto"/>
          <w:bottom w:val="single" w:sz="4" w:space="1" w:color="auto"/>
          <w:right w:val="single" w:sz="4" w:space="4" w:color="auto"/>
        </w:pBdr>
        <w:rPr>
          <w:noProof/>
        </w:rPr>
      </w:pPr>
      <w:r>
        <w:rPr>
          <w:noProof/>
        </w:rPr>
        <w:t xml:space="preserve">- всички отговори „A“, или </w:t>
      </w:r>
    </w:p>
    <w:p>
      <w:pPr>
        <w:pBdr>
          <w:top w:val="single" w:sz="4" w:space="1" w:color="auto"/>
          <w:left w:val="single" w:sz="4" w:space="4" w:color="auto"/>
          <w:bottom w:val="single" w:sz="4" w:space="1" w:color="auto"/>
          <w:right w:val="single" w:sz="4" w:space="4" w:color="auto"/>
        </w:pBdr>
        <w:rPr>
          <w:noProof/>
        </w:rPr>
      </w:pPr>
      <w:r>
        <w:rPr>
          <w:noProof/>
        </w:rPr>
        <w:t xml:space="preserve">- повече отговори „A“ от отговори „B“ и без отговори „C“, </w:t>
      </w:r>
    </w:p>
    <w:p>
      <w:pPr>
        <w:pBdr>
          <w:top w:val="single" w:sz="4" w:space="1" w:color="auto"/>
          <w:left w:val="single" w:sz="4" w:space="4" w:color="auto"/>
          <w:bottom w:val="single" w:sz="4" w:space="1" w:color="auto"/>
          <w:right w:val="single" w:sz="4" w:space="4" w:color="auto"/>
        </w:pBdr>
        <w:rPr>
          <w:noProof/>
        </w:rPr>
      </w:pPr>
      <w:r>
        <w:rPr>
          <w:noProof/>
        </w:rPr>
        <w:t xml:space="preserve">както и </w:t>
      </w:r>
    </w:p>
    <w:p>
      <w:pPr>
        <w:pBdr>
          <w:top w:val="single" w:sz="4" w:space="1" w:color="auto"/>
          <w:left w:val="single" w:sz="4" w:space="4" w:color="auto"/>
          <w:bottom w:val="single" w:sz="4" w:space="1" w:color="auto"/>
          <w:right w:val="single" w:sz="4" w:space="4" w:color="auto"/>
        </w:pBdr>
        <w:rPr>
          <w:noProof/>
        </w:rPr>
      </w:pPr>
      <w:r>
        <w:rPr>
          <w:noProof/>
        </w:rPr>
        <w:t xml:space="preserve">резултатите в съответствие с критерия за функционирането и устойчивостта съгласно точка 3.3 и с критерия за значение за участието в еврозоната съгласно точка 5.1 са с отговори „A“, </w:t>
      </w:r>
    </w:p>
    <w:p>
      <w:pPr>
        <w:pBdr>
          <w:top w:val="single" w:sz="4" w:space="1" w:color="auto"/>
          <w:left w:val="single" w:sz="4" w:space="4" w:color="auto"/>
          <w:bottom w:val="single" w:sz="4" w:space="1" w:color="auto"/>
          <w:right w:val="single" w:sz="4" w:space="4" w:color="auto"/>
        </w:pBdr>
        <w:rPr>
          <w:noProof/>
        </w:rPr>
      </w:pPr>
      <w:r>
        <w:rPr>
          <w:noProof/>
        </w:rPr>
        <w:t>максималната финансова вноска ще бъде разпределена за предложението за реформи.</w:t>
      </w:r>
    </w:p>
    <w:p>
      <w:pPr>
        <w:rPr>
          <w:noProof/>
        </w:rPr>
      </w:pPr>
    </w:p>
    <w:p>
      <w:pPr>
        <w:pBdr>
          <w:top w:val="single" w:sz="4" w:space="1" w:color="auto"/>
          <w:left w:val="single" w:sz="4" w:space="4" w:color="auto"/>
          <w:bottom w:val="single" w:sz="4" w:space="1" w:color="auto"/>
          <w:right w:val="single" w:sz="4" w:space="4" w:color="auto"/>
        </w:pBdr>
        <w:rPr>
          <w:noProof/>
        </w:rPr>
      </w:pPr>
      <w:r>
        <w:rPr>
          <w:b/>
          <w:noProof/>
          <w:u w:val="single"/>
        </w:rPr>
        <w:t>Средно значение за участието в еврозоната</w:t>
      </w:r>
    </w:p>
    <w:p>
      <w:pPr>
        <w:pBdr>
          <w:top w:val="single" w:sz="4" w:space="1" w:color="auto"/>
          <w:left w:val="single" w:sz="4" w:space="4" w:color="auto"/>
          <w:bottom w:val="single" w:sz="4" w:space="1" w:color="auto"/>
          <w:right w:val="single" w:sz="4" w:space="4" w:color="auto"/>
        </w:pBdr>
        <w:rPr>
          <w:noProof/>
        </w:rPr>
      </w:pPr>
      <w:r>
        <w:rPr>
          <w:noProof/>
        </w:rPr>
        <w:t>Ако окончателният рейтинг включва резултати в съответствие с всички критерии с:</w:t>
      </w:r>
    </w:p>
    <w:p>
      <w:pPr>
        <w:pBdr>
          <w:top w:val="single" w:sz="4" w:space="1" w:color="auto"/>
          <w:left w:val="single" w:sz="4" w:space="4" w:color="auto"/>
          <w:bottom w:val="single" w:sz="4" w:space="1" w:color="auto"/>
          <w:right w:val="single" w:sz="4" w:space="4" w:color="auto"/>
        </w:pBdr>
        <w:rPr>
          <w:noProof/>
        </w:rPr>
      </w:pPr>
      <w:r>
        <w:rPr>
          <w:noProof/>
        </w:rPr>
        <w:t xml:space="preserve">- повече отговори „B“ от отговори „A“ и без отговори „C“, </w:t>
      </w:r>
    </w:p>
    <w:p>
      <w:pPr>
        <w:pBdr>
          <w:top w:val="single" w:sz="4" w:space="1" w:color="auto"/>
          <w:left w:val="single" w:sz="4" w:space="4" w:color="auto"/>
          <w:bottom w:val="single" w:sz="4" w:space="1" w:color="auto"/>
          <w:right w:val="single" w:sz="4" w:space="4" w:color="auto"/>
        </w:pBdr>
        <w:rPr>
          <w:noProof/>
        </w:rPr>
      </w:pPr>
      <w:r>
        <w:rPr>
          <w:noProof/>
        </w:rPr>
        <w:t>както и</w:t>
      </w:r>
    </w:p>
    <w:p>
      <w:pPr>
        <w:pBdr>
          <w:top w:val="single" w:sz="4" w:space="1" w:color="auto"/>
          <w:left w:val="single" w:sz="4" w:space="4" w:color="auto"/>
          <w:bottom w:val="single" w:sz="4" w:space="1" w:color="auto"/>
          <w:right w:val="single" w:sz="4" w:space="4" w:color="auto"/>
        </w:pBdr>
        <w:rPr>
          <w:noProof/>
        </w:rPr>
      </w:pPr>
      <w:r>
        <w:rPr>
          <w:noProof/>
        </w:rPr>
        <w:t>резултатът за критерия за функционирането и устойчивостта съгласно точка 3.3 е с отговор „A“, а критерият за значение за участието в еврозоната съгласно точка 5.1 е с отговор „B“,</w:t>
      </w:r>
    </w:p>
    <w:p>
      <w:pPr>
        <w:pBdr>
          <w:top w:val="single" w:sz="4" w:space="1" w:color="auto"/>
          <w:left w:val="single" w:sz="4" w:space="4" w:color="auto"/>
          <w:bottom w:val="single" w:sz="4" w:space="1" w:color="auto"/>
          <w:right w:val="single" w:sz="4" w:space="4" w:color="auto"/>
        </w:pBdr>
        <w:rPr>
          <w:noProof/>
        </w:rPr>
      </w:pPr>
      <w:r>
        <w:rPr>
          <w:noProof/>
        </w:rPr>
        <w:t>половината от максималната финансова вноска ще бъде разпределена за предложението за реформи.</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Слабо значение за участието в еврозоната</w:t>
      </w:r>
    </w:p>
    <w:p>
      <w:pPr>
        <w:pBdr>
          <w:top w:val="single" w:sz="4" w:space="1" w:color="auto"/>
          <w:left w:val="single" w:sz="4" w:space="4" w:color="auto"/>
          <w:bottom w:val="single" w:sz="4" w:space="1" w:color="auto"/>
          <w:right w:val="single" w:sz="4" w:space="4" w:color="auto"/>
        </w:pBdr>
        <w:rPr>
          <w:noProof/>
        </w:rPr>
      </w:pPr>
      <w:r>
        <w:rPr>
          <w:noProof/>
        </w:rPr>
        <w:t xml:space="preserve">Независимо от другите резултати, ако критериите за функционирането и устойчивостта съгласно точка 3.3 са получили отговори „B“ или „C“,  </w:t>
      </w:r>
    </w:p>
    <w:p>
      <w:pPr>
        <w:pBdr>
          <w:top w:val="single" w:sz="4" w:space="1" w:color="auto"/>
          <w:left w:val="single" w:sz="4" w:space="4" w:color="auto"/>
          <w:bottom w:val="single" w:sz="4" w:space="1" w:color="auto"/>
          <w:right w:val="single" w:sz="4" w:space="4" w:color="auto"/>
        </w:pBdr>
        <w:rPr>
          <w:noProof/>
        </w:rPr>
      </w:pPr>
      <w:r>
        <w:rPr>
          <w:noProof/>
        </w:rPr>
        <w:t>финансова вноска няма да бъде разпределена за предложението за реформи.</w:t>
      </w:r>
    </w:p>
    <w:p>
      <w:pPr>
        <w:spacing w:before="0" w:after="200" w:line="276" w:lineRule="auto"/>
        <w:jc w:val="left"/>
        <w:rPr>
          <w:noProof/>
        </w:rPr>
      </w:pPr>
      <w:r>
        <w:rPr>
          <w:noProof/>
        </w:rPr>
        <w:br w:type="page"/>
      </w:r>
    </w:p>
    <w:p>
      <w:pPr>
        <w:pStyle w:val="Annexetitre"/>
        <w:rPr>
          <w:rStyle w:val="Marker"/>
          <w:noProof/>
        </w:rPr>
      </w:pPr>
      <w:r>
        <w:rPr>
          <w:noProof/>
        </w:rPr>
        <w:t>ПРИЛОЖЕНИЕ III</w:t>
      </w:r>
    </w:p>
    <w:p>
      <w:pPr>
        <w:jc w:val="center"/>
        <w:rPr>
          <w:b/>
          <w:noProof/>
          <w:sz w:val="22"/>
        </w:rPr>
      </w:pPr>
      <w:r>
        <w:rPr>
          <w:b/>
          <w:noProof/>
          <w:sz w:val="22"/>
        </w:rPr>
        <w:t>Показатели</w:t>
      </w:r>
    </w:p>
    <w:p>
      <w:pPr>
        <w:rPr>
          <w:noProof/>
          <w:sz w:val="22"/>
        </w:rPr>
      </w:pPr>
      <w:r>
        <w:rPr>
          <w:noProof/>
          <w:sz w:val="22"/>
        </w:rPr>
        <w:t>Постигането на целите, посочени в членове 4 и 5, се измерва въз основа на следните показатели, разпределени по държави членки и по област на намеса.</w:t>
      </w:r>
    </w:p>
    <w:p>
      <w:pPr>
        <w:spacing w:before="0"/>
        <w:rPr>
          <w:noProof/>
          <w:sz w:val="22"/>
        </w:rPr>
      </w:pPr>
      <w:r>
        <w:rPr>
          <w:noProof/>
          <w:sz w:val="22"/>
        </w:rPr>
        <w:t xml:space="preserve">Показателите се използват в съответствие с наличните данни и информация (включително количествени и/или качествени данни). </w:t>
      </w:r>
    </w:p>
    <w:p>
      <w:pPr>
        <w:spacing w:before="0"/>
        <w:rPr>
          <w:b/>
          <w:noProof/>
          <w:sz w:val="22"/>
        </w:rPr>
      </w:pPr>
    </w:p>
    <w:p>
      <w:pPr>
        <w:spacing w:before="0"/>
        <w:rPr>
          <w:b/>
          <w:noProof/>
          <w:sz w:val="22"/>
        </w:rPr>
      </w:pPr>
      <w:r>
        <w:rPr>
          <w:b/>
          <w:noProof/>
          <w:sz w:val="22"/>
        </w:rPr>
        <w:t>Инструмент за осъществяване на реформи</w:t>
      </w:r>
    </w:p>
    <w:p>
      <w:pPr>
        <w:pStyle w:val="Bullet0"/>
        <w:rPr>
          <w:b/>
          <w:noProof/>
          <w:color w:val="000000" w:themeColor="text1"/>
        </w:rPr>
      </w:pPr>
      <w:r>
        <w:rPr>
          <w:b/>
          <w:noProof/>
        </w:rPr>
        <w:t>Показатели за постигнатите резултати:</w:t>
      </w:r>
    </w:p>
    <w:p>
      <w:pPr>
        <w:pStyle w:val="Point1"/>
        <w:rPr>
          <w:noProof/>
        </w:rPr>
      </w:pPr>
      <w:r>
        <w:rPr>
          <w:noProof/>
        </w:rPr>
        <w:t>а)</w:t>
      </w:r>
      <w:r>
        <w:rPr>
          <w:noProof/>
        </w:rPr>
        <w:tab/>
        <w:t>брой на поетите ангажименти за реформи;</w:t>
      </w:r>
    </w:p>
    <w:p>
      <w:pPr>
        <w:pStyle w:val="Point1"/>
        <w:rPr>
          <w:noProof/>
        </w:rPr>
      </w:pPr>
      <w:r>
        <w:rPr>
          <w:noProof/>
        </w:rPr>
        <w:t>б)</w:t>
      </w:r>
      <w:r>
        <w:rPr>
          <w:noProof/>
        </w:rPr>
        <w:tab/>
        <w:t>обща финансова вноска, разпределена за ангажиментите за реформи;</w:t>
      </w:r>
    </w:p>
    <w:p>
      <w:pPr>
        <w:pStyle w:val="Bullet0"/>
        <w:rPr>
          <w:b/>
          <w:noProof/>
        </w:rPr>
      </w:pPr>
      <w:r>
        <w:rPr>
          <w:b/>
          <w:noProof/>
        </w:rPr>
        <w:t xml:space="preserve">Показатели за резултатите: </w:t>
      </w:r>
    </w:p>
    <w:p>
      <w:pPr>
        <w:pStyle w:val="Point1"/>
        <w:rPr>
          <w:noProof/>
          <w:color w:val="000000" w:themeColor="text1"/>
        </w:rPr>
      </w:pPr>
      <w:r>
        <w:rPr>
          <w:noProof/>
        </w:rPr>
        <w:t>в)</w:t>
      </w:r>
      <w:r>
        <w:rPr>
          <w:noProof/>
        </w:rPr>
        <w:tab/>
        <w:t xml:space="preserve">брой на приключените ангажименти за реформи; </w:t>
      </w:r>
    </w:p>
    <w:p>
      <w:pPr>
        <w:tabs>
          <w:tab w:val="left" w:pos="954"/>
        </w:tabs>
        <w:spacing w:before="0"/>
        <w:rPr>
          <w:b/>
          <w:noProof/>
          <w:sz w:val="22"/>
        </w:rPr>
      </w:pPr>
      <w:r>
        <w:rPr>
          <w:noProof/>
        </w:rPr>
        <w:tab/>
      </w:r>
    </w:p>
    <w:p>
      <w:pPr>
        <w:spacing w:before="0"/>
        <w:rPr>
          <w:b/>
          <w:noProof/>
          <w:sz w:val="22"/>
        </w:rPr>
      </w:pPr>
      <w:r>
        <w:rPr>
          <w:b/>
          <w:noProof/>
          <w:sz w:val="22"/>
        </w:rPr>
        <w:t>Инструмент за техническа подкрепа</w:t>
      </w:r>
    </w:p>
    <w:p>
      <w:pPr>
        <w:pStyle w:val="Bullet0"/>
        <w:rPr>
          <w:b/>
          <w:noProof/>
        </w:rPr>
      </w:pPr>
      <w:r>
        <w:rPr>
          <w:b/>
          <w:noProof/>
        </w:rPr>
        <w:t xml:space="preserve">Показатели за постигнатите резултати:  </w:t>
      </w:r>
    </w:p>
    <w:p>
      <w:pPr>
        <w:pStyle w:val="Point1"/>
        <w:rPr>
          <w:noProof/>
        </w:rPr>
      </w:pPr>
      <w:r>
        <w:rPr>
          <w:noProof/>
        </w:rPr>
        <w:t>г)</w:t>
      </w:r>
      <w:r>
        <w:rPr>
          <w:noProof/>
        </w:rPr>
        <w:tab/>
        <w:t>брой на приключените планове за сътрудничество и подкрепа;</w:t>
      </w:r>
    </w:p>
    <w:p>
      <w:pPr>
        <w:pStyle w:val="Point1"/>
        <w:rPr>
          <w:noProof/>
        </w:rPr>
      </w:pPr>
      <w:r>
        <w:rPr>
          <w:noProof/>
        </w:rPr>
        <w:t>д)</w:t>
      </w:r>
      <w:r>
        <w:rPr>
          <w:noProof/>
        </w:rPr>
        <w:tab/>
        <w:t>брой на извършените дейности за техническа подкрепа;</w:t>
      </w:r>
    </w:p>
    <w:p>
      <w:pPr>
        <w:pStyle w:val="Point1"/>
        <w:rPr>
          <w:noProof/>
        </w:rPr>
      </w:pPr>
      <w:r>
        <w:rPr>
          <w:noProof/>
        </w:rPr>
        <w:t>е)</w:t>
      </w:r>
      <w:r>
        <w:rPr>
          <w:noProof/>
        </w:rPr>
        <w:tab/>
        <w:t xml:space="preserve">очаквани резултати, предоставени от дейностите за техническа подкрепа, като планове за действие, пътни карти, насоки, наръчници и препоръки; </w:t>
      </w:r>
    </w:p>
    <w:p>
      <w:pPr>
        <w:pStyle w:val="Bullet0"/>
        <w:rPr>
          <w:b/>
          <w:noProof/>
        </w:rPr>
      </w:pPr>
      <w:r>
        <w:rPr>
          <w:b/>
          <w:noProof/>
        </w:rPr>
        <w:t>Показатели за резултатите:</w:t>
      </w:r>
    </w:p>
    <w:p>
      <w:pPr>
        <w:pStyle w:val="Point1"/>
        <w:rPr>
          <w:noProof/>
        </w:rPr>
      </w:pPr>
      <w:r>
        <w:rPr>
          <w:noProof/>
        </w:rPr>
        <w:t>ж)</w:t>
      </w:r>
      <w:r>
        <w:rPr>
          <w:noProof/>
        </w:rPr>
        <w:tab/>
        <w:t>резултати от предоставените дейности за техническа подкрепа като приемане на стратегия, приемане на нов закон/акт или изменение на съществуващ такъв, приемане на (нови) процедури и действия, за да се засили изпълнението на реформите;</w:t>
      </w:r>
    </w:p>
    <w:p>
      <w:pPr>
        <w:spacing w:before="0"/>
        <w:rPr>
          <w:b/>
          <w:noProof/>
          <w:sz w:val="22"/>
        </w:rPr>
      </w:pPr>
    </w:p>
    <w:p>
      <w:pPr>
        <w:spacing w:before="0"/>
        <w:rPr>
          <w:b/>
          <w:noProof/>
          <w:sz w:val="22"/>
        </w:rPr>
      </w:pPr>
      <w:r>
        <w:rPr>
          <w:b/>
          <w:noProof/>
          <w:sz w:val="22"/>
        </w:rPr>
        <w:t xml:space="preserve">Механизъм за сближаване </w:t>
      </w:r>
    </w:p>
    <w:p>
      <w:pPr>
        <w:pStyle w:val="Bullet0"/>
        <w:rPr>
          <w:noProof/>
        </w:rPr>
      </w:pPr>
      <w:r>
        <w:rPr>
          <w:noProof/>
        </w:rPr>
        <w:t>за компонента за финансова подкрепа същите показатели като посочените в букви а)—в);</w:t>
      </w:r>
    </w:p>
    <w:p>
      <w:pPr>
        <w:pStyle w:val="Bullet0"/>
        <w:rPr>
          <w:noProof/>
        </w:rPr>
      </w:pPr>
      <w:r>
        <w:rPr>
          <w:noProof/>
        </w:rPr>
        <w:t>за компонента за техническа подкрепа същите показатели като посочените в букви г)—ж);</w:t>
      </w:r>
    </w:p>
    <w:p>
      <w:pPr>
        <w:spacing w:before="0"/>
        <w:rPr>
          <w:b/>
          <w:noProof/>
          <w:sz w:val="22"/>
        </w:rPr>
      </w:pPr>
    </w:p>
    <w:p>
      <w:pPr>
        <w:spacing w:before="0"/>
        <w:rPr>
          <w:b/>
          <w:noProof/>
          <w:sz w:val="22"/>
        </w:rPr>
      </w:pPr>
      <w:r>
        <w:rPr>
          <w:b/>
          <w:noProof/>
          <w:sz w:val="22"/>
        </w:rPr>
        <w:t>Показатели за въздействието на програмата</w:t>
      </w:r>
    </w:p>
    <w:p>
      <w:pPr>
        <w:pStyle w:val="Bullet0"/>
        <w:rPr>
          <w:noProof/>
        </w:rPr>
      </w:pPr>
      <w:r>
        <w:rPr>
          <w:noProof/>
        </w:rPr>
        <w:t xml:space="preserve">Целите, определени в ангажиментите за реформи, които са постигнати, </w:t>
      </w:r>
      <w:r>
        <w:rPr>
          <w:i/>
          <w:noProof/>
        </w:rPr>
        <w:t>inter alia</w:t>
      </w:r>
      <w:r>
        <w:rPr>
          <w:noProof/>
        </w:rPr>
        <w:t>, в резултат на финансовата подкрепа, получена в рамките на инструментите на програмата;</w:t>
      </w:r>
    </w:p>
    <w:p>
      <w:pPr>
        <w:pStyle w:val="Bullet0"/>
        <w:rPr>
          <w:noProof/>
        </w:rPr>
      </w:pPr>
      <w:r>
        <w:rPr>
          <w:noProof/>
        </w:rPr>
        <w:t xml:space="preserve">Целите, определени в плановете за сътрудничество и подкрепа, които са постигнати, </w:t>
      </w:r>
      <w:r>
        <w:rPr>
          <w:i/>
          <w:noProof/>
        </w:rPr>
        <w:t>inter alia</w:t>
      </w:r>
      <w:r>
        <w:rPr>
          <w:noProof/>
        </w:rPr>
        <w:t xml:space="preserve">, в резултат на техническата подкрепа, получена в рамките на инструментите на програмата. </w:t>
      </w:r>
    </w:p>
    <w:p>
      <w:pPr>
        <w:pStyle w:val="BodyText"/>
        <w:rPr>
          <w:noProof/>
          <w:sz w:val="22"/>
        </w:rPr>
      </w:pPr>
    </w:p>
    <w:p>
      <w:pPr>
        <w:rPr>
          <w:noProof/>
        </w:rPr>
      </w:pPr>
      <w:r>
        <w:rPr>
          <w:noProof/>
          <w:sz w:val="22"/>
        </w:rPr>
        <w:t>Комисията извършва последващата оценка, посочена в член 36, също така с цел установяване на връзките между (финансовата и техническата) подкрепа от програмата и изпълнението на структурните реформи в съответната държава членка с оглед на това да се засилят конкурентоспособността, производителността, растежът, заетостта и сближаването.</w:t>
      </w:r>
    </w:p>
    <w:p>
      <w:pPr>
        <w:rPr>
          <w:noProof/>
        </w:rPr>
      </w:pPr>
    </w:p>
    <w:sectPr>
      <w:footerReference w:type="default" r:id="rId22"/>
      <w:footerReference w:type="first" r:id="rId23"/>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3E032" w15:done="0"/>
  <w15:commentEx w15:paraId="739CC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3E032" w16cid:durableId="1EA33367"/>
  <w16cid:commentId w16cid:paraId="739CCC4E" w16cid:durableId="1EA333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Решение на Съвета 2000/604/ЕО от 29 септември 2000 г. относно състава и Устава на Комитета за икономическа политика (ОВ L 257, 11.10.2000 г., стр. 28—31)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5C70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E80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FA7F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CE4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7C2A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425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5E205A"/>
    <w:lvl w:ilvl="0">
      <w:start w:val="1"/>
      <w:numFmt w:val="decimal"/>
      <w:pStyle w:val="ListNumber"/>
      <w:lvlText w:val="%1."/>
      <w:lvlJc w:val="left"/>
      <w:pPr>
        <w:tabs>
          <w:tab w:val="num" w:pos="360"/>
        </w:tabs>
        <w:ind w:left="360" w:hanging="360"/>
      </w:pPr>
    </w:lvl>
  </w:abstractNum>
  <w:abstractNum w:abstractNumId="7">
    <w:nsid w:val="FFFFFF89"/>
    <w:multiLevelType w:val="singleLevel"/>
    <w:tmpl w:val="E84E9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2:35:10"/>
    <w:docVar w:name="DQCNUMB_10" w:val="244"/>
    <w:docVar w:name="DQCNUMB_11" w:val="247"/>
    <w:docVar w:name="DQCNUMB_12" w:val="248"/>
    <w:docVar w:name="DQCNUMB_5" w:val="228"/>
    <w:docVar w:name="DQCNUMB_6" w:val="231"/>
    <w:docVar w:name="DQCNUMB_7" w:val="235"/>
    <w:docVar w:name="DQCNUMB_8" w:val="239"/>
    <w:docVar w:name="DQCNUMB_9" w:val="2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E1C691B4-E680-4F4A-B2D2-C4031167778E"/>
    <w:docVar w:name="LW_COVERPAGE_TYPE" w:val="1"/>
    <w:docVar w:name="LW_CROSSREFERENCE" w:val="{SEC(2018) 280 final}_x000b_{SWD(2018) 310 final}_x000b_{SWD(2018) 311 final}"/>
    <w:docVar w:name="LW_DocType" w:val="ANNEX"/>
    <w:docVar w:name="LW_EMISSION" w:val="31.5.2018"/>
    <w:docVar w:name="LW_EMISSION_ISODATE" w:val="2018-05-3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u1090?\u1086? \u1085?\u1072? \u1055?\u1088?\u1086?\u1075?\u1088?\u1072?\u1084?\u1072?\u1090?\u1072? \u1079?\u1072? \u1087?\u1086?\u1076?\u1082?\u1088?\u1077?\u1087?\u1072? \u1085?\u1072? \u1088?\u1077?\u1092?\u1086?\u1088?\u1084?\u1080?\u1090?\u1077?"/>
    <w:docVar w:name="LW_OBJETACTEPRINCIPAL.CP" w:val="\u1079?\u1072? \u1089?\u1098?\u1079?\u1076?\u1072?\u1074?\u1072?\u1085?\u1077?\u1090?\u1086? \u1085?\u1072? \u1055?\u1088?\u1086?\u1075?\u1088?\u1072?\u1084?\u1072?\u1090?\u1072? \u1079?\u1072? \u1087?\u1086?\u1076?\u1082?\u1088?\u1077?\u1087?\u1072? \u1085?\u1072? \u1088?\u1077?\u1092?\u1086?\u1088?\u1084?\u1080?\u1090?\u1077?"/>
    <w:docVar w:name="LW_PART_NBR" w:val="&lt;UNUSED&gt;"/>
    <w:docVar w:name="LW_PART_NBR_TOTAL" w:val="&lt;UNUSED&gt;"/>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A510-7D18-49E8-ABD9-3744CA4E9A6C}">
  <ds:schemaRefs>
    <ds:schemaRef ds:uri="aa30d10d-b30d-4a7a-9d26-d2ca493895f6"/>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F2CFCE-3B98-4C91-BE3B-00C709DF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07C42-14F7-4BFD-8602-6E01A2834804}">
  <ds:schemaRefs>
    <ds:schemaRef ds:uri="http://schemas.microsoft.com/sharepoint/v3/contenttype/forms"/>
  </ds:schemaRefs>
</ds:datastoreItem>
</file>

<file path=customXml/itemProps4.xml><?xml version="1.0" encoding="utf-8"?>
<ds:datastoreItem xmlns:ds="http://schemas.openxmlformats.org/officeDocument/2006/customXml" ds:itemID="{76D09598-44E9-4853-BCB0-9ADAA759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3379</Words>
  <Characters>20243</Characters>
  <Application>Microsoft Office Word</Application>
  <DocSecurity>0</DocSecurity>
  <Lines>470</Lines>
  <Paragraphs>233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LOMARTIRE Filomena (EMPL)</dc:creator>
  <cp:lastModifiedBy>DIGIT/A3</cp:lastModifiedBy>
  <cp:revision>8</cp:revision>
  <cp:lastPrinted>2018-05-20T11:52:00Z</cp:lastPrinted>
  <dcterms:created xsi:type="dcterms:W3CDTF">2018-06-06T14:57:00Z</dcterms:created>
  <dcterms:modified xsi:type="dcterms:W3CDTF">2018-06-08T10:35:00Z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Created using">
    <vt:lpwstr>LW 6.0, Build 20171009</vt:lpwstr>
  </property>
  <property fmtid="{D5CDD505-2E9C-101B-9397-08002B2CF9AE}" pid="5" name="First annex">
    <vt:lpwstr>1</vt:lpwstr>
  </property>
  <property fmtid="{D5CDD505-2E9C-101B-9397-08002B2CF9AE}" pid="6" name="Last annex">
    <vt:lpwstr>3</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0x010100258AA79CEB83498886A3A08681123250004C19CB19FD2FBA47808508DA40B1A876</vt:lpwstr>
  </property>
  <property fmtid="{D5CDD505-2E9C-101B-9397-08002B2CF9AE}" pid="13" name="Last edited using">
    <vt:lpwstr>LW 6.0, Build 20171009</vt:lpwstr>
  </property>
  <property fmtid="{D5CDD505-2E9C-101B-9397-08002B2CF9AE}" pid="14" name="DQCStatus">
    <vt:lpwstr>Green (DQC version 03)</vt:lpwstr>
  </property>
</Properties>
</file>