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2F394C-2F9A-40BA-813D-75D7F01F19D8" style="width:450.45pt;height:393.2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United Nations Economic Commission for Europe (UNECE) Working Party on customs questions affecting transport and, possibly, at the United Nations Economic Commission for Europe Inland Transport Committee </w:t>
      </w:r>
      <w:r>
        <w:rPr>
          <w:rFonts w:eastAsia="Arial Unicode MS"/>
          <w:noProof/>
        </w:rPr>
        <w:t xml:space="preserve">in connection with the envisaged adoption of </w:t>
      </w:r>
      <w:r>
        <w:rPr>
          <w:noProof/>
        </w:rPr>
        <w:t>a new Convention on the facilitation of border crossing procedures for passengers, luggage and load-luggage carried in international traffic by rail.</w:t>
      </w:r>
    </w:p>
    <w:p>
      <w:pPr>
        <w:pStyle w:val="ManualHeading1"/>
        <w:rPr>
          <w:noProof/>
        </w:rPr>
      </w:pPr>
      <w:r>
        <w:t>2.</w:t>
      </w:r>
      <w:r>
        <w:tab/>
      </w:r>
      <w:r>
        <w:rPr>
          <w:noProof/>
        </w:rPr>
        <w:t>Context of the proposal</w:t>
      </w:r>
    </w:p>
    <w:p>
      <w:pPr>
        <w:pStyle w:val="ManualHeading2"/>
        <w:rPr>
          <w:noProof/>
        </w:rPr>
      </w:pPr>
      <w:r>
        <w:t>2.1.</w:t>
      </w:r>
      <w:r>
        <w:tab/>
      </w:r>
      <w:r>
        <w:rPr>
          <w:noProof/>
        </w:rPr>
        <w:t>The Convention on the facilitation of border crossing procedures for passengers, luggage and load-luggage carried in international traffic by rail</w:t>
      </w:r>
    </w:p>
    <w:p>
      <w:pPr>
        <w:rPr>
          <w:noProof/>
        </w:rPr>
      </w:pPr>
      <w:r>
        <w:rPr>
          <w:rFonts w:eastAsia="Arial Unicode MS"/>
          <w:noProof/>
        </w:rPr>
        <w:t xml:space="preserve">The proposed draft </w:t>
      </w:r>
      <w:r>
        <w:rPr>
          <w:noProof/>
        </w:rPr>
        <w:t>Convention on the facilitation of border crossing procedures for passengers, luggage and load-luggage carried in international traffic by rail</w:t>
      </w:r>
      <w:r>
        <w:rPr>
          <w:rFonts w:eastAsia="Arial Unicode MS"/>
          <w:noProof/>
        </w:rPr>
        <w:t xml:space="preserve"> (‘the proposed draft Convention) </w:t>
      </w:r>
      <w:r>
        <w:rPr>
          <w:noProof/>
        </w:rPr>
        <w:t>was initiated by the Organization for Cooperation between Railways (OSJD) to which 9 Union Member States (Bulgaria, Czech Republic, Slovakia, Poland, Lithuania, Latvia, Hungary, Estonia, Romania) are members and transmitted to the United Nations Economic Commission for Europe by the Government of the Russian Federation.</w:t>
      </w:r>
    </w:p>
    <w:p>
      <w:pPr>
        <w:rPr>
          <w:noProof/>
        </w:rPr>
      </w:pPr>
      <w:r>
        <w:rPr>
          <w:noProof/>
        </w:rPr>
        <w:t>A Convention with a similar scope is already in force – the 1952 International Convention to facilitate the crossing of frontiers for passengers and baggage carried by rail, of which 8 Union Member States (Austria, Belgium, France, Italy, Luxembourg, Netherlands, Portugal, and Sweden</w:t>
      </w:r>
      <w:r>
        <w:rPr>
          <w:rStyle w:val="FootnoteReference"/>
          <w:rFonts w:eastAsiaTheme="majorEastAsia"/>
          <w:noProof/>
        </w:rPr>
        <w:footnoteReference w:id="1"/>
      </w:r>
      <w:r>
        <w:rPr>
          <w:noProof/>
        </w:rPr>
        <w:t xml:space="preserve">) are Contracting Parties. Due to various legal and procedural difficulties, it was not feasible to amend this Convention in order to modernise it. Moreover, member countries of the Organization for Cooperation between Railways supported the idea of drafting a new convention in this field, rather than acceding to the outdated 1952 Convention. </w:t>
      </w:r>
    </w:p>
    <w:p>
      <w:pPr>
        <w:autoSpaceDE w:val="0"/>
        <w:autoSpaceDN w:val="0"/>
        <w:spacing w:before="100" w:beforeAutospacing="1" w:after="100" w:afterAutospacing="1"/>
        <w:rPr>
          <w:noProof/>
          <w:color w:val="000000"/>
          <w:szCs w:val="24"/>
        </w:rPr>
      </w:pPr>
      <w:r>
        <w:rPr>
          <w:noProof/>
          <w:color w:val="000000"/>
          <w:szCs w:val="24"/>
        </w:rPr>
        <w:t>The proposed draft Convention covers three major Union policy areas: railways, customs and the Union acquis on border management. It aims at expediting and simplifying border controls of passenger trains. The main new elements in the draft Convention are joint coordinated controls at borders, instead of two or more consecutive controls on either side of the border; controls on moving trains, where the schedules and stops of the trains so permit and agreeing details of the cooperation by means of bilateral agreements or multilateral arrangements.  This proposal relates to two Union policy areas: railways and customs. The aspect of the Union acquis on border management will be covered by a separate proposal.</w:t>
      </w:r>
    </w:p>
    <w:p>
      <w:pPr>
        <w:pStyle w:val="ManualHeading2"/>
        <w:rPr>
          <w:noProof/>
        </w:rPr>
      </w:pPr>
      <w:r>
        <w:t>2.2.</w:t>
      </w:r>
      <w:r>
        <w:tab/>
      </w:r>
      <w:r>
        <w:rPr>
          <w:noProof/>
        </w:rPr>
        <w:t>The UNECE Working Party on customs questions affecting transport</w:t>
      </w:r>
    </w:p>
    <w:p>
      <w:pPr>
        <w:rPr>
          <w:noProof/>
        </w:rPr>
      </w:pPr>
      <w:r>
        <w:rPr>
          <w:rFonts w:eastAsia="Arial Unicode MS"/>
          <w:noProof/>
        </w:rPr>
        <w:t>The</w:t>
      </w:r>
      <w:r>
        <w:rPr>
          <w:noProof/>
        </w:rPr>
        <w:t xml:space="preserve"> Working Party on customs questions affecting transport is acting within the framework of the policies of the United Nations Economic Commission for Europe and subject to the general supervision of the Inland Transport Committee. The role of the Working Party is to initiate and pursue actions aimed at the harmonisation and simplification of regulations, rules and documentation for border crossing procedures for the various modes of inland transport.</w:t>
      </w:r>
    </w:p>
    <w:p>
      <w:pPr>
        <w:rPr>
          <w:noProof/>
        </w:rPr>
      </w:pPr>
      <w:r>
        <w:rPr>
          <w:noProof/>
        </w:rPr>
        <w:t>The Union is represented in the Working Party of which all Member States of the Union are members with the right to vote.</w:t>
      </w:r>
    </w:p>
    <w:p>
      <w:pPr>
        <w:pStyle w:val="ManualHeading2"/>
        <w:rPr>
          <w:noProof/>
        </w:rPr>
      </w:pPr>
      <w:r>
        <w:lastRenderedPageBreak/>
        <w:t>2.3.</w:t>
      </w:r>
      <w:r>
        <w:tab/>
      </w:r>
      <w:r>
        <w:rPr>
          <w:noProof/>
        </w:rPr>
        <w:t>The envisaged act of the Working Party on customs questions affecting transport</w:t>
      </w:r>
      <w:r>
        <w:t xml:space="preserve"> </w:t>
      </w:r>
    </w:p>
    <w:p>
      <w:pPr>
        <w:rPr>
          <w:rFonts w:eastAsia="Arial Unicode MS"/>
          <w:noProof/>
        </w:rPr>
      </w:pPr>
      <w:r>
        <w:rPr>
          <w:rFonts w:eastAsia="Arial Unicode MS"/>
          <w:noProof/>
        </w:rPr>
        <w:t xml:space="preserve">The </w:t>
      </w:r>
      <w:r>
        <w:rPr>
          <w:noProof/>
        </w:rPr>
        <w:t xml:space="preserve">Working Party on customs questions affecting transport will meet in 2018 on the following dates: </w:t>
      </w:r>
      <w:r>
        <w:rPr>
          <w:rFonts w:eastAsia="Arial Unicode MS"/>
          <w:noProof/>
        </w:rPr>
        <w:t xml:space="preserve">12-14 June and 16-19 October. In one of its meetings, the Working Party is to take a decision on the endorsement of the proposed Convention and on its transmission to the Inland Transport Committee for formal approval which meets once a year in February. </w:t>
      </w:r>
    </w:p>
    <w:p>
      <w:pPr>
        <w:rPr>
          <w:rFonts w:eastAsia="Arial Unicode MS"/>
          <w:noProof/>
        </w:rPr>
      </w:pPr>
      <w:r>
        <w:rPr>
          <w:rFonts w:eastAsia="Arial Unicode MS"/>
          <w:noProof/>
        </w:rPr>
        <w:t>The envisaged act will become binding on the parties in accordance with Article 22</w:t>
      </w:r>
      <w:r>
        <w:t xml:space="preserve"> </w:t>
      </w:r>
      <w:r>
        <w:rPr>
          <w:rFonts w:eastAsia="Arial Unicode MS"/>
          <w:noProof/>
        </w:rPr>
        <w:t>of the draft Convention, which provides:</w:t>
      </w:r>
      <w:r>
        <w:t xml:space="preserve"> </w:t>
      </w:r>
      <w:r>
        <w:rPr>
          <w:rFonts w:eastAsia="Arial Unicode MS"/>
          <w:noProof/>
        </w:rPr>
        <w:t>‘1. This Convention shall enter into force three months after the date on which five States have deposited their instruments of ratification, acceptance, approval or accession. 2. For each State that ratifies, accepts, approves or accedes to this Convention after deposit of the fifth instrument of ratification, acceptance, approval or accession, the Convention shall enter into force three months after the date of deposit by such State of its instrument of ratification, acceptance, approval or accession’</w:t>
      </w:r>
      <w:r>
        <w:t xml:space="preserve">. </w:t>
      </w:r>
    </w:p>
    <w:p>
      <w:pPr>
        <w:pStyle w:val="ManualHeading1"/>
        <w:rPr>
          <w:noProof/>
        </w:rPr>
      </w:pPr>
      <w:r>
        <w:t>3.</w:t>
      </w:r>
      <w:r>
        <w:tab/>
      </w:r>
      <w:r>
        <w:rPr>
          <w:noProof/>
        </w:rPr>
        <w:t>Position to be taken on the Union's behalf</w:t>
      </w:r>
    </w:p>
    <w:p>
      <w:pPr>
        <w:pStyle w:val="ManualHeading2"/>
        <w:rPr>
          <w:noProof/>
        </w:rPr>
      </w:pPr>
      <w:r>
        <w:t>3.1.</w:t>
      </w:r>
      <w:r>
        <w:tab/>
      </w:r>
      <w:r>
        <w:rPr>
          <w:noProof/>
        </w:rPr>
        <w:t xml:space="preserve">Position of the Union </w:t>
      </w:r>
    </w:p>
    <w:p>
      <w:pPr>
        <w:spacing w:before="100" w:beforeAutospacing="1" w:after="100" w:afterAutospacing="1"/>
        <w:rPr>
          <w:noProof/>
          <w:szCs w:val="24"/>
        </w:rPr>
      </w:pPr>
      <w:r>
        <w:rPr>
          <w:noProof/>
          <w:szCs w:val="24"/>
        </w:rPr>
        <w:t xml:space="preserve">The Union shares the objectives of the draft Convention and supports the concept of facilitation of passenger rail transport, but it has not identified any added value or benefits of the draft Convention for the Union or its Member States. The new draft Convention would not make already existing bilateral or multilateral agreements redundant and perhaps not even facilitate new bilateral or multilateral agreements as the draft Convention does not contain a model for such agreements. Many provisions of the draft Convention have a non-binding nature and cannot be implemented without separate arrangements between the parties concerned. So far, the only function that the draft Convention could have would be to serve as a reference for concluding future multilateral and bilateral agreements. </w:t>
      </w:r>
    </w:p>
    <w:p>
      <w:pPr>
        <w:spacing w:before="100" w:beforeAutospacing="1" w:after="100" w:afterAutospacing="1"/>
        <w:rPr>
          <w:noProof/>
          <w:szCs w:val="24"/>
        </w:rPr>
      </w:pPr>
      <w:r>
        <w:rPr>
          <w:noProof/>
          <w:szCs w:val="24"/>
        </w:rPr>
        <w:t xml:space="preserve">From the point of view of </w:t>
      </w:r>
      <w:r>
        <w:rPr>
          <w:b/>
          <w:noProof/>
          <w:szCs w:val="24"/>
        </w:rPr>
        <w:t>Union railway policy</w:t>
      </w:r>
      <w:r>
        <w:rPr>
          <w:noProof/>
          <w:szCs w:val="24"/>
        </w:rPr>
        <w:t xml:space="preserve">, the draft Convention would not have actual effects in the Union, in particular within the Schengen area. Also, in the wider context it was assessed that the draft Convention would primarily aim at setting out references for bilateral agreements but, as such, would not aim at establishing a consistent international legal framework to facilitate passenger traffic. Therefore, the draft Convention, in its present form, is not expected to bring any benefit to the Union and its Member States.   </w:t>
      </w:r>
    </w:p>
    <w:p>
      <w:pPr>
        <w:spacing w:before="100" w:beforeAutospacing="1" w:after="100" w:afterAutospacing="1"/>
        <w:rPr>
          <w:noProof/>
          <w:szCs w:val="24"/>
        </w:rPr>
      </w:pPr>
      <w:r>
        <w:rPr>
          <w:noProof/>
          <w:szCs w:val="24"/>
        </w:rPr>
        <w:t xml:space="preserve">From the point of view of </w:t>
      </w:r>
      <w:r>
        <w:rPr>
          <w:b/>
          <w:noProof/>
          <w:szCs w:val="24"/>
        </w:rPr>
        <w:t>EU customs rules</w:t>
      </w:r>
      <w:r>
        <w:rPr>
          <w:noProof/>
          <w:szCs w:val="24"/>
        </w:rPr>
        <w:t>, the draft Convention in its present form does not bring any benefits or added value for the Union and its Member States. For example, the provisions of this draft Convention do not allow the customs authorities to carry out controls of passengers or of their luggage on moving trains, once a border is crossed, without having any bilateral agreements with neighbouring countries. From the customs point of view, the draft Convention does not harm nor bring any facilitation. However, adhering to a new international Convention makes sense only if it has added value, which is not the case for the Union.</w:t>
      </w:r>
    </w:p>
    <w:p>
      <w:pPr>
        <w:spacing w:before="100" w:beforeAutospacing="1" w:after="100" w:afterAutospacing="1"/>
        <w:contextualSpacing/>
        <w:rPr>
          <w:noProof/>
          <w:szCs w:val="24"/>
        </w:rPr>
      </w:pPr>
      <w:r>
        <w:rPr>
          <w:noProof/>
          <w:szCs w:val="24"/>
        </w:rPr>
        <w:t xml:space="preserve">From a Union </w:t>
      </w:r>
      <w:r>
        <w:rPr>
          <w:b/>
          <w:noProof/>
          <w:szCs w:val="24"/>
        </w:rPr>
        <w:t>institutional point of view</w:t>
      </w:r>
      <w:r>
        <w:rPr>
          <w:noProof/>
          <w:szCs w:val="24"/>
        </w:rPr>
        <w:t xml:space="preserve">, the draft Convention covers matters falling within fields of exclusive and shared Union competence. Member States cannot individually accede to parts of the draft Convention falling within a field of exclusive Union competence. A provision concerning the participation </w:t>
      </w:r>
      <w:r>
        <w:rPr>
          <w:noProof/>
          <w:color w:val="000000"/>
          <w:szCs w:val="24"/>
        </w:rPr>
        <w:t>of the Union as a regional economic integration organisation</w:t>
      </w:r>
      <w:r>
        <w:rPr>
          <w:i/>
          <w:noProof/>
          <w:color w:val="000000"/>
          <w:szCs w:val="24"/>
        </w:rPr>
        <w:t xml:space="preserve"> </w:t>
      </w:r>
      <w:r>
        <w:rPr>
          <w:noProof/>
          <w:szCs w:val="24"/>
        </w:rPr>
        <w:t xml:space="preserve">should have been inserted in the draft Convention in line with the general policy on institutional policy– to allow the Union to accede to the Convention. </w:t>
      </w:r>
    </w:p>
    <w:p>
      <w:pPr>
        <w:spacing w:before="100" w:beforeAutospacing="1" w:after="100" w:afterAutospacing="1"/>
        <w:contextualSpacing/>
        <w:rPr>
          <w:noProof/>
          <w:szCs w:val="24"/>
        </w:rPr>
      </w:pPr>
    </w:p>
    <w:p>
      <w:pPr>
        <w:spacing w:before="100" w:beforeAutospacing="1" w:after="100" w:afterAutospacing="1"/>
        <w:rPr>
          <w:noProof/>
        </w:rPr>
      </w:pPr>
      <w:r>
        <w:rPr>
          <w:noProof/>
        </w:rPr>
        <w:t>Even if the Union seems not to have reasons to accede to the proposed Convention, in accordance with its general policy on institutional aspects, any new international Convention should contain a clause allowing participation of regional economic integration organisations.</w:t>
      </w:r>
    </w:p>
    <w:p>
      <w:pPr>
        <w:rPr>
          <w:noProof/>
        </w:rPr>
      </w:pPr>
      <w:r>
        <w:rPr>
          <w:noProof/>
        </w:rPr>
        <w:t>The United Nations Economic Commission for Europe Inland Transport Committee at its 81st session in February 2019 or at a subsequent session, subject to the endorsement of the draft Convention by the Working Party on customs questions affecting transport, may proceed to a vote on the adoption of the Convention and request the secretariat to transmit it to the Secretary-General of the United Nations in his capacity as depository. It is therefore important to establish a Union position to be able to react in such potential scenario. In matters of exclusive competence, the Commission will vote for the Union.</w:t>
      </w:r>
    </w:p>
    <w:p>
      <w:pPr>
        <w:pBdr>
          <w:top w:val="nil"/>
          <w:left w:val="nil"/>
          <w:bottom w:val="nil"/>
          <w:right w:val="nil"/>
          <w:between w:val="nil"/>
          <w:bar w:val="nil"/>
        </w:pBdr>
        <w:spacing w:before="0" w:after="240"/>
        <w:rPr>
          <w:rFonts w:eastAsia="Arial Unicode MS"/>
          <w:noProof/>
        </w:rPr>
      </w:pPr>
      <w:r>
        <w:rPr>
          <w:noProof/>
        </w:rPr>
        <w:t xml:space="preserve">A large range of public and private sector experts has been consulted during the preparation of the proposed Convention. </w:t>
      </w:r>
      <w:r>
        <w:rPr>
          <w:rFonts w:eastAsia="Arial Unicode MS"/>
          <w:noProof/>
          <w:u w:color="000000"/>
          <w:bdr w:val="nil"/>
          <w:lang w:val="en-US"/>
        </w:rPr>
        <w:tab/>
      </w:r>
    </w:p>
    <w:p>
      <w:pPr>
        <w:rPr>
          <w:noProof/>
        </w:rPr>
      </w:pPr>
      <w:r>
        <w:rPr>
          <w:noProof/>
        </w:rPr>
        <w:t xml:space="preserve">Consultations were carried out with the Member States within the Customs Legislation Committee (Geneva coordination), one of which was held jointly </w:t>
      </w:r>
      <w:r>
        <w:rPr>
          <w:noProof/>
          <w:szCs w:val="24"/>
        </w:rPr>
        <w:t xml:space="preserve">with experts from the Single European Railway Area Committee, Justice and Home Affairs counsellors, transport attachés and representatives </w:t>
      </w:r>
      <w:r>
        <w:rPr>
          <w:noProof/>
        </w:rPr>
        <w:t>from the Commission Directorates-General responsible for Mobility and Transport  and for Migration and Home affairs  (23.1.2017). Consultations were also carried out with the Customs Expert Group.</w:t>
      </w:r>
    </w:p>
    <w:p>
      <w:pPr>
        <w:rPr>
          <w:noProof/>
        </w:rPr>
      </w:pPr>
      <w:r>
        <w:rPr>
          <w:noProof/>
        </w:rPr>
        <w:t>Further consultations took place during sessions of the Working Party on Customs Questions Affecting Transport and Working Party on Rail Transport of the United Nations Economic Commission for Europe.</w:t>
      </w:r>
    </w:p>
    <w:p>
      <w:pPr>
        <w:rPr>
          <w:noProof/>
        </w:rPr>
      </w:pPr>
      <w:r>
        <w:rPr>
          <w:noProof/>
        </w:rPr>
        <w:t>Discussions in the relevant fora of the United Nations Economic Commission for Europe, followed either by the Commission Directorate-General responsible for Taxation and Customs Union or the Directorate-General responsible for Mobility and Transport, have been preceded by coordination activities between the above-mentioned Directorate Generals and the Directorate-General responsible for Migration and Home affairs as the draft Convention touches upon policy areas falling under the respective remits of the three Directorate-Generals.</w:t>
      </w:r>
    </w:p>
    <w:p>
      <w:pPr>
        <w:rPr>
          <w:noProof/>
        </w:rPr>
      </w:pPr>
      <w:r>
        <w:rPr>
          <w:noProof/>
        </w:rPr>
        <w:t>Internal coordination as well as the joint discussions with Member States in the framework of the Customs Legislation Committee and Customs Expert clearly showed that there is no interest, neither for Union Member States nor the Union itself, to accede to the draft Convention as it does not bring any benefits or added value in all fields concerned, i.e. in the two Union policy areas covered by this proposal and also the Union institutional point of view.</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xml:space="preserve">’ includes acts that have legal effects by virtue of the rules of international law governing the body in question. It also includes instruments that do </w:t>
      </w:r>
      <w:r>
        <w:rPr>
          <w:noProof/>
        </w:rPr>
        <w:lastRenderedPageBreak/>
        <w:t>not have a binding effect under international law, but that are ‘</w:t>
      </w:r>
      <w:r>
        <w:rPr>
          <w:i/>
          <w:noProof/>
        </w:rPr>
        <w:t>capable of decisively influencing the content of the legislation adopted by the Union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act which the Working Party on customs questions affecting transport and the United Nations Economic Commission for Europe Inland Transport Committee are called upon to adopt constitutes an act having legal effects. The envisaged act will be binding under international law in accordance with Article 22 of the draft Convention.</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u w:color="000000"/>
          <w:bdr w:val="nil"/>
        </w:rPr>
      </w:pPr>
      <w:r>
        <w:t>4.2.</w:t>
      </w:r>
      <w:r>
        <w:tab/>
      </w:r>
      <w:r>
        <w:rPr>
          <w:noProof/>
          <w:u w:color="000000"/>
          <w:bdr w:val="nil"/>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rPr>
      </w:pPr>
      <w:r>
        <w:rPr>
          <w:noProof/>
        </w:rPr>
        <w:t>The envisaged act pursues objectives and has components in the area of customs cooperation and the common commercial policy. These elements of the envisaged act are inseparably linked without one being incidental to the other.</w:t>
      </w:r>
    </w:p>
    <w:p>
      <w:pPr>
        <w:rPr>
          <w:noProof/>
        </w:rPr>
      </w:pPr>
      <w:r>
        <w:rPr>
          <w:noProof/>
        </w:rPr>
        <w:t>Therefore, the substantive legal basis of the proposed decision comprises the following provisions: Articles 33 and 207, paragraph 3, first subparagraph TFEU.</w:t>
      </w:r>
    </w:p>
    <w:p>
      <w:pPr>
        <w:rPr>
          <w:noProof/>
        </w:rPr>
      </w:pPr>
    </w:p>
    <w:p>
      <w:pPr>
        <w:pStyle w:val="ManualHeading2"/>
        <w:rPr>
          <w:noProof/>
        </w:rPr>
      </w:pPr>
      <w:r>
        <w:t>4.3.</w:t>
      </w:r>
      <w:r>
        <w:tab/>
      </w:r>
      <w:r>
        <w:rPr>
          <w:noProof/>
        </w:rPr>
        <w:t>Conclusion</w:t>
      </w:r>
    </w:p>
    <w:p>
      <w:pPr>
        <w:rPr>
          <w:noProof/>
        </w:rPr>
      </w:pPr>
      <w:r>
        <w:rPr>
          <w:noProof/>
        </w:rPr>
        <w:t>The legal basis of the proposed decision should be Articles 33 and 207, paragraph 3, first subparagraph, in conjunction with Article 218(9) TFEU.</w:t>
      </w:r>
    </w:p>
    <w:p>
      <w:pPr>
        <w:rPr>
          <w:noProof/>
        </w:rPr>
      </w:pPr>
    </w:p>
    <w:p>
      <w:pPr>
        <w:rPr>
          <w:noProof/>
        </w:rPr>
      </w:pP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2018/0234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United Nations Economic Commission for Europe Working Party on customs questions affecting transport and in the Inland Transport Committee in connection with the envisaged adoption of a new Convention on the facilitation of border crossing procedures for passengers, luggage and load-luggage carried in international traffic by rail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33 and 207, paragraph 3,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 new United Nations Economic Commission for Europe (UNECE) Convention on the facilitation of border crossing procedures for passengers, luggage and load-luggage carried in international traffic by rail is proposed by the Russian Federation and supported by the Organisation for cooperation between railways (OSJD).</w:t>
      </w:r>
    </w:p>
    <w:p>
      <w:pPr>
        <w:pStyle w:val="ManualConsidrant"/>
        <w:rPr>
          <w:noProof/>
        </w:rPr>
      </w:pPr>
      <w:r>
        <w:t>(2)</w:t>
      </w:r>
      <w:r>
        <w:tab/>
      </w:r>
      <w:r>
        <w:rPr>
          <w:noProof/>
        </w:rPr>
        <w:t>The Working Party on customs questions affecting transport is acting within the framework of the policies of the UNECE and subject to the general supervision of the Inland Transport Committee. The role of the Working Party is to initiate and pursue actions aimed at the harmonization and simplification of regulations, rules and documentation for border crossing procedures for the various modes of inland transport.</w:t>
      </w:r>
    </w:p>
    <w:p>
      <w:pPr>
        <w:pStyle w:val="ManualConsidrant"/>
        <w:rPr>
          <w:noProof/>
          <w:color w:val="000000" w:themeColor="text1"/>
        </w:rPr>
      </w:pPr>
      <w:r>
        <w:t>(3)</w:t>
      </w:r>
      <w:r>
        <w:tab/>
      </w:r>
      <w:r>
        <w:rPr>
          <w:noProof/>
        </w:rPr>
        <w:t>The UNECE Working Party on customs questions affecting transport, during its 149</w:t>
      </w:r>
      <w:r>
        <w:rPr>
          <w:noProof/>
          <w:vertAlign w:val="superscript"/>
        </w:rPr>
        <w:t>th</w:t>
      </w:r>
      <w:r>
        <w:rPr>
          <w:noProof/>
        </w:rPr>
        <w:t xml:space="preserve"> session on 12 to 14 June 2018, or in the subsequent session, is to take a decision on the endorsement of the proposed Convention on the facilitation of border crossing procedures for passengers, luggage and load-luggage carried in international traffic by rail and on its transmission to the Inland Transport Committee for formal approval.</w:t>
      </w:r>
    </w:p>
    <w:p>
      <w:pPr>
        <w:pStyle w:val="ManualConsidrant"/>
        <w:rPr>
          <w:noProof/>
          <w:color w:val="000000" w:themeColor="text1"/>
        </w:rPr>
      </w:pPr>
      <w:r>
        <w:t>(4)</w:t>
      </w:r>
      <w:r>
        <w:tab/>
      </w:r>
      <w:r>
        <w:rPr>
          <w:noProof/>
        </w:rPr>
        <w:t>The Union is represented in the UNECE Working Party on customs questions affecting transport of which currently the 28 Member States of the Union are members with the right to vote. In matters of exclusive competence, the position of the EU is expressed by the Commission on behalf of the Union and its Member States.</w:t>
      </w:r>
    </w:p>
    <w:p>
      <w:pPr>
        <w:pStyle w:val="ManualConsidrant"/>
        <w:rPr>
          <w:noProof/>
        </w:rPr>
      </w:pPr>
      <w:r>
        <w:t>(5)</w:t>
      </w:r>
      <w:r>
        <w:tab/>
      </w:r>
      <w:r>
        <w:rPr>
          <w:noProof/>
        </w:rPr>
        <w:t xml:space="preserve">The draft Convention appears to regulate a variety of aspects, some falling within fields of exclusive competence of the Union , some within fields of shared competence between the Union and the Member States. </w:t>
      </w:r>
    </w:p>
    <w:p>
      <w:pPr>
        <w:pStyle w:val="ManualConsidrant"/>
        <w:rPr>
          <w:noProof/>
          <w:color w:val="000000" w:themeColor="text1"/>
        </w:rPr>
      </w:pPr>
      <w:r>
        <w:t>(6)</w:t>
      </w:r>
      <w:r>
        <w:tab/>
      </w:r>
      <w:r>
        <w:rPr>
          <w:noProof/>
        </w:rPr>
        <w:t>As the proposed Convention concerns matters that fall under the exclusive competence of the Union, it is necessary for the Council to establish a Union position on the draft Convention.</w:t>
      </w:r>
    </w:p>
    <w:p>
      <w:pPr>
        <w:pStyle w:val="ManualConsidrant"/>
        <w:rPr>
          <w:noProof/>
        </w:rPr>
      </w:pPr>
      <w:r>
        <w:lastRenderedPageBreak/>
        <w:t>(7)</w:t>
      </w:r>
      <w:r>
        <w:tab/>
      </w:r>
      <w:r>
        <w:rPr>
          <w:noProof/>
        </w:rPr>
        <w:t xml:space="preserve">The Convention contains general provisions on how to organise border controls of passenger trains. It can be seen as basis for any </w:t>
      </w:r>
      <w:r>
        <w:rPr>
          <w:noProof/>
          <w:szCs w:val="24"/>
        </w:rPr>
        <w:t xml:space="preserve">multilateral and </w:t>
      </w:r>
      <w:r>
        <w:rPr>
          <w:noProof/>
        </w:rPr>
        <w:t>bilateral agreements in the absence of which none of the elements covered by the Convention could work.</w:t>
      </w:r>
    </w:p>
    <w:p>
      <w:pPr>
        <w:pStyle w:val="ManualConsidrant"/>
        <w:rPr>
          <w:noProof/>
        </w:rPr>
      </w:pPr>
      <w:r>
        <w:t>(8)</w:t>
      </w:r>
      <w:r>
        <w:tab/>
      </w:r>
      <w:r>
        <w:rPr>
          <w:noProof/>
        </w:rPr>
        <w:t xml:space="preserve">For the Union's Member States, such bilateral agreements can be concluded even without the proposed Convention. For Russia and some other countries represented in the OSJD, the legal framework seems to necessitate such a Convention in order to make it easier to conclude </w:t>
      </w:r>
      <w:r>
        <w:rPr>
          <w:noProof/>
          <w:szCs w:val="24"/>
        </w:rPr>
        <w:t xml:space="preserve">multilateral and </w:t>
      </w:r>
      <w:r>
        <w:rPr>
          <w:noProof/>
        </w:rPr>
        <w:t xml:space="preserve">bilateral agreements.  </w:t>
      </w:r>
    </w:p>
    <w:p>
      <w:pPr>
        <w:pStyle w:val="ManualConsidrant"/>
        <w:rPr>
          <w:noProof/>
        </w:rPr>
      </w:pPr>
      <w:r>
        <w:t>(9)</w:t>
      </w:r>
      <w:r>
        <w:tab/>
      </w:r>
      <w:r>
        <w:rPr>
          <w:noProof/>
        </w:rPr>
        <w:t xml:space="preserve">The substance of the proposed Convention appears to have neither beneficial nor adverse effects for the Union's Member States. Therefore the Union shall not support the proposed Convention but has no reason to block its adoption. </w:t>
      </w:r>
    </w:p>
    <w:p>
      <w:pPr>
        <w:pStyle w:val="ManualConsidrant"/>
        <w:rPr>
          <w:noProof/>
        </w:rPr>
      </w:pPr>
      <w:r>
        <w:t>(10)</w:t>
      </w:r>
      <w:r>
        <w:tab/>
      </w:r>
      <w:r>
        <w:rPr>
          <w:noProof/>
        </w:rPr>
        <w:t>Even if it does not appear to be in the Union's interest to accede to the proposed Convention, in accordance with its general policy on institutional aspects, any new international Convention should contain a clause allowing for the participation of regional economic integration organisations. The proposed draft Convention does not contain a clause which would allow the Union to accede to the Convention.</w:t>
      </w:r>
    </w:p>
    <w:p>
      <w:pPr>
        <w:pStyle w:val="ManualConsidrant"/>
        <w:rPr>
          <w:noProof/>
        </w:rPr>
      </w:pPr>
      <w:r>
        <w:t>(11)</w:t>
      </w:r>
      <w:r>
        <w:tab/>
      </w:r>
      <w:r>
        <w:rPr>
          <w:noProof/>
        </w:rPr>
        <w:t>Therefore, the Union position in the UNECE Working Party on customs questions affecting transport should be neutral if a clause allowing for the participation of regional economic integration organisations is inserted. In such case,  the Union should abstain. Otherwise the Union should vote against the adoption of the proposed</w:t>
      </w:r>
      <w:r>
        <w:rPr>
          <w:rFonts w:asciiTheme="majorBidi" w:hAnsiTheme="majorBidi" w:cstheme="majorBidi"/>
          <w:noProof/>
          <w:szCs w:val="24"/>
        </w:rPr>
        <w:t xml:space="preserve"> </w:t>
      </w:r>
      <w:r>
        <w:rPr>
          <w:noProof/>
        </w:rPr>
        <w:t>Convention.</w:t>
      </w:r>
    </w:p>
    <w:p>
      <w:pPr>
        <w:pStyle w:val="ManualConsidrant"/>
        <w:rPr>
          <w:noProof/>
        </w:rPr>
      </w:pPr>
      <w:r>
        <w:t>(12)</w:t>
      </w:r>
      <w:r>
        <w:tab/>
      </w:r>
      <w:r>
        <w:rPr>
          <w:noProof/>
        </w:rPr>
        <w:t>It is appropriate to establish the position to be taken on the Union's behalf in the UNECE Working Party on customs questions affecting transport and in the Inland Transport Committee,</w:t>
      </w:r>
    </w:p>
    <w:p>
      <w:pPr>
        <w:pStyle w:val="Formuledadoption"/>
        <w:rPr>
          <w:noProof/>
        </w:rPr>
      </w:pPr>
      <w:r>
        <w:rPr>
          <w:noProof/>
        </w:rPr>
        <w:t>HAS ADOPTED THIS DECISION:</w:t>
      </w:r>
    </w:p>
    <w:p>
      <w:pPr>
        <w:pStyle w:val="Titrearticle"/>
        <w:rPr>
          <w:noProof/>
        </w:rPr>
      </w:pPr>
      <w:r>
        <w:rPr>
          <w:noProof/>
        </w:rPr>
        <w:t>Article 1</w:t>
      </w:r>
    </w:p>
    <w:p>
      <w:pPr>
        <w:rPr>
          <w:bCs/>
          <w:noProof/>
          <w:szCs w:val="24"/>
        </w:rPr>
      </w:pPr>
      <w:r>
        <w:rPr>
          <w:noProof/>
        </w:rPr>
        <w:t xml:space="preserve">The position to be taken on the Union's behalf in the sessions of the UNECE Working Party on customs questions affecting transport and Inland Transport Committee concerning the proposed </w:t>
      </w:r>
      <w:r>
        <w:rPr>
          <w:noProof/>
          <w:szCs w:val="24"/>
        </w:rPr>
        <w:t xml:space="preserve">new UNECE convention on the facilitation of border crossing procedures for passengers, luggage and load-luggage carried in international traffic by rail </w:t>
      </w:r>
      <w:r>
        <w:rPr>
          <w:bCs/>
          <w:noProof/>
          <w:szCs w:val="24"/>
        </w:rPr>
        <w:t>shall be the following:</w:t>
      </w:r>
    </w:p>
    <w:p>
      <w:pPr>
        <w:rPr>
          <w:noProof/>
          <w:szCs w:val="24"/>
        </w:rPr>
      </w:pPr>
      <w:r>
        <w:rPr>
          <w:noProof/>
        </w:rPr>
        <w:t xml:space="preserve">The Union's position on </w:t>
      </w:r>
      <w:r>
        <w:rPr>
          <w:noProof/>
          <w:szCs w:val="24"/>
        </w:rPr>
        <w:t xml:space="preserve">the draft Convention shall be to abstain if the clause allowing for the participation </w:t>
      </w:r>
      <w:r>
        <w:rPr>
          <w:noProof/>
          <w:color w:val="000000"/>
          <w:szCs w:val="24"/>
        </w:rPr>
        <w:t>of regional economic integration organisations is introduced. If such clause is not introduced, the Union shall vote against</w:t>
      </w:r>
      <w:r>
        <w:rPr>
          <w:noProof/>
          <w:szCs w:val="24"/>
        </w:rPr>
        <w:t>.</w:t>
      </w:r>
    </w:p>
    <w:p>
      <w:pPr>
        <w:pStyle w:val="Titrearticle"/>
        <w:rPr>
          <w:noProof/>
        </w:rPr>
      </w:pPr>
      <w:r>
        <w:rPr>
          <w:noProof/>
        </w:rPr>
        <w:t>Article 2</w:t>
      </w:r>
    </w:p>
    <w:p>
      <w:pPr>
        <w:rPr>
          <w:noProof/>
        </w:rPr>
      </w:pPr>
      <w:r>
        <w:rPr>
          <w:noProof/>
        </w:rPr>
        <w:t>The position referred to in Article 1 shall be expressed by the Commission on behalf of the Union and its Member States which are members of the UNECE Working Party on customs questions affecting transport and Inland Transport Committee.</w:t>
      </w:r>
    </w:p>
    <w:p>
      <w:pPr>
        <w:pStyle w:val="Titrearticle"/>
        <w:rPr>
          <w:noProof/>
        </w:rPr>
      </w:pPr>
      <w:r>
        <w:rPr>
          <w:noProof/>
        </w:rPr>
        <w:t>Article 3</w:t>
      </w:r>
    </w:p>
    <w:p>
      <w:pPr>
        <w:keepNext/>
        <w:keepLines/>
        <w:rPr>
          <w:noProof/>
        </w:rPr>
      </w:pPr>
      <w:r>
        <w:rPr>
          <w:noProof/>
        </w:rPr>
        <w:t>This Decision is addressed to the Commission and to the Member States.</w:t>
      </w:r>
    </w:p>
    <w:p>
      <w:pPr>
        <w:pStyle w:val="Fait"/>
        <w:rPr>
          <w:noProof/>
        </w:rPr>
      </w:pPr>
      <w:r>
        <w:lastRenderedPageBreak/>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en-US"/>
        </w:rPr>
      </w:pPr>
      <w:r>
        <w:rPr>
          <w:rStyle w:val="FootnoteReference"/>
          <w:rFonts w:eastAsiaTheme="majorEastAsia"/>
        </w:rPr>
        <w:footnoteRef/>
      </w:r>
      <w:r>
        <w:tab/>
      </w:r>
      <w:r>
        <w:rPr>
          <w:lang w:val="en-US"/>
        </w:rPr>
        <w:t>Signed, but did not ratify</w:t>
      </w:r>
    </w:p>
  </w:footnote>
  <w:footnote w:id="2">
    <w:p>
      <w:pPr>
        <w:pStyle w:val="FootnoteText"/>
      </w:pPr>
      <w:r>
        <w:rPr>
          <w:rStyle w:val="FootnoteReference"/>
        </w:rPr>
        <w:footnoteRef/>
      </w:r>
      <w:r>
        <w:tab/>
        <w:t xml:space="preserve">Judgment of the Court of Justice of 7 October 2014, Germany v Council, Case C-399/12, ECLI:EU:C:2014:2258, paragraphs 61to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13: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2F394C-2F9A-40BA-813D-75D7F01F19D8"/>
    <w:docVar w:name="LW_COVERPAGE_TYPE" w:val="1"/>
    <w:docVar w:name="LW_CROSSREFERENCE" w:val="&lt;UNUSED&gt;"/>
    <w:docVar w:name="LW_DocType" w:val="COM"/>
    <w:docVar w:name="LW_EMISSION" w:val="8.6.2018"/>
    <w:docVar w:name="LW_EMISSION_ISODATE" w:val="2018-06-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4"/>
    <w:docVar w:name="LW_REF.II.NEW.CP_YEAR" w:val="2018"/>
    <w:docVar w:name="LW_REF.INST.NEW" w:val="COM"/>
    <w:docVar w:name="LW_REF.INST.NEW_ADOPTED" w:val="final"/>
    <w:docVar w:name="LW_REF.INST.NEW_TEXT" w:val="(2018)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United Nations Economic Commission for Europe Working Party on customs questions affecting transport and in the Inland Transport Committee in connection with the envisaged adoption of a new Convention on the facilitation of border crossing procedures for passengers, luggage and load-luggage carried in international traffic by rai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yle1">
    <w:name w:val="Style1"/>
    <w:basedOn w:val="Text1"/>
    <w:qForma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yle1">
    <w:name w:val="Style1"/>
    <w:basedOn w:val="Text1"/>
    <w:qForma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82493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5A9D3480-82B5-41F8-A6FD-28D29C99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2764</Words>
  <Characters>15094</Characters>
  <Application>Microsoft Office Word</Application>
  <DocSecurity>0</DocSecurity>
  <Lines>247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2018-05-15T07:58:00Z</dcterms:created>
  <dcterms:modified xsi:type="dcterms:W3CDTF">2018-05-30T07:13:00Z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