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4D" w:rsidRDefault="008303B5" w:rsidP="008303B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F58942F-BE6E-42BB-B90D-FB6E68153EA5" style="width:450.75pt;height:381pt">
            <v:imagedata r:id="rId8" o:title=""/>
          </v:shape>
        </w:pict>
      </w:r>
    </w:p>
    <w:bookmarkEnd w:id="0"/>
    <w:p w:rsidR="00F9304D" w:rsidRDefault="00F9304D">
      <w:pPr>
        <w:rPr>
          <w:noProof/>
        </w:rPr>
        <w:sectPr w:rsidR="00F9304D" w:rsidSect="008303B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9304D" w:rsidRDefault="008303B5">
      <w:pPr>
        <w:pStyle w:val="Corpo"/>
        <w:rPr>
          <w:rFonts w:ascii="Times New Roman" w:hAnsi="Times New Roman" w:cs="Times New Roman"/>
          <w:noProof/>
          <w:sz w:val="24"/>
          <w:szCs w:val="24"/>
        </w:rPr>
      </w:pPr>
      <w:r>
        <w:rPr>
          <w:rFonts w:ascii="Times New Roman" w:hAnsi="Times New Roman"/>
          <w:noProof/>
          <w:sz w:val="24"/>
        </w:rPr>
        <w:lastRenderedPageBreak/>
        <w:t xml:space="preserve">ЕС играе водеща роля в света по отношение на защитата на околната среда и на действията по климата и — както беше потвърдено в речта на председателя Юнкер </w:t>
      </w:r>
      <w:r>
        <w:rPr>
          <w:rFonts w:ascii="Times New Roman" w:hAnsi="Times New Roman"/>
          <w:i/>
          <w:noProof/>
          <w:sz w:val="24"/>
        </w:rPr>
        <w:t>за състоянието на Съюза</w:t>
      </w:r>
      <w:r>
        <w:rPr>
          <w:rFonts w:ascii="Times New Roman" w:hAnsi="Times New Roman"/>
          <w:noProof/>
          <w:sz w:val="24"/>
        </w:rPr>
        <w:t xml:space="preserve"> през 2017 г.</w:t>
      </w:r>
      <w:r>
        <w:rPr>
          <w:rStyle w:val="FootnoteReference"/>
          <w:noProof/>
          <w:sz w:val="24"/>
        </w:rPr>
        <w:footnoteReference w:id="1"/>
      </w:r>
      <w:r>
        <w:rPr>
          <w:rFonts w:ascii="Times New Roman" w:hAnsi="Times New Roman"/>
          <w:noProof/>
          <w:sz w:val="24"/>
        </w:rPr>
        <w:t xml:space="preserve"> — иска да доразвие тази своя роля</w:t>
      </w:r>
      <w:r>
        <w:rPr>
          <w:rStyle w:val="FootnoteReference"/>
          <w:noProof/>
          <w:sz w:val="24"/>
        </w:rPr>
        <w:footnoteReference w:id="2"/>
      </w:r>
      <w:r>
        <w:rPr>
          <w:rFonts w:ascii="Times New Roman" w:hAnsi="Times New Roman"/>
          <w:noProof/>
          <w:sz w:val="24"/>
        </w:rPr>
        <w:t>.</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t>Програмата LIFE е единствен</w:t>
      </w:r>
      <w:r>
        <w:rPr>
          <w:rFonts w:ascii="Times New Roman" w:hAnsi="Times New Roman"/>
          <w:noProof/>
          <w:sz w:val="24"/>
        </w:rPr>
        <w:t>ият фонд на ЕС, който е предназначен изцяло за целите, свързани с околната среда и климата. Със скромния си бюджет тя е насочена към ниша между програмите на ЕС в подкрепа на научните изследвания и иновациите, от една страна, и програмите на ЕС, с които се</w:t>
      </w:r>
      <w:r>
        <w:rPr>
          <w:rFonts w:ascii="Times New Roman" w:hAnsi="Times New Roman"/>
          <w:noProof/>
          <w:sz w:val="24"/>
        </w:rPr>
        <w:t xml:space="preserve"> финансира широкомащабното внедряване на мерки, от друга страна.</w:t>
      </w:r>
    </w:p>
    <w:p w:rsidR="00F9304D" w:rsidRDefault="008303B5">
      <w:pPr>
        <w:spacing w:after="60" w:line="240" w:lineRule="auto"/>
        <w:jc w:val="both"/>
        <w:rPr>
          <w:rFonts w:ascii="Times New Roman" w:hAnsi="Times New Roman" w:cs="Times New Roman"/>
          <w:noProof/>
          <w:sz w:val="24"/>
          <w:szCs w:val="24"/>
        </w:rPr>
      </w:pPr>
      <w:r>
        <w:rPr>
          <w:rFonts w:ascii="Times New Roman" w:hAnsi="Times New Roman"/>
          <w:noProof/>
          <w:sz w:val="24"/>
        </w:rPr>
        <w:t xml:space="preserve">Докато някои дейности в рамките на програмата LIFE са насочени пряко до разрешаването на определени проблеми на място, програмата действа главно непряко, тъй като нейната роля на катализатор </w:t>
      </w:r>
      <w:r>
        <w:rPr>
          <w:rFonts w:ascii="Times New Roman" w:hAnsi="Times New Roman"/>
          <w:noProof/>
          <w:sz w:val="24"/>
        </w:rPr>
        <w:t>е насочена към започване и разширяване на практики на устойчиво производство, дистрибуция и потребление, или ускоряване на тяхно разпространение, чрез подкрепа на</w:t>
      </w:r>
    </w:p>
    <w:p w:rsidR="00F9304D" w:rsidRDefault="008303B5">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noProof/>
          <w:sz w:val="24"/>
        </w:rPr>
        <w:t>разработването и обмена на най-добри практики и знания,</w:t>
      </w:r>
    </w:p>
    <w:p w:rsidR="00F9304D" w:rsidRDefault="008303B5">
      <w:pPr>
        <w:pStyle w:val="ListParagraph"/>
        <w:numPr>
          <w:ilvl w:val="0"/>
          <w:numId w:val="13"/>
        </w:numPr>
        <w:spacing w:after="60" w:line="240" w:lineRule="auto"/>
        <w:ind w:left="709" w:hanging="283"/>
        <w:contextualSpacing w:val="0"/>
        <w:jc w:val="both"/>
        <w:rPr>
          <w:rFonts w:ascii="Times New Roman" w:hAnsi="Times New Roman" w:cs="Times New Roman"/>
          <w:noProof/>
          <w:sz w:val="24"/>
          <w:szCs w:val="24"/>
        </w:rPr>
      </w:pPr>
      <w:r>
        <w:rPr>
          <w:rFonts w:ascii="Times New Roman" w:hAnsi="Times New Roman"/>
          <w:noProof/>
          <w:sz w:val="24"/>
        </w:rPr>
        <w:t xml:space="preserve">изграждането на капацитет и </w:t>
      </w:r>
      <w:r>
        <w:rPr>
          <w:rFonts w:ascii="Times New Roman" w:hAnsi="Times New Roman"/>
          <w:noProof/>
          <w:sz w:val="24"/>
        </w:rPr>
        <w:t>ускоряване на изпълнението на законодателството и политиките в областта на околната среда и климата,</w:t>
      </w:r>
    </w:p>
    <w:p w:rsidR="00F9304D" w:rsidRDefault="008303B5">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noProof/>
          <w:sz w:val="24"/>
        </w:rPr>
        <w:t>изпробването на технологии и решения с ограничен мащаб от страна на заинтересованите страни и</w:t>
      </w:r>
    </w:p>
    <w:p w:rsidR="00F9304D" w:rsidRDefault="008303B5">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noProof/>
          <w:sz w:val="24"/>
        </w:rPr>
        <w:t>мобилизирането на средства от други източници.</w:t>
      </w:r>
    </w:p>
    <w:p w:rsidR="00F9304D" w:rsidRDefault="008303B5">
      <w:pPr>
        <w:pStyle w:val="Corpo"/>
        <w:rPr>
          <w:rFonts w:ascii="Times New Roman" w:hAnsi="Times New Roman" w:cs="Times New Roman"/>
          <w:noProof/>
          <w:sz w:val="24"/>
          <w:szCs w:val="24"/>
        </w:rPr>
      </w:pPr>
      <w:r>
        <w:rPr>
          <w:rFonts w:ascii="Times New Roman" w:hAnsi="Times New Roman"/>
          <w:noProof/>
          <w:sz w:val="24"/>
        </w:rPr>
        <w:t>Настоящата оце</w:t>
      </w:r>
      <w:r>
        <w:rPr>
          <w:rFonts w:ascii="Times New Roman" w:hAnsi="Times New Roman"/>
          <w:noProof/>
          <w:sz w:val="24"/>
        </w:rPr>
        <w:t>нка на въздействието придружава предложението на Комисията за бъдещата програма LIFE за околната среда и действията по климата за периода след 2020 г. и отговаря на изискванията на Финансовия регламент по отношение на изготвянето на предварителна оценка.</w:t>
      </w:r>
    </w:p>
    <w:p w:rsidR="00F9304D" w:rsidRDefault="008303B5">
      <w:pPr>
        <w:spacing w:after="120" w:line="240" w:lineRule="auto"/>
        <w:jc w:val="both"/>
        <w:rPr>
          <w:rFonts w:ascii="Times New Roman" w:hAnsi="Times New Roman" w:cs="Times New Roman"/>
          <w:b/>
          <w:i/>
          <w:noProof/>
          <w:sz w:val="24"/>
          <w:szCs w:val="24"/>
        </w:rPr>
      </w:pPr>
      <w:r>
        <w:rPr>
          <w:rFonts w:ascii="Times New Roman" w:hAnsi="Times New Roman"/>
          <w:b/>
          <w:i/>
          <w:noProof/>
          <w:sz w:val="24"/>
        </w:rPr>
        <w:t>П</w:t>
      </w:r>
      <w:r>
        <w:rPr>
          <w:rFonts w:ascii="Times New Roman" w:hAnsi="Times New Roman"/>
          <w:b/>
          <w:i/>
          <w:noProof/>
          <w:sz w:val="24"/>
        </w:rPr>
        <w:t>редизвикателства и възможности за програма LIFE за следващата МФР</w:t>
      </w:r>
    </w:p>
    <w:p w:rsidR="00F9304D" w:rsidRDefault="008303B5">
      <w:pPr>
        <w:spacing w:after="120" w:line="240" w:lineRule="auto"/>
        <w:jc w:val="both"/>
        <w:rPr>
          <w:rFonts w:ascii="Times New Roman" w:eastAsia="Calibri" w:hAnsi="Times New Roman" w:cs="Times New Roman"/>
          <w:noProof/>
          <w:sz w:val="24"/>
          <w:szCs w:val="24"/>
        </w:rPr>
      </w:pPr>
      <w:r>
        <w:rPr>
          <w:rFonts w:ascii="Times New Roman" w:hAnsi="Times New Roman"/>
          <w:noProof/>
          <w:color w:val="000000"/>
          <w:sz w:val="24"/>
          <w:u w:color="000000"/>
        </w:rPr>
        <w:t>Извършеният наскоро междинен преглед на програмата LIFE</w:t>
      </w:r>
      <w:r>
        <w:rPr>
          <w:rFonts w:ascii="Times New Roman" w:hAnsi="Times New Roman"/>
          <w:noProof/>
          <w:sz w:val="24"/>
          <w:vertAlign w:val="superscript"/>
        </w:rPr>
        <w:footnoteReference w:id="3"/>
      </w:r>
      <w:r>
        <w:rPr>
          <w:rFonts w:ascii="Times New Roman" w:hAnsi="Times New Roman"/>
          <w:noProof/>
          <w:color w:val="000000"/>
          <w:sz w:val="24"/>
          <w:u w:color="000000"/>
        </w:rPr>
        <w:t xml:space="preserve"> потвърди, че настоящата програма е на правилен път по отношение на ефективността</w:t>
      </w:r>
      <w:r>
        <w:rPr>
          <w:rFonts w:ascii="Times New Roman" w:hAnsi="Times New Roman"/>
          <w:noProof/>
          <w:color w:val="000000"/>
          <w:sz w:val="24"/>
          <w:u w:color="000000"/>
          <w:vertAlign w:val="superscript"/>
        </w:rPr>
        <w:footnoteReference w:id="4"/>
      </w:r>
      <w:r>
        <w:rPr>
          <w:rFonts w:ascii="Times New Roman" w:hAnsi="Times New Roman"/>
          <w:noProof/>
          <w:color w:val="000000"/>
          <w:sz w:val="24"/>
          <w:u w:color="000000"/>
        </w:rPr>
        <w:t xml:space="preserve">, ефикасността и целесъобразността и предоставя </w:t>
      </w:r>
      <w:r>
        <w:rPr>
          <w:rFonts w:ascii="Times New Roman" w:hAnsi="Times New Roman"/>
          <w:noProof/>
          <w:color w:val="000000"/>
          <w:sz w:val="24"/>
          <w:u w:color="000000"/>
        </w:rPr>
        <w:t>принос за стратегията „Европа 2020“. Освен това</w:t>
      </w:r>
      <w:r>
        <w:rPr>
          <w:rFonts w:ascii="Times New Roman" w:hAnsi="Times New Roman"/>
          <w:noProof/>
          <w:sz w:val="24"/>
        </w:rPr>
        <w:t xml:space="preserve"> повечето заинтересовани страни разглеждат LIFE като много важен инструмент за целенасочена работа по приоритетите в областта на околната среда и климата.</w:t>
      </w:r>
    </w:p>
    <w:p w:rsidR="00F9304D" w:rsidRDefault="008303B5">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 междинния преглед обаче бяха установени и възможност</w:t>
      </w:r>
      <w:r>
        <w:rPr>
          <w:rFonts w:ascii="Times New Roman" w:hAnsi="Times New Roman"/>
          <w:noProof/>
          <w:sz w:val="24"/>
        </w:rPr>
        <w:t>и за по-нататъшно повишаване на цялостната ефективност на програмата, които не биха се използвали, ако програмата LIFE продължи в сегашния си формат и мащаб през в периода 2021—2027 г. Това са по-специално възможностите за подобряване на съгласуваността ме</w:t>
      </w:r>
      <w:r>
        <w:rPr>
          <w:rFonts w:ascii="Times New Roman" w:hAnsi="Times New Roman"/>
          <w:noProof/>
          <w:sz w:val="24"/>
        </w:rPr>
        <w:t>жду програмата LIFE и други фондове на ЕС и за засилване на нейната роля на катализатор. Други възможности за подобряване бяха установени по отношение на стратегическата насоченост на програмата, както и на увеличаване на ефикасността на LIFE и опростяване</w:t>
      </w:r>
      <w:r>
        <w:rPr>
          <w:rFonts w:ascii="Times New Roman" w:hAnsi="Times New Roman"/>
          <w:noProof/>
          <w:sz w:val="24"/>
        </w:rPr>
        <w:t>то на управлението на програмата.</w:t>
      </w:r>
    </w:p>
    <w:p w:rsidR="00F9304D" w:rsidRDefault="008303B5">
      <w:pPr>
        <w:spacing w:after="120" w:line="240" w:lineRule="auto"/>
        <w:jc w:val="both"/>
        <w:rPr>
          <w:rFonts w:ascii="Times New Roman" w:hAnsi="Times New Roman" w:cs="Times New Roman"/>
          <w:b/>
          <w:i/>
          <w:noProof/>
          <w:sz w:val="24"/>
          <w:szCs w:val="24"/>
        </w:rPr>
      </w:pPr>
      <w:r>
        <w:rPr>
          <w:rFonts w:ascii="Times New Roman" w:hAnsi="Times New Roman"/>
          <w:b/>
          <w:i/>
          <w:noProof/>
          <w:sz w:val="24"/>
        </w:rPr>
        <w:t>Предпочитани варианти</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lastRenderedPageBreak/>
        <w:t>За справяне с установените предизвикателства бяха разработени няколко варианта, които впоследствие бяха анализирани по отношение на тяхната ефективност, ефикасност и съгласуваност. В хода на този проц</w:t>
      </w:r>
      <w:r>
        <w:rPr>
          <w:rFonts w:ascii="Times New Roman" w:hAnsi="Times New Roman"/>
          <w:noProof/>
          <w:sz w:val="24"/>
        </w:rPr>
        <w:t>ес бяха определени редица конкретни варианти за подобрение на новата програма, които са описани по-долу.</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i/>
          <w:noProof/>
          <w:sz w:val="24"/>
        </w:rPr>
        <w:t>обхвата и приложното поле</w:t>
      </w:r>
      <w:r>
        <w:rPr>
          <w:rFonts w:ascii="Times New Roman" w:hAnsi="Times New Roman"/>
          <w:noProof/>
          <w:sz w:val="24"/>
        </w:rPr>
        <w:t xml:space="preserve"> на програмата на този етап бяха избрани три варианта:</w:t>
      </w:r>
    </w:p>
    <w:p w:rsidR="00F9304D" w:rsidRDefault="008303B5">
      <w:pPr>
        <w:pStyle w:val="ListParagraph"/>
        <w:numPr>
          <w:ilvl w:val="0"/>
          <w:numId w:val="15"/>
        </w:numPr>
        <w:spacing w:after="60" w:line="240" w:lineRule="auto"/>
        <w:contextualSpacing w:val="0"/>
        <w:jc w:val="both"/>
        <w:rPr>
          <w:rFonts w:ascii="Times New Roman" w:hAnsi="Times New Roman" w:cs="Times New Roman"/>
          <w:noProof/>
          <w:sz w:val="24"/>
          <w:szCs w:val="24"/>
        </w:rPr>
      </w:pPr>
      <w:r>
        <w:rPr>
          <w:rFonts w:ascii="Times New Roman" w:hAnsi="Times New Roman"/>
          <w:noProof/>
          <w:sz w:val="24"/>
        </w:rPr>
        <w:t>Разширяване на приложното поле на LIFE, така че да вклю</w:t>
      </w:r>
      <w:r>
        <w:rPr>
          <w:rFonts w:ascii="Times New Roman" w:hAnsi="Times New Roman"/>
          <w:noProof/>
          <w:sz w:val="24"/>
        </w:rPr>
        <w:t>чва проекти за изграждане на капацитет в областта на чистата енергия, чрез добавяне на подпрограма за прехода към чиста енергия. Това би осигурило по-съгласуван подход за финансирането на проекти за изграждане на капацитет в областта на чистата енергия, ка</w:t>
      </w:r>
      <w:r>
        <w:rPr>
          <w:rFonts w:ascii="Times New Roman" w:hAnsi="Times New Roman"/>
          <w:noProof/>
          <w:sz w:val="24"/>
        </w:rPr>
        <w:t>то в същото време се предоставя достъп до такива проекти на по-широк кръг от бенефициери.</w:t>
      </w:r>
    </w:p>
    <w:p w:rsidR="00F9304D" w:rsidRDefault="008303B5">
      <w:pPr>
        <w:pStyle w:val="ListParagraph"/>
        <w:numPr>
          <w:ilvl w:val="0"/>
          <w:numId w:val="1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Засилване на подпомагането на LIFE за включването на целите, свързани с опазване на природата и биологичното разнообразие. Това би подобрило финансирането на опазване</w:t>
      </w:r>
      <w:r>
        <w:rPr>
          <w:rFonts w:ascii="Times New Roman" w:hAnsi="Times New Roman"/>
          <w:noProof/>
          <w:sz w:val="24"/>
        </w:rPr>
        <w:t>то на природата, както и съгласуваността в рамките на цялостната структура на бюджета на ЕС чрез улесняване на подобрен подход за интегриране. Не е изключено обаче това да изисква допълнителни усилия за планиране и съгласуване от страна на органите за окол</w:t>
      </w:r>
      <w:r>
        <w:rPr>
          <w:rFonts w:ascii="Times New Roman" w:hAnsi="Times New Roman"/>
          <w:noProof/>
          <w:sz w:val="24"/>
        </w:rPr>
        <w:t>ната среда.</w:t>
      </w:r>
    </w:p>
    <w:p w:rsidR="00F9304D" w:rsidRDefault="008303B5">
      <w:pPr>
        <w:pStyle w:val="ListParagraph"/>
        <w:numPr>
          <w:ilvl w:val="0"/>
          <w:numId w:val="1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Разширяване на допустимостта за финансиране по LIFE по отношение на отвъдморските страни и територии на ЕС (ОСТ), особено за мерки за опазване на природата и биологичното разнообразие в рамките на подпрограмата за опазване на природата и биолог</w:t>
      </w:r>
      <w:r>
        <w:rPr>
          <w:rFonts w:ascii="Times New Roman" w:hAnsi="Times New Roman"/>
          <w:noProof/>
          <w:sz w:val="24"/>
        </w:rPr>
        <w:t>ичното разнообразие. Това би запълнило евентуална празнина във връзка с финансирането по схемата BEST</w:t>
      </w:r>
      <w:r>
        <w:rPr>
          <w:rFonts w:ascii="Times New Roman" w:hAnsi="Times New Roman"/>
          <w:noProof/>
          <w:sz w:val="24"/>
          <w:vertAlign w:val="superscript"/>
        </w:rPr>
        <w:footnoteReference w:id="5"/>
      </w:r>
      <w:r>
        <w:rPr>
          <w:rFonts w:ascii="Times New Roman" w:hAnsi="Times New Roman"/>
          <w:noProof/>
          <w:sz w:val="24"/>
        </w:rPr>
        <w:t>.</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t>Ако бюджетът бъде увеличен специално с цел включвана на прехода към чиста енергия и/или включване на подпрограма за опазване на природата, тези варианти</w:t>
      </w:r>
      <w:r>
        <w:rPr>
          <w:rFonts w:ascii="Times New Roman" w:hAnsi="Times New Roman"/>
          <w:noProof/>
          <w:sz w:val="24"/>
        </w:rPr>
        <w:t xml:space="preserve"> (варианти 1 и 2) следва да бъдат взети предвид в структурата на програмата LIFE.</w:t>
      </w:r>
    </w:p>
    <w:p w:rsidR="00F9304D" w:rsidRDefault="008303B5">
      <w:pPr>
        <w:spacing w:after="120" w:line="240" w:lineRule="auto"/>
        <w:jc w:val="both"/>
        <w:rPr>
          <w:rFonts w:ascii="Times New Roman" w:hAnsi="Times New Roman" w:cs="Times New Roman"/>
          <w:b/>
          <w:i/>
          <w:noProof/>
          <w:sz w:val="24"/>
          <w:szCs w:val="24"/>
        </w:rPr>
      </w:pPr>
      <w:r>
        <w:rPr>
          <w:rFonts w:ascii="Times New Roman" w:hAnsi="Times New Roman"/>
          <w:noProof/>
          <w:sz w:val="24"/>
        </w:rPr>
        <w:t xml:space="preserve">По отношение на </w:t>
      </w:r>
      <w:r>
        <w:rPr>
          <w:rFonts w:ascii="Times New Roman" w:hAnsi="Times New Roman"/>
          <w:b/>
          <w:i/>
          <w:noProof/>
          <w:sz w:val="24"/>
        </w:rPr>
        <w:t>механизмите за изпълнение</w:t>
      </w:r>
      <w:r>
        <w:rPr>
          <w:rFonts w:ascii="Times New Roman" w:hAnsi="Times New Roman"/>
          <w:noProof/>
          <w:sz w:val="24"/>
        </w:rPr>
        <w:t xml:space="preserve"> и </w:t>
      </w:r>
      <w:r>
        <w:rPr>
          <w:rFonts w:ascii="Times New Roman" w:hAnsi="Times New Roman"/>
          <w:b/>
          <w:i/>
          <w:noProof/>
          <w:sz w:val="24"/>
        </w:rPr>
        <w:t>управлението на програмата</w:t>
      </w:r>
      <w:r>
        <w:rPr>
          <w:rFonts w:ascii="Times New Roman" w:hAnsi="Times New Roman"/>
          <w:noProof/>
          <w:sz w:val="24"/>
        </w:rPr>
        <w:t xml:space="preserve"> на този етап бяха избрани девет варианта:</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t>С цел подобряване на изпълнението на програмата LIFE и засилв</w:t>
      </w:r>
      <w:r>
        <w:rPr>
          <w:rFonts w:ascii="Times New Roman" w:hAnsi="Times New Roman"/>
          <w:noProof/>
          <w:sz w:val="24"/>
        </w:rPr>
        <w:t>ане на нейната роля на катализатор бяха разгледани два варианта, които се отнасят до достъпността на LIFE за кандидати от всички държави — членки на ЕС. Вариантът да се предостави централизирана подкрепа за цялата мрежа от национални органи за контакт вмес</w:t>
      </w:r>
      <w:r>
        <w:rPr>
          <w:rFonts w:ascii="Times New Roman" w:hAnsi="Times New Roman"/>
          <w:noProof/>
          <w:sz w:val="24"/>
        </w:rPr>
        <w:t>то сегашните национални проекти за изграждане на капацитет (само за някои ДЧ) е оценен положително.  Вариантът за увеличаване на процентите на съфинансиране ще трябва да бъде разгледан допълнително въз основа на развитието на търсенето, след като бъде взет</w:t>
      </w:r>
      <w:r>
        <w:rPr>
          <w:rFonts w:ascii="Times New Roman" w:hAnsi="Times New Roman"/>
          <w:noProof/>
          <w:sz w:val="24"/>
        </w:rPr>
        <w:t>о решение за цялостната форма и бюджет на програмата LIFE за следващата МФР.</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t>Разглеждани бяха още четири допълнителни варианта за подобряване на програмата и засилване на нейната роля на катализатор. Въз основа на пилотния опит, придобит от стратегическите</w:t>
      </w:r>
      <w:r>
        <w:rPr>
          <w:rFonts w:ascii="Times New Roman" w:hAnsi="Times New Roman"/>
          <w:noProof/>
          <w:sz w:val="24"/>
        </w:rPr>
        <w:t xml:space="preserve"> интегрирани проекти в сегашната програма LIFE, разширяването на </w:t>
      </w:r>
      <w:r>
        <w:rPr>
          <w:rFonts w:ascii="Times New Roman" w:hAnsi="Times New Roman"/>
          <w:noProof/>
          <w:sz w:val="24"/>
        </w:rPr>
        <w:lastRenderedPageBreak/>
        <w:t>стратегическите интегрирани проекти се счита за най-мощния механизъм сред тези варианти. Това обаче би изисквало допълнителен бюджет в сравнение с настоящата програма.</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Вариантите за по-добро </w:t>
      </w:r>
      <w:r>
        <w:rPr>
          <w:rFonts w:ascii="Times New Roman" w:hAnsi="Times New Roman"/>
          <w:noProof/>
          <w:sz w:val="24"/>
        </w:rPr>
        <w:t xml:space="preserve">възпроизвеждане и увеличаване както на гъвкавостта на програмата, така и на възможността за насочване на усилията към ключови и нововъзникващи проблеми чрез опростяване на регламента и многогодишната работна програма нямат сериозни отрицателни последици и </w:t>
      </w:r>
      <w:r>
        <w:rPr>
          <w:rFonts w:ascii="Times New Roman" w:hAnsi="Times New Roman"/>
          <w:noProof/>
          <w:sz w:val="24"/>
        </w:rPr>
        <w:t>следва съответно да бъдат въведени и двата. Що се отнася до финансовите инструменти, би било от полза подходи, разработени в рамките на пилотните инструменти на текущата програма LIFE, да бъдат усъвършенствани и разширени в рамките на InvestEU.</w:t>
      </w:r>
    </w:p>
    <w:p w:rsidR="00F9304D" w:rsidRDefault="008303B5">
      <w:pPr>
        <w:spacing w:after="120" w:line="240" w:lineRule="auto"/>
        <w:jc w:val="both"/>
        <w:rPr>
          <w:rFonts w:ascii="Times New Roman" w:hAnsi="Times New Roman" w:cs="Times New Roman"/>
          <w:b/>
          <w:i/>
          <w:noProof/>
          <w:sz w:val="24"/>
          <w:szCs w:val="24"/>
        </w:rPr>
      </w:pPr>
      <w:r>
        <w:rPr>
          <w:rFonts w:ascii="Times New Roman" w:hAnsi="Times New Roman"/>
          <w:b/>
          <w:i/>
          <w:noProof/>
          <w:sz w:val="24"/>
        </w:rPr>
        <w:t>Как ще се и</w:t>
      </w:r>
      <w:r>
        <w:rPr>
          <w:rFonts w:ascii="Times New Roman" w:hAnsi="Times New Roman"/>
          <w:b/>
          <w:i/>
          <w:noProof/>
          <w:sz w:val="24"/>
        </w:rPr>
        <w:t>звършват мониторингът и оценката на изпълнението?</w:t>
      </w:r>
    </w:p>
    <w:p w:rsidR="00F9304D" w:rsidRDefault="008303B5">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Изпълнението ще продължи да се измерва на равнището на програмата и подпрограмите въз основа на сегашния подход, основан на проекти. Бяха обаче установени допълнителни критерии за изпълнение, за да се </w:t>
      </w:r>
      <w:r>
        <w:rPr>
          <w:rFonts w:ascii="Times New Roman" w:hAnsi="Times New Roman"/>
          <w:noProof/>
          <w:sz w:val="24"/>
        </w:rPr>
        <w:t xml:space="preserve">подобрят мониторингът и оценката на катализиращия ефект на програмата LIFE и нейния принос за насърчаване на обществени промени. Тежестта на прилагането на тези критерии ще се носи преди всичко от Комисията, така че да се избегне прекомерно увеличаване на </w:t>
      </w:r>
      <w:r>
        <w:rPr>
          <w:rFonts w:ascii="Times New Roman" w:hAnsi="Times New Roman"/>
          <w:noProof/>
          <w:sz w:val="24"/>
        </w:rPr>
        <w:t>сегашните изисквания за докладване и да се гарантира точно и надеждно отчитане.</w:t>
      </w:r>
    </w:p>
    <w:p w:rsidR="00F9304D" w:rsidRPr="008303B5" w:rsidRDefault="008303B5">
      <w:pPr>
        <w:spacing w:after="120" w:line="240" w:lineRule="auto"/>
        <w:jc w:val="both"/>
        <w:rPr>
          <w:noProof/>
        </w:rPr>
      </w:pPr>
      <w:r>
        <w:rPr>
          <w:rFonts w:ascii="Times New Roman" w:hAnsi="Times New Roman"/>
          <w:noProof/>
          <w:sz w:val="24"/>
        </w:rPr>
        <w:t>Ще бъдат извършени две задълбочени оценки — в средата на периода (2024 г.) и в края на програмния период (2027 г.).</w:t>
      </w:r>
    </w:p>
    <w:sectPr w:rsidR="00F9304D" w:rsidRPr="008303B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4D" w:rsidRDefault="008303B5">
      <w:pPr>
        <w:spacing w:after="0" w:line="240" w:lineRule="auto"/>
      </w:pPr>
      <w:r>
        <w:separator/>
      </w:r>
    </w:p>
  </w:endnote>
  <w:endnote w:type="continuationSeparator" w:id="0">
    <w:p w:rsidR="00F9304D" w:rsidRDefault="0083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B5" w:rsidRPr="008303B5" w:rsidRDefault="008303B5" w:rsidP="00830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B5" w:rsidRPr="008303B5" w:rsidRDefault="008303B5" w:rsidP="008303B5">
    <w:pPr>
      <w:pStyle w:val="FooterCoverPage"/>
      <w:rPr>
        <w:rFonts w:ascii="Arial" w:hAnsi="Arial" w:cs="Arial"/>
        <w:b/>
        <w:sz w:val="48"/>
      </w:rPr>
    </w:pPr>
    <w:r w:rsidRPr="008303B5">
      <w:rPr>
        <w:rFonts w:ascii="Arial" w:hAnsi="Arial" w:cs="Arial"/>
        <w:b/>
        <w:sz w:val="48"/>
      </w:rPr>
      <w:t>BG</w:t>
    </w:r>
    <w:r w:rsidRPr="008303B5">
      <w:rPr>
        <w:rFonts w:ascii="Arial" w:hAnsi="Arial" w:cs="Arial"/>
        <w:b/>
        <w:sz w:val="48"/>
      </w:rPr>
      <w:tab/>
    </w:r>
    <w:r w:rsidRPr="008303B5">
      <w:rPr>
        <w:rFonts w:ascii="Arial" w:hAnsi="Arial" w:cs="Arial"/>
        <w:b/>
        <w:sz w:val="48"/>
      </w:rPr>
      <w:tab/>
    </w:r>
    <w:r w:rsidRPr="008303B5">
      <w:tab/>
    </w:r>
    <w:r w:rsidRPr="008303B5">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B5" w:rsidRPr="008303B5" w:rsidRDefault="008303B5" w:rsidP="008303B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4D" w:rsidRDefault="00F930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51802"/>
      <w:docPartObj>
        <w:docPartGallery w:val="Page Numbers (Bottom of Page)"/>
        <w:docPartUnique/>
      </w:docPartObj>
    </w:sdtPr>
    <w:sdtEndPr>
      <w:rPr>
        <w:noProof/>
      </w:rPr>
    </w:sdtEndPr>
    <w:sdtContent>
      <w:p w:rsidR="00F9304D" w:rsidRDefault="0083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9304D" w:rsidRDefault="00F9304D">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31860"/>
      <w:docPartObj>
        <w:docPartGallery w:val="Page Numbers (Bottom of Page)"/>
        <w:docPartUnique/>
      </w:docPartObj>
    </w:sdtPr>
    <w:sdtEndPr>
      <w:rPr>
        <w:noProof/>
      </w:rPr>
    </w:sdtEndPr>
    <w:sdtContent>
      <w:p w:rsidR="00F9304D" w:rsidRDefault="008303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9304D" w:rsidRDefault="00F93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4D" w:rsidRDefault="008303B5">
      <w:pPr>
        <w:spacing w:after="0" w:line="240" w:lineRule="auto"/>
      </w:pPr>
      <w:r>
        <w:separator/>
      </w:r>
    </w:p>
  </w:footnote>
  <w:footnote w:type="continuationSeparator" w:id="0">
    <w:p w:rsidR="00F9304D" w:rsidRDefault="008303B5">
      <w:pPr>
        <w:spacing w:after="0" w:line="240" w:lineRule="auto"/>
      </w:pPr>
      <w:r>
        <w:continuationSeparator/>
      </w:r>
    </w:p>
  </w:footnote>
  <w:footnote w:id="1">
    <w:p w:rsidR="00F9304D" w:rsidRDefault="008303B5">
      <w:pPr>
        <w:pStyle w:val="FootnoteText"/>
        <w:spacing w:after="60"/>
      </w:pPr>
      <w:r>
        <w:rPr>
          <w:rStyle w:val="FootnoteReference"/>
        </w:rPr>
        <w:footnoteRef/>
      </w:r>
      <w:r>
        <w:t xml:space="preserve"> </w:t>
      </w:r>
      <w:r>
        <w:tab/>
      </w:r>
      <w:hyperlink r:id="rId1">
        <w:r>
          <w:rPr>
            <w:rStyle w:val="Hyperlink"/>
          </w:rPr>
          <w:t>https://ec.europa.eu/commission/state-union-2017_bg</w:t>
        </w:r>
      </w:hyperlink>
      <w:r>
        <w:t xml:space="preserve"> </w:t>
      </w:r>
    </w:p>
  </w:footnote>
  <w:footnote w:id="2">
    <w:p w:rsidR="00F9304D" w:rsidRDefault="008303B5">
      <w:pPr>
        <w:pStyle w:val="FootnoteText"/>
        <w:spacing w:after="60"/>
      </w:pPr>
      <w:r>
        <w:rPr>
          <w:rStyle w:val="FootnoteReference"/>
        </w:rPr>
        <w:footnoteRef/>
      </w:r>
      <w:r>
        <w:t xml:space="preserve"> </w:t>
      </w:r>
      <w:r>
        <w:tab/>
        <w:t>Приложение 4 съдържа анализ на продължаващата необходимост от действия в различните сфери на политиката в областта н</w:t>
      </w:r>
      <w:r>
        <w:t>а околната среда и на борбата с изменението на климата, за да се гарантира спазването на съответното законодателство на ЕС и на Парижкото споразумение, както и осъществяването на енергийния съюз.</w:t>
      </w:r>
    </w:p>
  </w:footnote>
  <w:footnote w:id="3">
    <w:p w:rsidR="00F9304D" w:rsidRDefault="008303B5">
      <w:pPr>
        <w:pStyle w:val="FootnoteText"/>
        <w:spacing w:after="60"/>
        <w:jc w:val="both"/>
        <w:rPr>
          <w:rFonts w:cs="Times New Roman"/>
          <w:szCs w:val="18"/>
        </w:rPr>
      </w:pPr>
      <w:r>
        <w:rPr>
          <w:rStyle w:val="FootnoteReference"/>
        </w:rPr>
        <w:footnoteRef/>
      </w:r>
      <w:r>
        <w:t xml:space="preserve"> </w:t>
      </w:r>
      <w:r>
        <w:tab/>
        <w:t xml:space="preserve">EК (2017 г.) </w:t>
      </w:r>
      <w:hyperlink r:id="rId2">
        <w:r>
          <w:rPr>
            <w:rStyle w:val="Hyperlink"/>
          </w:rPr>
          <w:t>Report on the Mid-term Evaluation of the Programme for Environment and Climate.</w:t>
        </w:r>
      </w:hyperlink>
      <w:r>
        <w:t xml:space="preserve"> </w:t>
      </w:r>
      <w:hyperlink r:id="rId3">
        <w:r>
          <w:rPr>
            <w:rStyle w:val="Hyperlink"/>
          </w:rPr>
          <w:t>SWD(2017) 355 final</w:t>
        </w:r>
      </w:hyperlink>
      <w:r>
        <w:t>.</w:t>
      </w:r>
      <w:r>
        <w:t xml:space="preserve"> Ecorys (2017 г.) Support for an external and independent LIFE Mid Term Evaluation Report</w:t>
      </w:r>
    </w:p>
  </w:footnote>
  <w:footnote w:id="4">
    <w:p w:rsidR="00F9304D" w:rsidRDefault="008303B5">
      <w:pPr>
        <w:pStyle w:val="FootnoteText"/>
        <w:spacing w:after="60"/>
      </w:pPr>
      <w:r>
        <w:rPr>
          <w:rStyle w:val="FootnoteReference"/>
        </w:rPr>
        <w:footnoteRef/>
      </w:r>
      <w:r>
        <w:t xml:space="preserve"> </w:t>
      </w:r>
      <w:r>
        <w:tab/>
        <w:t>Въз основа на анализ на ключовите показатели за изпълнението, използвани за оценка на резултатите от проектите.</w:t>
      </w:r>
    </w:p>
  </w:footnote>
  <w:footnote w:id="5">
    <w:p w:rsidR="00F9304D" w:rsidRDefault="008303B5">
      <w:pPr>
        <w:pStyle w:val="FootnoteText"/>
        <w:jc w:val="both"/>
      </w:pPr>
      <w:r>
        <w:rPr>
          <w:rStyle w:val="FootnoteReference"/>
        </w:rPr>
        <w:footnoteRef/>
      </w:r>
      <w:r>
        <w:t xml:space="preserve"> </w:t>
      </w:r>
      <w:r>
        <w:tab/>
      </w:r>
      <w:hyperlink r:id="rId4">
        <w:r>
          <w:rPr>
            <w:rStyle w:val="Hyperlink"/>
          </w:rPr>
          <w:t>Доброволната схема в областта на биологичното разнообразие и екосистемните услуги в отвъдморските територии на ЕС (BEST) –</w:t>
        </w:r>
      </w:hyperlink>
      <w:r>
        <w:t xml:space="preserve"> е насочена към подпомагането на опазването на биологичното разнообразие и устойчивото използ</w:t>
      </w:r>
      <w:r>
        <w:t>ване на екосистемните услуги, включително екосистемни подходи за адаптиране към изменението на климата и смекчаване на последиците от него, в най-отдалечените региони (НОР) и отвъдморските страни и територии (ОСТ)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B5" w:rsidRPr="008303B5" w:rsidRDefault="008303B5" w:rsidP="00830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B5" w:rsidRPr="008303B5" w:rsidRDefault="008303B5" w:rsidP="008303B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B5" w:rsidRPr="008303B5" w:rsidRDefault="008303B5" w:rsidP="008303B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4D" w:rsidRDefault="00F930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4D" w:rsidRDefault="00F930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4D" w:rsidRDefault="00F93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2A45"/>
    <w:multiLevelType w:val="hybridMultilevel"/>
    <w:tmpl w:val="C3901E2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14E24C82"/>
    <w:multiLevelType w:val="multilevel"/>
    <w:tmpl w:val="769A8EEE"/>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pStyle w:val="Heading4"/>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2">
    <w:nsid w:val="14E975EB"/>
    <w:multiLevelType w:val="multilevel"/>
    <w:tmpl w:val="DF88F4FE"/>
    <w:lvl w:ilvl="0">
      <w:start w:val="1"/>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34306"/>
    <w:multiLevelType w:val="multilevel"/>
    <w:tmpl w:val="A16C432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960"/>
        </w:tabs>
        <w:ind w:left="96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9D748A"/>
    <w:multiLevelType w:val="hybridMultilevel"/>
    <w:tmpl w:val="550886CA"/>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265BCD"/>
    <w:multiLevelType w:val="hybridMultilevel"/>
    <w:tmpl w:val="0D6A0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DF4EDB"/>
    <w:multiLevelType w:val="multilevel"/>
    <w:tmpl w:val="23E6A26C"/>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852" w:hanging="284"/>
      </w:pPr>
      <w:rPr>
        <w:rFonts w:ascii="Arial" w:hAnsi="Arial"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hint="default"/>
        <w:color w:val="006DB6"/>
      </w:rPr>
    </w:lvl>
    <w:lvl w:ilvl="8">
      <w:start w:val="1"/>
      <w:numFmt w:val="bullet"/>
      <w:lvlText w:val=""/>
      <w:lvlJc w:val="left"/>
      <w:pPr>
        <w:ind w:left="2840" w:hanging="284"/>
      </w:pPr>
      <w:rPr>
        <w:rFonts w:ascii="Symbol" w:hAnsi="Symbol" w:hint="default"/>
        <w:color w:val="006DB6"/>
      </w:rPr>
    </w:lvl>
  </w:abstractNum>
  <w:num w:numId="1">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2">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3">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4">
    <w:abstractNumId w:val="6"/>
  </w:num>
  <w:num w:numId="5">
    <w:abstractNumId w:val="3"/>
  </w:num>
  <w:num w:numId="6">
    <w:abstractNumId w:val="3"/>
  </w:num>
  <w:num w:numId="7">
    <w:abstractNumId w:val="2"/>
  </w:num>
  <w:num w:numId="8">
    <w:abstractNumId w:val="3"/>
  </w:num>
  <w:num w:numId="9">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0">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1">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2">
    <w:abstractNumId w:val="6"/>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4F58942F-BE6E-42BB-B90D-FB6E68153EA5"/>
    <w:docVar w:name="LW_COVERPAGE_TYPE" w:val="1"/>
    <w:docVar w:name="LW_CROSSREFERENCE" w:val="{COM(2018) 385 final}_x000b_{SEC(2018) 275 final}_x000b_{SWD(2018) 292 final}"/>
    <w:docVar w:name="LW_DocType" w:val="NORMAL"/>
    <w:docVar w:name="LW_EMISSION" w:val="1.6.2018"/>
    <w:docVar w:name="LW_EMISSION_ISODATE" w:val="2018-06-0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 \u1085?\u1072? \u1055?\u1088?\u1086?\u1075?\u1088?\u1072?\u1084?\u1072? \u1079?\u1072? \u1086?\u1082?\u1086?\u1083?\u1085?\u1072?\u1090?\u1072? \u1089?\u1088?\u1077?\u1076?\u1072? \u1080? \u1076?\u1077?\u1081?\u1089?\u1090?\u1074?\u1080?\u1103?\u1090?\u1072? \u1087?\u1086? \u1082?\u1083?\u1080?\u1084?\u1072?\u1090?\u1072? (LIFE)"/>
    <w:docVar w:name="LW_PART_NBR" w:val="1"/>
    <w:docVar w:name="LW_PART_NBR_TOTAL" w:val="1"/>
    <w:docVar w:name="LW_REF.INST.NEW" w:val="SWD"/>
    <w:docVar w:name="LW_REF.INST.NEW_ADOPTED" w:val="final"/>
    <w:docVar w:name="LW_REF.INST.NEW_TEXT" w:val="(2018)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6?\u1077?\u1075?\u1083?\u1072?\u1084?\u1077?\u1085?\u1090? \u1085?\u1072? \u1045?\u1074?\u1088?\u1086?\u1087?\u1077?\u1081?\u1089?\u1082?\u1080?\u1103? \u1087?\u1072?\u1088?\u1083?\u1072?\u1084?\u1077?\u1085?\u1090? \u1080? \u1085?\u1072? \u1057?\u1098?\u1074?\u1077?\u1090?\u1072?"/>
  </w:docVars>
  <w:rsids>
    <w:rsidRoot w:val="00F9304D"/>
    <w:rsid w:val="008303B5"/>
    <w:rsid w:val="00F930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1"/>
    <w:qFormat/>
    <w:pPr>
      <w:keepNext/>
      <w:spacing w:before="240"/>
      <w:ind w:left="7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paragraph" w:customStyle="1" w:styleId="AppendixH1">
    <w:name w:val="Appendix H1"/>
    <w:basedOn w:val="Normal"/>
    <w:link w:val="AppendixH1Char"/>
    <w:qFormat/>
    <w:pPr>
      <w:numPr>
        <w:numId w:val="11"/>
      </w:numPr>
    </w:pPr>
    <w:rPr>
      <w:rFonts w:ascii="Times New Roman" w:hAnsi="Times New Roman" w:cs="Times New Roman"/>
      <w:b/>
      <w:sz w:val="24"/>
      <w:szCs w:val="24"/>
    </w:rPr>
  </w:style>
  <w:style w:type="character" w:customStyle="1" w:styleId="AppendixH1Char">
    <w:name w:val="Appendix H1 Char"/>
    <w:basedOn w:val="DefaultParagraphFont"/>
    <w:link w:val="AppendixH1"/>
    <w:rPr>
      <w:rFonts w:ascii="Times New Roman" w:hAnsi="Times New Roman" w:cs="Times New Roman"/>
      <w:b/>
      <w:sz w:val="24"/>
      <w:szCs w:val="24"/>
    </w:rPr>
  </w:style>
  <w:style w:type="paragraph" w:customStyle="1" w:styleId="AppendixH2">
    <w:name w:val="Appendix H2"/>
    <w:basedOn w:val="Normal"/>
    <w:link w:val="AppendixH2Char"/>
    <w:qFormat/>
    <w:pPr>
      <w:numPr>
        <w:ilvl w:val="1"/>
        <w:numId w:val="11"/>
      </w:numPr>
    </w:pPr>
    <w:rPr>
      <w:rFonts w:ascii="Times New Roman" w:hAnsi="Times New Roman" w:cs="Times New Roman"/>
      <w:b/>
      <w:sz w:val="24"/>
      <w:szCs w:val="24"/>
    </w:rPr>
  </w:style>
  <w:style w:type="character" w:customStyle="1" w:styleId="AppendixH2Char">
    <w:name w:val="Appendix H2 Char"/>
    <w:basedOn w:val="DefaultParagraphFont"/>
    <w:link w:val="AppendixH2"/>
    <w:rPr>
      <w:rFonts w:ascii="Times New Roman" w:hAnsi="Times New Roman" w:cs="Times New Roman"/>
      <w:b/>
      <w:sz w:val="24"/>
      <w:szCs w:val="24"/>
    </w:rPr>
  </w:style>
  <w:style w:type="paragraph" w:customStyle="1" w:styleId="AppendixH3">
    <w:name w:val="Appendix H3"/>
    <w:basedOn w:val="Normal"/>
    <w:qFormat/>
    <w:pPr>
      <w:numPr>
        <w:ilvl w:val="2"/>
        <w:numId w:val="11"/>
      </w:numPr>
    </w:pPr>
    <w:rPr>
      <w:rFonts w:ascii="Times New Roman" w:hAnsi="Times New Roman" w:cs="Times New Roman"/>
      <w:i/>
      <w:sz w:val="24"/>
      <w:szCs w:val="24"/>
    </w:rPr>
  </w:style>
  <w:style w:type="paragraph" w:customStyle="1" w:styleId="list-bullet-color">
    <w:name w:val="list-bullet-color"/>
    <w:basedOn w:val="Normal"/>
    <w:qFormat/>
    <w:pPr>
      <w:numPr>
        <w:numId w:val="12"/>
      </w:numPr>
      <w:spacing w:after="0" w:line="280" w:lineRule="atLeast"/>
    </w:pPr>
    <w:rPr>
      <w:rFonts w:ascii="Arial" w:eastAsia="Times New Roman" w:hAnsi="Arial" w:cs="Times New Roman"/>
      <w:sz w:val="18"/>
      <w:szCs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rFonts w:ascii="Times New Roman" w:hAnsi="Times New Roman"/>
      <w:sz w:val="18"/>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
    <w:basedOn w:val="Normal"/>
    <w:next w:val="Normal"/>
    <w:link w:val="CaptionChar"/>
    <w:autoRedefine/>
    <w:uiPriority w:val="3"/>
    <w:qFormat/>
    <w:pPr>
      <w:keepNext/>
      <w:spacing w:before="120" w:after="0" w:line="240" w:lineRule="auto"/>
      <w:jc w:val="both"/>
    </w:pPr>
    <w:rPr>
      <w:rFonts w:ascii="Times New Roman" w:eastAsia="Times New Roman" w:hAnsi="Times New Roman" w:cs="Times New Roman"/>
      <w:b/>
      <w:i/>
      <w:color w:val="244061" w:themeColor="accent1" w:themeShade="80"/>
      <w:szCs w:val="24"/>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
    <w:rPr>
      <w:rFonts w:ascii="Times New Roman" w:eastAsia="Times New Roman" w:hAnsi="Times New Roman" w:cs="Times New Roman"/>
      <w:b/>
      <w:i/>
      <w:color w:val="244061" w:themeColor="accent1" w:themeShade="80"/>
      <w:szCs w:val="24"/>
      <w:lang w:eastAsia="bg-BG"/>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
    <w:basedOn w:val="Normal"/>
    <w:link w:val="BodyTextChar"/>
    <w:qFormat/>
    <w:pPr>
      <w:spacing w:after="120" w:line="240" w:lineRule="auto"/>
      <w:jc w:val="both"/>
    </w:pPr>
    <w:rPr>
      <w:rFonts w:ascii="Georgia" w:eastAsia="Times New Roman" w:hAnsi="Georgia" w:cs="Times New Roman"/>
      <w:sz w:val="20"/>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bg-BG"/>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Cs w:val="20"/>
    </w:rPr>
  </w:style>
  <w:style w:type="character" w:styleId="IntenseEmphasis">
    <w:name w:val="Intense Emphasis"/>
    <w:basedOn w:val="DefaultParagraphFont"/>
    <w:uiPriority w:val="21"/>
    <w:qFormat/>
    <w:rPr>
      <w:b/>
      <w:bCs/>
      <w:i/>
      <w:iCs/>
      <w:color w:val="4F81BD" w:themeColor="accent1"/>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E,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before="120"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1"/>
    <w:qFormat/>
    <w:pPr>
      <w:keepNext/>
      <w:spacing w:before="240"/>
      <w:ind w:left="7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paragraph" w:customStyle="1" w:styleId="AppendixH1">
    <w:name w:val="Appendix H1"/>
    <w:basedOn w:val="Normal"/>
    <w:link w:val="AppendixH1Char"/>
    <w:qFormat/>
    <w:pPr>
      <w:numPr>
        <w:numId w:val="11"/>
      </w:numPr>
    </w:pPr>
    <w:rPr>
      <w:rFonts w:ascii="Times New Roman" w:hAnsi="Times New Roman" w:cs="Times New Roman"/>
      <w:b/>
      <w:sz w:val="24"/>
      <w:szCs w:val="24"/>
    </w:rPr>
  </w:style>
  <w:style w:type="character" w:customStyle="1" w:styleId="AppendixH1Char">
    <w:name w:val="Appendix H1 Char"/>
    <w:basedOn w:val="DefaultParagraphFont"/>
    <w:link w:val="AppendixH1"/>
    <w:rPr>
      <w:rFonts w:ascii="Times New Roman" w:hAnsi="Times New Roman" w:cs="Times New Roman"/>
      <w:b/>
      <w:sz w:val="24"/>
      <w:szCs w:val="24"/>
    </w:rPr>
  </w:style>
  <w:style w:type="paragraph" w:customStyle="1" w:styleId="AppendixH2">
    <w:name w:val="Appendix H2"/>
    <w:basedOn w:val="Normal"/>
    <w:link w:val="AppendixH2Char"/>
    <w:qFormat/>
    <w:pPr>
      <w:numPr>
        <w:ilvl w:val="1"/>
        <w:numId w:val="11"/>
      </w:numPr>
    </w:pPr>
    <w:rPr>
      <w:rFonts w:ascii="Times New Roman" w:hAnsi="Times New Roman" w:cs="Times New Roman"/>
      <w:b/>
      <w:sz w:val="24"/>
      <w:szCs w:val="24"/>
    </w:rPr>
  </w:style>
  <w:style w:type="character" w:customStyle="1" w:styleId="AppendixH2Char">
    <w:name w:val="Appendix H2 Char"/>
    <w:basedOn w:val="DefaultParagraphFont"/>
    <w:link w:val="AppendixH2"/>
    <w:rPr>
      <w:rFonts w:ascii="Times New Roman" w:hAnsi="Times New Roman" w:cs="Times New Roman"/>
      <w:b/>
      <w:sz w:val="24"/>
      <w:szCs w:val="24"/>
    </w:rPr>
  </w:style>
  <w:style w:type="paragraph" w:customStyle="1" w:styleId="AppendixH3">
    <w:name w:val="Appendix H3"/>
    <w:basedOn w:val="Normal"/>
    <w:qFormat/>
    <w:pPr>
      <w:numPr>
        <w:ilvl w:val="2"/>
        <w:numId w:val="11"/>
      </w:numPr>
    </w:pPr>
    <w:rPr>
      <w:rFonts w:ascii="Times New Roman" w:hAnsi="Times New Roman" w:cs="Times New Roman"/>
      <w:i/>
      <w:sz w:val="24"/>
      <w:szCs w:val="24"/>
    </w:rPr>
  </w:style>
  <w:style w:type="paragraph" w:customStyle="1" w:styleId="list-bullet-color">
    <w:name w:val="list-bullet-color"/>
    <w:basedOn w:val="Normal"/>
    <w:qFormat/>
    <w:pPr>
      <w:numPr>
        <w:numId w:val="12"/>
      </w:numPr>
      <w:spacing w:after="0" w:line="280" w:lineRule="atLeast"/>
    </w:pPr>
    <w:rPr>
      <w:rFonts w:ascii="Arial" w:eastAsia="Times New Roman" w:hAnsi="Arial" w:cs="Times New Roman"/>
      <w:sz w:val="18"/>
      <w:szCs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rFonts w:ascii="Times New Roman" w:hAnsi="Times New Roman"/>
      <w:sz w:val="18"/>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
    <w:basedOn w:val="Normal"/>
    <w:next w:val="Normal"/>
    <w:link w:val="CaptionChar"/>
    <w:autoRedefine/>
    <w:uiPriority w:val="3"/>
    <w:qFormat/>
    <w:pPr>
      <w:keepNext/>
      <w:spacing w:before="120" w:after="0" w:line="240" w:lineRule="auto"/>
      <w:jc w:val="both"/>
    </w:pPr>
    <w:rPr>
      <w:rFonts w:ascii="Times New Roman" w:eastAsia="Times New Roman" w:hAnsi="Times New Roman" w:cs="Times New Roman"/>
      <w:b/>
      <w:i/>
      <w:color w:val="244061" w:themeColor="accent1" w:themeShade="80"/>
      <w:szCs w:val="24"/>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
    <w:rPr>
      <w:rFonts w:ascii="Times New Roman" w:eastAsia="Times New Roman" w:hAnsi="Times New Roman" w:cs="Times New Roman"/>
      <w:b/>
      <w:i/>
      <w:color w:val="244061" w:themeColor="accent1" w:themeShade="80"/>
      <w:szCs w:val="24"/>
      <w:lang w:eastAsia="bg-BG"/>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
    <w:basedOn w:val="Normal"/>
    <w:link w:val="BodyTextChar"/>
    <w:qFormat/>
    <w:pPr>
      <w:spacing w:after="120" w:line="240" w:lineRule="auto"/>
      <w:jc w:val="both"/>
    </w:pPr>
    <w:rPr>
      <w:rFonts w:ascii="Georgia" w:eastAsia="Times New Roman" w:hAnsi="Georgia" w:cs="Times New Roman"/>
      <w:sz w:val="20"/>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bg-BG"/>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Cs w:val="20"/>
    </w:rPr>
  </w:style>
  <w:style w:type="character" w:styleId="IntenseEmphasis">
    <w:name w:val="Intense Emphasis"/>
    <w:basedOn w:val="DefaultParagraphFont"/>
    <w:uiPriority w:val="21"/>
    <w:qFormat/>
    <w:rPr>
      <w:b/>
      <w:bCs/>
      <w:i/>
      <w:iCs/>
      <w:color w:val="4F81BD" w:themeColor="accent1"/>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E,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before="120"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PDF/?uri=CELEX:52017SC0355&amp;from=EN" TargetMode="External"/><Relationship Id="rId2" Type="http://schemas.openxmlformats.org/officeDocument/2006/relationships/hyperlink" Target="http://eur-lex.europa.eu/legal-content/EN/TXT/PDF/?uri=CELEX:52017SC0355&amp;from=EN" TargetMode="External"/><Relationship Id="rId1" Type="http://schemas.openxmlformats.org/officeDocument/2006/relationships/hyperlink" Target="https://ec.europa.eu/commission/state-union-2017_bg" TargetMode="External"/><Relationship Id="rId4" Type="http://schemas.openxmlformats.org/officeDocument/2006/relationships/hyperlink" Target="http://ec.europa.eu/environment/nature/biodiversity/best/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1015</Words>
  <Characters>5835</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CAMUR Stelio (SG)</cp:lastModifiedBy>
  <cp:revision>18</cp:revision>
  <cp:lastPrinted>2018-05-22T09:41:00Z</cp:lastPrinted>
  <dcterms:created xsi:type="dcterms:W3CDTF">2018-05-23T10:00:00Z</dcterms:created>
  <dcterms:modified xsi:type="dcterms:W3CDTF">2018-06-09T06:48:00Z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